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6DD2B" w14:textId="07877E18" w:rsidR="008A6B68" w:rsidRDefault="008A6B68" w:rsidP="008A6B68">
      <w:pPr>
        <w:spacing w:after="0" w:line="240" w:lineRule="auto"/>
        <w:ind w:firstLine="360"/>
        <w:jc w:val="right"/>
        <w:rPr>
          <w:rFonts w:asciiTheme="minorBidi" w:hAnsiTheme="minorBidi"/>
          <w:bCs/>
        </w:rPr>
      </w:pPr>
      <w:r>
        <w:rPr>
          <w:rFonts w:asciiTheme="minorBidi" w:hAnsiTheme="minorBidi"/>
          <w:bCs/>
        </w:rPr>
        <w:t>Neskelbiamos derybos (supaprastintas pirkimas) Nr. 15530</w:t>
      </w:r>
    </w:p>
    <w:p w14:paraId="3154B495" w14:textId="65EA4A2B" w:rsidR="000A3A1E" w:rsidRDefault="000A3A1E" w:rsidP="000A3A1E">
      <w:pPr>
        <w:spacing w:after="0" w:line="240" w:lineRule="auto"/>
        <w:jc w:val="both"/>
        <w:rPr>
          <w:rFonts w:ascii="Arial" w:eastAsia="Calibri" w:hAnsi="Arial" w:cs="Arial"/>
          <w:b/>
        </w:rPr>
      </w:pPr>
    </w:p>
    <w:p w14:paraId="682C486F" w14:textId="77777777" w:rsidR="007030A4" w:rsidRPr="00257BCF" w:rsidRDefault="007030A4" w:rsidP="000A3A1E">
      <w:pPr>
        <w:spacing w:after="0" w:line="240" w:lineRule="auto"/>
        <w:jc w:val="both"/>
        <w:rPr>
          <w:rFonts w:ascii="Arial" w:eastAsia="Calibri" w:hAnsi="Arial" w:cs="Arial"/>
          <w:b/>
        </w:rPr>
      </w:pPr>
    </w:p>
    <w:p w14:paraId="0659498F" w14:textId="130E456C" w:rsidR="002D4D55" w:rsidRDefault="000A3A1E" w:rsidP="007030A4">
      <w:pPr>
        <w:spacing w:after="0" w:line="240" w:lineRule="auto"/>
        <w:ind w:firstLine="360"/>
        <w:jc w:val="center"/>
        <w:rPr>
          <w:rFonts w:ascii="Arial" w:eastAsia="Calibri" w:hAnsi="Arial" w:cs="Arial"/>
          <w:b/>
        </w:rPr>
      </w:pPr>
      <w:r w:rsidRPr="00257BCF">
        <w:rPr>
          <w:rFonts w:ascii="Arial" w:eastAsia="Calibri" w:hAnsi="Arial" w:cs="Arial"/>
          <w:b/>
        </w:rPr>
        <w:t>MOKYMO PASLAUGŲ PIRKIMO–PARDAVIMO SUTARTIS NR</w:t>
      </w:r>
      <w:r w:rsidR="007030A4">
        <w:rPr>
          <w:rFonts w:ascii="Arial" w:eastAsia="Calibri" w:hAnsi="Arial" w:cs="Arial"/>
          <w:b/>
        </w:rPr>
        <w:t>.</w:t>
      </w:r>
      <w:r w:rsidR="00FF53CC">
        <w:rPr>
          <w:rFonts w:ascii="Arial" w:eastAsia="Calibri" w:hAnsi="Arial" w:cs="Arial"/>
          <w:b/>
        </w:rPr>
        <w:t xml:space="preserve"> SUT(LG)-397</w:t>
      </w:r>
    </w:p>
    <w:p w14:paraId="062117E8" w14:textId="77777777" w:rsidR="007030A4" w:rsidRPr="007030A4" w:rsidRDefault="007030A4" w:rsidP="007030A4">
      <w:pPr>
        <w:spacing w:after="0" w:line="240" w:lineRule="auto"/>
        <w:ind w:firstLine="360"/>
        <w:jc w:val="center"/>
        <w:rPr>
          <w:rFonts w:ascii="Arial" w:eastAsia="Calibri" w:hAnsi="Arial" w:cs="Arial"/>
          <w:b/>
        </w:rPr>
      </w:pPr>
    </w:p>
    <w:p w14:paraId="0F736381" w14:textId="19745F32" w:rsidR="000A3A1E" w:rsidRPr="00257BCF" w:rsidRDefault="000A3A1E" w:rsidP="000A3A1E">
      <w:pPr>
        <w:spacing w:after="0" w:line="240" w:lineRule="auto"/>
        <w:ind w:firstLine="360"/>
        <w:jc w:val="center"/>
        <w:rPr>
          <w:rFonts w:ascii="Arial" w:eastAsia="Calibri" w:hAnsi="Arial" w:cs="Arial"/>
        </w:rPr>
      </w:pPr>
      <w:r w:rsidRPr="00257BCF">
        <w:rPr>
          <w:rFonts w:ascii="Arial" w:eastAsia="Calibri" w:hAnsi="Arial" w:cs="Arial"/>
        </w:rPr>
        <w:t>20</w:t>
      </w:r>
      <w:r w:rsidR="00FE492E" w:rsidRPr="00257BCF">
        <w:rPr>
          <w:rFonts w:ascii="Arial" w:eastAsia="Calibri" w:hAnsi="Arial" w:cs="Arial"/>
        </w:rPr>
        <w:t>20</w:t>
      </w:r>
      <w:r w:rsidRPr="00257BCF">
        <w:rPr>
          <w:rFonts w:ascii="Arial" w:eastAsia="Calibri" w:hAnsi="Arial" w:cs="Arial"/>
        </w:rPr>
        <w:t xml:space="preserve"> m.</w:t>
      </w:r>
      <w:r w:rsidR="002D4D55" w:rsidRPr="00257BCF">
        <w:rPr>
          <w:rFonts w:ascii="Arial" w:eastAsia="Calibri" w:hAnsi="Arial" w:cs="Arial"/>
        </w:rPr>
        <w:t xml:space="preserve"> </w:t>
      </w:r>
      <w:r w:rsidR="00FF53CC">
        <w:rPr>
          <w:rFonts w:ascii="Arial" w:eastAsia="Calibri" w:hAnsi="Arial" w:cs="Arial"/>
        </w:rPr>
        <w:t>lapkričio 3</w:t>
      </w:r>
      <w:r w:rsidRPr="00257BCF">
        <w:rPr>
          <w:rFonts w:ascii="Arial" w:eastAsia="Calibri" w:hAnsi="Arial" w:cs="Arial"/>
        </w:rPr>
        <w:t xml:space="preserve"> d.   </w:t>
      </w:r>
    </w:p>
    <w:p w14:paraId="58BCF778" w14:textId="77777777" w:rsidR="000A3A1E" w:rsidRPr="00257BCF" w:rsidRDefault="000A3A1E" w:rsidP="000A3A1E">
      <w:pPr>
        <w:spacing w:after="0" w:line="240" w:lineRule="auto"/>
        <w:ind w:firstLine="360"/>
        <w:jc w:val="center"/>
        <w:rPr>
          <w:rFonts w:ascii="Arial" w:eastAsia="Calibri" w:hAnsi="Arial" w:cs="Arial"/>
        </w:rPr>
      </w:pPr>
      <w:r w:rsidRPr="00257BCF">
        <w:rPr>
          <w:rFonts w:ascii="Arial" w:eastAsia="Calibri" w:hAnsi="Arial" w:cs="Arial"/>
        </w:rPr>
        <w:t>Vilnius</w:t>
      </w:r>
    </w:p>
    <w:p w14:paraId="646EABDB" w14:textId="77777777" w:rsidR="000A3A1E" w:rsidRPr="00257BCF" w:rsidRDefault="000A3A1E" w:rsidP="000A3A1E">
      <w:pPr>
        <w:spacing w:after="0" w:line="240" w:lineRule="auto"/>
        <w:ind w:firstLine="360"/>
        <w:jc w:val="center"/>
        <w:rPr>
          <w:rFonts w:ascii="Arial" w:eastAsia="Calibri" w:hAnsi="Arial" w:cs="Arial"/>
        </w:rPr>
      </w:pPr>
    </w:p>
    <w:p w14:paraId="04C3D4AB" w14:textId="77777777" w:rsidR="000A3A1E" w:rsidRPr="00257BCF" w:rsidRDefault="000A3A1E" w:rsidP="000A3A1E">
      <w:pPr>
        <w:keepNext/>
        <w:spacing w:after="0" w:line="240" w:lineRule="auto"/>
        <w:ind w:right="-82" w:firstLine="360"/>
        <w:jc w:val="center"/>
        <w:outlineLvl w:val="1"/>
        <w:rPr>
          <w:rFonts w:ascii="Arial" w:eastAsia="Calibri" w:hAnsi="Arial" w:cs="Arial"/>
          <w:lang w:eastAsia="lt-LT"/>
        </w:rPr>
      </w:pPr>
      <w:bookmarkStart w:id="0" w:name="_Toc438559488"/>
      <w:bookmarkStart w:id="1" w:name="_Toc438559815"/>
      <w:r w:rsidRPr="00257BCF">
        <w:rPr>
          <w:rFonts w:ascii="Arial" w:eastAsia="Times New Roman" w:hAnsi="Arial" w:cs="Arial"/>
          <w:b/>
          <w:bCs/>
        </w:rPr>
        <w:t>SPECIALIOSIOS SĄLYGOS</w:t>
      </w:r>
      <w:bookmarkEnd w:id="0"/>
      <w:bookmarkEnd w:id="1"/>
    </w:p>
    <w:p w14:paraId="0124D4B0" w14:textId="7AEA759E" w:rsidR="000A3A1E" w:rsidRPr="00257BCF" w:rsidRDefault="000A3A1E" w:rsidP="007030A4">
      <w:pPr>
        <w:tabs>
          <w:tab w:val="left" w:pos="709"/>
        </w:tabs>
        <w:spacing w:after="0" w:line="240" w:lineRule="auto"/>
        <w:ind w:firstLine="567"/>
        <w:jc w:val="both"/>
        <w:rPr>
          <w:rFonts w:ascii="Arial" w:eastAsia="Times New Roman" w:hAnsi="Arial" w:cs="Arial"/>
        </w:rPr>
      </w:pPr>
      <w:r w:rsidRPr="00257BCF">
        <w:rPr>
          <w:rFonts w:ascii="Arial" w:eastAsia="Times New Roman" w:hAnsi="Arial" w:cs="Arial"/>
          <w:b/>
        </w:rPr>
        <w:t>AB „</w:t>
      </w:r>
      <w:r w:rsidR="00A41CEB" w:rsidRPr="00257BCF">
        <w:rPr>
          <w:rFonts w:ascii="Arial" w:eastAsia="Times New Roman" w:hAnsi="Arial" w:cs="Arial"/>
          <w:b/>
        </w:rPr>
        <w:t>Lietuvos geležinkeliai</w:t>
      </w:r>
      <w:r w:rsidRPr="00257BCF">
        <w:rPr>
          <w:rFonts w:ascii="Arial" w:eastAsia="Times New Roman" w:hAnsi="Arial" w:cs="Arial"/>
          <w:b/>
        </w:rPr>
        <w:t xml:space="preserve">“, </w:t>
      </w:r>
      <w:r w:rsidRPr="00257BCF">
        <w:rPr>
          <w:rFonts w:ascii="Arial" w:eastAsia="Times New Roman" w:hAnsi="Arial" w:cs="Arial"/>
        </w:rPr>
        <w:t>juridinio asmens kodas</w:t>
      </w:r>
      <w:r w:rsidR="002D769E" w:rsidRPr="00257BCF">
        <w:rPr>
          <w:rFonts w:ascii="Arial" w:eastAsia="Times New Roman" w:hAnsi="Arial" w:cs="Arial"/>
        </w:rPr>
        <w:t xml:space="preserve"> 110053842, </w:t>
      </w:r>
      <w:r w:rsidR="005B1EF2" w:rsidRPr="009B31C3">
        <w:rPr>
          <w:rFonts w:ascii="Arial" w:eastAsia="Times New Roman" w:hAnsi="Arial" w:cs="Arial"/>
        </w:rPr>
        <w:t>atstovaujama</w:t>
      </w:r>
      <w:r w:rsidR="005B1EF2">
        <w:rPr>
          <w:rFonts w:ascii="Arial" w:eastAsia="Times New Roman" w:hAnsi="Arial" w:cs="Arial"/>
        </w:rPr>
        <w:t xml:space="preserve"> Informacinių technologijų centro „LG Digital“ direktoriaus </w:t>
      </w:r>
      <w:proofErr w:type="spellStart"/>
      <w:r w:rsidR="005B1EF2">
        <w:rPr>
          <w:rFonts w:ascii="Arial" w:eastAsia="Times New Roman" w:hAnsi="Arial" w:cs="Arial"/>
        </w:rPr>
        <w:t>Elijaus</w:t>
      </w:r>
      <w:proofErr w:type="spellEnd"/>
      <w:r w:rsidR="005B1EF2">
        <w:rPr>
          <w:rFonts w:ascii="Arial" w:eastAsia="Times New Roman" w:hAnsi="Arial" w:cs="Arial"/>
        </w:rPr>
        <w:t xml:space="preserve"> </w:t>
      </w:r>
      <w:proofErr w:type="spellStart"/>
      <w:r w:rsidR="005B1EF2">
        <w:rPr>
          <w:rFonts w:ascii="Arial" w:eastAsia="Times New Roman" w:hAnsi="Arial" w:cs="Arial"/>
        </w:rPr>
        <w:t>Čivilio</w:t>
      </w:r>
      <w:proofErr w:type="spellEnd"/>
      <w:r w:rsidR="005B1EF2" w:rsidRPr="009B31C3">
        <w:rPr>
          <w:rFonts w:ascii="Arial" w:eastAsia="Times New Roman" w:hAnsi="Arial" w:cs="Arial"/>
        </w:rPr>
        <w:t xml:space="preserve">, veikiančio pagal </w:t>
      </w:r>
      <w:r w:rsidR="005B1EF2">
        <w:rPr>
          <w:rFonts w:ascii="Arial" w:eastAsia="Times New Roman" w:hAnsi="Arial" w:cs="Arial"/>
        </w:rPr>
        <w:t xml:space="preserve">įgaliojimą </w:t>
      </w:r>
      <w:r w:rsidRPr="00257BCF">
        <w:rPr>
          <w:rFonts w:ascii="Arial" w:eastAsia="Times New Roman" w:hAnsi="Arial" w:cs="Arial"/>
        </w:rPr>
        <w:t xml:space="preserve">(toliau – </w:t>
      </w:r>
      <w:r w:rsidR="00223E3F" w:rsidRPr="00257BCF">
        <w:rPr>
          <w:rFonts w:ascii="Arial" w:eastAsia="Times New Roman" w:hAnsi="Arial" w:cs="Arial"/>
          <w:b/>
        </w:rPr>
        <w:t>Užsakovas</w:t>
      </w:r>
      <w:r w:rsidRPr="00257BCF">
        <w:rPr>
          <w:rFonts w:ascii="Arial" w:eastAsia="Times New Roman" w:hAnsi="Arial" w:cs="Arial"/>
        </w:rPr>
        <w:t>), ir</w:t>
      </w:r>
      <w:r w:rsidR="00820486">
        <w:rPr>
          <w:rFonts w:ascii="Arial" w:eastAsia="Times New Roman" w:hAnsi="Arial" w:cs="Arial"/>
          <w:i/>
          <w:noProof/>
        </w:rPr>
        <w:t xml:space="preserve"> </w:t>
      </w:r>
      <w:r w:rsidR="00820486" w:rsidRPr="00820486">
        <w:rPr>
          <w:rFonts w:ascii="Arial" w:eastAsia="Times New Roman" w:hAnsi="Arial" w:cs="Arial"/>
          <w:b/>
          <w:bCs/>
          <w:iCs/>
          <w:noProof/>
        </w:rPr>
        <w:t>UAB „BAIP“</w:t>
      </w:r>
      <w:r w:rsidRPr="00257BCF">
        <w:rPr>
          <w:rFonts w:ascii="Arial" w:eastAsia="Times New Roman" w:hAnsi="Arial" w:cs="Arial"/>
          <w:i/>
          <w:noProof/>
        </w:rPr>
        <w:t>,</w:t>
      </w:r>
      <w:r w:rsidRPr="00257BCF">
        <w:rPr>
          <w:rFonts w:ascii="Arial" w:eastAsia="Times New Roman" w:hAnsi="Arial" w:cs="Arial"/>
          <w:b/>
          <w:noProof/>
        </w:rPr>
        <w:t xml:space="preserve"> </w:t>
      </w:r>
      <w:r w:rsidRPr="00257BCF">
        <w:rPr>
          <w:rFonts w:ascii="Arial" w:eastAsia="Times New Roman" w:hAnsi="Arial" w:cs="Arial"/>
          <w:noProof/>
        </w:rPr>
        <w:t>juridinio asmens kodas</w:t>
      </w:r>
      <w:r w:rsidR="00820486">
        <w:rPr>
          <w:rFonts w:ascii="Arial" w:eastAsia="Times New Roman" w:hAnsi="Arial" w:cs="Arial"/>
          <w:i/>
          <w:noProof/>
        </w:rPr>
        <w:t xml:space="preserve"> </w:t>
      </w:r>
      <w:r w:rsidR="00820486">
        <w:rPr>
          <w:rFonts w:ascii="Arial" w:eastAsia="Times New Roman" w:hAnsi="Arial" w:cs="Arial"/>
          <w:iCs/>
          <w:noProof/>
        </w:rPr>
        <w:t>301318539</w:t>
      </w:r>
      <w:r w:rsidRPr="00257BCF">
        <w:rPr>
          <w:rFonts w:ascii="Arial" w:eastAsia="Times New Roman" w:hAnsi="Arial" w:cs="Arial"/>
        </w:rPr>
        <w:t>,</w:t>
      </w:r>
      <w:r w:rsidR="007030A4">
        <w:rPr>
          <w:rFonts w:ascii="Arial" w:eastAsia="Times New Roman" w:hAnsi="Arial" w:cs="Arial"/>
        </w:rPr>
        <w:t xml:space="preserve"> generalinio direktoriaus Gyčio </w:t>
      </w:r>
      <w:proofErr w:type="spellStart"/>
      <w:r w:rsidR="007030A4">
        <w:rPr>
          <w:rFonts w:ascii="Arial" w:eastAsia="Times New Roman" w:hAnsi="Arial" w:cs="Arial"/>
        </w:rPr>
        <w:t>Umanto</w:t>
      </w:r>
      <w:proofErr w:type="spellEnd"/>
      <w:r w:rsidRPr="00257BCF">
        <w:rPr>
          <w:rFonts w:ascii="Arial" w:eastAsia="Times New Roman" w:hAnsi="Arial" w:cs="Arial"/>
        </w:rPr>
        <w:t xml:space="preserve">, veikiančio pagal </w:t>
      </w:r>
      <w:r w:rsidR="007030A4">
        <w:rPr>
          <w:rFonts w:ascii="Arial" w:eastAsia="Times New Roman" w:hAnsi="Arial" w:cs="Arial"/>
        </w:rPr>
        <w:t xml:space="preserve">įmonės įstatus </w:t>
      </w:r>
      <w:r w:rsidRPr="00257BCF">
        <w:rPr>
          <w:rFonts w:ascii="Arial" w:eastAsia="Times New Roman" w:hAnsi="Arial" w:cs="Arial"/>
        </w:rPr>
        <w:t xml:space="preserve">(toliau – </w:t>
      </w:r>
      <w:r w:rsidR="00223E3F" w:rsidRPr="00257BCF">
        <w:rPr>
          <w:rFonts w:ascii="Arial" w:eastAsia="Times New Roman" w:hAnsi="Arial" w:cs="Arial"/>
          <w:b/>
        </w:rPr>
        <w:t>Paslaugų teikėjas</w:t>
      </w:r>
      <w:r w:rsidRPr="00257BCF">
        <w:rPr>
          <w:rFonts w:ascii="Arial" w:eastAsia="Times New Roman" w:hAnsi="Arial" w:cs="Arial"/>
        </w:rPr>
        <w:t>), toliau kartu vadinami „</w:t>
      </w:r>
      <w:r w:rsidRPr="00257BCF">
        <w:rPr>
          <w:rFonts w:ascii="Arial" w:eastAsia="Times New Roman" w:hAnsi="Arial" w:cs="Arial"/>
          <w:b/>
        </w:rPr>
        <w:t>Šalimis</w:t>
      </w:r>
      <w:r w:rsidRPr="00257BCF">
        <w:rPr>
          <w:rFonts w:ascii="Arial" w:eastAsia="Times New Roman" w:hAnsi="Arial" w:cs="Arial"/>
        </w:rPr>
        <w:t>“, o kiekviena atskirai – „</w:t>
      </w:r>
      <w:r w:rsidRPr="00257BCF">
        <w:rPr>
          <w:rFonts w:ascii="Arial" w:eastAsia="Times New Roman" w:hAnsi="Arial" w:cs="Arial"/>
          <w:b/>
        </w:rPr>
        <w:t>Šalimi</w:t>
      </w:r>
      <w:r w:rsidRPr="00257BCF">
        <w:rPr>
          <w:rFonts w:ascii="Arial" w:eastAsia="Times New Roman" w:hAnsi="Arial" w:cs="Arial"/>
        </w:rPr>
        <w:t xml:space="preserve">“, sudarė šią </w:t>
      </w:r>
      <w:r w:rsidR="00E15BA0">
        <w:rPr>
          <w:rFonts w:ascii="Arial" w:eastAsia="Times New Roman" w:hAnsi="Arial" w:cs="Arial"/>
        </w:rPr>
        <w:t>paslaugų</w:t>
      </w:r>
      <w:r w:rsidR="00E15BA0" w:rsidRPr="00257BCF">
        <w:rPr>
          <w:rFonts w:ascii="Arial" w:eastAsia="Times New Roman" w:hAnsi="Arial" w:cs="Arial"/>
        </w:rPr>
        <w:t xml:space="preserve"> </w:t>
      </w:r>
      <w:r w:rsidRPr="00257BCF">
        <w:rPr>
          <w:rFonts w:ascii="Arial" w:eastAsia="Times New Roman" w:hAnsi="Arial" w:cs="Arial"/>
        </w:rPr>
        <w:t>pirkimo–pardavimo sutartį, toliau vadinamą „</w:t>
      </w:r>
      <w:r w:rsidRPr="00257BCF">
        <w:rPr>
          <w:rFonts w:ascii="Arial" w:eastAsia="Times New Roman" w:hAnsi="Arial" w:cs="Arial"/>
          <w:b/>
        </w:rPr>
        <w:t>Sutartimi</w:t>
      </w:r>
      <w:r w:rsidRPr="00257BCF">
        <w:rPr>
          <w:rFonts w:ascii="Arial" w:eastAsia="Times New Roman" w:hAnsi="Arial" w:cs="Arial"/>
        </w:rPr>
        <w:t>“</w:t>
      </w:r>
      <w:r w:rsidRPr="00257BCF">
        <w:rPr>
          <w:rFonts w:ascii="Arial" w:eastAsia="Times New Roman" w:hAnsi="Arial" w:cs="Arial"/>
          <w:b/>
        </w:rPr>
        <w:t>,</w:t>
      </w:r>
      <w:r w:rsidRPr="00257BCF">
        <w:rPr>
          <w:rFonts w:ascii="Arial" w:eastAsia="Times New Roman" w:hAnsi="Arial" w:cs="Arial"/>
        </w:rPr>
        <w:t xml:space="preserve"> ir susitarė dėl toliau išvardintų sąlygų:</w:t>
      </w:r>
    </w:p>
    <w:p w14:paraId="2A556580" w14:textId="77777777" w:rsidR="00540279" w:rsidRPr="00257BCF" w:rsidRDefault="00B26941" w:rsidP="00B62295">
      <w:pPr>
        <w:numPr>
          <w:ilvl w:val="0"/>
          <w:numId w:val="1"/>
        </w:numPr>
        <w:spacing w:after="0" w:line="240" w:lineRule="auto"/>
        <w:ind w:firstLine="360"/>
        <w:jc w:val="center"/>
        <w:rPr>
          <w:rFonts w:ascii="Arial" w:eastAsia="Calibri" w:hAnsi="Arial" w:cs="Arial"/>
          <w:b/>
        </w:rPr>
      </w:pPr>
      <w:r w:rsidRPr="00257BCF">
        <w:rPr>
          <w:rFonts w:ascii="Arial" w:eastAsia="Calibri" w:hAnsi="Arial" w:cs="Arial"/>
          <w:b/>
        </w:rPr>
        <w:t>SUTARTIES DALYKAS</w:t>
      </w:r>
    </w:p>
    <w:p w14:paraId="29239886" w14:textId="5D6D3D90" w:rsidR="00E104AF" w:rsidRPr="00C33138" w:rsidRDefault="00540279" w:rsidP="00B62295">
      <w:pPr>
        <w:pStyle w:val="CommentText"/>
        <w:spacing w:after="0"/>
        <w:ind w:firstLine="360"/>
        <w:jc w:val="both"/>
        <w:rPr>
          <w:rFonts w:ascii="Arial" w:eastAsia="Calibri" w:hAnsi="Arial" w:cs="Arial"/>
          <w:sz w:val="22"/>
          <w:szCs w:val="22"/>
        </w:rPr>
      </w:pPr>
      <w:r w:rsidRPr="00257BCF">
        <w:rPr>
          <w:rFonts w:ascii="Arial" w:eastAsia="Calibri" w:hAnsi="Arial" w:cs="Arial"/>
          <w:sz w:val="22"/>
          <w:szCs w:val="22"/>
        </w:rPr>
        <w:t>1.</w:t>
      </w:r>
      <w:r w:rsidRPr="00C33138">
        <w:rPr>
          <w:rFonts w:ascii="Arial" w:eastAsia="Calibri" w:hAnsi="Arial" w:cs="Arial"/>
          <w:sz w:val="22"/>
          <w:szCs w:val="22"/>
        </w:rPr>
        <w:t>1.</w:t>
      </w:r>
      <w:r w:rsidR="00C95551" w:rsidRPr="00C33138">
        <w:rPr>
          <w:rFonts w:ascii="Arial" w:eastAsia="Calibri" w:hAnsi="Arial" w:cs="Arial"/>
          <w:sz w:val="22"/>
          <w:szCs w:val="22"/>
        </w:rPr>
        <w:t xml:space="preserve"> </w:t>
      </w:r>
      <w:r w:rsidR="00C95551" w:rsidRPr="00C33138">
        <w:rPr>
          <w:rFonts w:ascii="Arial" w:hAnsi="Arial" w:cs="Arial"/>
          <w:sz w:val="22"/>
          <w:szCs w:val="22"/>
        </w:rPr>
        <w:t>Sutarties dalykas</w:t>
      </w:r>
      <w:r w:rsidR="009B566E" w:rsidRPr="00C33138">
        <w:rPr>
          <w:rFonts w:ascii="Arial" w:hAnsi="Arial" w:cs="Arial"/>
          <w:sz w:val="22"/>
          <w:szCs w:val="22"/>
        </w:rPr>
        <w:t xml:space="preserve"> </w:t>
      </w:r>
      <w:r w:rsidR="00C721A0" w:rsidRPr="001C2DA1">
        <w:rPr>
          <w:rFonts w:ascii="Arial" w:hAnsi="Arial" w:cs="Arial"/>
          <w:sz w:val="22"/>
          <w:szCs w:val="22"/>
        </w:rPr>
        <w:t>–</w:t>
      </w:r>
      <w:r w:rsidRPr="001C2DA1">
        <w:rPr>
          <w:rFonts w:ascii="Arial" w:hAnsi="Arial" w:cs="Arial"/>
          <w:b/>
          <w:bCs/>
          <w:color w:val="000000" w:themeColor="text1"/>
          <w:sz w:val="22"/>
          <w:szCs w:val="22"/>
        </w:rPr>
        <w:t xml:space="preserve"> </w:t>
      </w:r>
      <w:r w:rsidR="000F332C" w:rsidRPr="00C33138">
        <w:rPr>
          <w:rFonts w:ascii="Arial" w:hAnsi="Arial" w:cs="Arial"/>
          <w:b/>
          <w:bCs/>
          <w:color w:val="000000" w:themeColor="text1"/>
          <w:sz w:val="22"/>
          <w:szCs w:val="22"/>
        </w:rPr>
        <w:t xml:space="preserve">„EDB </w:t>
      </w:r>
      <w:proofErr w:type="spellStart"/>
      <w:r w:rsidR="000F332C" w:rsidRPr="00C33138">
        <w:rPr>
          <w:rFonts w:ascii="Arial" w:hAnsi="Arial" w:cs="Arial"/>
          <w:b/>
          <w:bCs/>
          <w:color w:val="000000" w:themeColor="text1"/>
          <w:sz w:val="22"/>
          <w:szCs w:val="22"/>
        </w:rPr>
        <w:t>Postgres</w:t>
      </w:r>
      <w:proofErr w:type="spellEnd"/>
      <w:r w:rsidR="000F332C" w:rsidRPr="00C33138">
        <w:rPr>
          <w:rFonts w:ascii="Arial" w:hAnsi="Arial" w:cs="Arial"/>
          <w:b/>
          <w:bCs/>
          <w:color w:val="000000" w:themeColor="text1"/>
          <w:sz w:val="22"/>
          <w:szCs w:val="22"/>
        </w:rPr>
        <w:t xml:space="preserve"> </w:t>
      </w:r>
      <w:proofErr w:type="spellStart"/>
      <w:r w:rsidR="000F332C" w:rsidRPr="00C33138">
        <w:rPr>
          <w:rFonts w:ascii="Arial" w:hAnsi="Arial" w:cs="Arial"/>
          <w:b/>
          <w:bCs/>
          <w:color w:val="000000" w:themeColor="text1"/>
          <w:sz w:val="22"/>
          <w:szCs w:val="22"/>
        </w:rPr>
        <w:t>Training</w:t>
      </w:r>
      <w:proofErr w:type="spellEnd"/>
      <w:r w:rsidR="000F332C" w:rsidRPr="00C33138">
        <w:rPr>
          <w:rFonts w:ascii="Arial" w:hAnsi="Arial" w:cs="Arial"/>
          <w:b/>
          <w:bCs/>
          <w:color w:val="000000" w:themeColor="text1"/>
          <w:sz w:val="22"/>
          <w:szCs w:val="22"/>
        </w:rPr>
        <w:t>“ „</w:t>
      </w:r>
      <w:proofErr w:type="spellStart"/>
      <w:r w:rsidR="000F332C" w:rsidRPr="00C33138">
        <w:rPr>
          <w:rFonts w:ascii="Arial" w:hAnsi="Arial" w:cs="Arial"/>
          <w:b/>
          <w:bCs/>
          <w:color w:val="000000" w:themeColor="text1"/>
          <w:sz w:val="22"/>
          <w:szCs w:val="22"/>
        </w:rPr>
        <w:t>eSubscription</w:t>
      </w:r>
      <w:proofErr w:type="spellEnd"/>
      <w:r w:rsidR="000F332C" w:rsidRPr="00C33138">
        <w:rPr>
          <w:rFonts w:ascii="Arial" w:hAnsi="Arial" w:cs="Arial"/>
          <w:b/>
          <w:bCs/>
          <w:color w:val="000000" w:themeColor="text1"/>
          <w:sz w:val="22"/>
          <w:szCs w:val="22"/>
        </w:rPr>
        <w:t>“</w:t>
      </w:r>
      <w:r w:rsidR="000F332C" w:rsidRPr="00C33138">
        <w:rPr>
          <w:rFonts w:ascii="Arial" w:hAnsi="Arial" w:cs="Arial"/>
          <w:color w:val="000000" w:themeColor="text1"/>
          <w:sz w:val="22"/>
          <w:szCs w:val="22"/>
        </w:rPr>
        <w:t xml:space="preserve"> </w:t>
      </w:r>
      <w:r w:rsidR="002F6576" w:rsidRPr="00C33138">
        <w:rPr>
          <w:rFonts w:ascii="Arial" w:hAnsi="Arial" w:cs="Arial"/>
          <w:b/>
          <w:sz w:val="22"/>
          <w:szCs w:val="22"/>
        </w:rPr>
        <w:t>mokymų</w:t>
      </w:r>
      <w:r w:rsidR="002F6576" w:rsidRPr="00C33138">
        <w:rPr>
          <w:rFonts w:ascii="Arial" w:hAnsi="Arial" w:cs="Arial"/>
          <w:bCs/>
          <w:sz w:val="22"/>
          <w:szCs w:val="22"/>
        </w:rPr>
        <w:t xml:space="preserve"> </w:t>
      </w:r>
      <w:r w:rsidR="00C93CC5" w:rsidRPr="00C33138">
        <w:rPr>
          <w:rFonts w:ascii="Arial" w:eastAsia="Calibri" w:hAnsi="Arial" w:cs="Arial"/>
          <w:b/>
          <w:bCs/>
          <w:sz w:val="22"/>
          <w:szCs w:val="22"/>
        </w:rPr>
        <w:t>prenumeratos</w:t>
      </w:r>
      <w:r w:rsidR="00E104AF" w:rsidRPr="00C33138">
        <w:rPr>
          <w:rFonts w:ascii="Arial" w:eastAsia="Calibri" w:hAnsi="Arial" w:cs="Arial"/>
          <w:sz w:val="22"/>
          <w:szCs w:val="22"/>
        </w:rPr>
        <w:t xml:space="preserve"> </w:t>
      </w:r>
      <w:r w:rsidR="005A7D31" w:rsidRPr="00C33138">
        <w:rPr>
          <w:rFonts w:ascii="Arial" w:eastAsia="Calibri" w:hAnsi="Arial" w:cs="Arial"/>
          <w:b/>
          <w:bCs/>
          <w:sz w:val="22"/>
          <w:szCs w:val="22"/>
        </w:rPr>
        <w:t>(4 vnt.)</w:t>
      </w:r>
      <w:r w:rsidR="005A7D31" w:rsidRPr="00C33138">
        <w:rPr>
          <w:rFonts w:ascii="Arial" w:eastAsia="Calibri" w:hAnsi="Arial" w:cs="Arial"/>
          <w:sz w:val="22"/>
          <w:szCs w:val="22"/>
        </w:rPr>
        <w:t xml:space="preserve"> </w:t>
      </w:r>
      <w:r w:rsidR="00E104AF" w:rsidRPr="00C33138">
        <w:rPr>
          <w:rFonts w:ascii="Arial" w:eastAsia="Calibri" w:hAnsi="Arial" w:cs="Arial"/>
          <w:sz w:val="22"/>
          <w:szCs w:val="22"/>
        </w:rPr>
        <w:t xml:space="preserve">(toliau – </w:t>
      </w:r>
      <w:r w:rsidR="00E104AF" w:rsidRPr="00C33138">
        <w:rPr>
          <w:rFonts w:ascii="Arial" w:eastAsia="Calibri" w:hAnsi="Arial" w:cs="Arial"/>
          <w:b/>
          <w:sz w:val="22"/>
          <w:szCs w:val="22"/>
        </w:rPr>
        <w:t>Paslaugos</w:t>
      </w:r>
      <w:r w:rsidR="00624C94" w:rsidRPr="00C33138">
        <w:rPr>
          <w:rFonts w:ascii="Arial" w:eastAsia="Calibri" w:hAnsi="Arial" w:cs="Arial"/>
          <w:b/>
          <w:sz w:val="22"/>
          <w:szCs w:val="22"/>
        </w:rPr>
        <w:t xml:space="preserve"> / Mokymai</w:t>
      </w:r>
      <w:r w:rsidR="00E104AF" w:rsidRPr="00C33138">
        <w:rPr>
          <w:rFonts w:ascii="Arial" w:eastAsia="Calibri" w:hAnsi="Arial" w:cs="Arial"/>
          <w:sz w:val="22"/>
          <w:szCs w:val="22"/>
        </w:rPr>
        <w:t xml:space="preserve">) pirkimas–pardavimas. </w:t>
      </w:r>
    </w:p>
    <w:p w14:paraId="57D43C05" w14:textId="4F7F82C5" w:rsidR="00576EBC" w:rsidRPr="00C33138" w:rsidRDefault="00576EBC" w:rsidP="00B62295">
      <w:pPr>
        <w:pStyle w:val="CommentText"/>
        <w:spacing w:after="0"/>
        <w:ind w:firstLine="360"/>
        <w:jc w:val="both"/>
        <w:rPr>
          <w:rFonts w:ascii="Arial" w:eastAsia="Calibri" w:hAnsi="Arial" w:cs="Arial"/>
          <w:color w:val="000000" w:themeColor="text1"/>
          <w:sz w:val="22"/>
          <w:szCs w:val="22"/>
        </w:rPr>
      </w:pPr>
      <w:r w:rsidRPr="00C33138">
        <w:rPr>
          <w:rFonts w:ascii="Arial" w:eastAsia="Calibri" w:hAnsi="Arial" w:cs="Arial"/>
          <w:sz w:val="22"/>
          <w:szCs w:val="22"/>
        </w:rPr>
        <w:t>1.2. Paslaugos teikiamos</w:t>
      </w:r>
      <w:r w:rsidR="00A47842" w:rsidRPr="00C33138">
        <w:rPr>
          <w:rFonts w:ascii="Arial" w:eastAsia="Calibri" w:hAnsi="Arial" w:cs="Arial"/>
          <w:sz w:val="22"/>
          <w:szCs w:val="22"/>
        </w:rPr>
        <w:t xml:space="preserve"> </w:t>
      </w:r>
      <w:r w:rsidR="00BA33EE" w:rsidRPr="00C33138">
        <w:rPr>
          <w:rStyle w:val="Laukeliai"/>
          <w:rFonts w:cs="Arial"/>
          <w:iCs/>
          <w:color w:val="000000" w:themeColor="text1"/>
          <w:sz w:val="22"/>
          <w:szCs w:val="22"/>
        </w:rPr>
        <w:t>prisijungiant prie sistemos nuotoliniu būdu</w:t>
      </w:r>
      <w:r w:rsidR="00271303" w:rsidRPr="00C33138">
        <w:rPr>
          <w:rFonts w:ascii="Arial" w:eastAsia="Calibri" w:hAnsi="Arial" w:cs="Arial"/>
          <w:color w:val="000000" w:themeColor="text1"/>
          <w:sz w:val="22"/>
          <w:szCs w:val="22"/>
        </w:rPr>
        <w:t>.</w:t>
      </w:r>
      <w:r w:rsidR="00985D8F" w:rsidRPr="00C33138">
        <w:rPr>
          <w:rFonts w:ascii="Arial" w:eastAsia="Calibri" w:hAnsi="Arial" w:cs="Arial"/>
          <w:color w:val="000000" w:themeColor="text1"/>
          <w:sz w:val="22"/>
          <w:szCs w:val="22"/>
        </w:rPr>
        <w:t xml:space="preserve"> </w:t>
      </w:r>
      <w:r w:rsidR="00C33138">
        <w:rPr>
          <w:rFonts w:ascii="Arial" w:eastAsia="Calibri" w:hAnsi="Arial" w:cs="Arial"/>
          <w:color w:val="000000" w:themeColor="text1"/>
          <w:sz w:val="22"/>
          <w:szCs w:val="22"/>
        </w:rPr>
        <w:t xml:space="preserve">Esant </w:t>
      </w:r>
      <w:r w:rsidR="00265839">
        <w:rPr>
          <w:rFonts w:ascii="Arial" w:eastAsia="Calibri" w:hAnsi="Arial" w:cs="Arial"/>
          <w:color w:val="000000" w:themeColor="text1"/>
          <w:sz w:val="22"/>
          <w:szCs w:val="22"/>
        </w:rPr>
        <w:t>būtinumui Paslaugų teikėjas s</w:t>
      </w:r>
      <w:r w:rsidR="00985D8F" w:rsidRPr="00C33138">
        <w:rPr>
          <w:rFonts w:ascii="Arial" w:eastAsia="Calibri" w:hAnsi="Arial" w:cs="Arial"/>
          <w:color w:val="000000" w:themeColor="text1"/>
          <w:sz w:val="22"/>
          <w:szCs w:val="22"/>
        </w:rPr>
        <w:t>uteikia galimyb</w:t>
      </w:r>
      <w:r w:rsidR="00265839">
        <w:rPr>
          <w:rFonts w:ascii="Arial" w:eastAsia="Calibri" w:hAnsi="Arial" w:cs="Arial"/>
          <w:color w:val="000000" w:themeColor="text1"/>
          <w:sz w:val="22"/>
          <w:szCs w:val="22"/>
        </w:rPr>
        <w:t>ę</w:t>
      </w:r>
      <w:r w:rsidR="00271303" w:rsidRPr="00C33138">
        <w:rPr>
          <w:rFonts w:ascii="Arial" w:eastAsia="Calibri" w:hAnsi="Arial" w:cs="Arial"/>
          <w:color w:val="000000" w:themeColor="text1"/>
          <w:sz w:val="22"/>
          <w:szCs w:val="22"/>
        </w:rPr>
        <w:t xml:space="preserve"> </w:t>
      </w:r>
      <w:r w:rsidR="00655460" w:rsidRPr="00C33138">
        <w:rPr>
          <w:rFonts w:ascii="Arial" w:hAnsi="Arial" w:cs="Arial"/>
          <w:color w:val="000000" w:themeColor="text1"/>
          <w:sz w:val="22"/>
          <w:szCs w:val="22"/>
        </w:rPr>
        <w:t>mokytis nuotoliniu būdu.</w:t>
      </w:r>
    </w:p>
    <w:p w14:paraId="6D55F4A0" w14:textId="6A94FFD4" w:rsidR="007D56DF" w:rsidRPr="00C33138" w:rsidRDefault="00051530" w:rsidP="00450DD9">
      <w:pPr>
        <w:pStyle w:val="CommentText"/>
        <w:spacing w:after="0"/>
        <w:ind w:firstLine="360"/>
        <w:jc w:val="both"/>
        <w:rPr>
          <w:rFonts w:ascii="Arial" w:hAnsi="Arial" w:cs="Arial"/>
          <w:sz w:val="22"/>
          <w:szCs w:val="22"/>
        </w:rPr>
      </w:pPr>
      <w:r w:rsidRPr="00C33138">
        <w:rPr>
          <w:rFonts w:ascii="Arial" w:hAnsi="Arial" w:cs="Arial"/>
          <w:sz w:val="22"/>
          <w:szCs w:val="22"/>
        </w:rPr>
        <w:t>1.</w:t>
      </w:r>
      <w:r w:rsidR="00E37B61" w:rsidRPr="00C33138">
        <w:rPr>
          <w:rFonts w:ascii="Arial" w:hAnsi="Arial" w:cs="Arial"/>
          <w:sz w:val="22"/>
          <w:szCs w:val="22"/>
        </w:rPr>
        <w:t>3</w:t>
      </w:r>
      <w:r w:rsidR="0054444B" w:rsidRPr="00C33138">
        <w:rPr>
          <w:rFonts w:ascii="Arial" w:hAnsi="Arial" w:cs="Arial"/>
          <w:sz w:val="22"/>
          <w:szCs w:val="22"/>
        </w:rPr>
        <w:t>.</w:t>
      </w:r>
      <w:r w:rsidRPr="00C33138">
        <w:rPr>
          <w:rFonts w:ascii="Arial" w:hAnsi="Arial" w:cs="Arial"/>
          <w:sz w:val="22"/>
          <w:szCs w:val="22"/>
        </w:rPr>
        <w:t xml:space="preserve"> Paslaugų apimtis</w:t>
      </w:r>
      <w:r w:rsidR="00450DD9" w:rsidRPr="00C33138">
        <w:rPr>
          <w:rFonts w:ascii="Arial" w:hAnsi="Arial" w:cs="Arial"/>
          <w:sz w:val="22"/>
          <w:szCs w:val="22"/>
        </w:rPr>
        <w:t xml:space="preserve"> nurodyta Sutarties Specialiųjų sąlygų 1 priede </w:t>
      </w:r>
      <w:r w:rsidR="00901FDD" w:rsidRPr="00C33138">
        <w:rPr>
          <w:rFonts w:ascii="Arial" w:hAnsi="Arial" w:cs="Arial"/>
          <w:sz w:val="22"/>
          <w:szCs w:val="22"/>
        </w:rPr>
        <w:t>„</w:t>
      </w:r>
      <w:r w:rsidR="00C80A31" w:rsidRPr="00C33138">
        <w:rPr>
          <w:rFonts w:ascii="Arial" w:hAnsi="Arial" w:cs="Arial"/>
          <w:color w:val="000000" w:themeColor="text1"/>
          <w:sz w:val="22"/>
          <w:szCs w:val="22"/>
        </w:rPr>
        <w:t xml:space="preserve">EDB </w:t>
      </w:r>
      <w:proofErr w:type="spellStart"/>
      <w:r w:rsidR="00C80A31" w:rsidRPr="00C33138">
        <w:rPr>
          <w:rFonts w:ascii="Arial" w:hAnsi="Arial" w:cs="Arial"/>
          <w:color w:val="000000" w:themeColor="text1"/>
          <w:sz w:val="22"/>
          <w:szCs w:val="22"/>
        </w:rPr>
        <w:t>Postgres</w:t>
      </w:r>
      <w:proofErr w:type="spellEnd"/>
      <w:r w:rsidR="00C80A31" w:rsidRPr="00C33138">
        <w:rPr>
          <w:rFonts w:ascii="Arial" w:hAnsi="Arial" w:cs="Arial"/>
          <w:color w:val="000000" w:themeColor="text1"/>
          <w:sz w:val="22"/>
          <w:szCs w:val="22"/>
        </w:rPr>
        <w:t xml:space="preserve"> </w:t>
      </w:r>
      <w:proofErr w:type="spellStart"/>
      <w:r w:rsidR="00C80A31" w:rsidRPr="00C33138">
        <w:rPr>
          <w:rFonts w:ascii="Arial" w:hAnsi="Arial" w:cs="Arial"/>
          <w:color w:val="000000" w:themeColor="text1"/>
          <w:sz w:val="22"/>
          <w:szCs w:val="22"/>
        </w:rPr>
        <w:t>Training</w:t>
      </w:r>
      <w:proofErr w:type="spellEnd"/>
      <w:r w:rsidR="00C80A31" w:rsidRPr="00C33138">
        <w:rPr>
          <w:rFonts w:ascii="Arial" w:hAnsi="Arial" w:cs="Arial"/>
          <w:color w:val="000000" w:themeColor="text1"/>
          <w:sz w:val="22"/>
          <w:szCs w:val="22"/>
        </w:rPr>
        <w:t>“ „</w:t>
      </w:r>
      <w:proofErr w:type="spellStart"/>
      <w:r w:rsidR="00C80A31" w:rsidRPr="00C33138">
        <w:rPr>
          <w:rFonts w:ascii="Arial" w:hAnsi="Arial" w:cs="Arial"/>
          <w:color w:val="000000" w:themeColor="text1"/>
          <w:sz w:val="22"/>
          <w:szCs w:val="22"/>
        </w:rPr>
        <w:t>eSubscription</w:t>
      </w:r>
      <w:proofErr w:type="spellEnd"/>
      <w:r w:rsidR="00C80A31" w:rsidRPr="00C33138">
        <w:rPr>
          <w:rFonts w:ascii="Arial" w:hAnsi="Arial" w:cs="Arial"/>
          <w:color w:val="000000" w:themeColor="text1"/>
          <w:sz w:val="22"/>
          <w:szCs w:val="22"/>
        </w:rPr>
        <w:t>“ mokymų prenumeratos</w:t>
      </w:r>
      <w:r w:rsidR="00450DD9" w:rsidRPr="00C33138">
        <w:rPr>
          <w:rFonts w:ascii="Arial" w:eastAsia="Calibri" w:hAnsi="Arial" w:cs="Arial"/>
          <w:sz w:val="22"/>
          <w:szCs w:val="22"/>
        </w:rPr>
        <w:t xml:space="preserve"> pirkimo techninė specifikacija</w:t>
      </w:r>
      <w:r w:rsidR="00901FDD" w:rsidRPr="00C33138">
        <w:rPr>
          <w:rFonts w:ascii="Arial" w:eastAsia="Calibri" w:hAnsi="Arial" w:cs="Arial"/>
          <w:sz w:val="22"/>
          <w:szCs w:val="22"/>
        </w:rPr>
        <w:t>“</w:t>
      </w:r>
      <w:r w:rsidR="00450DD9" w:rsidRPr="00C33138">
        <w:rPr>
          <w:rFonts w:ascii="Arial" w:eastAsia="Calibri" w:hAnsi="Arial" w:cs="Arial"/>
          <w:sz w:val="22"/>
          <w:szCs w:val="22"/>
        </w:rPr>
        <w:t xml:space="preserve"> (toliau – </w:t>
      </w:r>
      <w:r w:rsidR="00450DD9" w:rsidRPr="00C33138">
        <w:rPr>
          <w:rFonts w:ascii="Arial" w:eastAsia="Calibri" w:hAnsi="Arial" w:cs="Arial"/>
          <w:b/>
          <w:sz w:val="22"/>
          <w:szCs w:val="22"/>
        </w:rPr>
        <w:t>1 priedas</w:t>
      </w:r>
      <w:r w:rsidR="00450DD9" w:rsidRPr="00C33138">
        <w:rPr>
          <w:rFonts w:ascii="Arial" w:eastAsia="Calibri" w:hAnsi="Arial" w:cs="Arial"/>
          <w:sz w:val="22"/>
          <w:szCs w:val="22"/>
        </w:rPr>
        <w:t>).</w:t>
      </w:r>
    </w:p>
    <w:p w14:paraId="502D96E4" w14:textId="2589FB5B" w:rsidR="00265839" w:rsidRDefault="00355681" w:rsidP="00355681">
      <w:pPr>
        <w:pStyle w:val="CommentText"/>
        <w:spacing w:after="0"/>
        <w:ind w:firstLine="360"/>
        <w:jc w:val="both"/>
        <w:rPr>
          <w:rStyle w:val="Laukeliai"/>
          <w:rFonts w:eastAsia="Times New Roman" w:cs="Arial"/>
          <w:i/>
          <w:sz w:val="22"/>
          <w:szCs w:val="22"/>
        </w:rPr>
      </w:pPr>
      <w:r w:rsidRPr="00C33138">
        <w:rPr>
          <w:rStyle w:val="Laukeliai"/>
          <w:rFonts w:eastAsia="Times New Roman" w:cs="Arial"/>
          <w:sz w:val="22"/>
          <w:szCs w:val="22"/>
        </w:rPr>
        <w:t>1.</w:t>
      </w:r>
      <w:r w:rsidR="0057630A" w:rsidRPr="00ED3ABC">
        <w:rPr>
          <w:rStyle w:val="Laukeliai"/>
          <w:rFonts w:eastAsia="Times New Roman" w:cs="Arial"/>
          <w:sz w:val="22"/>
          <w:szCs w:val="22"/>
        </w:rPr>
        <w:t>4</w:t>
      </w:r>
      <w:r w:rsidRPr="00C33138">
        <w:rPr>
          <w:rStyle w:val="Laukeliai"/>
          <w:rFonts w:eastAsia="Times New Roman" w:cs="Arial"/>
          <w:sz w:val="22"/>
          <w:szCs w:val="22"/>
        </w:rPr>
        <w:t>.</w:t>
      </w:r>
      <w:r w:rsidRPr="00C33138">
        <w:rPr>
          <w:rStyle w:val="Laukeliai"/>
          <w:rFonts w:eastAsia="Times New Roman" w:cs="Arial"/>
          <w:i/>
          <w:sz w:val="22"/>
          <w:szCs w:val="22"/>
        </w:rPr>
        <w:t xml:space="preserve"> </w:t>
      </w:r>
      <w:r w:rsidRPr="00C33138">
        <w:rPr>
          <w:rStyle w:val="Laukeliai"/>
          <w:rFonts w:eastAsia="Times New Roman" w:cs="Arial"/>
          <w:sz w:val="22"/>
          <w:szCs w:val="22"/>
        </w:rPr>
        <w:t>Paslaugas priimti įgalioto atsakingo asmens kontaktiniai duomenys:</w:t>
      </w:r>
      <w:r w:rsidR="00BA0E6C">
        <w:rPr>
          <w:rStyle w:val="Laukeliai"/>
          <w:rFonts w:eastAsia="Times New Roman" w:cs="Arial"/>
          <w:i/>
          <w:sz w:val="22"/>
          <w:szCs w:val="22"/>
        </w:rPr>
        <w:t xml:space="preserve"> </w:t>
      </w:r>
    </w:p>
    <w:p w14:paraId="52341C6B" w14:textId="69C89CA0" w:rsidR="00355681" w:rsidRPr="00257BCF" w:rsidRDefault="00355681" w:rsidP="00355681">
      <w:pPr>
        <w:pStyle w:val="CommentText"/>
        <w:spacing w:after="0"/>
        <w:ind w:firstLine="360"/>
        <w:jc w:val="both"/>
        <w:rPr>
          <w:rFonts w:ascii="Arial" w:eastAsia="Times New Roman" w:hAnsi="Arial" w:cs="Arial"/>
          <w:sz w:val="22"/>
          <w:szCs w:val="22"/>
        </w:rPr>
      </w:pPr>
      <w:r w:rsidRPr="00C33138">
        <w:rPr>
          <w:rStyle w:val="Laukeliai"/>
          <w:rFonts w:eastAsia="Times New Roman" w:cs="Arial"/>
          <w:sz w:val="22"/>
          <w:szCs w:val="22"/>
        </w:rPr>
        <w:t xml:space="preserve">Apie įgalioto asmens pasikeitimą Užsakovas informuoja Paslaugų teikėją šios Sutarties </w:t>
      </w:r>
      <w:r w:rsidR="00431527" w:rsidRPr="00C33138">
        <w:rPr>
          <w:rStyle w:val="Laukeliai"/>
          <w:rFonts w:eastAsia="Times New Roman" w:cs="Arial"/>
          <w:sz w:val="22"/>
          <w:szCs w:val="22"/>
        </w:rPr>
        <w:t>9</w:t>
      </w:r>
      <w:r w:rsidRPr="00C33138">
        <w:rPr>
          <w:rStyle w:val="Laukeliai"/>
          <w:rFonts w:eastAsia="Times New Roman" w:cs="Arial"/>
          <w:sz w:val="22"/>
          <w:szCs w:val="22"/>
        </w:rPr>
        <w:t xml:space="preserve"> skyriuje</w:t>
      </w:r>
      <w:r w:rsidRPr="00257BCF">
        <w:rPr>
          <w:rStyle w:val="Laukeliai"/>
          <w:rFonts w:eastAsia="Times New Roman" w:cs="Arial"/>
          <w:sz w:val="22"/>
          <w:szCs w:val="22"/>
        </w:rPr>
        <w:t xml:space="preserve"> nurodytu Paslaugų teikėjo el. paštu ir atskiras Sutarties pakeitimas ar atskiras įgaliojimų įforminimas dėl šios priežasties nėra atliekamas.</w:t>
      </w:r>
    </w:p>
    <w:p w14:paraId="153ACD09" w14:textId="77777777" w:rsidR="00540279" w:rsidRPr="00257BCF" w:rsidRDefault="00540279" w:rsidP="00B62295">
      <w:pPr>
        <w:widowControl w:val="0"/>
        <w:tabs>
          <w:tab w:val="left" w:pos="1134"/>
        </w:tabs>
        <w:spacing w:after="0" w:line="240" w:lineRule="auto"/>
        <w:ind w:firstLine="360"/>
        <w:jc w:val="both"/>
        <w:outlineLvl w:val="1"/>
        <w:rPr>
          <w:rFonts w:ascii="Arial" w:eastAsia="Times New Roman" w:hAnsi="Arial" w:cs="Arial"/>
          <w:lang w:eastAsia="x-none"/>
        </w:rPr>
      </w:pPr>
    </w:p>
    <w:p w14:paraId="0BD88DFE" w14:textId="77777777" w:rsidR="00540279" w:rsidRPr="00257BCF" w:rsidRDefault="00B26941" w:rsidP="00B62295">
      <w:pPr>
        <w:numPr>
          <w:ilvl w:val="0"/>
          <w:numId w:val="1"/>
        </w:numPr>
        <w:spacing w:after="0" w:line="240" w:lineRule="auto"/>
        <w:ind w:firstLine="360"/>
        <w:jc w:val="center"/>
        <w:rPr>
          <w:rFonts w:ascii="Arial" w:eastAsia="Calibri" w:hAnsi="Arial" w:cs="Arial"/>
          <w:b/>
          <w:color w:val="000000" w:themeColor="text1"/>
        </w:rPr>
      </w:pPr>
      <w:r w:rsidRPr="00257BCF">
        <w:rPr>
          <w:rFonts w:ascii="Arial" w:eastAsia="Calibri" w:hAnsi="Arial" w:cs="Arial"/>
          <w:b/>
        </w:rPr>
        <w:t xml:space="preserve">SUTARTIES KAINA IR / ARBA KAINODAROS TAISYKLĖS IR MOKĖJIMO </w:t>
      </w:r>
      <w:r w:rsidRPr="00257BCF">
        <w:rPr>
          <w:rFonts w:ascii="Arial" w:eastAsia="Calibri" w:hAnsi="Arial" w:cs="Arial"/>
          <w:b/>
          <w:color w:val="000000" w:themeColor="text1"/>
        </w:rPr>
        <w:t>SĄLYGOS</w:t>
      </w:r>
    </w:p>
    <w:p w14:paraId="33C4031C" w14:textId="250E6F06" w:rsidR="00411EFF" w:rsidRPr="00257BCF" w:rsidRDefault="00411EFF" w:rsidP="00261878">
      <w:pPr>
        <w:spacing w:after="0" w:line="240" w:lineRule="auto"/>
        <w:ind w:firstLine="360"/>
        <w:jc w:val="both"/>
        <w:rPr>
          <w:rFonts w:ascii="Arial" w:hAnsi="Arial" w:cs="Arial"/>
          <w:iCs/>
          <w:color w:val="000000" w:themeColor="text1"/>
        </w:rPr>
      </w:pPr>
      <w:r w:rsidRPr="00257BCF">
        <w:rPr>
          <w:rFonts w:ascii="Arial" w:eastAsia="Calibri" w:hAnsi="Arial" w:cs="Arial"/>
          <w:color w:val="000000" w:themeColor="text1"/>
        </w:rPr>
        <w:t xml:space="preserve">2.1. </w:t>
      </w:r>
      <w:r w:rsidR="0090048C" w:rsidRPr="00257BCF">
        <w:rPr>
          <w:rFonts w:ascii="Arial" w:eastAsia="Calibri" w:hAnsi="Arial" w:cs="Arial"/>
          <w:color w:val="000000" w:themeColor="text1"/>
        </w:rPr>
        <w:t xml:space="preserve">Sutarčiai taikomas </w:t>
      </w:r>
      <w:permStart w:id="438829456" w:edGrp="everyone"/>
      <w:r w:rsidR="0090048C" w:rsidRPr="00257BCF">
        <w:rPr>
          <w:rFonts w:ascii="Arial" w:hAnsi="Arial" w:cs="Arial"/>
          <w:i/>
          <w:color w:val="000000" w:themeColor="text1"/>
        </w:rPr>
        <w:t>fiksuotos kainos su peržiūra</w:t>
      </w:r>
      <w:r w:rsidR="0090048C" w:rsidRPr="00257BCF">
        <w:rPr>
          <w:rFonts w:ascii="Arial" w:eastAsia="Calibri" w:hAnsi="Arial" w:cs="Arial"/>
          <w:i/>
          <w:color w:val="000000" w:themeColor="text1"/>
        </w:rPr>
        <w:t xml:space="preserve"> </w:t>
      </w:r>
      <w:permEnd w:id="438829456"/>
      <w:r w:rsidR="0090048C" w:rsidRPr="00257BCF">
        <w:rPr>
          <w:rFonts w:ascii="Arial" w:hAnsi="Arial" w:cs="Arial"/>
          <w:color w:val="000000" w:themeColor="text1"/>
        </w:rPr>
        <w:t>kainodaros</w:t>
      </w:r>
      <w:r w:rsidR="0090048C" w:rsidRPr="00257BCF">
        <w:rPr>
          <w:rFonts w:ascii="Arial" w:hAnsi="Arial" w:cs="Arial"/>
          <w:i/>
          <w:color w:val="000000" w:themeColor="text1"/>
        </w:rPr>
        <w:t xml:space="preserve"> </w:t>
      </w:r>
      <w:r w:rsidR="0090048C" w:rsidRPr="00257BCF">
        <w:rPr>
          <w:rFonts w:ascii="Arial" w:hAnsi="Arial" w:cs="Arial"/>
          <w:color w:val="000000" w:themeColor="text1"/>
        </w:rPr>
        <w:t>m</w:t>
      </w:r>
      <w:r w:rsidR="0090048C" w:rsidRPr="00257BCF">
        <w:rPr>
          <w:rFonts w:ascii="Arial" w:eastAsia="Calibri" w:hAnsi="Arial" w:cs="Arial"/>
          <w:color w:val="000000" w:themeColor="text1"/>
        </w:rPr>
        <w:t>etodas</w:t>
      </w:r>
      <w:r w:rsidR="00E15BA0">
        <w:rPr>
          <w:rFonts w:ascii="Arial" w:eastAsia="Calibri" w:hAnsi="Arial" w:cs="Arial"/>
          <w:color w:val="000000" w:themeColor="text1"/>
        </w:rPr>
        <w:t>.</w:t>
      </w:r>
    </w:p>
    <w:p w14:paraId="0E2A8FD4" w14:textId="77777777" w:rsidR="00261878" w:rsidRPr="00257BCF" w:rsidRDefault="00411EFF" w:rsidP="00261878">
      <w:pPr>
        <w:shd w:val="clear" w:color="auto" w:fill="FFFFFF"/>
        <w:spacing w:after="0" w:line="240" w:lineRule="auto"/>
        <w:ind w:right="23" w:firstLine="360"/>
        <w:jc w:val="both"/>
        <w:rPr>
          <w:rFonts w:ascii="Arial" w:eastAsia="Calibri" w:hAnsi="Arial" w:cs="Arial"/>
          <w:color w:val="000000" w:themeColor="text1"/>
          <w:lang w:eastAsia="x-none"/>
        </w:rPr>
      </w:pPr>
      <w:r w:rsidRPr="00257BCF">
        <w:rPr>
          <w:rFonts w:ascii="Arial" w:hAnsi="Arial" w:cs="Arial"/>
          <w:color w:val="000000" w:themeColor="text1"/>
          <w:lang w:eastAsia="x-none"/>
        </w:rPr>
        <w:t xml:space="preserve">2.2. </w:t>
      </w:r>
      <w:r w:rsidR="00261878" w:rsidRPr="00257BCF">
        <w:rPr>
          <w:rFonts w:ascii="Arial" w:eastAsia="Calibri" w:hAnsi="Arial" w:cs="Arial"/>
          <w:color w:val="000000" w:themeColor="text1"/>
          <w:lang w:eastAsia="x-none"/>
        </w:rPr>
        <w:t>Atsižvelgiant į Sutarties Specialiųjų sąlygų 2.1 punktą:</w:t>
      </w:r>
    </w:p>
    <w:p w14:paraId="750D2C8A" w14:textId="77777777" w:rsidR="00261878" w:rsidRPr="007030A4" w:rsidRDefault="00261878" w:rsidP="00257BCF">
      <w:pPr>
        <w:shd w:val="clear" w:color="auto" w:fill="FFFFFF"/>
        <w:spacing w:after="0" w:line="240" w:lineRule="auto"/>
        <w:ind w:right="23"/>
        <w:jc w:val="both"/>
        <w:rPr>
          <w:rFonts w:ascii="Arial" w:eastAsia="Calibri" w:hAnsi="Arial" w:cs="Arial"/>
          <w:color w:val="000000" w:themeColor="text1"/>
          <w:lang w:eastAsia="x-none"/>
        </w:rPr>
      </w:pPr>
      <w:r w:rsidRPr="007030A4">
        <w:rPr>
          <w:rFonts w:ascii="Arial" w:eastAsia="Calibri" w:hAnsi="Arial" w:cs="Arial"/>
          <w:color w:val="000000" w:themeColor="text1"/>
          <w:lang w:eastAsia="x-none"/>
        </w:rPr>
        <w:t>Sutarties kaina:</w:t>
      </w:r>
    </w:p>
    <w:p w14:paraId="7B2C590E" w14:textId="4FF14FA9" w:rsidR="00257BCF" w:rsidRPr="007030A4" w:rsidRDefault="00820486" w:rsidP="00257BCF">
      <w:pPr>
        <w:shd w:val="clear" w:color="auto" w:fill="FFFFFF"/>
        <w:spacing w:after="0" w:line="240" w:lineRule="auto"/>
        <w:ind w:right="23"/>
        <w:jc w:val="both"/>
        <w:rPr>
          <w:rFonts w:ascii="Arial" w:hAnsi="Arial" w:cs="Arial"/>
          <w:iCs/>
          <w:color w:val="000000" w:themeColor="text1"/>
          <w:lang w:eastAsia="x-none"/>
        </w:rPr>
      </w:pPr>
      <w:r w:rsidRPr="007030A4">
        <w:rPr>
          <w:rFonts w:ascii="Arial" w:eastAsia="Calibri" w:hAnsi="Arial" w:cs="Arial"/>
          <w:iCs/>
          <w:color w:val="000000" w:themeColor="text1"/>
          <w:lang w:eastAsia="x-none"/>
        </w:rPr>
        <w:t>6 175,00 Eur</w:t>
      </w:r>
      <w:r w:rsidR="007030A4" w:rsidRPr="007030A4">
        <w:rPr>
          <w:rFonts w:ascii="Arial" w:hAnsi="Arial" w:cs="Arial"/>
          <w:iCs/>
          <w:color w:val="000000" w:themeColor="text1"/>
          <w:lang w:eastAsia="x-none"/>
        </w:rPr>
        <w:t xml:space="preserve"> (</w:t>
      </w:r>
      <w:r w:rsidR="007030A4" w:rsidRPr="007030A4">
        <w:rPr>
          <w:rFonts w:ascii="Arial" w:hAnsi="Arial" w:cs="Arial"/>
          <w:iCs/>
          <w:color w:val="000000" w:themeColor="text1"/>
        </w:rPr>
        <w:t xml:space="preserve">šeši tūkstančiai vienas šimtas septyniasdešimt penki eurai, 00 ct) </w:t>
      </w:r>
      <w:r w:rsidR="007030A4" w:rsidRPr="007030A4">
        <w:rPr>
          <w:rFonts w:ascii="Arial" w:hAnsi="Arial" w:cs="Arial"/>
          <w:iCs/>
          <w:color w:val="000000" w:themeColor="text1"/>
          <w:lang w:eastAsia="x-none"/>
        </w:rPr>
        <w:t>be pridėtinės vertės mokesčio  (toliau – PVM);</w:t>
      </w:r>
    </w:p>
    <w:p w14:paraId="1024EF82" w14:textId="798309FB" w:rsidR="00411EFF" w:rsidRPr="007030A4" w:rsidRDefault="007030A4" w:rsidP="00257BCF">
      <w:pPr>
        <w:shd w:val="clear" w:color="auto" w:fill="FFFFFF"/>
        <w:spacing w:after="0" w:line="240" w:lineRule="auto"/>
        <w:ind w:right="23"/>
        <w:jc w:val="both"/>
        <w:rPr>
          <w:rFonts w:ascii="Arial" w:hAnsi="Arial" w:cs="Arial"/>
          <w:iCs/>
          <w:color w:val="000000" w:themeColor="text1"/>
          <w:lang w:eastAsia="x-none"/>
        </w:rPr>
      </w:pPr>
      <w:r w:rsidRPr="007030A4">
        <w:rPr>
          <w:rFonts w:ascii="Arial" w:hAnsi="Arial" w:cs="Arial"/>
          <w:iCs/>
          <w:color w:val="000000" w:themeColor="text1"/>
          <w:lang w:eastAsia="x-none"/>
        </w:rPr>
        <w:t xml:space="preserve">21 % PVM – </w:t>
      </w:r>
      <w:r w:rsidR="00820486" w:rsidRPr="007030A4">
        <w:rPr>
          <w:rFonts w:ascii="Arial" w:eastAsia="Calibri" w:hAnsi="Arial" w:cs="Arial"/>
          <w:iCs/>
          <w:color w:val="000000" w:themeColor="text1"/>
          <w:lang w:eastAsia="x-none"/>
        </w:rPr>
        <w:t>1 296,75 Eur</w:t>
      </w:r>
      <w:r w:rsidRPr="007030A4">
        <w:rPr>
          <w:rFonts w:ascii="Arial" w:eastAsia="Calibri" w:hAnsi="Arial" w:cs="Arial"/>
          <w:iCs/>
          <w:color w:val="000000" w:themeColor="text1"/>
          <w:lang w:eastAsia="x-none"/>
        </w:rPr>
        <w:t xml:space="preserve"> (vienas </w:t>
      </w:r>
      <w:r w:rsidRPr="007030A4">
        <w:rPr>
          <w:rFonts w:ascii="Arial" w:hAnsi="Arial" w:cs="Arial"/>
          <w:iCs/>
          <w:color w:val="000000" w:themeColor="text1"/>
        </w:rPr>
        <w:t>tūkstantis du šimtai devyniasdešimt šeši eurai, 75 ct);</w:t>
      </w:r>
    </w:p>
    <w:p w14:paraId="7EC4C119" w14:textId="24505A93" w:rsidR="005A7D31" w:rsidRPr="007030A4" w:rsidRDefault="00820486" w:rsidP="00E37B61">
      <w:pPr>
        <w:shd w:val="clear" w:color="auto" w:fill="FFFFFF"/>
        <w:spacing w:after="0" w:line="240" w:lineRule="auto"/>
        <w:ind w:right="23"/>
        <w:jc w:val="both"/>
        <w:rPr>
          <w:rFonts w:ascii="Arial" w:hAnsi="Arial" w:cs="Arial"/>
          <w:iCs/>
          <w:color w:val="000000" w:themeColor="text1"/>
          <w:lang w:eastAsia="x-none"/>
        </w:rPr>
      </w:pPr>
      <w:r w:rsidRPr="007030A4">
        <w:rPr>
          <w:rFonts w:ascii="Arial" w:eastAsia="Calibri" w:hAnsi="Arial" w:cs="Arial"/>
          <w:iCs/>
          <w:color w:val="000000" w:themeColor="text1"/>
          <w:lang w:eastAsia="x-none"/>
        </w:rPr>
        <w:t>7 471,75 Eur</w:t>
      </w:r>
      <w:r w:rsidR="007030A4" w:rsidRPr="007030A4">
        <w:rPr>
          <w:rFonts w:ascii="Arial" w:eastAsia="Calibri" w:hAnsi="Arial" w:cs="Arial"/>
          <w:iCs/>
          <w:color w:val="000000" w:themeColor="text1"/>
          <w:lang w:eastAsia="x-none"/>
        </w:rPr>
        <w:t xml:space="preserve"> (</w:t>
      </w:r>
      <w:r w:rsidR="007030A4" w:rsidRPr="007030A4">
        <w:rPr>
          <w:rFonts w:ascii="Arial" w:hAnsi="Arial" w:cs="Arial"/>
          <w:iCs/>
          <w:color w:val="000000" w:themeColor="text1"/>
        </w:rPr>
        <w:t>septyni tūkstančiai keturi šimtai septyniasdešimt vienas euras, 75 ct)</w:t>
      </w:r>
      <w:r w:rsidR="007030A4" w:rsidRPr="007030A4">
        <w:rPr>
          <w:rFonts w:ascii="Arial" w:hAnsi="Arial" w:cs="Arial"/>
          <w:iCs/>
          <w:color w:val="000000" w:themeColor="text1"/>
          <w:lang w:eastAsia="x-none"/>
        </w:rPr>
        <w:t xml:space="preserve"> su PVM</w:t>
      </w:r>
      <w:r w:rsidR="007030A4" w:rsidRPr="007030A4">
        <w:rPr>
          <w:rFonts w:ascii="Arial" w:eastAsia="Calibri" w:hAnsi="Arial" w:cs="Arial"/>
          <w:iCs/>
          <w:color w:val="000000" w:themeColor="text1"/>
          <w:lang w:eastAsia="x-none"/>
        </w:rPr>
        <w:t>.</w:t>
      </w:r>
    </w:p>
    <w:p w14:paraId="722DCDA4" w14:textId="0F416BC0" w:rsidR="00D55CD9" w:rsidRPr="007030A4" w:rsidRDefault="00D55CD9" w:rsidP="00E37B61">
      <w:pPr>
        <w:shd w:val="clear" w:color="auto" w:fill="FFFFFF"/>
        <w:spacing w:after="0" w:line="240" w:lineRule="auto"/>
        <w:ind w:right="23"/>
        <w:jc w:val="both"/>
        <w:rPr>
          <w:rFonts w:ascii="Arial" w:eastAsia="Calibri" w:hAnsi="Arial" w:cs="Arial"/>
          <w:iCs/>
          <w:color w:val="000000" w:themeColor="text1"/>
          <w:lang w:eastAsia="x-none"/>
        </w:rPr>
      </w:pPr>
      <w:r w:rsidRPr="007030A4">
        <w:rPr>
          <w:rFonts w:ascii="Arial" w:eastAsia="Calibri" w:hAnsi="Arial" w:cs="Arial"/>
          <w:i/>
          <w:color w:val="000000" w:themeColor="text1"/>
          <w:lang w:eastAsia="x-none"/>
        </w:rPr>
        <w:t xml:space="preserve">Prenumeratos </w:t>
      </w:r>
      <w:r w:rsidR="00044407" w:rsidRPr="007030A4">
        <w:rPr>
          <w:rFonts w:ascii="Arial" w:eastAsia="Calibri" w:hAnsi="Arial" w:cs="Arial"/>
          <w:i/>
          <w:color w:val="000000" w:themeColor="text1"/>
          <w:lang w:eastAsia="x-none"/>
        </w:rPr>
        <w:t xml:space="preserve">kaina </w:t>
      </w:r>
      <w:r w:rsidRPr="007030A4">
        <w:rPr>
          <w:rFonts w:ascii="Arial" w:eastAsia="Calibri" w:hAnsi="Arial" w:cs="Arial"/>
          <w:i/>
          <w:color w:val="000000" w:themeColor="text1"/>
          <w:lang w:eastAsia="x-none"/>
        </w:rPr>
        <w:t>1 vnt.:</w:t>
      </w:r>
      <w:r w:rsidRPr="007030A4">
        <w:rPr>
          <w:rFonts w:ascii="Arial" w:eastAsia="Calibri" w:hAnsi="Arial" w:cs="Arial"/>
          <w:iCs/>
          <w:color w:val="000000" w:themeColor="text1"/>
          <w:lang w:eastAsia="x-none"/>
        </w:rPr>
        <w:t xml:space="preserve"> </w:t>
      </w:r>
      <w:r w:rsidR="00820486" w:rsidRPr="007030A4">
        <w:rPr>
          <w:rFonts w:ascii="Arial" w:eastAsia="Calibri" w:hAnsi="Arial" w:cs="Arial"/>
          <w:iCs/>
          <w:color w:val="000000" w:themeColor="text1"/>
          <w:lang w:eastAsia="x-none"/>
        </w:rPr>
        <w:t>1 543,75 Eur</w:t>
      </w:r>
      <w:r w:rsidR="007030A4" w:rsidRPr="007030A4">
        <w:rPr>
          <w:rFonts w:ascii="Arial" w:eastAsia="Calibri" w:hAnsi="Arial" w:cs="Arial"/>
          <w:iCs/>
          <w:color w:val="000000" w:themeColor="text1"/>
          <w:lang w:eastAsia="x-none"/>
        </w:rPr>
        <w:t xml:space="preserve"> (vienas </w:t>
      </w:r>
      <w:r w:rsidR="007030A4" w:rsidRPr="007030A4">
        <w:rPr>
          <w:rFonts w:ascii="Arial" w:hAnsi="Arial" w:cs="Arial"/>
          <w:color w:val="000000" w:themeColor="text1"/>
        </w:rPr>
        <w:t xml:space="preserve">tūkstantis penki šimtai keturiasdešimt trys eurai, 75 ct) be PVM. </w:t>
      </w:r>
    </w:p>
    <w:p w14:paraId="08BCC643" w14:textId="59F9DB19" w:rsidR="00680D64" w:rsidRPr="0097767C" w:rsidRDefault="00680D64" w:rsidP="00680D64">
      <w:pPr>
        <w:pStyle w:val="ListParagraph"/>
        <w:spacing w:after="0" w:line="240" w:lineRule="auto"/>
        <w:ind w:left="0" w:firstLine="426"/>
        <w:jc w:val="both"/>
        <w:rPr>
          <w:rFonts w:asciiTheme="minorBidi" w:eastAsia="Calibri" w:hAnsiTheme="minorBidi"/>
          <w:spacing w:val="-1"/>
        </w:rPr>
      </w:pPr>
      <w:r w:rsidRPr="00BA6013">
        <w:rPr>
          <w:rFonts w:asciiTheme="minorBidi" w:eastAsia="Calibri" w:hAnsiTheme="minorBidi"/>
          <w:bCs/>
        </w:rPr>
        <w:t xml:space="preserve">2.3. </w:t>
      </w:r>
      <w:r w:rsidRPr="00BA6013">
        <w:rPr>
          <w:rFonts w:asciiTheme="minorBidi" w:hAnsiTheme="minorBidi"/>
          <w:bCs/>
        </w:rPr>
        <w:t xml:space="preserve">Apmokėjimo </w:t>
      </w:r>
      <w:r w:rsidRPr="00BA6013">
        <w:rPr>
          <w:rFonts w:asciiTheme="minorBidi" w:hAnsiTheme="minorBidi"/>
          <w:spacing w:val="-1"/>
        </w:rPr>
        <w:t>sąlygos</w:t>
      </w:r>
      <w:r>
        <w:rPr>
          <w:rFonts w:asciiTheme="minorBidi" w:eastAsia="Calibri" w:hAnsiTheme="minorBidi"/>
          <w:spacing w:val="-1"/>
        </w:rPr>
        <w:t xml:space="preserve">: </w:t>
      </w:r>
      <w:r w:rsidRPr="0097767C">
        <w:rPr>
          <w:rFonts w:asciiTheme="minorBidi" w:hAnsiTheme="minorBidi"/>
          <w:spacing w:val="-1"/>
        </w:rPr>
        <w:t>mokama per 30 (trisdešimt) kalendorinių dienų</w:t>
      </w:r>
      <w:r w:rsidR="004E7C45">
        <w:rPr>
          <w:rFonts w:asciiTheme="minorBidi" w:hAnsiTheme="minorBidi"/>
          <w:spacing w:val="-1"/>
        </w:rPr>
        <w:t xml:space="preserve"> nuo</w:t>
      </w:r>
      <w:r w:rsidRPr="0097767C">
        <w:rPr>
          <w:rFonts w:asciiTheme="minorBidi" w:hAnsiTheme="minorBidi"/>
          <w:spacing w:val="-1"/>
        </w:rPr>
        <w:t xml:space="preserve"> </w:t>
      </w:r>
      <w:r>
        <w:rPr>
          <w:rFonts w:asciiTheme="minorBidi" w:hAnsiTheme="minorBidi"/>
          <w:spacing w:val="-1"/>
        </w:rPr>
        <w:t xml:space="preserve">paslaugų teikimo termino pradžios, nustatytos šios Sutarties </w:t>
      </w:r>
      <w:r w:rsidRPr="00991D6F">
        <w:rPr>
          <w:rFonts w:asciiTheme="minorBidi" w:hAnsiTheme="minorBidi"/>
          <w:spacing w:val="-1"/>
        </w:rPr>
        <w:t>3.</w:t>
      </w:r>
      <w:r>
        <w:rPr>
          <w:rFonts w:asciiTheme="minorBidi" w:hAnsiTheme="minorBidi"/>
          <w:spacing w:val="-1"/>
        </w:rPr>
        <w:t xml:space="preserve">1 punkte  ir </w:t>
      </w:r>
      <w:r w:rsidRPr="0097767C">
        <w:rPr>
          <w:rFonts w:asciiTheme="minorBidi" w:hAnsiTheme="minorBidi"/>
          <w:spacing w:val="-1"/>
        </w:rPr>
        <w:t>PVM sąskaitos faktūros priėmimo dienos</w:t>
      </w:r>
      <w:r>
        <w:rPr>
          <w:rFonts w:asciiTheme="minorBidi" w:hAnsiTheme="minorBidi"/>
          <w:spacing w:val="-1"/>
        </w:rPr>
        <w:t xml:space="preserve"> </w:t>
      </w:r>
      <w:r w:rsidRPr="00035510">
        <w:rPr>
          <w:rFonts w:asciiTheme="minorBidi" w:hAnsiTheme="minorBidi"/>
          <w:spacing w:val="-1"/>
        </w:rPr>
        <w:t>Sutarties Bendrųjų sąlygų nustatyta tvarka</w:t>
      </w:r>
      <w:r>
        <w:rPr>
          <w:rFonts w:asciiTheme="minorBidi" w:hAnsiTheme="minorBidi"/>
          <w:spacing w:val="-1"/>
        </w:rPr>
        <w:t>.</w:t>
      </w:r>
    </w:p>
    <w:p w14:paraId="746E0E58" w14:textId="77777777" w:rsidR="00540279" w:rsidRPr="00257BCF" w:rsidRDefault="00540279" w:rsidP="00B62295">
      <w:pPr>
        <w:spacing w:after="0" w:line="240" w:lineRule="auto"/>
        <w:ind w:firstLine="360"/>
        <w:jc w:val="both"/>
        <w:rPr>
          <w:rFonts w:ascii="Arial" w:eastAsia="Calibri" w:hAnsi="Arial" w:cs="Arial"/>
        </w:rPr>
      </w:pPr>
    </w:p>
    <w:p w14:paraId="3D29335D" w14:textId="77777777" w:rsidR="00540279" w:rsidRPr="00257BCF" w:rsidRDefault="00B26941" w:rsidP="00B62295">
      <w:pPr>
        <w:tabs>
          <w:tab w:val="left" w:pos="709"/>
        </w:tabs>
        <w:spacing w:after="0" w:line="240" w:lineRule="auto"/>
        <w:ind w:firstLine="360"/>
        <w:jc w:val="center"/>
        <w:rPr>
          <w:rFonts w:ascii="Arial" w:eastAsia="Calibri" w:hAnsi="Arial" w:cs="Arial"/>
          <w:b/>
        </w:rPr>
      </w:pPr>
      <w:r w:rsidRPr="00257BCF">
        <w:rPr>
          <w:rFonts w:ascii="Arial" w:eastAsia="Calibri" w:hAnsi="Arial" w:cs="Arial"/>
          <w:b/>
        </w:rPr>
        <w:t>3. PASLAUGŲ SUTEIKIMAS</w:t>
      </w:r>
    </w:p>
    <w:p w14:paraId="70A4581D" w14:textId="05BDCAF1" w:rsidR="006F413C" w:rsidRPr="00257BCF" w:rsidRDefault="00540279" w:rsidP="006A4D29">
      <w:pPr>
        <w:shd w:val="clear" w:color="auto" w:fill="FFFFFF"/>
        <w:spacing w:after="0" w:line="240" w:lineRule="auto"/>
        <w:ind w:firstLine="360"/>
        <w:jc w:val="both"/>
        <w:rPr>
          <w:rFonts w:ascii="Arial" w:eastAsia="Calibri" w:hAnsi="Arial" w:cs="Arial"/>
          <w:bCs/>
        </w:rPr>
      </w:pPr>
      <w:r w:rsidRPr="00257BCF">
        <w:rPr>
          <w:rFonts w:ascii="Arial" w:eastAsia="Calibri" w:hAnsi="Arial" w:cs="Arial"/>
        </w:rPr>
        <w:t xml:space="preserve">3.1. </w:t>
      </w:r>
      <w:r w:rsidR="004B2269" w:rsidRPr="00257BCF">
        <w:rPr>
          <w:rFonts w:ascii="Arial" w:eastAsia="Calibri" w:hAnsi="Arial" w:cs="Arial"/>
        </w:rPr>
        <w:t>Paslaugos</w:t>
      </w:r>
      <w:r w:rsidRPr="00257BCF">
        <w:rPr>
          <w:rFonts w:ascii="Arial" w:eastAsia="Calibri" w:hAnsi="Arial" w:cs="Arial"/>
        </w:rPr>
        <w:t xml:space="preserve"> turi būti </w:t>
      </w:r>
      <w:r w:rsidR="004B2269" w:rsidRPr="00257BCF">
        <w:rPr>
          <w:rFonts w:ascii="Arial" w:eastAsia="Calibri" w:hAnsi="Arial" w:cs="Arial"/>
        </w:rPr>
        <w:t>teik</w:t>
      </w:r>
      <w:r w:rsidR="00901FDD" w:rsidRPr="00257BCF">
        <w:rPr>
          <w:rFonts w:ascii="Arial" w:eastAsia="Calibri" w:hAnsi="Arial" w:cs="Arial"/>
        </w:rPr>
        <w:t>iamos Sutarties 1 priede nustatyta tvarka</w:t>
      </w:r>
      <w:r w:rsidR="003F0B2E" w:rsidRPr="00257BCF">
        <w:rPr>
          <w:rFonts w:ascii="Arial" w:eastAsia="Calibri" w:hAnsi="Arial" w:cs="Arial"/>
        </w:rPr>
        <w:t>.</w:t>
      </w:r>
      <w:r w:rsidR="003E27E2" w:rsidRPr="003E27E2">
        <w:rPr>
          <w:rFonts w:asciiTheme="minorBidi" w:hAnsiTheme="minorBidi"/>
          <w:spacing w:val="-1"/>
        </w:rPr>
        <w:t xml:space="preserve"> </w:t>
      </w:r>
      <w:r w:rsidR="003E27E2" w:rsidRPr="0097767C">
        <w:rPr>
          <w:rFonts w:asciiTheme="minorBidi" w:hAnsiTheme="minorBidi"/>
          <w:spacing w:val="-1"/>
        </w:rPr>
        <w:t xml:space="preserve">Paslaugos turi būti </w:t>
      </w:r>
      <w:r w:rsidR="003E27E2">
        <w:rPr>
          <w:rFonts w:asciiTheme="minorBidi" w:hAnsiTheme="minorBidi"/>
          <w:spacing w:val="-1"/>
        </w:rPr>
        <w:t>teikiamos</w:t>
      </w:r>
      <w:r w:rsidR="003E27E2" w:rsidRPr="0097767C">
        <w:rPr>
          <w:rFonts w:asciiTheme="minorBidi" w:hAnsiTheme="minorBidi"/>
          <w:spacing w:val="-1"/>
        </w:rPr>
        <w:t xml:space="preserve"> </w:t>
      </w:r>
      <w:r w:rsidR="003E27E2">
        <w:rPr>
          <w:rFonts w:asciiTheme="minorBidi" w:hAnsiTheme="minorBidi"/>
          <w:spacing w:val="-1"/>
        </w:rPr>
        <w:t xml:space="preserve">nuo </w:t>
      </w:r>
      <w:r w:rsidR="003E27E2" w:rsidRPr="0097767C">
        <w:rPr>
          <w:rFonts w:asciiTheme="minorBidi" w:hAnsiTheme="minorBidi"/>
          <w:spacing w:val="-1"/>
        </w:rPr>
        <w:t>202</w:t>
      </w:r>
      <w:r w:rsidR="003E27E2">
        <w:rPr>
          <w:rFonts w:asciiTheme="minorBidi" w:hAnsiTheme="minorBidi"/>
          <w:spacing w:val="-1"/>
        </w:rPr>
        <w:t>1</w:t>
      </w:r>
      <w:r w:rsidR="003E27E2" w:rsidRPr="0097767C">
        <w:rPr>
          <w:rFonts w:asciiTheme="minorBidi" w:hAnsiTheme="minorBidi"/>
          <w:spacing w:val="-1"/>
        </w:rPr>
        <w:t>-</w:t>
      </w:r>
      <w:r w:rsidR="003E27E2">
        <w:rPr>
          <w:rFonts w:asciiTheme="minorBidi" w:hAnsiTheme="minorBidi"/>
          <w:spacing w:val="-1"/>
        </w:rPr>
        <w:t>02</w:t>
      </w:r>
      <w:r w:rsidR="003E27E2" w:rsidRPr="0097767C">
        <w:rPr>
          <w:rFonts w:asciiTheme="minorBidi" w:hAnsiTheme="minorBidi"/>
          <w:spacing w:val="-1"/>
        </w:rPr>
        <w:t>-01</w:t>
      </w:r>
      <w:r w:rsidR="003E27E2">
        <w:rPr>
          <w:rFonts w:asciiTheme="minorBidi" w:hAnsiTheme="minorBidi"/>
          <w:spacing w:val="-1"/>
        </w:rPr>
        <w:t>, o prisijungimo prie mokymų suteikimas yra laikomas paslaugų teikimo termino pradžia.</w:t>
      </w:r>
      <w:r w:rsidR="00901FDD" w:rsidRPr="00257BCF">
        <w:rPr>
          <w:rFonts w:ascii="Arial" w:eastAsia="Calibri" w:hAnsi="Arial" w:cs="Arial"/>
        </w:rPr>
        <w:t xml:space="preserve"> </w:t>
      </w:r>
      <w:r w:rsidR="007001AD" w:rsidRPr="00257BCF">
        <w:rPr>
          <w:rFonts w:ascii="Arial" w:hAnsi="Arial" w:cs="Arial"/>
          <w:bCs/>
          <w:color w:val="000000" w:themeColor="text1"/>
        </w:rPr>
        <w:t>Šalys susitaria, kad Paslaugų suteikimo terminas yra esminė Sutarties sąlyga.</w:t>
      </w:r>
      <w:r w:rsidR="007001AD" w:rsidRPr="00257BCF">
        <w:rPr>
          <w:rFonts w:ascii="Arial" w:eastAsia="Calibri" w:hAnsi="Arial" w:cs="Arial"/>
          <w:bCs/>
          <w:i/>
        </w:rPr>
        <w:t xml:space="preserve"> </w:t>
      </w:r>
    </w:p>
    <w:p w14:paraId="50815537" w14:textId="4C945AA8" w:rsidR="00583823" w:rsidRDefault="006F413C" w:rsidP="00583823">
      <w:pPr>
        <w:shd w:val="clear" w:color="auto" w:fill="FFFFFF"/>
        <w:spacing w:after="0" w:line="240" w:lineRule="auto"/>
        <w:ind w:firstLine="360"/>
        <w:jc w:val="both"/>
        <w:rPr>
          <w:rFonts w:asciiTheme="minorBidi" w:hAnsiTheme="minorBidi"/>
          <w:i/>
        </w:rPr>
      </w:pPr>
      <w:r w:rsidRPr="00257BCF">
        <w:rPr>
          <w:rFonts w:ascii="Arial" w:eastAsia="Calibri" w:hAnsi="Arial" w:cs="Arial"/>
        </w:rPr>
        <w:t>3.</w:t>
      </w:r>
      <w:r w:rsidR="00B67D7C" w:rsidRPr="00257BCF">
        <w:rPr>
          <w:rFonts w:ascii="Arial" w:eastAsia="Calibri" w:hAnsi="Arial" w:cs="Arial"/>
        </w:rPr>
        <w:t>2</w:t>
      </w:r>
      <w:r w:rsidRPr="00257BCF">
        <w:rPr>
          <w:rFonts w:ascii="Arial" w:eastAsia="Calibri" w:hAnsi="Arial" w:cs="Arial"/>
        </w:rPr>
        <w:t xml:space="preserve">. </w:t>
      </w:r>
      <w:r w:rsidR="00A04F80" w:rsidRPr="00257BCF">
        <w:rPr>
          <w:rFonts w:ascii="Arial" w:eastAsia="Calibri" w:hAnsi="Arial" w:cs="Arial"/>
        </w:rPr>
        <w:t>Paslaugų teikėjas, s</w:t>
      </w:r>
      <w:r w:rsidRPr="00257BCF">
        <w:rPr>
          <w:rFonts w:ascii="Arial" w:eastAsia="Calibri" w:hAnsi="Arial" w:cs="Arial"/>
        </w:rPr>
        <w:t>uteikęs Paslaugas Užsakovui</w:t>
      </w:r>
      <w:r w:rsidR="00A04F80" w:rsidRPr="00257BCF">
        <w:rPr>
          <w:rFonts w:ascii="Arial" w:eastAsia="Calibri" w:hAnsi="Arial" w:cs="Arial"/>
        </w:rPr>
        <w:t>,</w:t>
      </w:r>
      <w:r w:rsidRPr="00257BCF">
        <w:rPr>
          <w:rFonts w:ascii="Arial" w:eastAsia="Calibri" w:hAnsi="Arial" w:cs="Arial"/>
        </w:rPr>
        <w:t xml:space="preserve"> pateikia</w:t>
      </w:r>
      <w:r w:rsidR="00583823" w:rsidRPr="00583823">
        <w:rPr>
          <w:rFonts w:asciiTheme="minorBidi" w:hAnsiTheme="minorBidi"/>
        </w:rPr>
        <w:t xml:space="preserve"> </w:t>
      </w:r>
      <w:r w:rsidR="00583823" w:rsidRPr="00035510">
        <w:rPr>
          <w:rFonts w:asciiTheme="minorBidi" w:hAnsiTheme="minorBidi"/>
        </w:rPr>
        <w:t xml:space="preserve">Sutarties </w:t>
      </w:r>
      <w:r w:rsidR="00583823" w:rsidRPr="003065C1">
        <w:rPr>
          <w:rFonts w:asciiTheme="minorBidi" w:hAnsiTheme="minorBidi"/>
          <w:color w:val="000000" w:themeColor="text1"/>
        </w:rPr>
        <w:t xml:space="preserve">1 priedo </w:t>
      </w:r>
      <w:r w:rsidR="003065C1" w:rsidRPr="003065C1">
        <w:rPr>
          <w:rFonts w:asciiTheme="minorBidi" w:hAnsiTheme="minorBidi"/>
          <w:color w:val="000000" w:themeColor="text1"/>
        </w:rPr>
        <w:t>4</w:t>
      </w:r>
      <w:r w:rsidR="00583823" w:rsidRPr="003065C1">
        <w:rPr>
          <w:rFonts w:asciiTheme="minorBidi" w:hAnsiTheme="minorBidi"/>
          <w:color w:val="000000" w:themeColor="text1"/>
        </w:rPr>
        <w:t xml:space="preserve">.1 punkte </w:t>
      </w:r>
      <w:r w:rsidR="00583823" w:rsidRPr="00035510">
        <w:rPr>
          <w:rFonts w:asciiTheme="minorBidi" w:hAnsiTheme="minorBidi"/>
        </w:rPr>
        <w:t>nurodytus dokumentus</w:t>
      </w:r>
      <w:r w:rsidR="00583823" w:rsidRPr="00BA6013">
        <w:rPr>
          <w:rFonts w:asciiTheme="minorBidi" w:hAnsiTheme="minorBidi"/>
          <w:i/>
        </w:rPr>
        <w:t>.</w:t>
      </w:r>
    </w:p>
    <w:p w14:paraId="713F57B6" w14:textId="77777777" w:rsidR="00A06134" w:rsidRPr="00257BCF" w:rsidRDefault="00A06134" w:rsidP="00A47842">
      <w:pPr>
        <w:spacing w:after="0" w:line="240" w:lineRule="auto"/>
        <w:jc w:val="both"/>
        <w:rPr>
          <w:rFonts w:ascii="Arial" w:eastAsia="Calibri" w:hAnsi="Arial" w:cs="Arial"/>
        </w:rPr>
      </w:pPr>
    </w:p>
    <w:p w14:paraId="2614E2D2" w14:textId="77777777" w:rsidR="00540279" w:rsidRPr="00257BCF" w:rsidRDefault="00B26941" w:rsidP="00B62295">
      <w:pPr>
        <w:spacing w:after="0" w:line="240" w:lineRule="auto"/>
        <w:ind w:firstLine="360"/>
        <w:jc w:val="center"/>
        <w:rPr>
          <w:rFonts w:ascii="Arial" w:eastAsia="Calibri" w:hAnsi="Arial" w:cs="Arial"/>
          <w:b/>
        </w:rPr>
      </w:pPr>
      <w:r w:rsidRPr="00257BCF">
        <w:rPr>
          <w:rFonts w:ascii="Arial" w:eastAsia="Calibri" w:hAnsi="Arial" w:cs="Arial"/>
          <w:b/>
        </w:rPr>
        <w:t xml:space="preserve">4. PASLAUGŲ KOKYBĖ </w:t>
      </w:r>
    </w:p>
    <w:p w14:paraId="0A4E55F4" w14:textId="6F18BDE7" w:rsidR="00540279" w:rsidRPr="00257BCF" w:rsidRDefault="00B62295" w:rsidP="00431527">
      <w:pPr>
        <w:shd w:val="clear" w:color="auto" w:fill="FFFFFF"/>
        <w:tabs>
          <w:tab w:val="left" w:pos="394"/>
          <w:tab w:val="left" w:pos="720"/>
        </w:tabs>
        <w:spacing w:after="0" w:line="240" w:lineRule="auto"/>
        <w:ind w:firstLine="360"/>
        <w:jc w:val="both"/>
        <w:rPr>
          <w:rFonts w:ascii="Arial" w:eastAsia="Calibri" w:hAnsi="Arial" w:cs="Arial"/>
        </w:rPr>
      </w:pPr>
      <w:r w:rsidRPr="00257BCF">
        <w:rPr>
          <w:rFonts w:ascii="Arial" w:eastAsia="Calibri" w:hAnsi="Arial" w:cs="Arial"/>
        </w:rPr>
        <w:tab/>
      </w:r>
      <w:r w:rsidR="00540279" w:rsidRPr="00257BCF">
        <w:rPr>
          <w:rFonts w:ascii="Arial" w:eastAsia="Calibri" w:hAnsi="Arial" w:cs="Arial"/>
        </w:rPr>
        <w:t xml:space="preserve">4.1. </w:t>
      </w:r>
      <w:r w:rsidR="000E66F9" w:rsidRPr="00257BCF">
        <w:rPr>
          <w:rFonts w:ascii="Arial" w:eastAsia="Calibri" w:hAnsi="Arial" w:cs="Arial"/>
        </w:rPr>
        <w:t>Paslaugos turi būti suteiktos kokybiškai pagal Sutartyje ir jos prieduose nustatytus reikalavimus.</w:t>
      </w:r>
      <w:r w:rsidR="00431527" w:rsidRPr="00257BCF">
        <w:rPr>
          <w:rFonts w:ascii="Arial" w:hAnsi="Arial" w:cs="Arial"/>
        </w:rPr>
        <w:t xml:space="preserve"> </w:t>
      </w:r>
      <w:r w:rsidR="00431527" w:rsidRPr="00257BCF">
        <w:rPr>
          <w:rFonts w:ascii="Arial" w:eastAsia="Calibri" w:hAnsi="Arial" w:cs="Arial"/>
        </w:rPr>
        <w:t xml:space="preserve">Nustačius, kad Paslaugos yra nekokybiškos Paslaugų teikėjas privalo ištaisyti Paslaugų trūkumus per </w:t>
      </w:r>
      <w:r w:rsidR="009E35B6" w:rsidRPr="00257BCF">
        <w:rPr>
          <w:rFonts w:ascii="Arial" w:eastAsia="Calibri" w:hAnsi="Arial" w:cs="Arial"/>
        </w:rPr>
        <w:t>1 (vieną) darbo dieną</w:t>
      </w:r>
      <w:r w:rsidR="00431527" w:rsidRPr="00257BCF">
        <w:rPr>
          <w:rFonts w:ascii="Arial" w:eastAsia="Calibri" w:hAnsi="Arial" w:cs="Arial"/>
        </w:rPr>
        <w:t xml:space="preserve"> nuo Užsakovo pranešimo apie nekokybiškas Paslaugas išsiuntimo Paslaugų teikėjui momento.</w:t>
      </w:r>
    </w:p>
    <w:p w14:paraId="77C05949" w14:textId="37D7660E" w:rsidR="00AE77BD" w:rsidRPr="00257BCF" w:rsidRDefault="0067677C" w:rsidP="00E01348">
      <w:pPr>
        <w:spacing w:after="0" w:line="240" w:lineRule="auto"/>
        <w:ind w:firstLine="360"/>
        <w:jc w:val="both"/>
        <w:rPr>
          <w:rFonts w:ascii="Arial" w:eastAsia="Calibri" w:hAnsi="Arial" w:cs="Arial"/>
        </w:rPr>
      </w:pPr>
      <w:r w:rsidRPr="00257BCF">
        <w:rPr>
          <w:rFonts w:ascii="Arial" w:eastAsia="Calibri" w:hAnsi="Arial" w:cs="Arial"/>
        </w:rPr>
        <w:t>4.2. Paslaugų trūkumų nustatymo bei šalinimo tvarka numatyta Sutarties Bendrosiose sąlygose.</w:t>
      </w:r>
    </w:p>
    <w:p w14:paraId="6E2F420B" w14:textId="77777777" w:rsidR="00FF53CC" w:rsidRDefault="00FF53CC" w:rsidP="005A7D31">
      <w:pPr>
        <w:spacing w:after="0" w:line="240" w:lineRule="auto"/>
        <w:ind w:firstLine="360"/>
        <w:jc w:val="center"/>
        <w:rPr>
          <w:rFonts w:ascii="Arial" w:eastAsia="Calibri" w:hAnsi="Arial" w:cs="Arial"/>
          <w:b/>
        </w:rPr>
      </w:pPr>
    </w:p>
    <w:p w14:paraId="3F784684" w14:textId="77777777" w:rsidR="00FF53CC" w:rsidRDefault="00FF53CC" w:rsidP="005A7D31">
      <w:pPr>
        <w:spacing w:after="0" w:line="240" w:lineRule="auto"/>
        <w:ind w:firstLine="360"/>
        <w:jc w:val="center"/>
        <w:rPr>
          <w:rFonts w:ascii="Arial" w:eastAsia="Calibri" w:hAnsi="Arial" w:cs="Arial"/>
          <w:b/>
        </w:rPr>
      </w:pPr>
    </w:p>
    <w:p w14:paraId="506F8D27" w14:textId="260596D6" w:rsidR="00CE69D0" w:rsidRPr="00257BCF" w:rsidRDefault="00B26941" w:rsidP="005A7D31">
      <w:pPr>
        <w:spacing w:after="0" w:line="240" w:lineRule="auto"/>
        <w:ind w:firstLine="360"/>
        <w:jc w:val="center"/>
        <w:rPr>
          <w:rFonts w:ascii="Arial" w:eastAsia="Calibri" w:hAnsi="Arial" w:cs="Arial"/>
          <w:b/>
        </w:rPr>
      </w:pPr>
      <w:r w:rsidRPr="00257BCF">
        <w:rPr>
          <w:rFonts w:ascii="Arial" w:eastAsia="Calibri" w:hAnsi="Arial" w:cs="Arial"/>
          <w:b/>
        </w:rPr>
        <w:lastRenderedPageBreak/>
        <w:t>5. ŠALIŲ ATSAKOMYBĖ</w:t>
      </w:r>
    </w:p>
    <w:p w14:paraId="563CEDA2" w14:textId="1CFCF8CD" w:rsidR="00D73DA8" w:rsidRPr="00257BCF" w:rsidRDefault="00BB4A42" w:rsidP="00431527">
      <w:pPr>
        <w:shd w:val="clear" w:color="auto" w:fill="FFFFFF"/>
        <w:spacing w:after="0" w:line="240" w:lineRule="auto"/>
        <w:ind w:firstLine="360"/>
        <w:jc w:val="both"/>
        <w:rPr>
          <w:rFonts w:ascii="Arial" w:eastAsia="Calibri" w:hAnsi="Arial" w:cs="Arial"/>
          <w:i/>
          <w:iCs/>
        </w:rPr>
      </w:pPr>
      <w:r w:rsidRPr="00257BCF">
        <w:rPr>
          <w:rFonts w:ascii="Arial" w:eastAsia="Calibri" w:hAnsi="Arial" w:cs="Arial"/>
        </w:rPr>
        <w:t>5.</w:t>
      </w:r>
      <w:r w:rsidR="00CD1379" w:rsidRPr="00257BCF">
        <w:rPr>
          <w:rFonts w:ascii="Arial" w:eastAsia="Calibri" w:hAnsi="Arial" w:cs="Arial"/>
        </w:rPr>
        <w:t>1</w:t>
      </w:r>
      <w:r w:rsidR="00044625" w:rsidRPr="00257BCF">
        <w:rPr>
          <w:rFonts w:ascii="Arial" w:eastAsia="Calibri" w:hAnsi="Arial" w:cs="Arial"/>
        </w:rPr>
        <w:t>.</w:t>
      </w:r>
      <w:r w:rsidRPr="00257BCF">
        <w:rPr>
          <w:rFonts w:ascii="Arial" w:eastAsia="Calibri" w:hAnsi="Arial" w:cs="Arial"/>
        </w:rPr>
        <w:t xml:space="preserve"> </w:t>
      </w:r>
      <w:r w:rsidR="00D73DA8" w:rsidRPr="00257BCF">
        <w:rPr>
          <w:rFonts w:ascii="Arial" w:eastAsia="Calibri" w:hAnsi="Arial" w:cs="Arial"/>
        </w:rPr>
        <w:t xml:space="preserve">Jeigu Paslaugų teikėjas vėluoja suteikti Paslaugas, ar ištaisyti jų trūkumus, Užsakovas nuo kitos dienos Paslaugų teikėjui skaičiuoja 0,1 (vienos dešimtosios) procento dydžio delspinigius už kiekvieną uždelstą kalendorinę dieną nuo laiku nesuteiktų, įskaitant PVM (jei jis Sutarčiai taikomas), Paslaugų kainos, bendrą </w:t>
      </w:r>
      <w:r w:rsidR="00D73DA8" w:rsidRPr="00FF6E6A">
        <w:rPr>
          <w:rFonts w:ascii="Arial" w:eastAsia="Calibri" w:hAnsi="Arial" w:cs="Arial"/>
          <w:color w:val="000000" w:themeColor="text1"/>
        </w:rPr>
        <w:t>maksimalią dels</w:t>
      </w:r>
      <w:r w:rsidR="00D73DA8" w:rsidRPr="00257BCF">
        <w:rPr>
          <w:rFonts w:ascii="Arial" w:eastAsia="Calibri" w:hAnsi="Arial" w:cs="Arial"/>
        </w:rPr>
        <w:t>pinigių skaičiavimo ribą nustatant 20 (dvidešimt) procentų nuo</w:t>
      </w:r>
      <w:r w:rsidR="00A47842" w:rsidRPr="00257BCF">
        <w:rPr>
          <w:rFonts w:ascii="Arial" w:eastAsia="Calibri" w:hAnsi="Arial" w:cs="Arial"/>
        </w:rPr>
        <w:t xml:space="preserve"> </w:t>
      </w:r>
      <w:r w:rsidR="00D73DA8" w:rsidRPr="00257BCF">
        <w:rPr>
          <w:rFonts w:ascii="Arial" w:eastAsia="Calibri" w:hAnsi="Arial" w:cs="Arial"/>
        </w:rPr>
        <w:t>Sutarties kainos, įskaitant PVM (jei jis Sutarčiai taikomas)</w:t>
      </w:r>
      <w:r w:rsidR="000119C1" w:rsidRPr="00257BCF">
        <w:rPr>
          <w:rFonts w:ascii="Arial" w:eastAsia="Calibri" w:hAnsi="Arial" w:cs="Arial"/>
        </w:rPr>
        <w:t>.</w:t>
      </w:r>
    </w:p>
    <w:p w14:paraId="52E91FF4" w14:textId="4D50E211" w:rsidR="00540279" w:rsidRPr="00257BCF" w:rsidRDefault="00D73DA8" w:rsidP="00D73DA8">
      <w:pPr>
        <w:shd w:val="clear" w:color="auto" w:fill="FFFFFF"/>
        <w:spacing w:after="0" w:line="240" w:lineRule="auto"/>
        <w:ind w:firstLine="360"/>
        <w:jc w:val="both"/>
        <w:rPr>
          <w:rFonts w:ascii="Arial" w:eastAsia="Calibri" w:hAnsi="Arial" w:cs="Arial"/>
          <w:i/>
          <w:iCs/>
        </w:rPr>
      </w:pPr>
      <w:r w:rsidRPr="00257BCF">
        <w:rPr>
          <w:rFonts w:ascii="Arial" w:eastAsia="Calibri" w:hAnsi="Arial" w:cs="Arial"/>
        </w:rPr>
        <w:t xml:space="preserve"> </w:t>
      </w:r>
      <w:r w:rsidR="00D84D45" w:rsidRPr="00257BCF">
        <w:rPr>
          <w:rFonts w:ascii="Arial" w:eastAsia="Calibri" w:hAnsi="Arial" w:cs="Arial"/>
        </w:rPr>
        <w:t>5.</w:t>
      </w:r>
      <w:r w:rsidR="00CD1379" w:rsidRPr="00257BCF">
        <w:rPr>
          <w:rFonts w:ascii="Arial" w:eastAsia="Calibri" w:hAnsi="Arial" w:cs="Arial"/>
        </w:rPr>
        <w:t>2</w:t>
      </w:r>
      <w:r w:rsidR="00540279" w:rsidRPr="00257BCF">
        <w:rPr>
          <w:rFonts w:ascii="Arial" w:eastAsia="Calibri" w:hAnsi="Arial" w:cs="Arial"/>
        </w:rPr>
        <w:t xml:space="preserve">. Jei </w:t>
      </w:r>
      <w:r w:rsidR="00240C30" w:rsidRPr="00257BCF">
        <w:rPr>
          <w:rFonts w:ascii="Arial" w:eastAsia="Calibri" w:hAnsi="Arial" w:cs="Arial"/>
        </w:rPr>
        <w:t>Užsakovas</w:t>
      </w:r>
      <w:r w:rsidR="00540279" w:rsidRPr="00257BCF">
        <w:rPr>
          <w:rFonts w:ascii="Arial" w:eastAsia="Calibri" w:hAnsi="Arial" w:cs="Arial"/>
        </w:rPr>
        <w:t xml:space="preserve"> </w:t>
      </w:r>
      <w:r w:rsidR="002E76CC" w:rsidRPr="00257BCF">
        <w:rPr>
          <w:rFonts w:ascii="Arial" w:eastAsia="Calibri" w:hAnsi="Arial" w:cs="Arial"/>
        </w:rPr>
        <w:t xml:space="preserve">vėluoja </w:t>
      </w:r>
      <w:r w:rsidR="00540279" w:rsidRPr="00257BCF">
        <w:rPr>
          <w:rFonts w:ascii="Arial" w:eastAsia="Calibri" w:hAnsi="Arial" w:cs="Arial"/>
        </w:rPr>
        <w:t xml:space="preserve">atsiskaityti už tinkamai </w:t>
      </w:r>
      <w:r w:rsidR="00240C30" w:rsidRPr="00257BCF">
        <w:rPr>
          <w:rFonts w:ascii="Arial" w:eastAsia="Calibri" w:hAnsi="Arial" w:cs="Arial"/>
        </w:rPr>
        <w:t>Paslaugų teikėjo suteiktas</w:t>
      </w:r>
      <w:r w:rsidR="002E76CC" w:rsidRPr="00257BCF">
        <w:rPr>
          <w:rFonts w:ascii="Arial" w:eastAsia="Calibri" w:hAnsi="Arial" w:cs="Arial"/>
        </w:rPr>
        <w:t>,</w:t>
      </w:r>
      <w:r w:rsidR="00540279" w:rsidRPr="00257BCF">
        <w:rPr>
          <w:rFonts w:ascii="Arial" w:eastAsia="Calibri" w:hAnsi="Arial" w:cs="Arial"/>
        </w:rPr>
        <w:t xml:space="preserve"> perduotas</w:t>
      </w:r>
      <w:r w:rsidR="002E76CC" w:rsidRPr="00257BCF">
        <w:rPr>
          <w:rFonts w:ascii="Arial" w:eastAsia="Calibri" w:hAnsi="Arial" w:cs="Arial"/>
        </w:rPr>
        <w:t xml:space="preserve"> ir priimtas</w:t>
      </w:r>
      <w:r w:rsidR="00540279" w:rsidRPr="00257BCF">
        <w:rPr>
          <w:rFonts w:ascii="Arial" w:eastAsia="Calibri" w:hAnsi="Arial" w:cs="Arial"/>
        </w:rPr>
        <w:t xml:space="preserve"> kokybiškas </w:t>
      </w:r>
      <w:r w:rsidR="00240C30" w:rsidRPr="00257BCF">
        <w:rPr>
          <w:rFonts w:ascii="Arial" w:eastAsia="Calibri" w:hAnsi="Arial" w:cs="Arial"/>
        </w:rPr>
        <w:t>Paslaugas</w:t>
      </w:r>
      <w:r w:rsidR="00540279" w:rsidRPr="00257BCF">
        <w:rPr>
          <w:rFonts w:ascii="Arial" w:eastAsia="Calibri" w:hAnsi="Arial" w:cs="Arial"/>
        </w:rPr>
        <w:t xml:space="preserve"> per Sutartyje nurodytą terminą, </w:t>
      </w:r>
      <w:r w:rsidR="00240C30" w:rsidRPr="00257BCF">
        <w:rPr>
          <w:rFonts w:ascii="Arial" w:eastAsia="Calibri" w:hAnsi="Arial" w:cs="Arial"/>
        </w:rPr>
        <w:t>Paslaugų teikėjas</w:t>
      </w:r>
      <w:r w:rsidR="00540279" w:rsidRPr="00257BCF">
        <w:rPr>
          <w:rFonts w:ascii="Arial" w:eastAsia="Calibri" w:hAnsi="Arial" w:cs="Arial"/>
        </w:rPr>
        <w:t xml:space="preserve"> nuo kitos dienos skaičiuoja </w:t>
      </w:r>
      <w:r w:rsidR="00240C30" w:rsidRPr="00257BCF">
        <w:rPr>
          <w:rFonts w:ascii="Arial" w:eastAsia="Calibri" w:hAnsi="Arial" w:cs="Arial"/>
        </w:rPr>
        <w:t>Užsakovui</w:t>
      </w:r>
      <w:r w:rsidR="00540279" w:rsidRPr="00257BCF">
        <w:rPr>
          <w:rFonts w:ascii="Arial" w:eastAsia="Calibri" w:hAnsi="Arial" w:cs="Arial"/>
        </w:rPr>
        <w:t xml:space="preserve"> 0,1 (vienos dešimtosios) procento dydžio delspinigius nuo neapmokėtos sumos, įskaitant PVM</w:t>
      </w:r>
      <w:r w:rsidR="00F5527B" w:rsidRPr="00257BCF">
        <w:rPr>
          <w:rFonts w:ascii="Arial" w:eastAsia="Calibri" w:hAnsi="Arial" w:cs="Arial"/>
        </w:rPr>
        <w:t xml:space="preserve"> </w:t>
      </w:r>
      <w:r w:rsidR="002E76CC" w:rsidRPr="00257BCF">
        <w:rPr>
          <w:rFonts w:ascii="Arial" w:eastAsia="Calibri" w:hAnsi="Arial" w:cs="Arial"/>
        </w:rPr>
        <w:t>(</w:t>
      </w:r>
      <w:r w:rsidR="00F5527B" w:rsidRPr="00257BCF">
        <w:rPr>
          <w:rFonts w:ascii="Arial" w:eastAsia="Calibri" w:hAnsi="Arial" w:cs="Arial"/>
        </w:rPr>
        <w:t>jei jis Sutarčiai taikomas</w:t>
      </w:r>
      <w:r w:rsidR="002E76CC" w:rsidRPr="00257BCF">
        <w:rPr>
          <w:rFonts w:ascii="Arial" w:eastAsia="Calibri" w:hAnsi="Arial" w:cs="Arial"/>
        </w:rPr>
        <w:t>)</w:t>
      </w:r>
      <w:r w:rsidR="00540279" w:rsidRPr="00257BCF">
        <w:rPr>
          <w:rFonts w:ascii="Arial" w:eastAsia="Calibri" w:hAnsi="Arial" w:cs="Arial"/>
        </w:rPr>
        <w:t xml:space="preserve">, </w:t>
      </w:r>
      <w:r w:rsidR="000A7918" w:rsidRPr="00257BCF">
        <w:rPr>
          <w:rFonts w:ascii="Arial" w:eastAsia="Calibri" w:hAnsi="Arial" w:cs="Arial"/>
        </w:rPr>
        <w:t xml:space="preserve">bendrą </w:t>
      </w:r>
      <w:r w:rsidR="00540279" w:rsidRPr="00257BCF">
        <w:rPr>
          <w:rFonts w:ascii="Arial" w:eastAsia="Calibri" w:hAnsi="Arial" w:cs="Arial"/>
        </w:rPr>
        <w:t>maksimalią delspinigių skaičiavimo ribą nustatant 20 (dvidešimt) procentų nuo Sutarties kainos, įskaitant PVM</w:t>
      </w:r>
      <w:r w:rsidR="00F5527B" w:rsidRPr="00257BCF">
        <w:rPr>
          <w:rFonts w:ascii="Arial" w:eastAsia="Calibri" w:hAnsi="Arial" w:cs="Arial"/>
        </w:rPr>
        <w:t xml:space="preserve"> </w:t>
      </w:r>
      <w:r w:rsidR="002E76CC" w:rsidRPr="00257BCF">
        <w:rPr>
          <w:rFonts w:ascii="Arial" w:eastAsia="Calibri" w:hAnsi="Arial" w:cs="Arial"/>
        </w:rPr>
        <w:t>(</w:t>
      </w:r>
      <w:r w:rsidR="00F5527B" w:rsidRPr="00257BCF">
        <w:rPr>
          <w:rFonts w:ascii="Arial" w:eastAsia="Calibri" w:hAnsi="Arial" w:cs="Arial"/>
        </w:rPr>
        <w:t>jei jis Sutarčiai taikomas</w:t>
      </w:r>
      <w:r w:rsidR="002E76CC" w:rsidRPr="00257BCF">
        <w:rPr>
          <w:rFonts w:ascii="Arial" w:eastAsia="Calibri" w:hAnsi="Arial" w:cs="Arial"/>
        </w:rPr>
        <w:t>)</w:t>
      </w:r>
      <w:bookmarkStart w:id="2" w:name="_Hlk36040238"/>
      <w:r w:rsidR="000119C1" w:rsidRPr="00257BCF">
        <w:rPr>
          <w:rFonts w:ascii="Arial" w:eastAsia="Calibri" w:hAnsi="Arial" w:cs="Arial"/>
        </w:rPr>
        <w:t>.</w:t>
      </w:r>
    </w:p>
    <w:bookmarkEnd w:id="2"/>
    <w:p w14:paraId="46913609" w14:textId="77777777" w:rsidR="006D4C3C" w:rsidRPr="00257BCF" w:rsidRDefault="006D4C3C" w:rsidP="006D4C3C">
      <w:pPr>
        <w:spacing w:after="0" w:line="240" w:lineRule="auto"/>
        <w:ind w:firstLine="360"/>
        <w:jc w:val="both"/>
        <w:rPr>
          <w:rFonts w:ascii="Arial" w:eastAsia="Calibri" w:hAnsi="Arial" w:cs="Arial"/>
        </w:rPr>
      </w:pPr>
      <w:r w:rsidRPr="00257BCF">
        <w:rPr>
          <w:rFonts w:ascii="Arial" w:eastAsia="Calibri" w:hAnsi="Arial" w:cs="Arial"/>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57BCF">
        <w:rPr>
          <w:rFonts w:ascii="Arial" w:eastAsia="Calibri" w:hAnsi="Arial" w:cs="Arial"/>
          <w:b/>
          <w:bCs/>
          <w:iCs/>
        </w:rPr>
        <w:t>Sankcijos</w:t>
      </w:r>
      <w:r w:rsidRPr="00257BCF">
        <w:rPr>
          <w:rFonts w:ascii="Arial" w:eastAsia="Calibri" w:hAnsi="Arial" w:cs="Arial"/>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BD2D71A" w14:textId="51C4D9D1" w:rsidR="006D4C3C" w:rsidRPr="00257BCF" w:rsidRDefault="006D4C3C" w:rsidP="006D4C3C">
      <w:pPr>
        <w:spacing w:after="0" w:line="240" w:lineRule="auto"/>
        <w:ind w:firstLine="360"/>
        <w:jc w:val="both"/>
        <w:rPr>
          <w:rFonts w:ascii="Arial" w:eastAsia="Calibri" w:hAnsi="Arial" w:cs="Arial"/>
        </w:rPr>
      </w:pPr>
      <w:r w:rsidRPr="00257BCF">
        <w:rPr>
          <w:rFonts w:ascii="Arial" w:eastAsia="Calibri" w:hAnsi="Arial" w:cs="Arial"/>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w:t>
      </w:r>
      <w:r w:rsidR="00A71334" w:rsidRPr="00257BCF">
        <w:rPr>
          <w:rFonts w:ascii="Arial" w:eastAsia="Calibri" w:hAnsi="Arial" w:cs="Arial"/>
          <w:iCs/>
        </w:rPr>
        <w:t xml:space="preserve">(dešimt) </w:t>
      </w:r>
      <w:r w:rsidRPr="00257BCF">
        <w:rPr>
          <w:rFonts w:ascii="Arial" w:eastAsia="Calibri" w:hAnsi="Arial" w:cs="Arial"/>
          <w:iCs/>
        </w:rPr>
        <w:t xml:space="preserve">% Sutarties </w:t>
      </w:r>
      <w:r w:rsidR="00A71334" w:rsidRPr="00257BCF">
        <w:rPr>
          <w:rFonts w:ascii="Arial" w:eastAsia="Calibri" w:hAnsi="Arial" w:cs="Arial"/>
          <w:iCs/>
        </w:rPr>
        <w:t>kainos</w:t>
      </w:r>
      <w:r w:rsidRPr="00257BCF">
        <w:rPr>
          <w:rFonts w:ascii="Arial" w:eastAsia="Calibri" w:hAnsi="Arial" w:cs="Arial"/>
          <w:iCs/>
        </w:rPr>
        <w:t xml:space="preserve"> </w:t>
      </w:r>
      <w:r w:rsidR="00A71334" w:rsidRPr="00257BCF">
        <w:rPr>
          <w:rFonts w:ascii="Arial" w:eastAsia="Calibri" w:hAnsi="Arial" w:cs="Arial"/>
          <w:iCs/>
        </w:rPr>
        <w:t xml:space="preserve">su PVM </w:t>
      </w:r>
      <w:r w:rsidRPr="00257BCF">
        <w:rPr>
          <w:rFonts w:ascii="Arial" w:eastAsia="Calibri" w:hAnsi="Arial" w:cs="Arial"/>
          <w:iCs/>
        </w:rPr>
        <w:t>dydžio baudą.</w:t>
      </w:r>
    </w:p>
    <w:p w14:paraId="4AFC0975" w14:textId="0D2FB4D6" w:rsidR="00431527" w:rsidRPr="00257BCF" w:rsidRDefault="00540279" w:rsidP="006D4C3C">
      <w:pPr>
        <w:tabs>
          <w:tab w:val="left" w:pos="720"/>
        </w:tabs>
        <w:spacing w:after="0" w:line="240" w:lineRule="auto"/>
        <w:jc w:val="both"/>
        <w:rPr>
          <w:rFonts w:ascii="Arial" w:eastAsia="Calibri" w:hAnsi="Arial" w:cs="Arial"/>
          <w:lang w:eastAsia="lt-LT"/>
        </w:rPr>
      </w:pPr>
      <w:r w:rsidRPr="00257BCF">
        <w:rPr>
          <w:rFonts w:ascii="Arial" w:eastAsia="Calibri" w:hAnsi="Arial" w:cs="Arial"/>
          <w:lang w:eastAsia="lt-LT"/>
        </w:rPr>
        <w:tab/>
      </w:r>
    </w:p>
    <w:p w14:paraId="32C41B0C" w14:textId="6CACE152" w:rsidR="00431527" w:rsidRPr="00257BCF" w:rsidRDefault="00431527" w:rsidP="006D4C3C">
      <w:pPr>
        <w:tabs>
          <w:tab w:val="left" w:pos="720"/>
        </w:tabs>
        <w:spacing w:after="0" w:line="240" w:lineRule="auto"/>
        <w:jc w:val="both"/>
        <w:rPr>
          <w:rFonts w:ascii="Arial" w:eastAsia="Calibri" w:hAnsi="Arial" w:cs="Arial"/>
          <w:lang w:eastAsia="lt-LT"/>
        </w:rPr>
      </w:pPr>
      <w:r w:rsidRPr="00257BCF">
        <w:rPr>
          <w:rFonts w:ascii="Arial" w:eastAsia="Calibri" w:hAnsi="Arial" w:cs="Arial"/>
          <w:b/>
          <w:lang w:eastAsia="lt-LT"/>
        </w:rPr>
        <w:t xml:space="preserve">                                          6. SUTARTIES ĮVYKDYMO UŽTIKRINIMAS</w:t>
      </w:r>
    </w:p>
    <w:p w14:paraId="12A6F705" w14:textId="1BF537D1" w:rsidR="009F0D3A" w:rsidRPr="00E01348" w:rsidRDefault="0030692A" w:rsidP="00E01348">
      <w:pPr>
        <w:spacing w:after="0" w:line="264" w:lineRule="auto"/>
        <w:ind w:firstLine="360"/>
        <w:jc w:val="both"/>
        <w:rPr>
          <w:rFonts w:ascii="Arial" w:eastAsia="Calibri" w:hAnsi="Arial" w:cs="Arial"/>
          <w:iCs/>
        </w:rPr>
      </w:pPr>
      <w:r w:rsidRPr="00257BCF">
        <w:rPr>
          <w:rFonts w:ascii="Arial" w:hAnsi="Arial" w:cs="Arial"/>
        </w:rPr>
        <w:t>6.1. Sutarties įvykdymas užtikrinamas netesybomis – bauda / delspinigiais, kurių dydis nurodytas Sutarties Specialiųjų sąlygų 5.1 ir 5.2 punktuose.</w:t>
      </w:r>
    </w:p>
    <w:p w14:paraId="248A965D" w14:textId="77777777" w:rsidR="009F0D3A" w:rsidRPr="00257BCF" w:rsidRDefault="009F0D3A" w:rsidP="00B62295">
      <w:pPr>
        <w:spacing w:after="0" w:line="240" w:lineRule="auto"/>
        <w:ind w:firstLine="360"/>
        <w:jc w:val="center"/>
        <w:rPr>
          <w:rFonts w:ascii="Arial" w:eastAsia="Calibri" w:hAnsi="Arial" w:cs="Arial"/>
          <w:b/>
        </w:rPr>
      </w:pPr>
    </w:p>
    <w:p w14:paraId="3D87B26A" w14:textId="2A5F4945" w:rsidR="00540279" w:rsidRPr="00257BCF" w:rsidRDefault="0030692A" w:rsidP="00B62295">
      <w:pPr>
        <w:spacing w:after="0" w:line="240" w:lineRule="auto"/>
        <w:ind w:firstLine="360"/>
        <w:jc w:val="center"/>
        <w:rPr>
          <w:rFonts w:ascii="Arial" w:eastAsia="Calibri" w:hAnsi="Arial" w:cs="Arial"/>
          <w:b/>
        </w:rPr>
      </w:pPr>
      <w:r w:rsidRPr="00257BCF">
        <w:rPr>
          <w:rFonts w:ascii="Arial" w:eastAsia="Calibri" w:hAnsi="Arial" w:cs="Arial"/>
          <w:b/>
        </w:rPr>
        <w:t>7</w:t>
      </w:r>
      <w:r w:rsidR="00B26941" w:rsidRPr="00257BCF">
        <w:rPr>
          <w:rFonts w:ascii="Arial" w:eastAsia="Calibri" w:hAnsi="Arial" w:cs="Arial"/>
          <w:b/>
        </w:rPr>
        <w:t>. SUTARTIES GALIOJIMAS</w:t>
      </w:r>
    </w:p>
    <w:p w14:paraId="19D44F3C" w14:textId="226989F1" w:rsidR="009738B7" w:rsidRPr="00257BCF" w:rsidRDefault="00107B19" w:rsidP="00B62295">
      <w:pPr>
        <w:spacing w:after="0" w:line="240" w:lineRule="auto"/>
        <w:ind w:firstLine="360"/>
        <w:jc w:val="both"/>
        <w:rPr>
          <w:rFonts w:ascii="Arial" w:eastAsia="Times New Roman" w:hAnsi="Arial" w:cs="Arial"/>
        </w:rPr>
      </w:pPr>
      <w:r w:rsidRPr="00257BCF">
        <w:rPr>
          <w:rFonts w:ascii="Arial" w:eastAsia="Calibri" w:hAnsi="Arial" w:cs="Arial"/>
        </w:rPr>
        <w:t>7</w:t>
      </w:r>
      <w:r w:rsidR="00540279" w:rsidRPr="00257BCF">
        <w:rPr>
          <w:rFonts w:ascii="Arial" w:eastAsia="Calibri" w:hAnsi="Arial" w:cs="Arial"/>
        </w:rPr>
        <w:t xml:space="preserve">.1. </w:t>
      </w:r>
      <w:r w:rsidR="0058139E" w:rsidRPr="00257BCF">
        <w:rPr>
          <w:rFonts w:ascii="Arial" w:eastAsia="Calibri" w:hAnsi="Arial" w:cs="Arial"/>
        </w:rPr>
        <w:t>Sutartis laikoma sudaryta ir įsigalioja ją pasirašius įgaliotiems Šalių atstovams</w:t>
      </w:r>
      <w:r w:rsidR="00220F4A">
        <w:rPr>
          <w:rFonts w:ascii="Arial" w:eastAsia="Times New Roman" w:hAnsi="Arial" w:cs="Arial"/>
        </w:rPr>
        <w:t xml:space="preserve">, bet ne anksčiau </w:t>
      </w:r>
      <w:r w:rsidR="005E6460">
        <w:rPr>
          <w:rFonts w:ascii="Arial" w:eastAsia="Times New Roman" w:hAnsi="Arial" w:cs="Arial"/>
        </w:rPr>
        <w:t xml:space="preserve">nei </w:t>
      </w:r>
      <w:r w:rsidR="00044EE5">
        <w:rPr>
          <w:rFonts w:ascii="Arial" w:eastAsia="Times New Roman" w:hAnsi="Arial" w:cs="Arial"/>
        </w:rPr>
        <w:t xml:space="preserve">nuo </w:t>
      </w:r>
      <w:r w:rsidR="00DE45D6">
        <w:rPr>
          <w:rFonts w:ascii="Arial" w:eastAsia="Times New Roman" w:hAnsi="Arial" w:cs="Arial"/>
        </w:rPr>
        <w:t>2021 m. vasario 1</w:t>
      </w:r>
      <w:r w:rsidR="005E6460">
        <w:rPr>
          <w:rFonts w:ascii="Arial" w:eastAsia="Times New Roman" w:hAnsi="Arial" w:cs="Arial"/>
        </w:rPr>
        <w:t xml:space="preserve"> </w:t>
      </w:r>
      <w:r w:rsidR="00DE45D6">
        <w:rPr>
          <w:rFonts w:ascii="Arial" w:eastAsia="Times New Roman" w:hAnsi="Arial" w:cs="Arial"/>
        </w:rPr>
        <w:t>d.</w:t>
      </w:r>
    </w:p>
    <w:p w14:paraId="7DB1A35B" w14:textId="6A92973D" w:rsidR="005A7D31" w:rsidRPr="00257BCF" w:rsidRDefault="00107B19" w:rsidP="000F6BFD">
      <w:pPr>
        <w:spacing w:after="0" w:line="240" w:lineRule="auto"/>
        <w:ind w:firstLine="360"/>
        <w:jc w:val="both"/>
        <w:rPr>
          <w:rFonts w:ascii="Arial" w:eastAsia="Calibri" w:hAnsi="Arial" w:cs="Arial"/>
        </w:rPr>
      </w:pPr>
      <w:r w:rsidRPr="00257BCF">
        <w:rPr>
          <w:rFonts w:ascii="Arial" w:eastAsia="Calibri" w:hAnsi="Arial" w:cs="Arial"/>
        </w:rPr>
        <w:t>7</w:t>
      </w:r>
      <w:r w:rsidR="00540279" w:rsidRPr="00257BCF">
        <w:rPr>
          <w:rFonts w:ascii="Arial" w:eastAsia="Calibri" w:hAnsi="Arial" w:cs="Arial"/>
        </w:rPr>
        <w:t>.2. Sutartis galioja iki visiško prievolių įvykdymo</w:t>
      </w:r>
      <w:r w:rsidR="00A71334" w:rsidRPr="00257BCF">
        <w:rPr>
          <w:rFonts w:ascii="Arial" w:eastAsia="Calibri" w:hAnsi="Arial" w:cs="Arial"/>
          <w:i/>
        </w:rPr>
        <w:t>,</w:t>
      </w:r>
      <w:r w:rsidR="00540279" w:rsidRPr="00257BCF">
        <w:rPr>
          <w:rFonts w:ascii="Arial" w:eastAsia="Calibri" w:hAnsi="Arial" w:cs="Arial"/>
        </w:rPr>
        <w:t xml:space="preserve"> bet jos terminas negali būti ilgesnis kaip </w:t>
      </w:r>
      <w:r w:rsidR="00A71334" w:rsidRPr="00257BCF">
        <w:rPr>
          <w:rFonts w:ascii="Arial" w:eastAsia="Calibri" w:hAnsi="Arial" w:cs="Arial"/>
        </w:rPr>
        <w:t xml:space="preserve"> </w:t>
      </w:r>
      <w:r w:rsidR="00C710F4" w:rsidRPr="00257BCF">
        <w:rPr>
          <w:rFonts w:ascii="Arial" w:eastAsia="Calibri" w:hAnsi="Arial" w:cs="Arial"/>
        </w:rPr>
        <w:t>1</w:t>
      </w:r>
      <w:r w:rsidR="00D97D82" w:rsidRPr="00257BCF">
        <w:rPr>
          <w:rFonts w:ascii="Arial" w:eastAsia="Calibri" w:hAnsi="Arial" w:cs="Arial"/>
        </w:rPr>
        <w:t>3</w:t>
      </w:r>
      <w:r w:rsidR="00A71334" w:rsidRPr="00257BCF">
        <w:rPr>
          <w:rFonts w:ascii="Arial" w:eastAsia="Calibri" w:hAnsi="Arial" w:cs="Arial"/>
        </w:rPr>
        <w:t xml:space="preserve"> (</w:t>
      </w:r>
      <w:r w:rsidR="00D97D82" w:rsidRPr="00257BCF">
        <w:rPr>
          <w:rFonts w:ascii="Arial" w:eastAsia="Calibri" w:hAnsi="Arial" w:cs="Arial"/>
        </w:rPr>
        <w:t>trylika</w:t>
      </w:r>
      <w:r w:rsidR="00A71334" w:rsidRPr="00257BCF">
        <w:rPr>
          <w:rFonts w:ascii="Arial" w:eastAsia="Calibri" w:hAnsi="Arial" w:cs="Arial"/>
        </w:rPr>
        <w:t>) mėnesi</w:t>
      </w:r>
      <w:r w:rsidR="00C710F4" w:rsidRPr="00257BCF">
        <w:rPr>
          <w:rFonts w:ascii="Arial" w:eastAsia="Calibri" w:hAnsi="Arial" w:cs="Arial"/>
        </w:rPr>
        <w:t>ų</w:t>
      </w:r>
      <w:r w:rsidR="00A71334" w:rsidRPr="00257BCF">
        <w:rPr>
          <w:rFonts w:ascii="Arial" w:eastAsia="Calibri" w:hAnsi="Arial" w:cs="Arial"/>
        </w:rPr>
        <w:t xml:space="preserve"> nuo Sutarties įsigaliojimo</w:t>
      </w:r>
      <w:r w:rsidR="00540279" w:rsidRPr="00257BCF">
        <w:rPr>
          <w:rFonts w:ascii="Arial" w:eastAsia="Calibri" w:hAnsi="Arial" w:cs="Arial"/>
          <w:i/>
        </w:rPr>
        <w:t>.</w:t>
      </w:r>
      <w:r w:rsidR="00A71334" w:rsidRPr="00257BCF">
        <w:rPr>
          <w:rFonts w:ascii="Arial" w:eastAsia="Calibri" w:hAnsi="Arial" w:cs="Arial"/>
        </w:rPr>
        <w:t xml:space="preserve"> </w:t>
      </w:r>
      <w:r w:rsidRPr="00257BCF">
        <w:rPr>
          <w:rFonts w:ascii="Arial" w:eastAsia="Calibri" w:hAnsi="Arial" w:cs="Arial"/>
        </w:rPr>
        <w:t>Apmokėjimo terminas įskaičiuotas į Sutarties galiojimo terminą.</w:t>
      </w:r>
      <w:r w:rsidR="00FC1D43" w:rsidRPr="00257BCF">
        <w:rPr>
          <w:rFonts w:ascii="Arial" w:hAnsi="Arial" w:cs="Arial"/>
        </w:rPr>
        <w:t xml:space="preserve"> </w:t>
      </w:r>
    </w:p>
    <w:p w14:paraId="57A6F20A" w14:textId="77777777" w:rsidR="005A7D31" w:rsidRPr="00257BCF" w:rsidRDefault="005A7D31" w:rsidP="00AE77BD">
      <w:pPr>
        <w:spacing w:after="0" w:line="240" w:lineRule="auto"/>
        <w:jc w:val="both"/>
        <w:rPr>
          <w:rFonts w:ascii="Arial" w:eastAsia="Calibri" w:hAnsi="Arial" w:cs="Arial"/>
        </w:rPr>
      </w:pPr>
    </w:p>
    <w:p w14:paraId="35745D6A" w14:textId="334AA328" w:rsidR="00223E3F" w:rsidRPr="00257BCF" w:rsidRDefault="0030692A" w:rsidP="00107B19">
      <w:pPr>
        <w:spacing w:after="0" w:line="240" w:lineRule="auto"/>
        <w:ind w:firstLine="360"/>
        <w:jc w:val="center"/>
        <w:rPr>
          <w:rFonts w:ascii="Arial" w:hAnsi="Arial" w:cs="Arial"/>
          <w:b/>
        </w:rPr>
      </w:pPr>
      <w:r w:rsidRPr="00257BCF">
        <w:rPr>
          <w:rFonts w:ascii="Arial" w:hAnsi="Arial" w:cs="Arial"/>
          <w:b/>
        </w:rPr>
        <w:t>8</w:t>
      </w:r>
      <w:r w:rsidR="00223E3F" w:rsidRPr="00257BCF">
        <w:rPr>
          <w:rFonts w:ascii="Arial" w:hAnsi="Arial" w:cs="Arial"/>
          <w:b/>
        </w:rPr>
        <w:t>. KITOS NUOSTATOS</w:t>
      </w:r>
    </w:p>
    <w:p w14:paraId="1493ABF9" w14:textId="77777777" w:rsidR="005E6460" w:rsidRPr="00BA6013" w:rsidRDefault="005E6460" w:rsidP="005E6460">
      <w:pPr>
        <w:spacing w:after="0" w:line="240" w:lineRule="auto"/>
        <w:ind w:firstLine="360"/>
        <w:jc w:val="both"/>
        <w:rPr>
          <w:rFonts w:asciiTheme="minorBidi" w:hAnsiTheme="minorBidi"/>
        </w:rPr>
      </w:pPr>
      <w:r w:rsidRPr="00BA6013">
        <w:rPr>
          <w:rFonts w:asciiTheme="minorBidi" w:hAnsiTheme="minorBidi"/>
        </w:rPr>
        <w:t xml:space="preserve">8.1. Šią Sutartį sudaro Sutarties Specialiosios sąlygos, jų priedai ir Sutarties Bendrosios sąlygos. </w:t>
      </w:r>
      <w:r w:rsidRPr="00BA6013">
        <w:rPr>
          <w:rFonts w:asciiTheme="minorBidi" w:hAnsiTheme="minorBidi"/>
          <w:bCs/>
          <w:spacing w:val="-2"/>
        </w:rPr>
        <w:t xml:space="preserve">Laikoma, kad Sutartį sudarantys dokumentai vienas kitą paaiškina. </w:t>
      </w:r>
      <w:r w:rsidRPr="00BA601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Pr="00BA6013">
        <w:rPr>
          <w:rFonts w:asciiTheme="minorBidi" w:hAnsiTheme="minorBid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00393239" w14:textId="77777777" w:rsidR="005E6460" w:rsidRPr="00BA6013" w:rsidRDefault="005E6460" w:rsidP="005E6460">
      <w:pPr>
        <w:spacing w:after="0" w:line="240" w:lineRule="auto"/>
        <w:ind w:firstLine="360"/>
        <w:jc w:val="both"/>
        <w:rPr>
          <w:rFonts w:asciiTheme="minorBidi" w:hAnsiTheme="minorBidi"/>
          <w:lang w:eastAsia="x-none"/>
        </w:rPr>
      </w:pPr>
      <w:r w:rsidRPr="00BA6013">
        <w:rPr>
          <w:rFonts w:asciiTheme="minorBidi" w:hAnsiTheme="minorBidi"/>
        </w:rPr>
        <w:t xml:space="preserve">8.2. </w:t>
      </w:r>
      <w:r w:rsidRPr="00BA6013">
        <w:rPr>
          <w:rFonts w:asciiTheme="minorBidi" w:hAnsiTheme="minorBid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2D48621D" w14:textId="77777777" w:rsidR="005E6460" w:rsidRPr="00BA6013" w:rsidRDefault="005E6460" w:rsidP="005E6460">
      <w:pPr>
        <w:spacing w:after="0"/>
        <w:ind w:firstLine="360"/>
        <w:jc w:val="both"/>
        <w:rPr>
          <w:rFonts w:asciiTheme="minorBidi" w:hAnsiTheme="minorBidi"/>
        </w:rPr>
      </w:pPr>
      <w:r w:rsidRPr="00BA6013">
        <w:rPr>
          <w:rFonts w:asciiTheme="minorBidi" w:hAnsiTheme="minorBidi"/>
        </w:rPr>
        <w:t xml:space="preserve">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w:t>
      </w:r>
      <w:r w:rsidRPr="00BA6013">
        <w:rPr>
          <w:rFonts w:asciiTheme="minorBidi" w:hAnsiTheme="minorBidi"/>
        </w:rPr>
        <w:lastRenderedPageBreak/>
        <w:t>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CE8CF39" w14:textId="77777777" w:rsidR="005E6460" w:rsidRPr="00BA6013" w:rsidRDefault="005E6460" w:rsidP="005E6460">
      <w:pPr>
        <w:spacing w:after="0"/>
        <w:ind w:firstLine="360"/>
        <w:jc w:val="both"/>
        <w:rPr>
          <w:rFonts w:asciiTheme="minorBidi" w:hAnsiTheme="minorBidi"/>
        </w:rPr>
      </w:pPr>
      <w:r w:rsidRPr="00BA6013">
        <w:rPr>
          <w:rFonts w:asciiTheme="minorBidi" w:hAnsiTheme="minorBid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A6013">
        <w:rPr>
          <w:rFonts w:asciiTheme="minorBidi" w:hAnsiTheme="minorBidi"/>
        </w:rPr>
        <w:t>os</w:t>
      </w:r>
      <w:proofErr w:type="spellEnd"/>
      <w:r w:rsidRPr="00BA6013">
        <w:rPr>
          <w:rFonts w:asciiTheme="minorBidi" w:hAnsiTheme="minorBid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1A629A05" w14:textId="77777777" w:rsidR="005E6460" w:rsidRPr="00BA6013" w:rsidRDefault="005E6460" w:rsidP="005E6460">
      <w:pPr>
        <w:shd w:val="clear" w:color="auto" w:fill="FFFFFF"/>
        <w:spacing w:after="0"/>
        <w:ind w:firstLine="360"/>
        <w:jc w:val="both"/>
        <w:rPr>
          <w:rFonts w:asciiTheme="minorBidi" w:hAnsiTheme="minorBidi"/>
        </w:rPr>
      </w:pPr>
      <w:r w:rsidRPr="00BA6013">
        <w:rPr>
          <w:rFonts w:asciiTheme="minorBidi" w:hAnsiTheme="minorBid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3BB8343" w14:textId="77777777" w:rsidR="005E6460" w:rsidRPr="00BA6013" w:rsidRDefault="005E6460" w:rsidP="005E6460">
      <w:pPr>
        <w:spacing w:after="0"/>
        <w:ind w:firstLine="360"/>
        <w:jc w:val="both"/>
        <w:rPr>
          <w:rFonts w:asciiTheme="minorBidi" w:hAnsiTheme="minorBidi"/>
        </w:rPr>
      </w:pPr>
      <w:r w:rsidRPr="00BA6013">
        <w:rPr>
          <w:rFonts w:asciiTheme="minorBidi" w:hAnsiTheme="minorBid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BA78C30" w14:textId="53C10D3E" w:rsidR="005E6460" w:rsidRPr="00BA6013" w:rsidRDefault="005E6460" w:rsidP="005E6460">
      <w:pPr>
        <w:spacing w:after="0" w:line="240" w:lineRule="auto"/>
        <w:ind w:firstLine="360"/>
        <w:jc w:val="both"/>
        <w:rPr>
          <w:rFonts w:asciiTheme="minorBidi" w:hAnsiTheme="minorBidi"/>
          <w:spacing w:val="-5"/>
        </w:rPr>
      </w:pPr>
      <w:r w:rsidRPr="00BA6013">
        <w:rPr>
          <w:rFonts w:asciiTheme="minorBidi" w:hAnsiTheme="minorBidi"/>
        </w:rPr>
        <w:t>8.</w:t>
      </w:r>
      <w:r>
        <w:rPr>
          <w:rFonts w:asciiTheme="minorBidi" w:hAnsiTheme="minorBidi"/>
        </w:rPr>
        <w:t>4</w:t>
      </w:r>
      <w:r w:rsidRPr="00BA6013">
        <w:rPr>
          <w:rFonts w:asciiTheme="minorBidi" w:hAnsiTheme="minorBidi"/>
        </w:rPr>
        <w:t xml:space="preserve">. </w:t>
      </w:r>
      <w:r w:rsidRPr="00BA6013">
        <w:rPr>
          <w:rFonts w:asciiTheme="minorBidi" w:hAnsiTheme="minorBidi"/>
          <w:spacing w:val="-5"/>
        </w:rPr>
        <w:t>Paslaugų teikėjas</w:t>
      </w:r>
      <w:permStart w:id="1541021786" w:edGrp="everyone"/>
      <w:r w:rsidR="00BA0E6C">
        <w:rPr>
          <w:rFonts w:asciiTheme="minorBidi" w:hAnsiTheme="minorBidi"/>
          <w:spacing w:val="-5"/>
        </w:rPr>
        <w:t xml:space="preserve"> </w:t>
      </w:r>
      <w:r w:rsidRPr="00BA6013">
        <w:rPr>
          <w:rFonts w:asciiTheme="minorBidi" w:hAnsiTheme="minorBidi"/>
          <w:spacing w:val="-5"/>
        </w:rPr>
        <w:t xml:space="preserve">nėra </w:t>
      </w:r>
      <w:permEnd w:id="1541021786"/>
      <w:r w:rsidRPr="00BA6013">
        <w:rPr>
          <w:rFonts w:asciiTheme="minorBidi" w:hAnsiTheme="minorBidi"/>
          <w:spacing w:val="-5"/>
        </w:rPr>
        <w:t xml:space="preserve">laikomas asocijuotu su </w:t>
      </w:r>
      <w:r w:rsidRPr="00BA6013">
        <w:rPr>
          <w:rFonts w:asciiTheme="minorBidi" w:hAnsiTheme="minorBidi"/>
        </w:rPr>
        <w:t xml:space="preserve">Užsakovu </w:t>
      </w:r>
      <w:r w:rsidRPr="00BA6013">
        <w:rPr>
          <w:rFonts w:asciiTheme="minorBidi" w:hAnsiTheme="minorBidi"/>
          <w:spacing w:val="-5"/>
        </w:rPr>
        <w:t>pagal galiojančius Lietuvos Respublikos teisės aktus (Pridėtinės vertės mokesčio įstatymą, Pelno mokesčio įstatymą, Gyventojų pajamų mokesčio įstatymą).</w:t>
      </w:r>
    </w:p>
    <w:p w14:paraId="45B9E807" w14:textId="2F4ECBFC" w:rsidR="005E6460" w:rsidRPr="00BA6013" w:rsidRDefault="005E6460" w:rsidP="005E6460">
      <w:pPr>
        <w:spacing w:after="0" w:line="240" w:lineRule="auto"/>
        <w:ind w:firstLine="360"/>
        <w:jc w:val="both"/>
        <w:rPr>
          <w:rFonts w:asciiTheme="minorBidi" w:hAnsiTheme="minorBidi"/>
        </w:rPr>
      </w:pPr>
      <w:r w:rsidRPr="00BA6013">
        <w:rPr>
          <w:rFonts w:asciiTheme="minorBidi" w:hAnsiTheme="minorBidi"/>
          <w:spacing w:val="-5"/>
        </w:rPr>
        <w:t>8.</w:t>
      </w:r>
      <w:r>
        <w:rPr>
          <w:rFonts w:asciiTheme="minorBidi" w:hAnsiTheme="minorBidi"/>
          <w:spacing w:val="-5"/>
        </w:rPr>
        <w:t>5</w:t>
      </w:r>
      <w:r w:rsidRPr="00BA6013">
        <w:rPr>
          <w:rFonts w:asciiTheme="minorBidi" w:hAnsiTheme="minorBidi"/>
          <w:spacing w:val="-5"/>
        </w:rPr>
        <w:t>. Paslaugų teikėjas</w:t>
      </w:r>
      <w:r w:rsidRPr="00BA6013">
        <w:rPr>
          <w:rFonts w:asciiTheme="minorBidi" w:hAnsiTheme="minorBidi"/>
        </w:rPr>
        <w:t xml:space="preserve"> </w:t>
      </w:r>
      <w:permStart w:id="1854635602" w:edGrp="everyone"/>
      <w:r w:rsidRPr="00BA6013">
        <w:rPr>
          <w:rFonts w:asciiTheme="minorBidi" w:hAnsiTheme="minorBidi"/>
        </w:rPr>
        <w:t>yra</w:t>
      </w:r>
      <w:r w:rsidRPr="00BA6013">
        <w:rPr>
          <w:rFonts w:asciiTheme="minorBidi" w:hAnsiTheme="minorBidi"/>
          <w:spacing w:val="-5"/>
        </w:rPr>
        <w:t xml:space="preserve"> </w:t>
      </w:r>
      <w:permEnd w:id="1854635602"/>
      <w:r w:rsidRPr="00BA6013">
        <w:rPr>
          <w:rFonts w:asciiTheme="minorBidi" w:hAnsiTheme="minorBidi"/>
        </w:rPr>
        <w:t xml:space="preserve">registruotas PVM mokėtoju Lietuvos Respublikoje. </w:t>
      </w:r>
    </w:p>
    <w:p w14:paraId="08071F2D" w14:textId="77777777" w:rsidR="005E6460" w:rsidRPr="00034D14" w:rsidRDefault="005E6460" w:rsidP="005E6460">
      <w:pPr>
        <w:tabs>
          <w:tab w:val="left" w:pos="0"/>
        </w:tabs>
        <w:spacing w:after="0" w:line="240" w:lineRule="auto"/>
        <w:ind w:firstLine="426"/>
        <w:jc w:val="both"/>
        <w:rPr>
          <w:rFonts w:ascii="Arial" w:hAnsi="Arial" w:cs="Arial"/>
          <w:spacing w:val="-5"/>
        </w:rPr>
      </w:pPr>
      <w:r w:rsidRPr="00BA6013">
        <w:rPr>
          <w:rFonts w:asciiTheme="minorBidi" w:hAnsiTheme="minorBidi"/>
          <w:color w:val="000000"/>
        </w:rPr>
        <w:t>8.</w:t>
      </w:r>
      <w:r>
        <w:rPr>
          <w:rFonts w:asciiTheme="minorBidi" w:hAnsiTheme="minorBidi"/>
          <w:color w:val="000000"/>
        </w:rPr>
        <w:t>6</w:t>
      </w:r>
      <w:r w:rsidRPr="00BA6013">
        <w:rPr>
          <w:rFonts w:asciiTheme="minorBidi" w:hAnsiTheme="minorBidi"/>
          <w:color w:val="000000"/>
        </w:rPr>
        <w:t xml:space="preserve">. Sutartis laikoma neteisėta ir negaliojančia, jei paaiškėjo, kad, vadovaujantis Lietuvos Respublikos nacionaliniam saugumui užtikrinti svarbių objektų apsaugos įstatymo nuostatomis, Sutartis </w:t>
      </w:r>
      <w:r w:rsidRPr="00034D14">
        <w:rPr>
          <w:rFonts w:asciiTheme="minorBidi" w:hAnsiTheme="minorBidi"/>
          <w:color w:val="000000"/>
        </w:rPr>
        <w:t xml:space="preserve">neatitinka nacionalinio saugumo interesų. Tokios Sutarties negaliojimo momentas nustatomas </w:t>
      </w:r>
      <w:r w:rsidRPr="00034D14">
        <w:rPr>
          <w:rFonts w:ascii="Arial" w:hAnsi="Arial" w:cs="Arial"/>
          <w:color w:val="000000"/>
        </w:rPr>
        <w:t>vadovaujantis minėtu įstatymu.</w:t>
      </w:r>
    </w:p>
    <w:p w14:paraId="1443B188" w14:textId="77777777" w:rsidR="005E6460" w:rsidRPr="00034D14" w:rsidRDefault="005E6460" w:rsidP="005E6460">
      <w:pPr>
        <w:spacing w:after="0" w:line="240" w:lineRule="auto"/>
        <w:ind w:firstLine="360"/>
        <w:jc w:val="both"/>
        <w:rPr>
          <w:rFonts w:ascii="Arial" w:hAnsi="Arial" w:cs="Arial"/>
          <w:lang w:eastAsia="x-none"/>
        </w:rPr>
      </w:pPr>
      <w:r w:rsidRPr="00034D14">
        <w:rPr>
          <w:rFonts w:ascii="Arial" w:hAnsi="Arial" w:cs="Arial"/>
          <w:lang w:eastAsia="x-none"/>
        </w:rPr>
        <w:t xml:space="preserve">8.7. Ši Sutartis sudaryta lietuvių kalba 2 (dviem) egzemplioriais, turinčiais vienodą teisinę galią, po vieną kiekvienai Šaliai. </w:t>
      </w:r>
    </w:p>
    <w:p w14:paraId="401BAE2A" w14:textId="3AA98588" w:rsidR="00034D14" w:rsidRPr="00034D14" w:rsidRDefault="005E6460" w:rsidP="00034D14">
      <w:pPr>
        <w:spacing w:after="0" w:line="240" w:lineRule="auto"/>
        <w:ind w:firstLine="360"/>
        <w:jc w:val="both"/>
        <w:rPr>
          <w:rFonts w:ascii="Arial" w:hAnsi="Arial" w:cs="Arial"/>
          <w:i/>
          <w:lang w:eastAsia="x-none"/>
        </w:rPr>
      </w:pPr>
      <w:r w:rsidRPr="00034D14">
        <w:rPr>
          <w:rFonts w:ascii="Arial" w:hAnsi="Arial" w:cs="Arial"/>
          <w:lang w:eastAsia="x-none"/>
        </w:rPr>
        <w:t xml:space="preserve">8.8. Šiai Sutarčiai netaikomos Sutarties Bendrųjų sąlygų 6 skyriaus 6.2.2 – 6.2.4, 6.4 – </w:t>
      </w:r>
      <w:r w:rsidR="00E90CA8">
        <w:rPr>
          <w:rFonts w:ascii="Arial" w:hAnsi="Arial" w:cs="Arial"/>
          <w:lang w:eastAsia="x-none"/>
        </w:rPr>
        <w:t xml:space="preserve">6.7. ir 6.9. - </w:t>
      </w:r>
      <w:r w:rsidRPr="00034D14">
        <w:rPr>
          <w:rFonts w:ascii="Arial" w:hAnsi="Arial" w:cs="Arial"/>
          <w:lang w:eastAsia="x-none"/>
        </w:rPr>
        <w:t>6.11 punktų, 8</w:t>
      </w:r>
      <w:r w:rsidR="00C2196B">
        <w:rPr>
          <w:rFonts w:ascii="Arial" w:hAnsi="Arial" w:cs="Arial"/>
          <w:lang w:eastAsia="x-none"/>
        </w:rPr>
        <w:t>.</w:t>
      </w:r>
      <w:r w:rsidRPr="00034D14">
        <w:rPr>
          <w:rFonts w:ascii="Arial" w:hAnsi="Arial" w:cs="Arial"/>
          <w:lang w:eastAsia="x-none"/>
        </w:rPr>
        <w:t>5 punkto, 9</w:t>
      </w:r>
      <w:r w:rsidR="00C2196B">
        <w:rPr>
          <w:rFonts w:ascii="Arial" w:hAnsi="Arial" w:cs="Arial"/>
          <w:lang w:eastAsia="x-none"/>
        </w:rPr>
        <w:t>.</w:t>
      </w:r>
      <w:r w:rsidRPr="00034D14">
        <w:rPr>
          <w:rFonts w:ascii="Arial" w:hAnsi="Arial" w:cs="Arial"/>
          <w:lang w:eastAsia="x-none"/>
        </w:rPr>
        <w:t>2 punkto, 15 skyriaus, 16</w:t>
      </w:r>
      <w:r w:rsidR="00C2196B">
        <w:rPr>
          <w:rFonts w:ascii="Arial" w:hAnsi="Arial" w:cs="Arial"/>
          <w:lang w:eastAsia="x-none"/>
        </w:rPr>
        <w:t>.</w:t>
      </w:r>
      <w:r w:rsidRPr="00034D14">
        <w:rPr>
          <w:rFonts w:ascii="Arial" w:hAnsi="Arial" w:cs="Arial"/>
          <w:lang w:eastAsia="x-none"/>
        </w:rPr>
        <w:t>3.7</w:t>
      </w:r>
      <w:r w:rsidR="00C2196B">
        <w:rPr>
          <w:rFonts w:ascii="Arial" w:hAnsi="Arial" w:cs="Arial"/>
          <w:lang w:eastAsia="x-none"/>
        </w:rPr>
        <w:t xml:space="preserve"> ir 16.</w:t>
      </w:r>
      <w:r w:rsidRPr="00034D14">
        <w:rPr>
          <w:rFonts w:ascii="Arial" w:hAnsi="Arial" w:cs="Arial"/>
          <w:lang w:eastAsia="x-none"/>
        </w:rPr>
        <w:t>8 punktų  nuostatos.</w:t>
      </w:r>
    </w:p>
    <w:p w14:paraId="1BFF488C" w14:textId="36D79858" w:rsidR="00034D14" w:rsidRPr="00034D14" w:rsidRDefault="00034D14" w:rsidP="00034D14">
      <w:pPr>
        <w:spacing w:after="0" w:line="240" w:lineRule="auto"/>
        <w:ind w:firstLine="360"/>
        <w:jc w:val="both"/>
        <w:rPr>
          <w:rFonts w:ascii="Arial" w:hAnsi="Arial" w:cs="Arial"/>
          <w:i/>
          <w:lang w:eastAsia="x-none"/>
        </w:rPr>
      </w:pPr>
      <w:r w:rsidRPr="00034D14">
        <w:rPr>
          <w:rFonts w:ascii="Arial" w:eastAsia="Times New Roman" w:hAnsi="Arial" w:cs="Arial"/>
          <w:noProof/>
        </w:rPr>
        <w:t>8.</w:t>
      </w:r>
      <w:r>
        <w:rPr>
          <w:rFonts w:ascii="Arial" w:eastAsia="Times New Roman" w:hAnsi="Arial" w:cs="Arial"/>
          <w:noProof/>
        </w:rPr>
        <w:t>9</w:t>
      </w:r>
      <w:r w:rsidRPr="00034D14">
        <w:rPr>
          <w:rFonts w:ascii="Arial" w:eastAsia="Times New Roman" w:hAnsi="Arial" w:cs="Arial"/>
          <w:noProof/>
        </w:rPr>
        <w:t>. Šalys susitaria pakeisti nurodytą (-us) Sutarties Bendrųjų sąlygų punktą (-us) ir išdėstyti jį (juos) nauja redakcija:</w:t>
      </w:r>
    </w:p>
    <w:p w14:paraId="7191D0DB" w14:textId="716A4B68" w:rsidR="00034D14" w:rsidRPr="00034D14" w:rsidRDefault="00034D14" w:rsidP="00034D14">
      <w:pPr>
        <w:spacing w:after="0" w:line="240" w:lineRule="auto"/>
        <w:ind w:firstLine="360"/>
        <w:jc w:val="both"/>
        <w:rPr>
          <w:rFonts w:ascii="Arial" w:hAnsi="Arial" w:cs="Arial"/>
          <w:i/>
          <w:lang w:eastAsia="x-none"/>
        </w:rPr>
      </w:pPr>
      <w:r w:rsidRPr="00034D14">
        <w:rPr>
          <w:rFonts w:ascii="Arial" w:eastAsia="Times New Roman" w:hAnsi="Arial" w:cs="Arial"/>
          <w:noProof/>
        </w:rPr>
        <w:t>8.</w:t>
      </w:r>
      <w:r>
        <w:rPr>
          <w:rFonts w:ascii="Arial" w:eastAsia="Times New Roman" w:hAnsi="Arial" w:cs="Arial"/>
          <w:noProof/>
        </w:rPr>
        <w:t>9</w:t>
      </w:r>
      <w:r w:rsidRPr="00034D14">
        <w:rPr>
          <w:rFonts w:ascii="Arial" w:eastAsia="Times New Roman" w:hAnsi="Arial" w:cs="Arial"/>
          <w:noProof/>
        </w:rPr>
        <w:t xml:space="preserve">.2. „16.3.4. kai paaiškėjo, kad Paslaugų teikėjas turėjo būti pašalintas iš pirkimo procedūros </w:t>
      </w:r>
      <w:r w:rsidRPr="00034D14">
        <w:rPr>
          <w:rFonts w:ascii="Arial" w:eastAsia="Times New Roman" w:hAnsi="Arial" w:cs="Arial"/>
          <w:i/>
          <w:iCs/>
          <w:noProof/>
        </w:rPr>
        <w:t>mutatis mutandis</w:t>
      </w:r>
      <w:r w:rsidRPr="00034D14">
        <w:rPr>
          <w:rFonts w:ascii="Arial" w:eastAsia="Times New Roman" w:hAnsi="Arial" w:cs="Arial"/>
          <w:noProof/>
        </w:rPr>
        <w:t xml:space="preserve"> taikant Lietuvos Respublikos viešųjų pirkimų įstatymo (toliau – Viešųjų pirkimų įstatymas) 46 straipsnio 1 dalį.“.</w:t>
      </w:r>
    </w:p>
    <w:p w14:paraId="3B9B26D0" w14:textId="2AE037D1" w:rsidR="00034D14" w:rsidRPr="00034D14" w:rsidRDefault="00034D14" w:rsidP="00034D14">
      <w:pPr>
        <w:spacing w:after="0" w:line="240" w:lineRule="auto"/>
        <w:ind w:firstLine="360"/>
        <w:jc w:val="both"/>
        <w:rPr>
          <w:rFonts w:ascii="Arial" w:hAnsi="Arial" w:cs="Arial"/>
          <w:i/>
          <w:lang w:eastAsia="x-none"/>
        </w:rPr>
      </w:pPr>
      <w:r w:rsidRPr="00034D14">
        <w:rPr>
          <w:rFonts w:ascii="Arial" w:hAnsi="Arial" w:cs="Arial"/>
          <w:lang w:eastAsia="lt-LT"/>
        </w:rPr>
        <w:t>8.</w:t>
      </w:r>
      <w:r>
        <w:rPr>
          <w:rFonts w:ascii="Arial" w:hAnsi="Arial" w:cs="Arial"/>
          <w:lang w:eastAsia="lt-LT"/>
        </w:rPr>
        <w:t>9</w:t>
      </w:r>
      <w:r w:rsidRPr="00034D14">
        <w:rPr>
          <w:rFonts w:ascii="Arial" w:hAnsi="Arial" w:cs="Arial"/>
          <w:lang w:eastAsia="lt-LT"/>
        </w:rPr>
        <w:t xml:space="preserve">.3. „16.3.8. </w:t>
      </w:r>
      <w:bookmarkStart w:id="3" w:name="_Hlk486928989"/>
      <w:r w:rsidRPr="00034D14">
        <w:rPr>
          <w:rFonts w:ascii="Arial" w:hAnsi="Arial" w:cs="Arial"/>
          <w:lang w:eastAsia="lt-LT"/>
        </w:rPr>
        <w:t xml:space="preserve">kai Sutartis buvo pakeista pažeidžiant Viešųjų pirkimų įstatymo 89 straipsnį.“; </w:t>
      </w:r>
    </w:p>
    <w:p w14:paraId="6CFD2972" w14:textId="417DBE8F" w:rsidR="00034D14" w:rsidRPr="00034D14" w:rsidRDefault="00034D14" w:rsidP="00034D14">
      <w:pPr>
        <w:spacing w:after="0" w:line="240" w:lineRule="auto"/>
        <w:ind w:firstLine="360"/>
        <w:jc w:val="both"/>
        <w:rPr>
          <w:rFonts w:ascii="Arial" w:hAnsi="Arial" w:cs="Arial"/>
          <w:i/>
          <w:lang w:eastAsia="x-none"/>
        </w:rPr>
      </w:pPr>
      <w:r w:rsidRPr="00034D14">
        <w:rPr>
          <w:rFonts w:ascii="Arial" w:hAnsi="Arial" w:cs="Arial"/>
          <w:lang w:eastAsia="lt-LT"/>
        </w:rPr>
        <w:t>8.</w:t>
      </w:r>
      <w:r>
        <w:rPr>
          <w:rFonts w:ascii="Arial" w:hAnsi="Arial" w:cs="Arial"/>
          <w:lang w:eastAsia="lt-LT"/>
        </w:rPr>
        <w:t>9</w:t>
      </w:r>
      <w:r w:rsidRPr="00034D14">
        <w:rPr>
          <w:rFonts w:ascii="Arial" w:hAnsi="Arial" w:cs="Arial"/>
          <w:lang w:eastAsia="lt-LT"/>
        </w:rPr>
        <w:t xml:space="preserve">.4 „16.3.9. kai paaiškėjo, kad su </w:t>
      </w:r>
      <w:r w:rsidRPr="00034D14">
        <w:rPr>
          <w:rFonts w:ascii="Arial" w:hAnsi="Arial" w:cs="Arial"/>
        </w:rPr>
        <w:t>Paslaugų teikėju</w:t>
      </w:r>
      <w:r w:rsidRPr="00034D14">
        <w:rPr>
          <w:rFonts w:ascii="Arial"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034D14">
        <w:rPr>
          <w:rFonts w:ascii="Arial" w:hAnsi="Arial" w:cs="Arial"/>
        </w:rPr>
        <w:t>“.</w:t>
      </w:r>
      <w:bookmarkEnd w:id="3"/>
      <w:r w:rsidRPr="00034D14">
        <w:rPr>
          <w:rFonts w:ascii="Arial" w:eastAsia="Times New Roman" w:hAnsi="Arial" w:cs="Arial"/>
          <w:noProof/>
        </w:rPr>
        <w:t>“.</w:t>
      </w:r>
    </w:p>
    <w:p w14:paraId="4FD01A5A" w14:textId="5279D1E1" w:rsidR="005E6460" w:rsidRPr="00BA6013" w:rsidRDefault="005E6460" w:rsidP="005E6460">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034D14">
        <w:rPr>
          <w:rFonts w:asciiTheme="minorBidi" w:hAnsiTheme="minorBidi"/>
          <w:lang w:eastAsia="x-none"/>
        </w:rPr>
        <w:t>10</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7D8FD2CC" w14:textId="26758C5E" w:rsidR="005E6460" w:rsidRPr="00BA6013" w:rsidRDefault="005E6460" w:rsidP="005E6460">
      <w:pPr>
        <w:spacing w:after="0" w:line="240" w:lineRule="auto"/>
        <w:ind w:firstLine="360"/>
        <w:jc w:val="both"/>
        <w:rPr>
          <w:rFonts w:asciiTheme="minorBidi" w:hAnsiTheme="minorBidi"/>
          <w:lang w:eastAsia="x-none"/>
        </w:rPr>
      </w:pPr>
      <w:r w:rsidRPr="00BA6013">
        <w:rPr>
          <w:rFonts w:asciiTheme="minorBidi" w:hAnsiTheme="minorBidi"/>
          <w:lang w:eastAsia="x-none"/>
        </w:rPr>
        <w:t>8.1</w:t>
      </w:r>
      <w:r w:rsidR="00034D14">
        <w:rPr>
          <w:rFonts w:asciiTheme="minorBidi" w:hAnsiTheme="minorBidi"/>
          <w:lang w:eastAsia="x-none"/>
        </w:rPr>
        <w:t>1</w:t>
      </w:r>
      <w:r w:rsidRPr="00BA6013">
        <w:rPr>
          <w:rFonts w:asciiTheme="minorBidi" w:hAnsiTheme="minorBidi"/>
          <w:lang w:eastAsia="x-none"/>
        </w:rPr>
        <w:t>. Sutarties Specialiųjų sąlygų priedai:</w:t>
      </w:r>
    </w:p>
    <w:p w14:paraId="19EE9E29" w14:textId="0696ADA5" w:rsidR="00223E3F" w:rsidRPr="00257BCF" w:rsidRDefault="0030692A" w:rsidP="00223E3F">
      <w:pPr>
        <w:widowControl w:val="0"/>
        <w:spacing w:after="0" w:line="240" w:lineRule="auto"/>
        <w:ind w:firstLine="360"/>
        <w:jc w:val="both"/>
        <w:rPr>
          <w:rFonts w:ascii="Arial" w:hAnsi="Arial" w:cs="Arial"/>
        </w:rPr>
      </w:pPr>
      <w:r w:rsidRPr="00257BCF">
        <w:rPr>
          <w:rFonts w:ascii="Arial" w:hAnsi="Arial" w:cs="Arial"/>
        </w:rPr>
        <w:t>8</w:t>
      </w:r>
      <w:r w:rsidR="00223E3F" w:rsidRPr="00257BCF">
        <w:rPr>
          <w:rFonts w:ascii="Arial" w:hAnsi="Arial" w:cs="Arial"/>
        </w:rPr>
        <w:t>.</w:t>
      </w:r>
      <w:r w:rsidR="00BD3FFE" w:rsidRPr="00257BCF">
        <w:rPr>
          <w:rFonts w:ascii="Arial" w:hAnsi="Arial" w:cs="Arial"/>
        </w:rPr>
        <w:t>1</w:t>
      </w:r>
      <w:r w:rsidR="00034D14">
        <w:rPr>
          <w:rFonts w:ascii="Arial" w:hAnsi="Arial" w:cs="Arial"/>
        </w:rPr>
        <w:t>1</w:t>
      </w:r>
      <w:r w:rsidR="00223E3F" w:rsidRPr="00257BCF">
        <w:rPr>
          <w:rFonts w:ascii="Arial" w:hAnsi="Arial" w:cs="Arial"/>
        </w:rPr>
        <w:t xml:space="preserve">.1. Priedas Nr. 1 – </w:t>
      </w:r>
      <w:r w:rsidR="009D43E5" w:rsidRPr="00257BCF">
        <w:rPr>
          <w:rFonts w:ascii="Arial" w:hAnsi="Arial" w:cs="Arial"/>
          <w:color w:val="000000" w:themeColor="text1"/>
        </w:rPr>
        <w:t xml:space="preserve">„EDB </w:t>
      </w:r>
      <w:proofErr w:type="spellStart"/>
      <w:r w:rsidR="009D43E5" w:rsidRPr="00257BCF">
        <w:rPr>
          <w:rFonts w:ascii="Arial" w:hAnsi="Arial" w:cs="Arial"/>
          <w:color w:val="000000" w:themeColor="text1"/>
        </w:rPr>
        <w:t>Postgres</w:t>
      </w:r>
      <w:proofErr w:type="spellEnd"/>
      <w:r w:rsidR="009D43E5" w:rsidRPr="00257BCF">
        <w:rPr>
          <w:rFonts w:ascii="Arial" w:hAnsi="Arial" w:cs="Arial"/>
          <w:color w:val="000000" w:themeColor="text1"/>
        </w:rPr>
        <w:t xml:space="preserve"> </w:t>
      </w:r>
      <w:proofErr w:type="spellStart"/>
      <w:r w:rsidR="009D43E5" w:rsidRPr="00257BCF">
        <w:rPr>
          <w:rFonts w:ascii="Arial" w:hAnsi="Arial" w:cs="Arial"/>
          <w:color w:val="000000" w:themeColor="text1"/>
        </w:rPr>
        <w:t>Training</w:t>
      </w:r>
      <w:proofErr w:type="spellEnd"/>
      <w:r w:rsidR="009D43E5" w:rsidRPr="00257BCF">
        <w:rPr>
          <w:rFonts w:ascii="Arial" w:hAnsi="Arial" w:cs="Arial"/>
          <w:color w:val="000000" w:themeColor="text1"/>
        </w:rPr>
        <w:t>“ „</w:t>
      </w:r>
      <w:proofErr w:type="spellStart"/>
      <w:r w:rsidR="009D43E5" w:rsidRPr="00257BCF">
        <w:rPr>
          <w:rFonts w:ascii="Arial" w:hAnsi="Arial" w:cs="Arial"/>
          <w:color w:val="000000" w:themeColor="text1"/>
        </w:rPr>
        <w:t>eSubscription</w:t>
      </w:r>
      <w:proofErr w:type="spellEnd"/>
      <w:r w:rsidR="009D43E5" w:rsidRPr="00257BCF">
        <w:rPr>
          <w:rFonts w:ascii="Arial" w:hAnsi="Arial" w:cs="Arial"/>
          <w:color w:val="000000" w:themeColor="text1"/>
        </w:rPr>
        <w:t xml:space="preserve">“ mokymų prenumeratos </w:t>
      </w:r>
      <w:r w:rsidR="009372A7" w:rsidRPr="00257BCF">
        <w:rPr>
          <w:rFonts w:ascii="Arial" w:eastAsia="Calibri" w:hAnsi="Arial" w:cs="Arial"/>
        </w:rPr>
        <w:t>techninė specifikacija</w:t>
      </w:r>
      <w:r w:rsidR="00223E3F" w:rsidRPr="00257BCF">
        <w:rPr>
          <w:rFonts w:ascii="Arial" w:hAnsi="Arial" w:cs="Arial"/>
        </w:rPr>
        <w:t>;</w:t>
      </w:r>
    </w:p>
    <w:p w14:paraId="21424A97" w14:textId="0431F9CE" w:rsidR="000A3A1E" w:rsidRDefault="0030692A" w:rsidP="00A47842">
      <w:pPr>
        <w:widowControl w:val="0"/>
        <w:spacing w:after="0" w:line="240" w:lineRule="auto"/>
        <w:ind w:firstLine="360"/>
        <w:jc w:val="both"/>
        <w:rPr>
          <w:rFonts w:ascii="Arial" w:hAnsi="Arial" w:cs="Arial"/>
        </w:rPr>
      </w:pPr>
      <w:r w:rsidRPr="00257BCF">
        <w:rPr>
          <w:rFonts w:ascii="Arial" w:hAnsi="Arial" w:cs="Arial"/>
        </w:rPr>
        <w:t>8</w:t>
      </w:r>
      <w:r w:rsidR="00223E3F" w:rsidRPr="00257BCF">
        <w:rPr>
          <w:rFonts w:ascii="Arial" w:hAnsi="Arial" w:cs="Arial"/>
        </w:rPr>
        <w:t>.</w:t>
      </w:r>
      <w:r w:rsidR="00BD3FFE" w:rsidRPr="00257BCF">
        <w:rPr>
          <w:rFonts w:ascii="Arial" w:hAnsi="Arial" w:cs="Arial"/>
        </w:rPr>
        <w:t>1</w:t>
      </w:r>
      <w:r w:rsidR="00034D14">
        <w:rPr>
          <w:rFonts w:ascii="Arial" w:hAnsi="Arial" w:cs="Arial"/>
        </w:rPr>
        <w:t>1</w:t>
      </w:r>
      <w:r w:rsidR="00223E3F" w:rsidRPr="00257BCF">
        <w:rPr>
          <w:rFonts w:ascii="Arial" w:hAnsi="Arial" w:cs="Arial"/>
        </w:rPr>
        <w:t>.</w:t>
      </w:r>
      <w:r w:rsidR="00BD3FFE" w:rsidRPr="00257BCF">
        <w:rPr>
          <w:rFonts w:ascii="Arial" w:hAnsi="Arial" w:cs="Arial"/>
        </w:rPr>
        <w:t>2</w:t>
      </w:r>
      <w:r w:rsidR="00223E3F" w:rsidRPr="00257BCF">
        <w:rPr>
          <w:rFonts w:ascii="Arial" w:hAnsi="Arial" w:cs="Arial"/>
        </w:rPr>
        <w:t xml:space="preserve">. Priedas Nr. </w:t>
      </w:r>
      <w:r w:rsidR="00486C50" w:rsidRPr="00257BCF">
        <w:rPr>
          <w:rFonts w:ascii="Arial" w:hAnsi="Arial" w:cs="Arial"/>
        </w:rPr>
        <w:t>2</w:t>
      </w:r>
      <w:r w:rsidR="00223E3F" w:rsidRPr="00257BCF">
        <w:rPr>
          <w:rFonts w:ascii="Arial" w:hAnsi="Arial" w:cs="Arial"/>
        </w:rPr>
        <w:t xml:space="preserve"> - Paslaugų sutarties bendrosios sąlygos</w:t>
      </w:r>
      <w:r w:rsidR="00C2196B">
        <w:rPr>
          <w:rFonts w:ascii="Arial" w:hAnsi="Arial" w:cs="Arial"/>
        </w:rPr>
        <w:t>;</w:t>
      </w:r>
      <w:bookmarkStart w:id="4" w:name="_Hlk486857960"/>
    </w:p>
    <w:p w14:paraId="0B526875" w14:textId="6BB5C680" w:rsidR="00C2196B" w:rsidRPr="00257BCF" w:rsidRDefault="00C2196B" w:rsidP="00A47842">
      <w:pPr>
        <w:widowControl w:val="0"/>
        <w:spacing w:after="0" w:line="240" w:lineRule="auto"/>
        <w:ind w:firstLine="360"/>
        <w:jc w:val="both"/>
        <w:rPr>
          <w:rFonts w:ascii="Arial" w:hAnsi="Arial" w:cs="Arial"/>
        </w:rPr>
      </w:pPr>
      <w:r>
        <w:rPr>
          <w:rFonts w:ascii="Arial" w:hAnsi="Arial" w:cs="Arial"/>
        </w:rPr>
        <w:t>8.11.2. Priedas Nr. 3 – Paslaugų teikėjo pasiūlymas.</w:t>
      </w:r>
    </w:p>
    <w:p w14:paraId="7B03964E" w14:textId="7A392279" w:rsidR="000A3A1E" w:rsidRDefault="000A3A1E" w:rsidP="00B62295">
      <w:pPr>
        <w:spacing w:after="0" w:line="240" w:lineRule="auto"/>
        <w:ind w:firstLine="360"/>
        <w:jc w:val="center"/>
        <w:rPr>
          <w:rFonts w:ascii="Arial" w:eastAsia="Calibri" w:hAnsi="Arial" w:cs="Arial"/>
          <w:b/>
        </w:rPr>
      </w:pPr>
    </w:p>
    <w:p w14:paraId="766A6E8D" w14:textId="6C201B65" w:rsidR="00AE77BD" w:rsidRDefault="00AE77BD" w:rsidP="00B62295">
      <w:pPr>
        <w:spacing w:after="0" w:line="240" w:lineRule="auto"/>
        <w:ind w:firstLine="360"/>
        <w:jc w:val="center"/>
        <w:rPr>
          <w:rFonts w:ascii="Arial" w:eastAsia="Calibri" w:hAnsi="Arial" w:cs="Arial"/>
          <w:b/>
        </w:rPr>
      </w:pPr>
    </w:p>
    <w:p w14:paraId="26C7DB6B" w14:textId="19CDE227" w:rsidR="00AE77BD" w:rsidRDefault="00AE77BD" w:rsidP="00B62295">
      <w:pPr>
        <w:spacing w:after="0" w:line="240" w:lineRule="auto"/>
        <w:ind w:firstLine="360"/>
        <w:jc w:val="center"/>
        <w:rPr>
          <w:rFonts w:ascii="Arial" w:eastAsia="Calibri" w:hAnsi="Arial" w:cs="Arial"/>
          <w:b/>
        </w:rPr>
      </w:pPr>
    </w:p>
    <w:p w14:paraId="0A69AECA" w14:textId="13632CD7" w:rsidR="00E57505" w:rsidRDefault="00E57505" w:rsidP="00B62295">
      <w:pPr>
        <w:spacing w:after="0" w:line="240" w:lineRule="auto"/>
        <w:ind w:firstLine="360"/>
        <w:jc w:val="center"/>
        <w:rPr>
          <w:rFonts w:ascii="Arial" w:eastAsia="Calibri" w:hAnsi="Arial" w:cs="Arial"/>
          <w:b/>
        </w:rPr>
      </w:pPr>
    </w:p>
    <w:p w14:paraId="5EBBE315" w14:textId="6903988F" w:rsidR="00E57505" w:rsidRDefault="00E57505" w:rsidP="00B62295">
      <w:pPr>
        <w:spacing w:after="0" w:line="240" w:lineRule="auto"/>
        <w:ind w:firstLine="360"/>
        <w:jc w:val="center"/>
        <w:rPr>
          <w:rFonts w:ascii="Arial" w:eastAsia="Calibri" w:hAnsi="Arial" w:cs="Arial"/>
          <w:b/>
        </w:rPr>
      </w:pPr>
    </w:p>
    <w:p w14:paraId="4A00906C" w14:textId="77777777" w:rsidR="00E57505" w:rsidRPr="00257BCF" w:rsidRDefault="00E57505" w:rsidP="00B62295">
      <w:pPr>
        <w:spacing w:after="0" w:line="240" w:lineRule="auto"/>
        <w:ind w:firstLine="360"/>
        <w:jc w:val="center"/>
        <w:rPr>
          <w:rFonts w:ascii="Arial" w:eastAsia="Calibri" w:hAnsi="Arial" w:cs="Arial"/>
          <w:b/>
        </w:rPr>
      </w:pPr>
    </w:p>
    <w:p w14:paraId="368C59B0" w14:textId="78DAC42F" w:rsidR="000A3A1E" w:rsidRPr="00257BCF" w:rsidRDefault="0030692A" w:rsidP="000A3A1E">
      <w:pPr>
        <w:keepNext/>
        <w:spacing w:after="0" w:line="240" w:lineRule="auto"/>
        <w:ind w:firstLine="360"/>
        <w:jc w:val="center"/>
        <w:outlineLvl w:val="0"/>
        <w:rPr>
          <w:rFonts w:ascii="Arial" w:eastAsia="Calibri" w:hAnsi="Arial" w:cs="Arial"/>
          <w:b/>
        </w:rPr>
      </w:pPr>
      <w:r w:rsidRPr="00257BCF">
        <w:rPr>
          <w:rFonts w:ascii="Arial" w:eastAsia="Calibri" w:hAnsi="Arial" w:cs="Arial"/>
          <w:b/>
        </w:rPr>
        <w:lastRenderedPageBreak/>
        <w:t>9</w:t>
      </w:r>
      <w:r w:rsidR="000A3A1E" w:rsidRPr="00257BCF">
        <w:rPr>
          <w:rFonts w:ascii="Arial" w:eastAsia="Calibri" w:hAnsi="Arial" w:cs="Arial"/>
          <w:b/>
        </w:rPr>
        <w:t>. ŠALIŲ ADRESAI IR REKVIZITAI</w:t>
      </w:r>
    </w:p>
    <w:tbl>
      <w:tblPr>
        <w:tblW w:w="9852" w:type="dxa"/>
        <w:tblLayout w:type="fixed"/>
        <w:tblLook w:val="0000" w:firstRow="0" w:lastRow="0" w:firstColumn="0" w:lastColumn="0" w:noHBand="0" w:noVBand="0"/>
      </w:tblPr>
      <w:tblGrid>
        <w:gridCol w:w="5130"/>
        <w:gridCol w:w="4722"/>
      </w:tblGrid>
      <w:tr w:rsidR="000A3A1E" w:rsidRPr="00257BCF" w14:paraId="392AE2F6" w14:textId="77777777" w:rsidTr="006D4F0B">
        <w:trPr>
          <w:trHeight w:val="316"/>
        </w:trPr>
        <w:tc>
          <w:tcPr>
            <w:tcW w:w="5130" w:type="dxa"/>
            <w:shd w:val="clear" w:color="auto" w:fill="auto"/>
          </w:tcPr>
          <w:p w14:paraId="41597B72" w14:textId="0C48FD6D" w:rsidR="000A3A1E" w:rsidRPr="00257BCF" w:rsidRDefault="00C2196B" w:rsidP="006D4F0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Užsakovas</w:t>
            </w:r>
          </w:p>
          <w:p w14:paraId="20E19B55" w14:textId="03571A68" w:rsidR="000A3A1E" w:rsidRPr="00257BCF" w:rsidRDefault="000A3A1E" w:rsidP="006D4F0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57BCF">
              <w:rPr>
                <w:rFonts w:ascii="Arial" w:eastAsia="Times New Roman" w:hAnsi="Arial" w:cs="Arial"/>
                <w:b/>
                <w:bCs/>
                <w:iCs/>
                <w:lang w:eastAsia="ar-SA"/>
              </w:rPr>
              <w:t>AB „</w:t>
            </w:r>
            <w:r w:rsidR="003A6C4E" w:rsidRPr="00257BCF">
              <w:rPr>
                <w:rFonts w:ascii="Arial" w:eastAsia="Times New Roman" w:hAnsi="Arial" w:cs="Arial"/>
                <w:b/>
                <w:bCs/>
                <w:iCs/>
                <w:lang w:eastAsia="ar-SA"/>
              </w:rPr>
              <w:t>Lietuvos geležinkeliai</w:t>
            </w:r>
            <w:r w:rsidRPr="00257BCF">
              <w:rPr>
                <w:rFonts w:ascii="Arial" w:eastAsia="Times New Roman" w:hAnsi="Arial" w:cs="Arial"/>
                <w:b/>
                <w:bCs/>
                <w:iCs/>
                <w:lang w:eastAsia="ar-SA"/>
              </w:rPr>
              <w:t>“</w:t>
            </w:r>
          </w:p>
        </w:tc>
        <w:tc>
          <w:tcPr>
            <w:tcW w:w="4722" w:type="dxa"/>
            <w:shd w:val="clear" w:color="auto" w:fill="auto"/>
          </w:tcPr>
          <w:p w14:paraId="0A10DA55" w14:textId="672EEACE" w:rsidR="000A3A1E" w:rsidRPr="00257BCF" w:rsidRDefault="00C2196B" w:rsidP="006D4F0B">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Paslaugų teikėjas</w:t>
            </w:r>
          </w:p>
          <w:p w14:paraId="4394A92C" w14:textId="2C6A2CD8" w:rsidR="000A3A1E" w:rsidRPr="00820486" w:rsidRDefault="00820486" w:rsidP="006D4F0B">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820486">
              <w:rPr>
                <w:rFonts w:ascii="Arial" w:eastAsia="Times New Roman" w:hAnsi="Arial" w:cs="Arial"/>
                <w:b/>
                <w:iCs/>
                <w:lang w:eastAsia="ar-SA"/>
              </w:rPr>
              <w:t xml:space="preserve">UAB „BAIP“ </w:t>
            </w:r>
          </w:p>
        </w:tc>
      </w:tr>
      <w:tr w:rsidR="000A3A1E" w:rsidRPr="00257BCF" w14:paraId="446BF143" w14:textId="77777777" w:rsidTr="006D4F0B">
        <w:trPr>
          <w:trHeight w:val="629"/>
        </w:trPr>
        <w:tc>
          <w:tcPr>
            <w:tcW w:w="5130" w:type="dxa"/>
            <w:shd w:val="clear" w:color="auto" w:fill="auto"/>
          </w:tcPr>
          <w:p w14:paraId="3D51D960" w14:textId="74296C86" w:rsidR="000A3A1E" w:rsidRPr="00257BCF" w:rsidRDefault="000A3A1E" w:rsidP="006D4F0B">
            <w:pPr>
              <w:tabs>
                <w:tab w:val="left" w:pos="3060"/>
              </w:tabs>
              <w:suppressAutoHyphens/>
              <w:spacing w:after="0" w:line="240" w:lineRule="auto"/>
              <w:ind w:left="-108" w:firstLine="360"/>
              <w:rPr>
                <w:rFonts w:ascii="Arial" w:eastAsia="Times New Roman" w:hAnsi="Arial" w:cs="Arial"/>
                <w:bCs/>
                <w:iCs/>
                <w:lang w:eastAsia="ar-SA"/>
              </w:rPr>
            </w:pPr>
            <w:r w:rsidRPr="00257BCF">
              <w:rPr>
                <w:rFonts w:ascii="Arial" w:eastAsia="Times New Roman" w:hAnsi="Arial" w:cs="Arial"/>
                <w:bCs/>
                <w:iCs/>
                <w:lang w:eastAsia="ar-SA"/>
              </w:rPr>
              <w:t xml:space="preserve">Įmonės kodas </w:t>
            </w:r>
            <w:r w:rsidR="006216D7" w:rsidRPr="00257BCF">
              <w:rPr>
                <w:rFonts w:ascii="Arial" w:eastAsia="Times New Roman" w:hAnsi="Arial" w:cs="Arial"/>
                <w:bCs/>
                <w:iCs/>
                <w:lang w:eastAsia="ar-SA"/>
              </w:rPr>
              <w:t>110053842</w:t>
            </w:r>
          </w:p>
          <w:p w14:paraId="080D01D5" w14:textId="36E55285" w:rsidR="000A3A1E" w:rsidRPr="00257BCF" w:rsidRDefault="000A3A1E" w:rsidP="006D4F0B">
            <w:pPr>
              <w:tabs>
                <w:tab w:val="left" w:pos="3060"/>
              </w:tabs>
              <w:suppressAutoHyphens/>
              <w:spacing w:after="0" w:line="240" w:lineRule="auto"/>
              <w:ind w:left="-108" w:firstLine="360"/>
              <w:rPr>
                <w:rFonts w:ascii="Arial" w:eastAsia="Times New Roman" w:hAnsi="Arial" w:cs="Arial"/>
                <w:bCs/>
                <w:iCs/>
                <w:lang w:eastAsia="ar-SA"/>
              </w:rPr>
            </w:pPr>
            <w:r w:rsidRPr="00257BCF">
              <w:rPr>
                <w:rFonts w:ascii="Arial" w:eastAsia="Times New Roman" w:hAnsi="Arial" w:cs="Arial"/>
                <w:bCs/>
                <w:iCs/>
                <w:lang w:eastAsia="ar-SA"/>
              </w:rPr>
              <w:t xml:space="preserve">PVM kodas </w:t>
            </w:r>
            <w:r w:rsidR="003A0EE0" w:rsidRPr="00257BCF">
              <w:rPr>
                <w:rFonts w:ascii="Arial" w:hAnsi="Arial" w:cs="Arial"/>
                <w:bCs/>
                <w:iCs/>
                <w:lang w:eastAsia="ar-SA"/>
              </w:rPr>
              <w:t>LT100538411</w:t>
            </w:r>
          </w:p>
          <w:p w14:paraId="1347C025" w14:textId="77777777" w:rsidR="005B1EF2" w:rsidRPr="00D63486" w:rsidRDefault="005B1EF2" w:rsidP="005B1EF2">
            <w:pPr>
              <w:tabs>
                <w:tab w:val="left" w:pos="3060"/>
              </w:tabs>
              <w:suppressAutoHyphens/>
              <w:spacing w:after="0" w:line="240" w:lineRule="auto"/>
              <w:ind w:left="-108" w:firstLine="360"/>
              <w:rPr>
                <w:rFonts w:ascii="Arial" w:eastAsia="Times New Roman" w:hAnsi="Arial" w:cs="Arial"/>
                <w:iCs/>
                <w:lang w:eastAsia="ar-SA"/>
              </w:rPr>
            </w:pPr>
            <w:r w:rsidRPr="00D63486">
              <w:rPr>
                <w:rFonts w:ascii="Arial" w:eastAsia="Times New Roman" w:hAnsi="Arial" w:cs="Arial"/>
                <w:iCs/>
                <w:lang w:eastAsia="ar-SA"/>
              </w:rPr>
              <w:t>Mindaugo g. 12, Vilnius</w:t>
            </w:r>
          </w:p>
          <w:p w14:paraId="482D032A" w14:textId="3CF1A4EC" w:rsidR="005B1EF2" w:rsidRPr="00D63486" w:rsidRDefault="005B1EF2" w:rsidP="005B1EF2">
            <w:pPr>
              <w:tabs>
                <w:tab w:val="left" w:pos="3060"/>
              </w:tabs>
              <w:suppressAutoHyphens/>
              <w:spacing w:after="0" w:line="240" w:lineRule="auto"/>
              <w:ind w:left="-108" w:firstLine="360"/>
              <w:rPr>
                <w:rFonts w:ascii="Arial" w:eastAsia="Times New Roman" w:hAnsi="Arial" w:cs="Arial"/>
                <w:bCs/>
                <w:iCs/>
                <w:lang w:eastAsia="ar-SA"/>
              </w:rPr>
            </w:pPr>
            <w:r w:rsidRPr="00D63486">
              <w:rPr>
                <w:rFonts w:ascii="Arial" w:eastAsia="Times New Roman" w:hAnsi="Arial" w:cs="Arial"/>
                <w:bCs/>
                <w:iCs/>
                <w:lang w:eastAsia="ar-SA"/>
              </w:rPr>
              <w:t xml:space="preserve">Bankas </w:t>
            </w:r>
          </w:p>
          <w:p w14:paraId="01DF4E15" w14:textId="0782B8A1" w:rsidR="005B1EF2" w:rsidRPr="00D63486" w:rsidRDefault="005B1EF2" w:rsidP="005B1EF2">
            <w:pPr>
              <w:tabs>
                <w:tab w:val="left" w:pos="3060"/>
              </w:tabs>
              <w:suppressAutoHyphens/>
              <w:spacing w:after="0" w:line="240" w:lineRule="auto"/>
              <w:ind w:left="-108" w:firstLine="360"/>
              <w:rPr>
                <w:rFonts w:ascii="Arial" w:eastAsia="Times New Roman" w:hAnsi="Arial" w:cs="Arial"/>
                <w:b/>
                <w:bCs/>
                <w:iCs/>
                <w:lang w:eastAsia="ar-SA"/>
              </w:rPr>
            </w:pPr>
            <w:r w:rsidRPr="00D63486">
              <w:rPr>
                <w:rFonts w:ascii="Arial" w:eastAsia="Times New Roman" w:hAnsi="Arial" w:cs="Arial"/>
                <w:bCs/>
                <w:iCs/>
                <w:lang w:eastAsia="ar-SA"/>
              </w:rPr>
              <w:t xml:space="preserve">a/s </w:t>
            </w:r>
          </w:p>
          <w:p w14:paraId="6EC33DB7" w14:textId="173FD95E" w:rsidR="005B1EF2" w:rsidRPr="00D63486" w:rsidRDefault="005B1EF2" w:rsidP="005B1EF2">
            <w:pPr>
              <w:tabs>
                <w:tab w:val="left" w:pos="3060"/>
              </w:tabs>
              <w:suppressAutoHyphens/>
              <w:spacing w:after="0" w:line="240" w:lineRule="auto"/>
              <w:ind w:left="-108" w:firstLine="360"/>
              <w:rPr>
                <w:rFonts w:ascii="Arial" w:eastAsia="Times New Roman" w:hAnsi="Arial" w:cs="Arial"/>
                <w:bCs/>
                <w:iCs/>
                <w:lang w:eastAsia="ar-SA"/>
              </w:rPr>
            </w:pPr>
            <w:r w:rsidRPr="00D63486">
              <w:rPr>
                <w:rFonts w:ascii="Arial" w:eastAsia="Times New Roman" w:hAnsi="Arial" w:cs="Arial"/>
                <w:bCs/>
                <w:iCs/>
                <w:lang w:eastAsia="ar-SA"/>
              </w:rPr>
              <w:t xml:space="preserve">Tel. </w:t>
            </w:r>
          </w:p>
          <w:p w14:paraId="6570C125" w14:textId="1D50C090" w:rsidR="000A3A1E" w:rsidRPr="00257BCF" w:rsidRDefault="005B1EF2" w:rsidP="005B1EF2">
            <w:pPr>
              <w:tabs>
                <w:tab w:val="left" w:pos="3060"/>
              </w:tabs>
              <w:suppressAutoHyphens/>
              <w:spacing w:after="0" w:line="240" w:lineRule="auto"/>
              <w:ind w:left="-108" w:firstLine="360"/>
              <w:rPr>
                <w:rFonts w:ascii="Arial" w:eastAsia="Times New Roman" w:hAnsi="Arial" w:cs="Arial"/>
                <w:bCs/>
                <w:i/>
                <w:iCs/>
                <w:lang w:eastAsia="ar-SA"/>
              </w:rPr>
            </w:pPr>
            <w:r w:rsidRPr="00D63486">
              <w:rPr>
                <w:rFonts w:ascii="Arial" w:eastAsia="Times New Roman" w:hAnsi="Arial" w:cs="Arial"/>
                <w:bCs/>
                <w:iCs/>
                <w:lang w:eastAsia="ar-SA"/>
              </w:rPr>
              <w:t xml:space="preserve">El. p. </w:t>
            </w:r>
          </w:p>
        </w:tc>
        <w:tc>
          <w:tcPr>
            <w:tcW w:w="4722" w:type="dxa"/>
            <w:shd w:val="clear" w:color="auto" w:fill="auto"/>
          </w:tcPr>
          <w:p w14:paraId="31AEA293" w14:textId="209B494E" w:rsidR="000A3A1E" w:rsidRPr="00257BCF" w:rsidRDefault="000A3A1E" w:rsidP="006D4F0B">
            <w:pPr>
              <w:suppressAutoHyphens/>
              <w:spacing w:after="0" w:line="240" w:lineRule="auto"/>
              <w:ind w:firstLine="360"/>
              <w:rPr>
                <w:rFonts w:ascii="Arial" w:eastAsia="Calibri" w:hAnsi="Arial" w:cs="Arial"/>
                <w:lang w:eastAsia="ar-SA"/>
              </w:rPr>
            </w:pPr>
            <w:r w:rsidRPr="00257BCF">
              <w:rPr>
                <w:rFonts w:ascii="Arial" w:eastAsia="Calibri" w:hAnsi="Arial" w:cs="Arial"/>
                <w:lang w:eastAsia="ar-SA"/>
              </w:rPr>
              <w:t xml:space="preserve">Įmonės kodas </w:t>
            </w:r>
            <w:r w:rsidR="00820486">
              <w:rPr>
                <w:rFonts w:ascii="Arial" w:eastAsia="Calibri" w:hAnsi="Arial" w:cs="Arial"/>
                <w:lang w:eastAsia="ar-SA"/>
              </w:rPr>
              <w:t>301318539</w:t>
            </w:r>
          </w:p>
          <w:p w14:paraId="139FBE17" w14:textId="77677FF3" w:rsidR="000A3A1E" w:rsidRPr="00257BCF" w:rsidRDefault="000A3A1E" w:rsidP="006D4F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57BCF">
              <w:rPr>
                <w:rFonts w:ascii="Arial" w:eastAsia="Times New Roman" w:hAnsi="Arial" w:cs="Arial"/>
                <w:lang w:eastAsia="ar-SA"/>
              </w:rPr>
              <w:t xml:space="preserve">PVM kodas </w:t>
            </w:r>
            <w:r w:rsidR="00820486">
              <w:rPr>
                <w:rFonts w:ascii="Arial" w:eastAsia="Times New Roman" w:hAnsi="Arial" w:cs="Arial"/>
                <w:lang w:eastAsia="ar-SA"/>
              </w:rPr>
              <w:t>LT100003654017</w:t>
            </w:r>
          </w:p>
          <w:p w14:paraId="724C4647" w14:textId="42BA6F7C" w:rsidR="000A3A1E" w:rsidRPr="00257BCF" w:rsidRDefault="00820486" w:rsidP="006D4F0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Gynėjų g. 14, Vilnius</w:t>
            </w:r>
          </w:p>
          <w:p w14:paraId="73310E65" w14:textId="74DCD4B7" w:rsidR="000A3A1E" w:rsidRPr="00257BCF" w:rsidRDefault="000A3A1E" w:rsidP="006D4F0B">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257BCF">
              <w:rPr>
                <w:rFonts w:ascii="Arial" w:eastAsia="Times New Roman" w:hAnsi="Arial" w:cs="Arial"/>
                <w:bCs/>
                <w:iCs/>
                <w:lang w:eastAsia="ar-SA"/>
              </w:rPr>
              <w:t>Bankas</w:t>
            </w:r>
            <w:r w:rsidR="00820486">
              <w:rPr>
                <w:rFonts w:ascii="Arial" w:eastAsia="Times New Roman" w:hAnsi="Arial" w:cs="Arial"/>
                <w:bCs/>
                <w:iCs/>
                <w:lang w:eastAsia="ar-SA"/>
              </w:rPr>
              <w:t xml:space="preserve"> </w:t>
            </w:r>
          </w:p>
          <w:p w14:paraId="3C023B97" w14:textId="46B6FB8B" w:rsidR="000A3A1E" w:rsidRPr="00257BCF" w:rsidRDefault="000A3A1E" w:rsidP="006D4F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57BCF">
              <w:rPr>
                <w:rFonts w:ascii="Arial" w:eastAsia="Times New Roman" w:hAnsi="Arial" w:cs="Arial"/>
                <w:lang w:eastAsia="ar-SA"/>
              </w:rPr>
              <w:t xml:space="preserve">a/s </w:t>
            </w:r>
          </w:p>
          <w:p w14:paraId="3CB4F648" w14:textId="5122FFAA" w:rsidR="000A3A1E" w:rsidRPr="00257BCF" w:rsidRDefault="000A3A1E" w:rsidP="006D4F0B">
            <w:pPr>
              <w:suppressAutoHyphens/>
              <w:spacing w:after="0" w:line="240" w:lineRule="auto"/>
              <w:ind w:firstLine="360"/>
              <w:rPr>
                <w:rFonts w:ascii="Arial" w:eastAsia="Calibri" w:hAnsi="Arial" w:cs="Arial"/>
                <w:lang w:eastAsia="ar-SA"/>
              </w:rPr>
            </w:pPr>
            <w:r w:rsidRPr="00257BCF">
              <w:rPr>
                <w:rFonts w:ascii="Arial" w:eastAsia="Calibri" w:hAnsi="Arial" w:cs="Arial"/>
                <w:lang w:eastAsia="ar-SA"/>
              </w:rPr>
              <w:t xml:space="preserve">Tel. </w:t>
            </w:r>
          </w:p>
          <w:p w14:paraId="6A013274" w14:textId="3DF80B16" w:rsidR="000A3A1E" w:rsidRPr="00257BCF" w:rsidRDefault="000A3A1E" w:rsidP="006D4F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57BCF">
              <w:rPr>
                <w:rFonts w:ascii="Arial" w:eastAsia="Times New Roman" w:hAnsi="Arial" w:cs="Arial"/>
                <w:lang w:eastAsia="ar-SA"/>
              </w:rPr>
              <w:t xml:space="preserve">El. p. </w:t>
            </w:r>
          </w:p>
          <w:p w14:paraId="61816989" w14:textId="77777777" w:rsidR="00B90340" w:rsidRPr="00257BCF" w:rsidRDefault="00B90340" w:rsidP="006D4F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
          <w:p w14:paraId="05590D9D" w14:textId="4AF98573" w:rsidR="00B90340" w:rsidRPr="00257BCF" w:rsidRDefault="00B90340" w:rsidP="006D4F0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bl>
    <w:p w14:paraId="7C137E23" w14:textId="68D45354" w:rsidR="000A3A1E" w:rsidRDefault="005B1EF2" w:rsidP="005B1EF2">
      <w:pPr>
        <w:tabs>
          <w:tab w:val="left" w:pos="6096"/>
        </w:tabs>
        <w:spacing w:after="0" w:line="240" w:lineRule="auto"/>
        <w:ind w:firstLine="360"/>
        <w:rPr>
          <w:rFonts w:ascii="Arial" w:eastAsia="Calibri" w:hAnsi="Arial" w:cs="Arial"/>
          <w:noProof/>
          <w:lang w:eastAsia="x-none"/>
        </w:rPr>
      </w:pPr>
      <w:r w:rsidRPr="00D63486">
        <w:rPr>
          <w:rFonts w:ascii="Arial" w:eastAsia="Calibri" w:hAnsi="Arial" w:cs="Arial"/>
          <w:noProof/>
          <w:lang w:eastAsia="x-none"/>
        </w:rPr>
        <w:t>Informacinių technologijų centro</w:t>
      </w:r>
      <w:r w:rsidR="000A3A1E" w:rsidRPr="00257BCF">
        <w:rPr>
          <w:rFonts w:ascii="Arial" w:eastAsia="Calibri" w:hAnsi="Arial" w:cs="Arial"/>
          <w:i/>
          <w:noProof/>
          <w:lang w:eastAsia="x-none"/>
        </w:rPr>
        <w:t xml:space="preserve">                            </w:t>
      </w:r>
      <w:r w:rsidR="00820486">
        <w:rPr>
          <w:rFonts w:ascii="Arial" w:eastAsia="Calibri" w:hAnsi="Arial" w:cs="Arial"/>
          <w:noProof/>
          <w:lang w:eastAsia="x-none"/>
        </w:rPr>
        <w:t xml:space="preserve">        Generalinis direktorius</w:t>
      </w:r>
    </w:p>
    <w:p w14:paraId="6C30B8F1" w14:textId="5265FC87" w:rsidR="005B1EF2" w:rsidRDefault="005B1EF2" w:rsidP="005B1EF2">
      <w:pPr>
        <w:tabs>
          <w:tab w:val="left" w:pos="6096"/>
        </w:tabs>
        <w:spacing w:after="0" w:line="240" w:lineRule="auto"/>
        <w:ind w:firstLine="360"/>
        <w:rPr>
          <w:rFonts w:ascii="Arial" w:eastAsia="Calibri" w:hAnsi="Arial" w:cs="Arial"/>
          <w:noProof/>
          <w:lang w:eastAsia="x-none"/>
        </w:rPr>
      </w:pPr>
      <w:r w:rsidRPr="00D63486">
        <w:rPr>
          <w:rFonts w:ascii="Arial" w:eastAsia="Calibri" w:hAnsi="Arial" w:cs="Arial"/>
          <w:noProof/>
          <w:lang w:eastAsia="x-none"/>
        </w:rPr>
        <w:t>„LG Digital“ direktorius</w:t>
      </w:r>
      <w:r w:rsidR="00820486">
        <w:rPr>
          <w:rFonts w:ascii="Arial" w:eastAsia="Calibri" w:hAnsi="Arial" w:cs="Arial"/>
          <w:noProof/>
          <w:lang w:eastAsia="x-none"/>
        </w:rPr>
        <w:t xml:space="preserve">                                                   Gytis Umantas</w:t>
      </w:r>
    </w:p>
    <w:p w14:paraId="0C1A41DE" w14:textId="03FFC928" w:rsidR="005B1EF2" w:rsidRDefault="005B1EF2" w:rsidP="005B1EF2">
      <w:pPr>
        <w:tabs>
          <w:tab w:val="left" w:pos="6096"/>
        </w:tabs>
        <w:spacing w:after="0" w:line="240" w:lineRule="auto"/>
        <w:ind w:firstLine="360"/>
        <w:rPr>
          <w:rFonts w:ascii="Arial" w:eastAsia="Calibri" w:hAnsi="Arial" w:cs="Arial"/>
          <w:iCs/>
          <w:noProof/>
          <w:lang w:eastAsia="x-none"/>
        </w:rPr>
      </w:pPr>
      <w:r w:rsidRPr="00D63486">
        <w:rPr>
          <w:rFonts w:ascii="Arial" w:eastAsia="Calibri" w:hAnsi="Arial" w:cs="Arial"/>
          <w:iCs/>
          <w:noProof/>
          <w:lang w:eastAsia="x-none"/>
        </w:rPr>
        <w:t>Elijus Čivilis</w:t>
      </w:r>
    </w:p>
    <w:p w14:paraId="06D4A9D3" w14:textId="77777777" w:rsidR="005B1EF2" w:rsidRPr="005B1EF2" w:rsidRDefault="005B1EF2" w:rsidP="005B1EF2">
      <w:pPr>
        <w:tabs>
          <w:tab w:val="left" w:pos="6096"/>
        </w:tabs>
        <w:spacing w:after="0" w:line="240" w:lineRule="auto"/>
        <w:ind w:firstLine="360"/>
        <w:rPr>
          <w:rFonts w:ascii="Arial" w:eastAsia="Calibri" w:hAnsi="Arial" w:cs="Arial"/>
          <w:noProof/>
          <w:lang w:eastAsia="x-none"/>
        </w:rPr>
      </w:pPr>
    </w:p>
    <w:p w14:paraId="12DB0D03" w14:textId="3777F0F1" w:rsidR="000A3A1E" w:rsidRPr="00257BCF" w:rsidRDefault="000A3A1E" w:rsidP="000A3A1E">
      <w:pPr>
        <w:spacing w:after="0" w:line="240" w:lineRule="auto"/>
        <w:ind w:firstLine="360"/>
        <w:rPr>
          <w:rFonts w:ascii="Arial" w:eastAsia="Calibri" w:hAnsi="Arial" w:cs="Arial"/>
          <w:noProof/>
          <w:lang w:eastAsia="x-none"/>
        </w:rPr>
      </w:pPr>
      <w:r w:rsidRPr="00257BCF">
        <w:rPr>
          <w:rFonts w:ascii="Arial" w:eastAsia="Calibri" w:hAnsi="Arial" w:cs="Arial"/>
          <w:noProof/>
          <w:lang w:eastAsia="x-none"/>
        </w:rPr>
        <w:t>_____________________</w:t>
      </w:r>
      <w:r w:rsidRPr="00257BCF">
        <w:rPr>
          <w:rFonts w:ascii="Arial" w:eastAsia="Calibri" w:hAnsi="Arial" w:cs="Arial"/>
          <w:noProof/>
          <w:lang w:eastAsia="x-none"/>
        </w:rPr>
        <w:tab/>
        <w:t xml:space="preserve">                    </w:t>
      </w:r>
      <w:r w:rsidR="00820486">
        <w:rPr>
          <w:rFonts w:ascii="Arial" w:eastAsia="Calibri" w:hAnsi="Arial" w:cs="Arial"/>
          <w:noProof/>
          <w:lang w:eastAsia="x-none"/>
        </w:rPr>
        <w:t xml:space="preserve">   </w:t>
      </w:r>
      <w:r w:rsidRPr="00257BCF">
        <w:rPr>
          <w:rFonts w:ascii="Arial" w:eastAsia="Calibri" w:hAnsi="Arial" w:cs="Arial"/>
          <w:noProof/>
          <w:lang w:eastAsia="x-none"/>
        </w:rPr>
        <w:t xml:space="preserve">    _______________________</w:t>
      </w:r>
    </w:p>
    <w:p w14:paraId="788EEF26" w14:textId="7A4C339F" w:rsidR="000A3A1E" w:rsidRPr="00257BCF" w:rsidRDefault="000A3A1E" w:rsidP="000A3A1E">
      <w:pPr>
        <w:spacing w:after="0" w:line="240" w:lineRule="auto"/>
        <w:ind w:firstLine="360"/>
        <w:rPr>
          <w:rFonts w:ascii="Arial" w:eastAsia="Calibri" w:hAnsi="Arial" w:cs="Arial"/>
          <w:noProof/>
          <w:lang w:eastAsia="x-none"/>
        </w:rPr>
      </w:pPr>
      <w:r w:rsidRPr="00257BCF">
        <w:rPr>
          <w:rFonts w:ascii="Arial" w:eastAsia="Calibri" w:hAnsi="Arial" w:cs="Arial"/>
          <w:noProof/>
          <w:lang w:eastAsia="x-none"/>
        </w:rPr>
        <w:t xml:space="preserve">     </w:t>
      </w:r>
      <w:r w:rsidR="00820486">
        <w:rPr>
          <w:rFonts w:ascii="Arial" w:eastAsia="Calibri" w:hAnsi="Arial" w:cs="Arial"/>
          <w:noProof/>
          <w:lang w:eastAsia="x-none"/>
        </w:rPr>
        <w:t xml:space="preserve">   </w:t>
      </w:r>
      <w:r w:rsidRPr="00257BCF">
        <w:rPr>
          <w:rFonts w:ascii="Arial" w:eastAsia="Calibri" w:hAnsi="Arial" w:cs="Arial"/>
          <w:noProof/>
          <w:lang w:eastAsia="x-none"/>
        </w:rPr>
        <w:t xml:space="preserve">  (parašas)</w:t>
      </w:r>
      <w:r w:rsidRPr="00257BCF">
        <w:rPr>
          <w:rFonts w:ascii="Arial" w:eastAsia="Calibri" w:hAnsi="Arial" w:cs="Arial"/>
          <w:noProof/>
          <w:lang w:eastAsia="x-none"/>
        </w:rPr>
        <w:tab/>
      </w:r>
      <w:r w:rsidRPr="00257BCF">
        <w:rPr>
          <w:rFonts w:ascii="Arial" w:eastAsia="Calibri" w:hAnsi="Arial" w:cs="Arial"/>
          <w:noProof/>
          <w:lang w:eastAsia="x-none"/>
        </w:rPr>
        <w:tab/>
      </w:r>
      <w:r w:rsidRPr="00257BCF">
        <w:rPr>
          <w:rFonts w:ascii="Arial" w:eastAsia="Calibri" w:hAnsi="Arial" w:cs="Arial"/>
          <w:noProof/>
          <w:lang w:eastAsia="x-none"/>
        </w:rPr>
        <w:tab/>
        <w:t xml:space="preserve">                  (parašas)</w:t>
      </w:r>
    </w:p>
    <w:p w14:paraId="1E797473" w14:textId="77777777" w:rsidR="000A3A1E" w:rsidRPr="00257BCF" w:rsidRDefault="000A3A1E" w:rsidP="000A3A1E">
      <w:pPr>
        <w:spacing w:after="0" w:line="240" w:lineRule="auto"/>
        <w:ind w:firstLine="360"/>
        <w:rPr>
          <w:rFonts w:ascii="Arial" w:eastAsia="Calibri" w:hAnsi="Arial" w:cs="Arial"/>
          <w:noProof/>
          <w:lang w:eastAsia="x-none"/>
        </w:rPr>
      </w:pPr>
      <w:r w:rsidRPr="00257BCF">
        <w:rPr>
          <w:rFonts w:ascii="Arial" w:eastAsia="Calibri" w:hAnsi="Arial" w:cs="Arial"/>
          <w:noProof/>
          <w:lang w:eastAsia="x-none"/>
        </w:rPr>
        <w:tab/>
      </w:r>
      <w:r w:rsidRPr="00257BCF">
        <w:rPr>
          <w:rFonts w:ascii="Arial" w:eastAsia="Calibri" w:hAnsi="Arial" w:cs="Arial"/>
          <w:noProof/>
          <w:lang w:eastAsia="x-none"/>
        </w:rPr>
        <w:tab/>
      </w:r>
    </w:p>
    <w:p w14:paraId="34752C21" w14:textId="2783B029" w:rsidR="000A3A1E" w:rsidRPr="00257BCF" w:rsidRDefault="000A3A1E" w:rsidP="000A3A1E">
      <w:pPr>
        <w:spacing w:after="0" w:line="240" w:lineRule="auto"/>
        <w:ind w:firstLine="360"/>
        <w:jc w:val="both"/>
        <w:rPr>
          <w:rFonts w:ascii="Arial" w:eastAsia="Calibri" w:hAnsi="Arial" w:cs="Arial"/>
          <w:noProof/>
        </w:rPr>
      </w:pPr>
    </w:p>
    <w:tbl>
      <w:tblPr>
        <w:tblW w:w="0" w:type="auto"/>
        <w:tblInd w:w="520" w:type="dxa"/>
        <w:tblLook w:val="0000" w:firstRow="0" w:lastRow="0" w:firstColumn="0" w:lastColumn="0" w:noHBand="0" w:noVBand="0"/>
      </w:tblPr>
      <w:tblGrid>
        <w:gridCol w:w="518"/>
      </w:tblGrid>
      <w:tr w:rsidR="000A3A1E" w:rsidRPr="00257BCF" w14:paraId="1AC7FB9D" w14:textId="77777777" w:rsidTr="006D4F0B">
        <w:trPr>
          <w:trHeight w:val="275"/>
        </w:trPr>
        <w:tc>
          <w:tcPr>
            <w:tcW w:w="518" w:type="dxa"/>
          </w:tcPr>
          <w:p w14:paraId="0E2ACB5A" w14:textId="77777777" w:rsidR="000A3A1E" w:rsidRPr="00257BCF" w:rsidRDefault="000A3A1E" w:rsidP="006D4F0B">
            <w:pPr>
              <w:spacing w:after="0" w:line="240" w:lineRule="auto"/>
              <w:ind w:firstLine="360"/>
              <w:rPr>
                <w:rFonts w:ascii="Arial" w:eastAsia="Calibri" w:hAnsi="Arial" w:cs="Arial"/>
              </w:rPr>
            </w:pPr>
          </w:p>
        </w:tc>
      </w:tr>
    </w:tbl>
    <w:p w14:paraId="47DF7C45" w14:textId="2E796F6A" w:rsidR="000A3A1E" w:rsidRPr="00257BCF" w:rsidRDefault="000A3A1E" w:rsidP="0030692A">
      <w:pPr>
        <w:spacing w:after="0" w:line="240" w:lineRule="auto"/>
        <w:jc w:val="both"/>
        <w:rPr>
          <w:rFonts w:ascii="Arial" w:eastAsia="Calibri" w:hAnsi="Arial" w:cs="Arial"/>
        </w:rPr>
      </w:pPr>
    </w:p>
    <w:p w14:paraId="03B3FA99" w14:textId="5577482C" w:rsidR="00CC395F" w:rsidRPr="00257BCF" w:rsidRDefault="00CC395F" w:rsidP="0030692A">
      <w:pPr>
        <w:spacing w:after="0" w:line="240" w:lineRule="auto"/>
        <w:jc w:val="both"/>
        <w:rPr>
          <w:rFonts w:ascii="Arial" w:eastAsia="Calibri" w:hAnsi="Arial" w:cs="Arial"/>
        </w:rPr>
      </w:pPr>
    </w:p>
    <w:p w14:paraId="5C189C25" w14:textId="6DFBCB01" w:rsidR="00CC395F" w:rsidRPr="00257BCF" w:rsidRDefault="00CC395F" w:rsidP="0030692A">
      <w:pPr>
        <w:spacing w:after="0" w:line="240" w:lineRule="auto"/>
        <w:jc w:val="both"/>
        <w:rPr>
          <w:rFonts w:ascii="Arial" w:eastAsia="Calibri" w:hAnsi="Arial" w:cs="Arial"/>
        </w:rPr>
      </w:pPr>
    </w:p>
    <w:p w14:paraId="6FA7DD65" w14:textId="27628CFC" w:rsidR="00CC395F" w:rsidRPr="00257BCF" w:rsidRDefault="00CC395F" w:rsidP="0030692A">
      <w:pPr>
        <w:spacing w:after="0" w:line="240" w:lineRule="auto"/>
        <w:jc w:val="both"/>
        <w:rPr>
          <w:rFonts w:ascii="Arial" w:eastAsia="Calibri" w:hAnsi="Arial" w:cs="Arial"/>
        </w:rPr>
      </w:pPr>
    </w:p>
    <w:p w14:paraId="0AC76828" w14:textId="1CF0E3E6" w:rsidR="00CC395F" w:rsidRPr="00257BCF" w:rsidRDefault="00CC395F" w:rsidP="0030692A">
      <w:pPr>
        <w:spacing w:after="0" w:line="240" w:lineRule="auto"/>
        <w:jc w:val="both"/>
        <w:rPr>
          <w:rFonts w:ascii="Arial" w:eastAsia="Calibri" w:hAnsi="Arial" w:cs="Arial"/>
        </w:rPr>
      </w:pPr>
    </w:p>
    <w:p w14:paraId="6063BECD" w14:textId="6DC5F3B1" w:rsidR="00CC395F" w:rsidRPr="00257BCF" w:rsidRDefault="00CC395F" w:rsidP="0030692A">
      <w:pPr>
        <w:spacing w:after="0" w:line="240" w:lineRule="auto"/>
        <w:jc w:val="both"/>
        <w:rPr>
          <w:rFonts w:ascii="Arial" w:eastAsia="Calibri" w:hAnsi="Arial" w:cs="Arial"/>
        </w:rPr>
      </w:pPr>
    </w:p>
    <w:p w14:paraId="5E22BCCB" w14:textId="6B412A0D" w:rsidR="00CC395F" w:rsidRPr="00257BCF" w:rsidRDefault="00CC395F" w:rsidP="0030692A">
      <w:pPr>
        <w:spacing w:after="0" w:line="240" w:lineRule="auto"/>
        <w:jc w:val="both"/>
        <w:rPr>
          <w:rFonts w:ascii="Arial" w:eastAsia="Calibri" w:hAnsi="Arial" w:cs="Arial"/>
        </w:rPr>
      </w:pPr>
    </w:p>
    <w:p w14:paraId="3DF72078" w14:textId="40DCB8A8" w:rsidR="00CC395F" w:rsidRPr="00257BCF" w:rsidRDefault="00CC395F" w:rsidP="0030692A">
      <w:pPr>
        <w:spacing w:after="0" w:line="240" w:lineRule="auto"/>
        <w:jc w:val="both"/>
        <w:rPr>
          <w:rFonts w:ascii="Arial" w:eastAsia="Calibri" w:hAnsi="Arial" w:cs="Arial"/>
        </w:rPr>
      </w:pPr>
    </w:p>
    <w:p w14:paraId="6EA4D3DA" w14:textId="0E81A006" w:rsidR="00CC395F" w:rsidRPr="00257BCF" w:rsidRDefault="00CC395F" w:rsidP="0030692A">
      <w:pPr>
        <w:spacing w:after="0" w:line="240" w:lineRule="auto"/>
        <w:jc w:val="both"/>
        <w:rPr>
          <w:rFonts w:ascii="Arial" w:eastAsia="Calibri" w:hAnsi="Arial" w:cs="Arial"/>
        </w:rPr>
      </w:pPr>
    </w:p>
    <w:p w14:paraId="1DE4BA68" w14:textId="3CBAA807" w:rsidR="00CC395F" w:rsidRPr="00257BCF" w:rsidRDefault="00CC395F" w:rsidP="0030692A">
      <w:pPr>
        <w:spacing w:after="0" w:line="240" w:lineRule="auto"/>
        <w:jc w:val="both"/>
        <w:rPr>
          <w:rFonts w:ascii="Arial" w:eastAsia="Calibri" w:hAnsi="Arial" w:cs="Arial"/>
        </w:rPr>
      </w:pPr>
    </w:p>
    <w:p w14:paraId="5FCCE6AA" w14:textId="52B9E498" w:rsidR="00B90340" w:rsidRPr="00257BCF" w:rsidRDefault="00B90340" w:rsidP="0030692A">
      <w:pPr>
        <w:spacing w:after="0" w:line="240" w:lineRule="auto"/>
        <w:jc w:val="both"/>
        <w:rPr>
          <w:rFonts w:ascii="Arial" w:eastAsia="Calibri" w:hAnsi="Arial" w:cs="Arial"/>
        </w:rPr>
      </w:pPr>
    </w:p>
    <w:p w14:paraId="40837715" w14:textId="5C3956BC" w:rsidR="00B90340" w:rsidRDefault="00B90340" w:rsidP="0030692A">
      <w:pPr>
        <w:spacing w:after="0" w:line="240" w:lineRule="auto"/>
        <w:jc w:val="both"/>
        <w:rPr>
          <w:rFonts w:ascii="Arial" w:eastAsia="Calibri" w:hAnsi="Arial" w:cs="Arial"/>
        </w:rPr>
      </w:pPr>
    </w:p>
    <w:p w14:paraId="1EC15359" w14:textId="79A74A21" w:rsidR="00AE77BD" w:rsidRDefault="00AE77BD" w:rsidP="0030692A">
      <w:pPr>
        <w:spacing w:after="0" w:line="240" w:lineRule="auto"/>
        <w:jc w:val="both"/>
        <w:rPr>
          <w:rFonts w:ascii="Arial" w:eastAsia="Calibri" w:hAnsi="Arial" w:cs="Arial"/>
        </w:rPr>
      </w:pPr>
    </w:p>
    <w:p w14:paraId="21D3DB29" w14:textId="578B8172" w:rsidR="00AE77BD" w:rsidRDefault="00AE77BD" w:rsidP="0030692A">
      <w:pPr>
        <w:spacing w:after="0" w:line="240" w:lineRule="auto"/>
        <w:jc w:val="both"/>
        <w:rPr>
          <w:rFonts w:ascii="Arial" w:eastAsia="Calibri" w:hAnsi="Arial" w:cs="Arial"/>
        </w:rPr>
      </w:pPr>
    </w:p>
    <w:p w14:paraId="266FF529" w14:textId="3065D44B" w:rsidR="00B90340" w:rsidRDefault="00B90340" w:rsidP="0030692A">
      <w:pPr>
        <w:spacing w:after="0" w:line="240" w:lineRule="auto"/>
        <w:jc w:val="both"/>
        <w:rPr>
          <w:rFonts w:ascii="Arial" w:eastAsia="Calibri" w:hAnsi="Arial" w:cs="Arial"/>
        </w:rPr>
      </w:pPr>
    </w:p>
    <w:p w14:paraId="4D8E0A4D" w14:textId="5D2E09A2" w:rsidR="00D33FAD" w:rsidRDefault="00D33FAD" w:rsidP="0030692A">
      <w:pPr>
        <w:spacing w:after="0" w:line="240" w:lineRule="auto"/>
        <w:jc w:val="both"/>
        <w:rPr>
          <w:rFonts w:ascii="Arial" w:eastAsia="Calibri" w:hAnsi="Arial" w:cs="Arial"/>
        </w:rPr>
      </w:pPr>
    </w:p>
    <w:p w14:paraId="4A3467A3" w14:textId="5778C59C" w:rsidR="00D33FAD" w:rsidRDefault="00D33FAD" w:rsidP="0030692A">
      <w:pPr>
        <w:spacing w:after="0" w:line="240" w:lineRule="auto"/>
        <w:jc w:val="both"/>
        <w:rPr>
          <w:rFonts w:ascii="Arial" w:eastAsia="Calibri" w:hAnsi="Arial" w:cs="Arial"/>
        </w:rPr>
      </w:pPr>
    </w:p>
    <w:p w14:paraId="4F41D301" w14:textId="2B48A555" w:rsidR="00D33FAD" w:rsidRDefault="00D33FAD" w:rsidP="0030692A">
      <w:pPr>
        <w:spacing w:after="0" w:line="240" w:lineRule="auto"/>
        <w:jc w:val="both"/>
        <w:rPr>
          <w:rFonts w:ascii="Arial" w:eastAsia="Calibri" w:hAnsi="Arial" w:cs="Arial"/>
        </w:rPr>
      </w:pPr>
    </w:p>
    <w:p w14:paraId="1CFB6ACC" w14:textId="743CE16F" w:rsidR="00D33FAD" w:rsidRDefault="00D33FAD" w:rsidP="0030692A">
      <w:pPr>
        <w:spacing w:after="0" w:line="240" w:lineRule="auto"/>
        <w:jc w:val="both"/>
        <w:rPr>
          <w:rFonts w:ascii="Arial" w:eastAsia="Calibri" w:hAnsi="Arial" w:cs="Arial"/>
        </w:rPr>
      </w:pPr>
    </w:p>
    <w:p w14:paraId="5EA14A8C" w14:textId="6CB5B400" w:rsidR="00D33FAD" w:rsidRDefault="00D33FAD" w:rsidP="0030692A">
      <w:pPr>
        <w:spacing w:after="0" w:line="240" w:lineRule="auto"/>
        <w:jc w:val="both"/>
        <w:rPr>
          <w:rFonts w:ascii="Arial" w:eastAsia="Calibri" w:hAnsi="Arial" w:cs="Arial"/>
        </w:rPr>
      </w:pPr>
    </w:p>
    <w:p w14:paraId="704DDBE5" w14:textId="75F9D800" w:rsidR="00FF53CC" w:rsidRDefault="00FF53CC" w:rsidP="0030692A">
      <w:pPr>
        <w:spacing w:after="0" w:line="240" w:lineRule="auto"/>
        <w:jc w:val="both"/>
        <w:rPr>
          <w:rFonts w:ascii="Arial" w:eastAsia="Calibri" w:hAnsi="Arial" w:cs="Arial"/>
        </w:rPr>
      </w:pPr>
    </w:p>
    <w:p w14:paraId="0CE062ED" w14:textId="77777777" w:rsidR="00FF53CC" w:rsidRDefault="00FF53CC" w:rsidP="0030692A">
      <w:pPr>
        <w:spacing w:after="0" w:line="240" w:lineRule="auto"/>
        <w:jc w:val="both"/>
        <w:rPr>
          <w:rFonts w:ascii="Arial" w:eastAsia="Calibri" w:hAnsi="Arial" w:cs="Arial"/>
        </w:rPr>
      </w:pPr>
    </w:p>
    <w:p w14:paraId="6F491D89" w14:textId="77777777" w:rsidR="00D33FAD" w:rsidRPr="00257BCF" w:rsidRDefault="00D33FAD" w:rsidP="0030692A">
      <w:pPr>
        <w:spacing w:after="0" w:line="240" w:lineRule="auto"/>
        <w:jc w:val="both"/>
        <w:rPr>
          <w:rFonts w:ascii="Arial" w:eastAsia="Calibri" w:hAnsi="Arial" w:cs="Arial"/>
        </w:rPr>
      </w:pPr>
    </w:p>
    <w:p w14:paraId="1A0DC26B" w14:textId="143BD8CA" w:rsidR="00CC395F" w:rsidRPr="00257BCF" w:rsidRDefault="00CC395F" w:rsidP="0030692A">
      <w:pPr>
        <w:spacing w:after="0" w:line="240" w:lineRule="auto"/>
        <w:jc w:val="both"/>
        <w:rPr>
          <w:rFonts w:ascii="Arial" w:eastAsia="Calibri" w:hAnsi="Arial" w:cs="Arial"/>
        </w:rPr>
      </w:pPr>
    </w:p>
    <w:p w14:paraId="56F883F7" w14:textId="3F8B339A" w:rsidR="00CC395F" w:rsidRPr="00257BCF" w:rsidRDefault="00CC395F" w:rsidP="0030692A">
      <w:pPr>
        <w:spacing w:after="0" w:line="240" w:lineRule="auto"/>
        <w:jc w:val="both"/>
        <w:rPr>
          <w:rFonts w:ascii="Arial" w:eastAsia="Calibri" w:hAnsi="Arial" w:cs="Arial"/>
        </w:rPr>
      </w:pPr>
    </w:p>
    <w:p w14:paraId="5A477D66" w14:textId="77777777" w:rsidR="00CC395F" w:rsidRPr="00820486" w:rsidRDefault="00CC395F" w:rsidP="0030692A">
      <w:pPr>
        <w:spacing w:after="0" w:line="240" w:lineRule="auto"/>
        <w:jc w:val="both"/>
        <w:rPr>
          <w:rFonts w:ascii="Arial" w:eastAsia="Calibri" w:hAnsi="Arial" w:cs="Arial"/>
          <w:sz w:val="20"/>
          <w:szCs w:val="20"/>
        </w:rPr>
      </w:pPr>
    </w:p>
    <w:bookmarkEnd w:id="4"/>
    <w:p w14:paraId="2492EA18" w14:textId="2184A4B3" w:rsidR="005B1EF2" w:rsidRPr="00ED3ABC" w:rsidRDefault="009372A7" w:rsidP="00BA0E6C">
      <w:pPr>
        <w:spacing w:after="0" w:line="240" w:lineRule="auto"/>
        <w:jc w:val="both"/>
        <w:rPr>
          <w:rFonts w:ascii="Arial" w:hAnsi="Arial" w:cs="Arial"/>
          <w:b/>
          <w:bCs/>
          <w:sz w:val="20"/>
          <w:szCs w:val="20"/>
        </w:rPr>
      </w:pPr>
      <w:r w:rsidRPr="00ED3ABC">
        <w:rPr>
          <w:rFonts w:ascii="Arial" w:hAnsi="Arial" w:cs="Arial"/>
          <w:sz w:val="20"/>
          <w:szCs w:val="20"/>
        </w:rPr>
        <w:t>Sutarties rengėja ir už ataskaitos paskelbimą CVP IS teisės aktų nustatyta tvarka atsakinga Pirkėjo darbuotoja</w:t>
      </w:r>
      <w:r w:rsidRPr="00ED3ABC">
        <w:rPr>
          <w:rFonts w:ascii="Arial" w:eastAsia="Calibri" w:hAnsi="Arial" w:cs="Arial"/>
          <w:sz w:val="20"/>
          <w:szCs w:val="20"/>
        </w:rPr>
        <w:t xml:space="preserve">: </w:t>
      </w:r>
    </w:p>
    <w:p w14:paraId="11D65DFA" w14:textId="4CD85012" w:rsidR="00BA0E6C" w:rsidRPr="00ED3ABC" w:rsidRDefault="009372A7" w:rsidP="00BA0E6C">
      <w:pPr>
        <w:spacing w:after="0" w:line="240" w:lineRule="auto"/>
        <w:jc w:val="both"/>
        <w:rPr>
          <w:rFonts w:ascii="Arial" w:hAnsi="Arial" w:cs="Arial"/>
          <w:b/>
          <w:bCs/>
          <w:iCs/>
          <w:color w:val="000000" w:themeColor="text1"/>
          <w:spacing w:val="-3"/>
          <w:sz w:val="20"/>
          <w:szCs w:val="20"/>
        </w:rPr>
      </w:pPr>
      <w:r w:rsidRPr="00ED3ABC">
        <w:rPr>
          <w:rFonts w:ascii="Arial" w:hAnsi="Arial" w:cs="Arial"/>
          <w:sz w:val="20"/>
          <w:szCs w:val="20"/>
        </w:rPr>
        <w:t>Už Sutarties vykdymą</w:t>
      </w:r>
      <w:r w:rsidR="00BA0E6C" w:rsidRPr="00ED3ABC">
        <w:rPr>
          <w:rFonts w:ascii="Arial" w:hAnsi="Arial" w:cs="Arial"/>
          <w:sz w:val="20"/>
          <w:szCs w:val="20"/>
        </w:rPr>
        <w:t>:</w:t>
      </w:r>
      <w:r w:rsidR="00BA0E6C" w:rsidRPr="00ED3ABC">
        <w:rPr>
          <w:rFonts w:ascii="Arial" w:hAnsi="Arial" w:cs="Arial"/>
          <w:b/>
          <w:bCs/>
          <w:iCs/>
          <w:color w:val="000000" w:themeColor="text1"/>
          <w:spacing w:val="-3"/>
          <w:sz w:val="20"/>
          <w:szCs w:val="20"/>
        </w:rPr>
        <w:t xml:space="preserve"> </w:t>
      </w:r>
    </w:p>
    <w:p w14:paraId="42FCDF91" w14:textId="0FAF22D7" w:rsidR="00ED3ABC" w:rsidRPr="00ED3ABC" w:rsidRDefault="00ED3ABC" w:rsidP="00BA0E6C">
      <w:pPr>
        <w:spacing w:after="0" w:line="240" w:lineRule="auto"/>
        <w:jc w:val="both"/>
        <w:rPr>
          <w:rFonts w:ascii="Arial" w:hAnsi="Arial" w:cs="Arial"/>
          <w:color w:val="333333"/>
          <w:sz w:val="20"/>
          <w:szCs w:val="20"/>
        </w:rPr>
      </w:pPr>
      <w:r w:rsidRPr="00ED3ABC">
        <w:rPr>
          <w:rFonts w:ascii="Arial" w:hAnsi="Arial" w:cs="Arial"/>
          <w:spacing w:val="-3"/>
          <w:sz w:val="20"/>
          <w:szCs w:val="20"/>
        </w:rPr>
        <w:t xml:space="preserve">Už PVM sąskaitų-faktūrų priėmimą „E-sąskaita“ portale atsakingas asmuo: </w:t>
      </w:r>
    </w:p>
    <w:p w14:paraId="51AFDEEC" w14:textId="76937402" w:rsidR="009372A7" w:rsidRPr="00ED3ABC" w:rsidRDefault="009372A7" w:rsidP="00BA0E6C">
      <w:pPr>
        <w:spacing w:after="0" w:line="240" w:lineRule="auto"/>
        <w:jc w:val="both"/>
        <w:rPr>
          <w:rFonts w:ascii="Arial" w:hAnsi="Arial" w:cs="Arial"/>
          <w:sz w:val="20"/>
          <w:szCs w:val="20"/>
        </w:rPr>
      </w:pPr>
      <w:r w:rsidRPr="00ED3ABC">
        <w:rPr>
          <w:rFonts w:ascii="Arial" w:hAnsi="Arial" w:cs="Arial"/>
          <w:bCs/>
          <w:iCs/>
          <w:spacing w:val="-3"/>
          <w:sz w:val="20"/>
          <w:szCs w:val="20"/>
        </w:rPr>
        <w:t>Įteikti:</w:t>
      </w:r>
      <w:r w:rsidRPr="00ED3ABC">
        <w:rPr>
          <w:rFonts w:ascii="Arial" w:hAnsi="Arial" w:cs="Arial"/>
          <w:b/>
          <w:bCs/>
          <w:iCs/>
          <w:spacing w:val="-3"/>
          <w:sz w:val="20"/>
          <w:szCs w:val="20"/>
        </w:rPr>
        <w:t xml:space="preserve"> </w:t>
      </w:r>
      <w:r w:rsidR="0030692A" w:rsidRPr="00ED3ABC">
        <w:rPr>
          <w:rFonts w:ascii="Arial" w:hAnsi="Arial" w:cs="Arial"/>
          <w:bCs/>
          <w:iCs/>
          <w:spacing w:val="-3"/>
          <w:sz w:val="20"/>
          <w:szCs w:val="20"/>
        </w:rPr>
        <w:t>PC, FA</w:t>
      </w:r>
      <w:r w:rsidR="003A0EE0" w:rsidRPr="00ED3ABC">
        <w:rPr>
          <w:rFonts w:ascii="Arial" w:hAnsi="Arial" w:cs="Arial"/>
          <w:bCs/>
          <w:iCs/>
          <w:spacing w:val="-3"/>
          <w:sz w:val="20"/>
          <w:szCs w:val="20"/>
        </w:rPr>
        <w:t>, ITC.</w:t>
      </w:r>
    </w:p>
    <w:p w14:paraId="6307F147" w14:textId="42C8FC74" w:rsidR="009372A7" w:rsidRPr="00ED3ABC" w:rsidRDefault="009372A7" w:rsidP="00BA0E6C">
      <w:pPr>
        <w:spacing w:after="0" w:line="240" w:lineRule="auto"/>
        <w:rPr>
          <w:rFonts w:ascii="Arial" w:hAnsi="Arial" w:cs="Arial"/>
          <w:sz w:val="20"/>
          <w:szCs w:val="20"/>
        </w:rPr>
      </w:pPr>
      <w:r w:rsidRPr="00ED3ABC">
        <w:rPr>
          <w:rFonts w:ascii="Arial" w:eastAsia="Calibri" w:hAnsi="Arial" w:cs="Arial"/>
          <w:sz w:val="20"/>
          <w:szCs w:val="20"/>
        </w:rPr>
        <w:t>Sutarties savininkas:</w:t>
      </w:r>
      <w:r w:rsidR="003A0EE0" w:rsidRPr="00ED3ABC">
        <w:rPr>
          <w:rFonts w:ascii="Arial" w:eastAsia="Calibri" w:hAnsi="Arial" w:cs="Arial"/>
          <w:sz w:val="20"/>
          <w:szCs w:val="20"/>
        </w:rPr>
        <w:t xml:space="preserve"> ITC.</w:t>
      </w:r>
    </w:p>
    <w:p w14:paraId="42C02010" w14:textId="77777777" w:rsidR="009372A7" w:rsidRPr="00257BCF" w:rsidRDefault="009372A7" w:rsidP="009372A7">
      <w:pPr>
        <w:shd w:val="clear" w:color="auto" w:fill="FFFFFF"/>
        <w:tabs>
          <w:tab w:val="left" w:pos="394"/>
          <w:tab w:val="left" w:pos="720"/>
        </w:tabs>
        <w:spacing w:after="0" w:line="240" w:lineRule="auto"/>
        <w:ind w:firstLine="360"/>
        <w:jc w:val="both"/>
        <w:rPr>
          <w:rFonts w:ascii="Arial" w:eastAsia="Calibri" w:hAnsi="Arial" w:cs="Arial"/>
        </w:rPr>
      </w:pPr>
    </w:p>
    <w:p w14:paraId="249829C2" w14:textId="72B19D8F" w:rsidR="000A3A1E" w:rsidRPr="00257BCF" w:rsidRDefault="000A3A1E" w:rsidP="00B62295">
      <w:pPr>
        <w:spacing w:after="0" w:line="240" w:lineRule="auto"/>
        <w:ind w:firstLine="360"/>
        <w:jc w:val="center"/>
        <w:rPr>
          <w:rFonts w:ascii="Arial" w:eastAsia="Calibri" w:hAnsi="Arial" w:cs="Arial"/>
          <w:b/>
        </w:rPr>
      </w:pPr>
    </w:p>
    <w:sectPr w:rsidR="000A3A1E" w:rsidRPr="00257BCF" w:rsidSect="00A47842">
      <w:headerReference w:type="even" r:id="rId8"/>
      <w:headerReference w:type="default" r:id="rId9"/>
      <w:footerReference w:type="even" r:id="rId10"/>
      <w:footerReference w:type="default" r:id="rId11"/>
      <w:headerReference w:type="first" r:id="rId12"/>
      <w:footerReference w:type="first" r:id="rId13"/>
      <w:pgSz w:w="11906" w:h="16838"/>
      <w:pgMar w:top="567" w:right="70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E358C" w14:textId="77777777" w:rsidR="00B000A4" w:rsidRDefault="00B000A4">
      <w:pPr>
        <w:spacing w:after="0" w:line="240" w:lineRule="auto"/>
      </w:pPr>
      <w:r>
        <w:separator/>
      </w:r>
    </w:p>
  </w:endnote>
  <w:endnote w:type="continuationSeparator" w:id="0">
    <w:p w14:paraId="730A83E3" w14:textId="77777777" w:rsidR="00B000A4" w:rsidRDefault="00B000A4">
      <w:pPr>
        <w:spacing w:after="0" w:line="240" w:lineRule="auto"/>
      </w:pPr>
      <w:r>
        <w:continuationSeparator/>
      </w:r>
    </w:p>
  </w:endnote>
  <w:endnote w:type="continuationNotice" w:id="1">
    <w:p w14:paraId="45D3E303" w14:textId="77777777" w:rsidR="00B000A4" w:rsidRDefault="00B00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EEE3" w14:textId="77777777" w:rsidR="00FE492E" w:rsidRDefault="00FE4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96BD9" w14:textId="77777777" w:rsidR="001A12AF" w:rsidRDefault="001A1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D1B5" w14:textId="77777777" w:rsidR="001A12AF" w:rsidRDefault="001A1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E1297" w14:textId="77777777" w:rsidR="00B000A4" w:rsidRDefault="00B000A4">
      <w:pPr>
        <w:spacing w:after="0" w:line="240" w:lineRule="auto"/>
      </w:pPr>
      <w:r>
        <w:separator/>
      </w:r>
    </w:p>
  </w:footnote>
  <w:footnote w:type="continuationSeparator" w:id="0">
    <w:p w14:paraId="01DCFDCE" w14:textId="77777777" w:rsidR="00B000A4" w:rsidRDefault="00B000A4">
      <w:pPr>
        <w:spacing w:after="0" w:line="240" w:lineRule="auto"/>
      </w:pPr>
      <w:r>
        <w:continuationSeparator/>
      </w:r>
    </w:p>
  </w:footnote>
  <w:footnote w:type="continuationNotice" w:id="1">
    <w:p w14:paraId="509FAC5A" w14:textId="77777777" w:rsidR="00B000A4" w:rsidRDefault="00B00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D3FC" w14:textId="77777777" w:rsidR="00FE492E" w:rsidRDefault="00FE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219356"/>
      <w:docPartObj>
        <w:docPartGallery w:val="Page Numbers (Top of Page)"/>
        <w:docPartUnique/>
      </w:docPartObj>
    </w:sdtPr>
    <w:sdtEndPr>
      <w:rPr>
        <w:noProof/>
      </w:rPr>
    </w:sdtEndPr>
    <w:sdtContent>
      <w:p w14:paraId="0C319384" w14:textId="59890C9A" w:rsidR="001A12AF" w:rsidRDefault="001A12AF">
        <w:pPr>
          <w:pStyle w:val="Header"/>
          <w:jc w:val="center"/>
        </w:pPr>
        <w:r>
          <w:fldChar w:fldCharType="begin"/>
        </w:r>
        <w:r>
          <w:instrText xml:space="preserve"> PAGE   \* MERGEFORMAT </w:instrText>
        </w:r>
        <w:r>
          <w:fldChar w:fldCharType="separate"/>
        </w:r>
        <w:r w:rsidR="0022757D">
          <w:rPr>
            <w:noProof/>
          </w:rPr>
          <w:t>9</w:t>
        </w:r>
        <w:r>
          <w:rPr>
            <w:noProof/>
          </w:rPr>
          <w:fldChar w:fldCharType="end"/>
        </w:r>
      </w:p>
    </w:sdtContent>
  </w:sdt>
  <w:p w14:paraId="64F4DB29" w14:textId="77777777" w:rsidR="001A12AF" w:rsidRDefault="001A1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F4FB2" w14:textId="77777777" w:rsidR="00FE492E" w:rsidRDefault="00FE4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9C84B84"/>
    <w:multiLevelType w:val="hybridMultilevel"/>
    <w:tmpl w:val="795C25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19E0E94"/>
    <w:multiLevelType w:val="hybridMultilevel"/>
    <w:tmpl w:val="2F46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641"/>
    <w:rsid w:val="00004827"/>
    <w:rsid w:val="00004E02"/>
    <w:rsid w:val="00007263"/>
    <w:rsid w:val="000119C1"/>
    <w:rsid w:val="00013EAB"/>
    <w:rsid w:val="00020454"/>
    <w:rsid w:val="00024863"/>
    <w:rsid w:val="00034D14"/>
    <w:rsid w:val="000358F3"/>
    <w:rsid w:val="00036963"/>
    <w:rsid w:val="00040EB3"/>
    <w:rsid w:val="00044407"/>
    <w:rsid w:val="00044625"/>
    <w:rsid w:val="00044EE5"/>
    <w:rsid w:val="00045D46"/>
    <w:rsid w:val="00051530"/>
    <w:rsid w:val="00061FFA"/>
    <w:rsid w:val="00073CE4"/>
    <w:rsid w:val="00080AA2"/>
    <w:rsid w:val="00081A26"/>
    <w:rsid w:val="00081CF7"/>
    <w:rsid w:val="00082379"/>
    <w:rsid w:val="00095942"/>
    <w:rsid w:val="00095E1D"/>
    <w:rsid w:val="00095E4E"/>
    <w:rsid w:val="000A005E"/>
    <w:rsid w:val="000A22B4"/>
    <w:rsid w:val="000A3A1E"/>
    <w:rsid w:val="000A7918"/>
    <w:rsid w:val="000A7F76"/>
    <w:rsid w:val="000B133C"/>
    <w:rsid w:val="000B31F4"/>
    <w:rsid w:val="000B3814"/>
    <w:rsid w:val="000B46AF"/>
    <w:rsid w:val="000C45AB"/>
    <w:rsid w:val="000C6F1C"/>
    <w:rsid w:val="000C7E2A"/>
    <w:rsid w:val="000C7E68"/>
    <w:rsid w:val="000D2FD3"/>
    <w:rsid w:val="000D4241"/>
    <w:rsid w:val="000D4C67"/>
    <w:rsid w:val="000D7749"/>
    <w:rsid w:val="000E06C7"/>
    <w:rsid w:val="000E16BB"/>
    <w:rsid w:val="000E4DC5"/>
    <w:rsid w:val="000E4FED"/>
    <w:rsid w:val="000E66F9"/>
    <w:rsid w:val="000F332C"/>
    <w:rsid w:val="000F361E"/>
    <w:rsid w:val="000F59DC"/>
    <w:rsid w:val="000F6BFD"/>
    <w:rsid w:val="00103EBD"/>
    <w:rsid w:val="00104F92"/>
    <w:rsid w:val="00107AA4"/>
    <w:rsid w:val="00107B19"/>
    <w:rsid w:val="00110925"/>
    <w:rsid w:val="00113463"/>
    <w:rsid w:val="001134CC"/>
    <w:rsid w:val="001159FB"/>
    <w:rsid w:val="00130E05"/>
    <w:rsid w:val="001338BA"/>
    <w:rsid w:val="00133B0E"/>
    <w:rsid w:val="00134218"/>
    <w:rsid w:val="001345CF"/>
    <w:rsid w:val="00134A36"/>
    <w:rsid w:val="00134B3C"/>
    <w:rsid w:val="00140EC1"/>
    <w:rsid w:val="00142033"/>
    <w:rsid w:val="00145263"/>
    <w:rsid w:val="00147A02"/>
    <w:rsid w:val="00156AA1"/>
    <w:rsid w:val="00156D79"/>
    <w:rsid w:val="00157201"/>
    <w:rsid w:val="0016003D"/>
    <w:rsid w:val="00162C29"/>
    <w:rsid w:val="0017246D"/>
    <w:rsid w:val="00176F80"/>
    <w:rsid w:val="00184718"/>
    <w:rsid w:val="001857FF"/>
    <w:rsid w:val="00186DC9"/>
    <w:rsid w:val="00194131"/>
    <w:rsid w:val="001A12AF"/>
    <w:rsid w:val="001A2C1C"/>
    <w:rsid w:val="001A62A0"/>
    <w:rsid w:val="001A6315"/>
    <w:rsid w:val="001B498F"/>
    <w:rsid w:val="001C0C91"/>
    <w:rsid w:val="001C1C5D"/>
    <w:rsid w:val="001C2DA1"/>
    <w:rsid w:val="001D239D"/>
    <w:rsid w:val="001D4361"/>
    <w:rsid w:val="001D6177"/>
    <w:rsid w:val="001E2067"/>
    <w:rsid w:val="001E3920"/>
    <w:rsid w:val="001E6957"/>
    <w:rsid w:val="001E6B76"/>
    <w:rsid w:val="001E7F7A"/>
    <w:rsid w:val="001F2A64"/>
    <w:rsid w:val="001F7DE1"/>
    <w:rsid w:val="00200BD2"/>
    <w:rsid w:val="0020328E"/>
    <w:rsid w:val="002041B6"/>
    <w:rsid w:val="00206949"/>
    <w:rsid w:val="00215595"/>
    <w:rsid w:val="00220F4A"/>
    <w:rsid w:val="00222392"/>
    <w:rsid w:val="00223E3F"/>
    <w:rsid w:val="00223F2B"/>
    <w:rsid w:val="0022756C"/>
    <w:rsid w:val="0022757D"/>
    <w:rsid w:val="00232B10"/>
    <w:rsid w:val="0023346E"/>
    <w:rsid w:val="0023444F"/>
    <w:rsid w:val="00237EAC"/>
    <w:rsid w:val="00240C30"/>
    <w:rsid w:val="002431EC"/>
    <w:rsid w:val="00244BE8"/>
    <w:rsid w:val="00253CD9"/>
    <w:rsid w:val="0025758E"/>
    <w:rsid w:val="00257BCF"/>
    <w:rsid w:val="00261878"/>
    <w:rsid w:val="00262DD7"/>
    <w:rsid w:val="00265839"/>
    <w:rsid w:val="00265A5F"/>
    <w:rsid w:val="00265C62"/>
    <w:rsid w:val="00271303"/>
    <w:rsid w:val="0027567B"/>
    <w:rsid w:val="002762BB"/>
    <w:rsid w:val="00276668"/>
    <w:rsid w:val="00277979"/>
    <w:rsid w:val="0028155A"/>
    <w:rsid w:val="002920EB"/>
    <w:rsid w:val="00297FEF"/>
    <w:rsid w:val="002A1027"/>
    <w:rsid w:val="002A27F7"/>
    <w:rsid w:val="002A3AFC"/>
    <w:rsid w:val="002A6A63"/>
    <w:rsid w:val="002B06F6"/>
    <w:rsid w:val="002B1C1D"/>
    <w:rsid w:val="002B515C"/>
    <w:rsid w:val="002C28B5"/>
    <w:rsid w:val="002C2F08"/>
    <w:rsid w:val="002C30F1"/>
    <w:rsid w:val="002C36FF"/>
    <w:rsid w:val="002D1E91"/>
    <w:rsid w:val="002D4D55"/>
    <w:rsid w:val="002D769E"/>
    <w:rsid w:val="002E0030"/>
    <w:rsid w:val="002E1A43"/>
    <w:rsid w:val="002E76CC"/>
    <w:rsid w:val="002F127C"/>
    <w:rsid w:val="002F2864"/>
    <w:rsid w:val="002F3BD8"/>
    <w:rsid w:val="002F4062"/>
    <w:rsid w:val="002F6576"/>
    <w:rsid w:val="002F6916"/>
    <w:rsid w:val="003065C1"/>
    <w:rsid w:val="0030692A"/>
    <w:rsid w:val="00310D98"/>
    <w:rsid w:val="00310FA0"/>
    <w:rsid w:val="00311C80"/>
    <w:rsid w:val="003170E5"/>
    <w:rsid w:val="00320895"/>
    <w:rsid w:val="0032691D"/>
    <w:rsid w:val="00344088"/>
    <w:rsid w:val="00346DBE"/>
    <w:rsid w:val="00353251"/>
    <w:rsid w:val="00353456"/>
    <w:rsid w:val="00355445"/>
    <w:rsid w:val="00355681"/>
    <w:rsid w:val="00360B5C"/>
    <w:rsid w:val="003702AD"/>
    <w:rsid w:val="00372791"/>
    <w:rsid w:val="00372D0E"/>
    <w:rsid w:val="00373C3B"/>
    <w:rsid w:val="0037448E"/>
    <w:rsid w:val="00384533"/>
    <w:rsid w:val="003A0108"/>
    <w:rsid w:val="003A0EE0"/>
    <w:rsid w:val="003A1641"/>
    <w:rsid w:val="003A6684"/>
    <w:rsid w:val="003A6C4E"/>
    <w:rsid w:val="003B41D5"/>
    <w:rsid w:val="003B6837"/>
    <w:rsid w:val="003B6F95"/>
    <w:rsid w:val="003C2CFF"/>
    <w:rsid w:val="003D4B2D"/>
    <w:rsid w:val="003E27E2"/>
    <w:rsid w:val="003E5C80"/>
    <w:rsid w:val="003F0B2E"/>
    <w:rsid w:val="003F3CA6"/>
    <w:rsid w:val="00400624"/>
    <w:rsid w:val="00405879"/>
    <w:rsid w:val="0041096A"/>
    <w:rsid w:val="00411EFF"/>
    <w:rsid w:val="0041517D"/>
    <w:rsid w:val="00421BD5"/>
    <w:rsid w:val="004222C7"/>
    <w:rsid w:val="00425EEE"/>
    <w:rsid w:val="00431309"/>
    <w:rsid w:val="00431527"/>
    <w:rsid w:val="00435ABD"/>
    <w:rsid w:val="00450DD9"/>
    <w:rsid w:val="00452C9D"/>
    <w:rsid w:val="004573CB"/>
    <w:rsid w:val="00470F56"/>
    <w:rsid w:val="0047579F"/>
    <w:rsid w:val="00476691"/>
    <w:rsid w:val="004804A6"/>
    <w:rsid w:val="00481595"/>
    <w:rsid w:val="004844E4"/>
    <w:rsid w:val="004856C6"/>
    <w:rsid w:val="00486C50"/>
    <w:rsid w:val="00492BAD"/>
    <w:rsid w:val="0049363E"/>
    <w:rsid w:val="0049726E"/>
    <w:rsid w:val="0049758F"/>
    <w:rsid w:val="00497A39"/>
    <w:rsid w:val="004A35D6"/>
    <w:rsid w:val="004A4409"/>
    <w:rsid w:val="004A7DAC"/>
    <w:rsid w:val="004B0098"/>
    <w:rsid w:val="004B2269"/>
    <w:rsid w:val="004B2D8F"/>
    <w:rsid w:val="004B5DA8"/>
    <w:rsid w:val="004C3A34"/>
    <w:rsid w:val="004C3AAF"/>
    <w:rsid w:val="004C7D82"/>
    <w:rsid w:val="004D02D2"/>
    <w:rsid w:val="004D21CD"/>
    <w:rsid w:val="004D4DB3"/>
    <w:rsid w:val="004D6658"/>
    <w:rsid w:val="004E169E"/>
    <w:rsid w:val="004E16A8"/>
    <w:rsid w:val="004E304F"/>
    <w:rsid w:val="004E31CE"/>
    <w:rsid w:val="004E5040"/>
    <w:rsid w:val="004E7C45"/>
    <w:rsid w:val="004F0715"/>
    <w:rsid w:val="004F2517"/>
    <w:rsid w:val="004F7495"/>
    <w:rsid w:val="00501989"/>
    <w:rsid w:val="0050205A"/>
    <w:rsid w:val="00505FED"/>
    <w:rsid w:val="005066CE"/>
    <w:rsid w:val="00510C4D"/>
    <w:rsid w:val="00510F8B"/>
    <w:rsid w:val="00512C82"/>
    <w:rsid w:val="005158EA"/>
    <w:rsid w:val="00516521"/>
    <w:rsid w:val="00520708"/>
    <w:rsid w:val="00523450"/>
    <w:rsid w:val="00524C9F"/>
    <w:rsid w:val="00532E58"/>
    <w:rsid w:val="005338F1"/>
    <w:rsid w:val="00540279"/>
    <w:rsid w:val="005410BE"/>
    <w:rsid w:val="00543761"/>
    <w:rsid w:val="0054444B"/>
    <w:rsid w:val="005447AD"/>
    <w:rsid w:val="00546898"/>
    <w:rsid w:val="00550B03"/>
    <w:rsid w:val="00551856"/>
    <w:rsid w:val="00554930"/>
    <w:rsid w:val="005576F8"/>
    <w:rsid w:val="0056225E"/>
    <w:rsid w:val="005647A1"/>
    <w:rsid w:val="00566B86"/>
    <w:rsid w:val="00572405"/>
    <w:rsid w:val="00572657"/>
    <w:rsid w:val="005731EF"/>
    <w:rsid w:val="00574C62"/>
    <w:rsid w:val="0057630A"/>
    <w:rsid w:val="00576EBC"/>
    <w:rsid w:val="00577565"/>
    <w:rsid w:val="00577609"/>
    <w:rsid w:val="00577A5C"/>
    <w:rsid w:val="0058139E"/>
    <w:rsid w:val="00583823"/>
    <w:rsid w:val="005A44C7"/>
    <w:rsid w:val="005A4E9C"/>
    <w:rsid w:val="005A7D31"/>
    <w:rsid w:val="005B0D31"/>
    <w:rsid w:val="005B1EF2"/>
    <w:rsid w:val="005B35B4"/>
    <w:rsid w:val="005C027D"/>
    <w:rsid w:val="005C6F32"/>
    <w:rsid w:val="005C7541"/>
    <w:rsid w:val="005D01BD"/>
    <w:rsid w:val="005D0A77"/>
    <w:rsid w:val="005D197A"/>
    <w:rsid w:val="005D496F"/>
    <w:rsid w:val="005E36CD"/>
    <w:rsid w:val="005E4E0E"/>
    <w:rsid w:val="005E6460"/>
    <w:rsid w:val="005F30FA"/>
    <w:rsid w:val="00611549"/>
    <w:rsid w:val="006124FA"/>
    <w:rsid w:val="006216D7"/>
    <w:rsid w:val="00624C94"/>
    <w:rsid w:val="0062636D"/>
    <w:rsid w:val="006337DF"/>
    <w:rsid w:val="00637F36"/>
    <w:rsid w:val="0064071F"/>
    <w:rsid w:val="0064249C"/>
    <w:rsid w:val="00646210"/>
    <w:rsid w:val="00646E30"/>
    <w:rsid w:val="006500B9"/>
    <w:rsid w:val="0065184D"/>
    <w:rsid w:val="0065308B"/>
    <w:rsid w:val="00653B4F"/>
    <w:rsid w:val="00655460"/>
    <w:rsid w:val="006578E3"/>
    <w:rsid w:val="00660BBA"/>
    <w:rsid w:val="006635F0"/>
    <w:rsid w:val="0066565C"/>
    <w:rsid w:val="00665DA1"/>
    <w:rsid w:val="0067573C"/>
    <w:rsid w:val="0067677C"/>
    <w:rsid w:val="00680D64"/>
    <w:rsid w:val="006845F7"/>
    <w:rsid w:val="006878A6"/>
    <w:rsid w:val="006904A3"/>
    <w:rsid w:val="006925C1"/>
    <w:rsid w:val="006A1890"/>
    <w:rsid w:val="006A34D8"/>
    <w:rsid w:val="006A3AB6"/>
    <w:rsid w:val="006A4D29"/>
    <w:rsid w:val="006A5062"/>
    <w:rsid w:val="006A71AF"/>
    <w:rsid w:val="006A7938"/>
    <w:rsid w:val="006B1B2A"/>
    <w:rsid w:val="006C5A1D"/>
    <w:rsid w:val="006C5F65"/>
    <w:rsid w:val="006C66C6"/>
    <w:rsid w:val="006C799D"/>
    <w:rsid w:val="006D0473"/>
    <w:rsid w:val="006D0825"/>
    <w:rsid w:val="006D3943"/>
    <w:rsid w:val="006D3D8F"/>
    <w:rsid w:val="006D46C4"/>
    <w:rsid w:val="006D4C3C"/>
    <w:rsid w:val="006E02DD"/>
    <w:rsid w:val="006E081A"/>
    <w:rsid w:val="006E3F56"/>
    <w:rsid w:val="006E4EEF"/>
    <w:rsid w:val="006F05C4"/>
    <w:rsid w:val="006F12B9"/>
    <w:rsid w:val="006F13F2"/>
    <w:rsid w:val="006F1913"/>
    <w:rsid w:val="006F3C13"/>
    <w:rsid w:val="006F413C"/>
    <w:rsid w:val="006F78EE"/>
    <w:rsid w:val="007001AD"/>
    <w:rsid w:val="007005FE"/>
    <w:rsid w:val="007030A4"/>
    <w:rsid w:val="00707AD9"/>
    <w:rsid w:val="007108FE"/>
    <w:rsid w:val="00715A9F"/>
    <w:rsid w:val="007166D4"/>
    <w:rsid w:val="007220E9"/>
    <w:rsid w:val="00724C1A"/>
    <w:rsid w:val="00730ED4"/>
    <w:rsid w:val="00731071"/>
    <w:rsid w:val="007314ED"/>
    <w:rsid w:val="00732FEE"/>
    <w:rsid w:val="00733031"/>
    <w:rsid w:val="007347CA"/>
    <w:rsid w:val="00740D35"/>
    <w:rsid w:val="00753935"/>
    <w:rsid w:val="007545B8"/>
    <w:rsid w:val="00762803"/>
    <w:rsid w:val="00762FA3"/>
    <w:rsid w:val="00763D15"/>
    <w:rsid w:val="00767F36"/>
    <w:rsid w:val="00771328"/>
    <w:rsid w:val="00772FB9"/>
    <w:rsid w:val="00773126"/>
    <w:rsid w:val="00774587"/>
    <w:rsid w:val="00774EA4"/>
    <w:rsid w:val="007832A8"/>
    <w:rsid w:val="00786A57"/>
    <w:rsid w:val="00792C14"/>
    <w:rsid w:val="00797B44"/>
    <w:rsid w:val="007A2407"/>
    <w:rsid w:val="007B0D15"/>
    <w:rsid w:val="007B105D"/>
    <w:rsid w:val="007B1CA1"/>
    <w:rsid w:val="007B759F"/>
    <w:rsid w:val="007C1CBC"/>
    <w:rsid w:val="007C4291"/>
    <w:rsid w:val="007C6EC0"/>
    <w:rsid w:val="007C7610"/>
    <w:rsid w:val="007D0570"/>
    <w:rsid w:val="007D1039"/>
    <w:rsid w:val="007D56DF"/>
    <w:rsid w:val="007D57B8"/>
    <w:rsid w:val="007D5D82"/>
    <w:rsid w:val="007D6854"/>
    <w:rsid w:val="007E1327"/>
    <w:rsid w:val="007F0AD0"/>
    <w:rsid w:val="007F3C3B"/>
    <w:rsid w:val="007F6810"/>
    <w:rsid w:val="008073DC"/>
    <w:rsid w:val="00810DB3"/>
    <w:rsid w:val="008156CB"/>
    <w:rsid w:val="00816006"/>
    <w:rsid w:val="00820486"/>
    <w:rsid w:val="00823925"/>
    <w:rsid w:val="00826F8D"/>
    <w:rsid w:val="00834026"/>
    <w:rsid w:val="008346A9"/>
    <w:rsid w:val="00835B47"/>
    <w:rsid w:val="00836A16"/>
    <w:rsid w:val="00840555"/>
    <w:rsid w:val="008407E0"/>
    <w:rsid w:val="008408DE"/>
    <w:rsid w:val="00843EEF"/>
    <w:rsid w:val="0084621B"/>
    <w:rsid w:val="008464CC"/>
    <w:rsid w:val="008467E3"/>
    <w:rsid w:val="00852305"/>
    <w:rsid w:val="0085318C"/>
    <w:rsid w:val="00855E4A"/>
    <w:rsid w:val="00855FBB"/>
    <w:rsid w:val="00864173"/>
    <w:rsid w:val="00870C2A"/>
    <w:rsid w:val="00870F76"/>
    <w:rsid w:val="0087124B"/>
    <w:rsid w:val="0087741F"/>
    <w:rsid w:val="00880429"/>
    <w:rsid w:val="0088156B"/>
    <w:rsid w:val="0088156F"/>
    <w:rsid w:val="008874E5"/>
    <w:rsid w:val="00890BA1"/>
    <w:rsid w:val="008A05A9"/>
    <w:rsid w:val="008A0C67"/>
    <w:rsid w:val="008A6B68"/>
    <w:rsid w:val="008B5943"/>
    <w:rsid w:val="008B66C4"/>
    <w:rsid w:val="008C2C6F"/>
    <w:rsid w:val="008C38E4"/>
    <w:rsid w:val="008C78F8"/>
    <w:rsid w:val="008D0C84"/>
    <w:rsid w:val="008D65E2"/>
    <w:rsid w:val="008D67F3"/>
    <w:rsid w:val="008E3470"/>
    <w:rsid w:val="008E512E"/>
    <w:rsid w:val="008E6AF0"/>
    <w:rsid w:val="008F09EA"/>
    <w:rsid w:val="008F517D"/>
    <w:rsid w:val="0090048C"/>
    <w:rsid w:val="00900F5A"/>
    <w:rsid w:val="00901FDD"/>
    <w:rsid w:val="009029E5"/>
    <w:rsid w:val="00903F3A"/>
    <w:rsid w:val="00910464"/>
    <w:rsid w:val="00911959"/>
    <w:rsid w:val="00912F50"/>
    <w:rsid w:val="0091684B"/>
    <w:rsid w:val="00921DCF"/>
    <w:rsid w:val="0092569A"/>
    <w:rsid w:val="00927E60"/>
    <w:rsid w:val="00931BA7"/>
    <w:rsid w:val="009333FD"/>
    <w:rsid w:val="009372A7"/>
    <w:rsid w:val="00937D1B"/>
    <w:rsid w:val="00941412"/>
    <w:rsid w:val="009426AF"/>
    <w:rsid w:val="00946A9B"/>
    <w:rsid w:val="00947077"/>
    <w:rsid w:val="00957A7D"/>
    <w:rsid w:val="00957DAE"/>
    <w:rsid w:val="009632A5"/>
    <w:rsid w:val="00965736"/>
    <w:rsid w:val="00970ECA"/>
    <w:rsid w:val="00973707"/>
    <w:rsid w:val="009738B7"/>
    <w:rsid w:val="0097569E"/>
    <w:rsid w:val="00981E29"/>
    <w:rsid w:val="009846EA"/>
    <w:rsid w:val="00985D8F"/>
    <w:rsid w:val="00986758"/>
    <w:rsid w:val="009910DE"/>
    <w:rsid w:val="009A097A"/>
    <w:rsid w:val="009A1E98"/>
    <w:rsid w:val="009A43B3"/>
    <w:rsid w:val="009B36A9"/>
    <w:rsid w:val="009B566E"/>
    <w:rsid w:val="009B634C"/>
    <w:rsid w:val="009C6C38"/>
    <w:rsid w:val="009D43E5"/>
    <w:rsid w:val="009D5337"/>
    <w:rsid w:val="009E35B6"/>
    <w:rsid w:val="009F0D3A"/>
    <w:rsid w:val="009F1130"/>
    <w:rsid w:val="009F216B"/>
    <w:rsid w:val="00A01CD6"/>
    <w:rsid w:val="00A01CE9"/>
    <w:rsid w:val="00A0258E"/>
    <w:rsid w:val="00A03494"/>
    <w:rsid w:val="00A04524"/>
    <w:rsid w:val="00A04F80"/>
    <w:rsid w:val="00A06134"/>
    <w:rsid w:val="00A075F6"/>
    <w:rsid w:val="00A14DB3"/>
    <w:rsid w:val="00A17606"/>
    <w:rsid w:val="00A234E6"/>
    <w:rsid w:val="00A26BAA"/>
    <w:rsid w:val="00A322CE"/>
    <w:rsid w:val="00A32358"/>
    <w:rsid w:val="00A35923"/>
    <w:rsid w:val="00A41CEB"/>
    <w:rsid w:val="00A4312B"/>
    <w:rsid w:val="00A43740"/>
    <w:rsid w:val="00A4587B"/>
    <w:rsid w:val="00A45C26"/>
    <w:rsid w:val="00A4625C"/>
    <w:rsid w:val="00A47842"/>
    <w:rsid w:val="00A52A64"/>
    <w:rsid w:val="00A52B27"/>
    <w:rsid w:val="00A5574A"/>
    <w:rsid w:val="00A60710"/>
    <w:rsid w:val="00A66D9E"/>
    <w:rsid w:val="00A67A88"/>
    <w:rsid w:val="00A70CD2"/>
    <w:rsid w:val="00A71334"/>
    <w:rsid w:val="00A81285"/>
    <w:rsid w:val="00A84166"/>
    <w:rsid w:val="00A86D1A"/>
    <w:rsid w:val="00A93400"/>
    <w:rsid w:val="00A93C47"/>
    <w:rsid w:val="00A94BB6"/>
    <w:rsid w:val="00A96B62"/>
    <w:rsid w:val="00A971A9"/>
    <w:rsid w:val="00AA4BFD"/>
    <w:rsid w:val="00AA7369"/>
    <w:rsid w:val="00AA7E67"/>
    <w:rsid w:val="00AB26D1"/>
    <w:rsid w:val="00AB26E3"/>
    <w:rsid w:val="00AB2E97"/>
    <w:rsid w:val="00AB61E8"/>
    <w:rsid w:val="00AD3DBB"/>
    <w:rsid w:val="00AD4ED4"/>
    <w:rsid w:val="00AD69BC"/>
    <w:rsid w:val="00AE1CCA"/>
    <w:rsid w:val="00AE3F8B"/>
    <w:rsid w:val="00AE77BD"/>
    <w:rsid w:val="00AF15CA"/>
    <w:rsid w:val="00AF2BAA"/>
    <w:rsid w:val="00B000A4"/>
    <w:rsid w:val="00B0185C"/>
    <w:rsid w:val="00B0228B"/>
    <w:rsid w:val="00B0245E"/>
    <w:rsid w:val="00B02E64"/>
    <w:rsid w:val="00B12A6F"/>
    <w:rsid w:val="00B2185A"/>
    <w:rsid w:val="00B21DA7"/>
    <w:rsid w:val="00B23392"/>
    <w:rsid w:val="00B256E3"/>
    <w:rsid w:val="00B26941"/>
    <w:rsid w:val="00B3247E"/>
    <w:rsid w:val="00B32492"/>
    <w:rsid w:val="00B33F66"/>
    <w:rsid w:val="00B40F30"/>
    <w:rsid w:val="00B54E87"/>
    <w:rsid w:val="00B56006"/>
    <w:rsid w:val="00B57A16"/>
    <w:rsid w:val="00B57C9E"/>
    <w:rsid w:val="00B62295"/>
    <w:rsid w:val="00B65EDD"/>
    <w:rsid w:val="00B66DE9"/>
    <w:rsid w:val="00B67D7C"/>
    <w:rsid w:val="00B8041A"/>
    <w:rsid w:val="00B839B2"/>
    <w:rsid w:val="00B90340"/>
    <w:rsid w:val="00B9710E"/>
    <w:rsid w:val="00BA0299"/>
    <w:rsid w:val="00BA0C94"/>
    <w:rsid w:val="00BA0E6C"/>
    <w:rsid w:val="00BA33EE"/>
    <w:rsid w:val="00BA5C0D"/>
    <w:rsid w:val="00BB160F"/>
    <w:rsid w:val="00BB1BD5"/>
    <w:rsid w:val="00BB2BCB"/>
    <w:rsid w:val="00BB38D1"/>
    <w:rsid w:val="00BB4A42"/>
    <w:rsid w:val="00BC0DD7"/>
    <w:rsid w:val="00BC4813"/>
    <w:rsid w:val="00BC688B"/>
    <w:rsid w:val="00BC7407"/>
    <w:rsid w:val="00BD089B"/>
    <w:rsid w:val="00BD3FFE"/>
    <w:rsid w:val="00BE08B9"/>
    <w:rsid w:val="00BE3540"/>
    <w:rsid w:val="00BE3F1C"/>
    <w:rsid w:val="00BE6626"/>
    <w:rsid w:val="00BF112A"/>
    <w:rsid w:val="00BF3C7C"/>
    <w:rsid w:val="00BF635C"/>
    <w:rsid w:val="00C00236"/>
    <w:rsid w:val="00C061C6"/>
    <w:rsid w:val="00C11291"/>
    <w:rsid w:val="00C119A0"/>
    <w:rsid w:val="00C13B7C"/>
    <w:rsid w:val="00C16738"/>
    <w:rsid w:val="00C17D4C"/>
    <w:rsid w:val="00C2196B"/>
    <w:rsid w:val="00C2253F"/>
    <w:rsid w:val="00C232B3"/>
    <w:rsid w:val="00C238F4"/>
    <w:rsid w:val="00C33138"/>
    <w:rsid w:val="00C33BB5"/>
    <w:rsid w:val="00C34799"/>
    <w:rsid w:val="00C35EB1"/>
    <w:rsid w:val="00C4140F"/>
    <w:rsid w:val="00C425A2"/>
    <w:rsid w:val="00C42C74"/>
    <w:rsid w:val="00C522BE"/>
    <w:rsid w:val="00C52452"/>
    <w:rsid w:val="00C55B1F"/>
    <w:rsid w:val="00C65AC0"/>
    <w:rsid w:val="00C65F96"/>
    <w:rsid w:val="00C710F4"/>
    <w:rsid w:val="00C721A0"/>
    <w:rsid w:val="00C724F8"/>
    <w:rsid w:val="00C760B9"/>
    <w:rsid w:val="00C76C14"/>
    <w:rsid w:val="00C808A6"/>
    <w:rsid w:val="00C80A31"/>
    <w:rsid w:val="00C81BCA"/>
    <w:rsid w:val="00C8630F"/>
    <w:rsid w:val="00C90CA2"/>
    <w:rsid w:val="00C93CC5"/>
    <w:rsid w:val="00C95551"/>
    <w:rsid w:val="00C95936"/>
    <w:rsid w:val="00CA10C3"/>
    <w:rsid w:val="00CA2785"/>
    <w:rsid w:val="00CA2C7A"/>
    <w:rsid w:val="00CA4ABB"/>
    <w:rsid w:val="00CA5FA8"/>
    <w:rsid w:val="00CA6D43"/>
    <w:rsid w:val="00CB3052"/>
    <w:rsid w:val="00CB3AB1"/>
    <w:rsid w:val="00CB3E01"/>
    <w:rsid w:val="00CB77D9"/>
    <w:rsid w:val="00CC071F"/>
    <w:rsid w:val="00CC395F"/>
    <w:rsid w:val="00CC4351"/>
    <w:rsid w:val="00CD1379"/>
    <w:rsid w:val="00CD43FD"/>
    <w:rsid w:val="00CE2F7A"/>
    <w:rsid w:val="00CE4D01"/>
    <w:rsid w:val="00CE69D0"/>
    <w:rsid w:val="00CE7CDD"/>
    <w:rsid w:val="00CF2881"/>
    <w:rsid w:val="00CF534D"/>
    <w:rsid w:val="00CF6CDB"/>
    <w:rsid w:val="00D00A4C"/>
    <w:rsid w:val="00D013A8"/>
    <w:rsid w:val="00D144EB"/>
    <w:rsid w:val="00D16615"/>
    <w:rsid w:val="00D21F14"/>
    <w:rsid w:val="00D24371"/>
    <w:rsid w:val="00D24C2C"/>
    <w:rsid w:val="00D26F2D"/>
    <w:rsid w:val="00D306E7"/>
    <w:rsid w:val="00D3086C"/>
    <w:rsid w:val="00D30E32"/>
    <w:rsid w:val="00D33415"/>
    <w:rsid w:val="00D33FAD"/>
    <w:rsid w:val="00D357E4"/>
    <w:rsid w:val="00D45BEE"/>
    <w:rsid w:val="00D528EA"/>
    <w:rsid w:val="00D55CD9"/>
    <w:rsid w:val="00D561EB"/>
    <w:rsid w:val="00D614DD"/>
    <w:rsid w:val="00D61EFC"/>
    <w:rsid w:val="00D640F4"/>
    <w:rsid w:val="00D66DBE"/>
    <w:rsid w:val="00D72C5B"/>
    <w:rsid w:val="00D73DA8"/>
    <w:rsid w:val="00D744D3"/>
    <w:rsid w:val="00D7529A"/>
    <w:rsid w:val="00D756E4"/>
    <w:rsid w:val="00D810F2"/>
    <w:rsid w:val="00D81FB5"/>
    <w:rsid w:val="00D82F6F"/>
    <w:rsid w:val="00D83663"/>
    <w:rsid w:val="00D837B8"/>
    <w:rsid w:val="00D84D45"/>
    <w:rsid w:val="00D87F61"/>
    <w:rsid w:val="00D93AC0"/>
    <w:rsid w:val="00D942A6"/>
    <w:rsid w:val="00D957DB"/>
    <w:rsid w:val="00D97D82"/>
    <w:rsid w:val="00DA0612"/>
    <w:rsid w:val="00DA352A"/>
    <w:rsid w:val="00DA4872"/>
    <w:rsid w:val="00DB10AD"/>
    <w:rsid w:val="00DB7F06"/>
    <w:rsid w:val="00DC36A1"/>
    <w:rsid w:val="00DC38BA"/>
    <w:rsid w:val="00DC4C94"/>
    <w:rsid w:val="00DD318C"/>
    <w:rsid w:val="00DD5971"/>
    <w:rsid w:val="00DE01C9"/>
    <w:rsid w:val="00DE45D6"/>
    <w:rsid w:val="00DE6DB1"/>
    <w:rsid w:val="00DF73B8"/>
    <w:rsid w:val="00DF7CE2"/>
    <w:rsid w:val="00E01348"/>
    <w:rsid w:val="00E035B4"/>
    <w:rsid w:val="00E045AC"/>
    <w:rsid w:val="00E06C4D"/>
    <w:rsid w:val="00E07853"/>
    <w:rsid w:val="00E104AF"/>
    <w:rsid w:val="00E15160"/>
    <w:rsid w:val="00E15BA0"/>
    <w:rsid w:val="00E234DC"/>
    <w:rsid w:val="00E23541"/>
    <w:rsid w:val="00E24477"/>
    <w:rsid w:val="00E25630"/>
    <w:rsid w:val="00E277BD"/>
    <w:rsid w:val="00E3492B"/>
    <w:rsid w:val="00E37B61"/>
    <w:rsid w:val="00E4376D"/>
    <w:rsid w:val="00E5408E"/>
    <w:rsid w:val="00E572DA"/>
    <w:rsid w:val="00E57505"/>
    <w:rsid w:val="00E61223"/>
    <w:rsid w:val="00E61BBB"/>
    <w:rsid w:val="00E641B5"/>
    <w:rsid w:val="00E70B35"/>
    <w:rsid w:val="00E729F4"/>
    <w:rsid w:val="00E769C1"/>
    <w:rsid w:val="00E8597B"/>
    <w:rsid w:val="00E87476"/>
    <w:rsid w:val="00E87D9D"/>
    <w:rsid w:val="00E90240"/>
    <w:rsid w:val="00E90CA8"/>
    <w:rsid w:val="00E92D58"/>
    <w:rsid w:val="00E97F68"/>
    <w:rsid w:val="00EA0906"/>
    <w:rsid w:val="00EA0D78"/>
    <w:rsid w:val="00EB1BE1"/>
    <w:rsid w:val="00EB3250"/>
    <w:rsid w:val="00EC1D81"/>
    <w:rsid w:val="00EC3702"/>
    <w:rsid w:val="00EC6F0A"/>
    <w:rsid w:val="00EC6F39"/>
    <w:rsid w:val="00EC7BF9"/>
    <w:rsid w:val="00ED1ADF"/>
    <w:rsid w:val="00ED3ABC"/>
    <w:rsid w:val="00ED670C"/>
    <w:rsid w:val="00EE176F"/>
    <w:rsid w:val="00EF2E4D"/>
    <w:rsid w:val="00EF7602"/>
    <w:rsid w:val="00F04C24"/>
    <w:rsid w:val="00F05DE9"/>
    <w:rsid w:val="00F10068"/>
    <w:rsid w:val="00F118CC"/>
    <w:rsid w:val="00F12791"/>
    <w:rsid w:val="00F1430C"/>
    <w:rsid w:val="00F147EA"/>
    <w:rsid w:val="00F204FB"/>
    <w:rsid w:val="00F2185F"/>
    <w:rsid w:val="00F224B3"/>
    <w:rsid w:val="00F27596"/>
    <w:rsid w:val="00F31C0D"/>
    <w:rsid w:val="00F32BF8"/>
    <w:rsid w:val="00F469DB"/>
    <w:rsid w:val="00F46A8B"/>
    <w:rsid w:val="00F51354"/>
    <w:rsid w:val="00F533B7"/>
    <w:rsid w:val="00F5495B"/>
    <w:rsid w:val="00F5527B"/>
    <w:rsid w:val="00F57A88"/>
    <w:rsid w:val="00F57ED1"/>
    <w:rsid w:val="00F61C2B"/>
    <w:rsid w:val="00F66D60"/>
    <w:rsid w:val="00F71785"/>
    <w:rsid w:val="00F73B60"/>
    <w:rsid w:val="00F75986"/>
    <w:rsid w:val="00F81084"/>
    <w:rsid w:val="00F81252"/>
    <w:rsid w:val="00F83C6A"/>
    <w:rsid w:val="00F9091B"/>
    <w:rsid w:val="00F935F3"/>
    <w:rsid w:val="00F97753"/>
    <w:rsid w:val="00FA0B72"/>
    <w:rsid w:val="00FA0F58"/>
    <w:rsid w:val="00FA2A17"/>
    <w:rsid w:val="00FA2D3D"/>
    <w:rsid w:val="00FB03E0"/>
    <w:rsid w:val="00FB30E3"/>
    <w:rsid w:val="00FB5B32"/>
    <w:rsid w:val="00FB7119"/>
    <w:rsid w:val="00FC0095"/>
    <w:rsid w:val="00FC1D43"/>
    <w:rsid w:val="00FC3B8E"/>
    <w:rsid w:val="00FC5564"/>
    <w:rsid w:val="00FD07F5"/>
    <w:rsid w:val="00FD386E"/>
    <w:rsid w:val="00FE094F"/>
    <w:rsid w:val="00FE3892"/>
    <w:rsid w:val="00FE492E"/>
    <w:rsid w:val="00FE7986"/>
    <w:rsid w:val="00FF12D3"/>
    <w:rsid w:val="00FF3C32"/>
    <w:rsid w:val="00FF45CE"/>
    <w:rsid w:val="00FF53CC"/>
    <w:rsid w:val="00FF6435"/>
    <w:rsid w:val="00FF6E6A"/>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24E937"/>
  <w15:docId w15:val="{B2C90AF9-D9C6-416A-9704-8C6F4C0B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F9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1766">
      <w:bodyDiv w:val="1"/>
      <w:marLeft w:val="0"/>
      <w:marRight w:val="0"/>
      <w:marTop w:val="0"/>
      <w:marBottom w:val="0"/>
      <w:divBdr>
        <w:top w:val="none" w:sz="0" w:space="0" w:color="auto"/>
        <w:left w:val="none" w:sz="0" w:space="0" w:color="auto"/>
        <w:bottom w:val="none" w:sz="0" w:space="0" w:color="auto"/>
        <w:right w:val="none" w:sz="0" w:space="0" w:color="auto"/>
      </w:divBdr>
    </w:div>
    <w:div w:id="128784680">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3861232">
      <w:bodyDiv w:val="1"/>
      <w:marLeft w:val="0"/>
      <w:marRight w:val="0"/>
      <w:marTop w:val="0"/>
      <w:marBottom w:val="0"/>
      <w:divBdr>
        <w:top w:val="none" w:sz="0" w:space="0" w:color="auto"/>
        <w:left w:val="none" w:sz="0" w:space="0" w:color="auto"/>
        <w:bottom w:val="none" w:sz="0" w:space="0" w:color="auto"/>
        <w:right w:val="none" w:sz="0" w:space="0" w:color="auto"/>
      </w:divBdr>
    </w:div>
    <w:div w:id="537089320">
      <w:bodyDiv w:val="1"/>
      <w:marLeft w:val="0"/>
      <w:marRight w:val="0"/>
      <w:marTop w:val="0"/>
      <w:marBottom w:val="0"/>
      <w:divBdr>
        <w:top w:val="none" w:sz="0" w:space="0" w:color="auto"/>
        <w:left w:val="none" w:sz="0" w:space="0" w:color="auto"/>
        <w:bottom w:val="none" w:sz="0" w:space="0" w:color="auto"/>
        <w:right w:val="none" w:sz="0" w:space="0" w:color="auto"/>
      </w:divBdr>
    </w:div>
    <w:div w:id="79463953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29939598">
      <w:bodyDiv w:val="1"/>
      <w:marLeft w:val="0"/>
      <w:marRight w:val="0"/>
      <w:marTop w:val="0"/>
      <w:marBottom w:val="0"/>
      <w:divBdr>
        <w:top w:val="none" w:sz="0" w:space="0" w:color="auto"/>
        <w:left w:val="none" w:sz="0" w:space="0" w:color="auto"/>
        <w:bottom w:val="none" w:sz="0" w:space="0" w:color="auto"/>
        <w:right w:val="none" w:sz="0" w:space="0" w:color="auto"/>
      </w:divBdr>
    </w:div>
    <w:div w:id="1343435909">
      <w:bodyDiv w:val="1"/>
      <w:marLeft w:val="0"/>
      <w:marRight w:val="0"/>
      <w:marTop w:val="0"/>
      <w:marBottom w:val="0"/>
      <w:divBdr>
        <w:top w:val="none" w:sz="0" w:space="0" w:color="auto"/>
        <w:left w:val="none" w:sz="0" w:space="0" w:color="auto"/>
        <w:bottom w:val="none" w:sz="0" w:space="0" w:color="auto"/>
        <w:right w:val="none" w:sz="0" w:space="0" w:color="auto"/>
      </w:divBdr>
    </w:div>
    <w:div w:id="138571244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36002298">
      <w:bodyDiv w:val="1"/>
      <w:marLeft w:val="0"/>
      <w:marRight w:val="0"/>
      <w:marTop w:val="0"/>
      <w:marBottom w:val="0"/>
      <w:divBdr>
        <w:top w:val="none" w:sz="0" w:space="0" w:color="auto"/>
        <w:left w:val="none" w:sz="0" w:space="0" w:color="auto"/>
        <w:bottom w:val="none" w:sz="0" w:space="0" w:color="auto"/>
        <w:right w:val="none" w:sz="0" w:space="0" w:color="auto"/>
      </w:divBdr>
    </w:div>
    <w:div w:id="1912039875">
      <w:bodyDiv w:val="1"/>
      <w:marLeft w:val="0"/>
      <w:marRight w:val="0"/>
      <w:marTop w:val="0"/>
      <w:marBottom w:val="0"/>
      <w:divBdr>
        <w:top w:val="none" w:sz="0" w:space="0" w:color="auto"/>
        <w:left w:val="none" w:sz="0" w:space="0" w:color="auto"/>
        <w:bottom w:val="none" w:sz="0" w:space="0" w:color="auto"/>
        <w:right w:val="none" w:sz="0" w:space="0" w:color="auto"/>
      </w:divBdr>
    </w:div>
    <w:div w:id="1956331269">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78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181E-32FD-4EA9-83FE-378D9D26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8084</Words>
  <Characters>4608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Diana Pašluostienė</cp:lastModifiedBy>
  <cp:revision>71</cp:revision>
  <cp:lastPrinted>2018-02-20T07:14:00Z</cp:lastPrinted>
  <dcterms:created xsi:type="dcterms:W3CDTF">2020-06-10T09:17:00Z</dcterms:created>
  <dcterms:modified xsi:type="dcterms:W3CDTF">2021-02-10T16:56:00Z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2019-11-26T07:18:45.2069399Z</vt:lpwstr>
  </property>
  <property fmtid="{D5CDD505-2E9C-101B-9397-08002B2CF9AE}" pid="5" name="MSIP_Label_cfcb905c-755b-4fd4-bd20-0d682d4f1d27_Name">
    <vt:lpwstr>Internal</vt:lpwstr>
  </property>
  <property fmtid="{D5CDD505-2E9C-101B-9397-08002B2CF9AE}" pid="6" name="MSIP_Label_cfcb905c-755b-4fd4-bd20-0d682d4f1d27_ActionId">
    <vt:lpwstr>07c65951-d4e0-4985-98cb-7714f0ccd329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