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7DA10" w14:textId="714119CE" w:rsidR="001D60BD" w:rsidRDefault="00B1170A">
      <w:pPr>
        <w:jc w:val="right"/>
        <w:rPr>
          <w:sz w:val="24"/>
          <w:szCs w:val="24"/>
        </w:rPr>
      </w:pPr>
      <w:r>
        <w:rPr>
          <w:sz w:val="24"/>
          <w:szCs w:val="24"/>
        </w:rPr>
        <w:t>1 PRIEDAS</w:t>
      </w:r>
    </w:p>
    <w:p w14:paraId="6987D876" w14:textId="77777777" w:rsidR="00B1170A" w:rsidRDefault="00B1170A">
      <w:pPr>
        <w:jc w:val="right"/>
        <w:rPr>
          <w:sz w:val="24"/>
          <w:szCs w:val="24"/>
        </w:rPr>
      </w:pPr>
    </w:p>
    <w:p w14:paraId="1EF8DF25" w14:textId="56F39392" w:rsidR="00B1170A" w:rsidRDefault="00293195" w:rsidP="00B117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DANTŲ PROTEZAVIMO MEDŽIAG</w:t>
      </w:r>
      <w:r w:rsidR="00780F4B">
        <w:rPr>
          <w:b/>
          <w:bCs/>
          <w:sz w:val="24"/>
          <w:szCs w:val="24"/>
        </w:rPr>
        <w:t>Ų</w:t>
      </w:r>
    </w:p>
    <w:p w14:paraId="083AD007" w14:textId="3B5773B6" w:rsidR="00B1170A" w:rsidRPr="00B1170A" w:rsidRDefault="00B1170A" w:rsidP="00B1170A">
      <w:pPr>
        <w:jc w:val="center"/>
        <w:rPr>
          <w:b/>
          <w:bCs/>
          <w:sz w:val="24"/>
          <w:szCs w:val="24"/>
        </w:rPr>
      </w:pPr>
      <w:r w:rsidRPr="00B1170A">
        <w:rPr>
          <w:b/>
          <w:bCs/>
          <w:sz w:val="24"/>
          <w:szCs w:val="24"/>
        </w:rPr>
        <w:t>TECHNINĖ SPECIFIKACIJA</w:t>
      </w:r>
      <w:r w:rsidR="00293195">
        <w:rPr>
          <w:b/>
          <w:bCs/>
          <w:sz w:val="24"/>
          <w:szCs w:val="24"/>
        </w:rPr>
        <w:t xml:space="preserve"> IR ĮKAINIAI</w:t>
      </w:r>
    </w:p>
    <w:p w14:paraId="794585E1" w14:textId="77777777" w:rsidR="001D60BD" w:rsidRDefault="001D60BD">
      <w:pPr>
        <w:rPr>
          <w:sz w:val="24"/>
          <w:szCs w:val="24"/>
        </w:rPr>
      </w:pPr>
    </w:p>
    <w:tbl>
      <w:tblPr>
        <w:tblStyle w:val="Lentelstinklelis"/>
        <w:tblW w:w="15162" w:type="dxa"/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709"/>
        <w:gridCol w:w="992"/>
        <w:gridCol w:w="1843"/>
        <w:gridCol w:w="1134"/>
        <w:gridCol w:w="992"/>
        <w:gridCol w:w="1560"/>
        <w:gridCol w:w="1700"/>
      </w:tblGrid>
      <w:tr w:rsidR="00293195" w14:paraId="152C7FBB" w14:textId="347E9163" w:rsidTr="00DA39A8">
        <w:tc>
          <w:tcPr>
            <w:tcW w:w="704" w:type="dxa"/>
          </w:tcPr>
          <w:p w14:paraId="2F1FC27A" w14:textId="1F337928" w:rsidR="00B1170A" w:rsidRPr="00DA39A8" w:rsidRDefault="00293195" w:rsidP="00B1170A">
            <w:pPr>
              <w:jc w:val="center"/>
              <w:rPr>
                <w:b/>
                <w:bCs/>
                <w:lang w:eastAsia="lt-LT"/>
              </w:rPr>
            </w:pPr>
            <w:proofErr w:type="spellStart"/>
            <w:r w:rsidRPr="00DA39A8">
              <w:rPr>
                <w:b/>
                <w:bCs/>
                <w:lang w:eastAsia="lt-LT"/>
              </w:rPr>
              <w:t>Pir</w:t>
            </w:r>
            <w:proofErr w:type="spellEnd"/>
            <w:r w:rsidR="00DA39A8">
              <w:rPr>
                <w:b/>
                <w:bCs/>
                <w:lang w:eastAsia="lt-LT"/>
              </w:rPr>
              <w:t>-</w:t>
            </w:r>
            <w:r w:rsidRPr="00DA39A8">
              <w:rPr>
                <w:b/>
                <w:bCs/>
                <w:lang w:eastAsia="lt-LT"/>
              </w:rPr>
              <w:t>kimo dalys</w:t>
            </w:r>
          </w:p>
        </w:tc>
        <w:tc>
          <w:tcPr>
            <w:tcW w:w="5528" w:type="dxa"/>
          </w:tcPr>
          <w:p w14:paraId="707482AE" w14:textId="77777777" w:rsidR="00B1170A" w:rsidRPr="00DA39A8" w:rsidRDefault="00B1170A" w:rsidP="00B1170A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39A8">
              <w:rPr>
                <w:b/>
                <w:bCs/>
                <w:sz w:val="22"/>
                <w:szCs w:val="22"/>
                <w:lang w:eastAsia="lt-LT"/>
              </w:rPr>
              <w:t xml:space="preserve">Pirkimo objekto pavadinimas ir </w:t>
            </w:r>
          </w:p>
          <w:p w14:paraId="40C64E8A" w14:textId="77777777" w:rsidR="00B1170A" w:rsidRPr="00DA39A8" w:rsidRDefault="00B1170A" w:rsidP="00B1170A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39A8">
              <w:rPr>
                <w:b/>
                <w:bCs/>
                <w:sz w:val="22"/>
                <w:szCs w:val="22"/>
                <w:lang w:eastAsia="lt-LT"/>
              </w:rPr>
              <w:t>techniniai reikalavimai</w:t>
            </w:r>
          </w:p>
        </w:tc>
        <w:tc>
          <w:tcPr>
            <w:tcW w:w="709" w:type="dxa"/>
          </w:tcPr>
          <w:p w14:paraId="12BFCB65" w14:textId="77777777" w:rsidR="00B1170A" w:rsidRPr="00DA39A8" w:rsidRDefault="00B1170A" w:rsidP="00B1170A">
            <w:pPr>
              <w:jc w:val="center"/>
              <w:rPr>
                <w:b/>
                <w:bCs/>
                <w:lang w:eastAsia="lt-LT"/>
              </w:rPr>
            </w:pPr>
            <w:r w:rsidRPr="00DA39A8">
              <w:rPr>
                <w:b/>
                <w:bCs/>
                <w:lang w:eastAsia="lt-LT"/>
              </w:rPr>
              <w:t>Mato vnt.</w:t>
            </w:r>
          </w:p>
        </w:tc>
        <w:tc>
          <w:tcPr>
            <w:tcW w:w="992" w:type="dxa"/>
          </w:tcPr>
          <w:p w14:paraId="62EA8B33" w14:textId="31D0BF6E" w:rsidR="00B1170A" w:rsidRPr="00DA39A8" w:rsidRDefault="00B1170A" w:rsidP="00B1170A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DA39A8">
              <w:rPr>
                <w:b/>
                <w:bCs/>
                <w:sz w:val="22"/>
                <w:szCs w:val="22"/>
                <w:lang w:eastAsia="lt-LT"/>
              </w:rPr>
              <w:t>Prelimi</w:t>
            </w:r>
            <w:proofErr w:type="spellEnd"/>
            <w:r w:rsidRPr="00DA39A8">
              <w:rPr>
                <w:b/>
                <w:bCs/>
                <w:sz w:val="22"/>
                <w:szCs w:val="22"/>
                <w:lang w:eastAsia="lt-LT"/>
              </w:rPr>
              <w:t>-narus kiekis</w:t>
            </w:r>
          </w:p>
          <w:p w14:paraId="5AEB157E" w14:textId="2B12F3A6" w:rsidR="00B1170A" w:rsidRPr="00DA39A8" w:rsidRDefault="00B1170A" w:rsidP="00B1170A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39A8">
              <w:rPr>
                <w:b/>
                <w:bCs/>
                <w:sz w:val="22"/>
                <w:szCs w:val="22"/>
                <w:lang w:val="en-US" w:eastAsia="lt-LT"/>
              </w:rPr>
              <w:t>12</w:t>
            </w:r>
            <w:r w:rsidRPr="00DA39A8">
              <w:rPr>
                <w:b/>
                <w:bCs/>
                <w:sz w:val="22"/>
                <w:szCs w:val="22"/>
                <w:lang w:eastAsia="lt-LT"/>
              </w:rPr>
              <w:t xml:space="preserve"> mėn. </w:t>
            </w:r>
          </w:p>
        </w:tc>
        <w:tc>
          <w:tcPr>
            <w:tcW w:w="1843" w:type="dxa"/>
          </w:tcPr>
          <w:p w14:paraId="07A4672E" w14:textId="55FE1B01" w:rsidR="00B1170A" w:rsidRPr="00DA39A8" w:rsidRDefault="00B1170A" w:rsidP="00B1170A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39A8">
              <w:rPr>
                <w:b/>
                <w:bCs/>
                <w:sz w:val="22"/>
                <w:szCs w:val="22"/>
                <w:lang w:eastAsia="lt-LT"/>
              </w:rPr>
              <w:t>Siūlomos prekės komercinis pavadinimas ir gamintojas</w:t>
            </w:r>
          </w:p>
        </w:tc>
        <w:tc>
          <w:tcPr>
            <w:tcW w:w="1134" w:type="dxa"/>
          </w:tcPr>
          <w:p w14:paraId="49171279" w14:textId="1B19762C" w:rsidR="00B1170A" w:rsidRPr="00DA39A8" w:rsidRDefault="00B1170A" w:rsidP="00B1170A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39A8">
              <w:rPr>
                <w:b/>
                <w:bCs/>
                <w:sz w:val="22"/>
                <w:szCs w:val="22"/>
              </w:rPr>
              <w:t>Vnt. įkainis, Eur (be PVM)</w:t>
            </w:r>
          </w:p>
        </w:tc>
        <w:tc>
          <w:tcPr>
            <w:tcW w:w="992" w:type="dxa"/>
          </w:tcPr>
          <w:p w14:paraId="4773B768" w14:textId="3AD742A3" w:rsidR="00B1170A" w:rsidRPr="00DA39A8" w:rsidRDefault="00B1170A" w:rsidP="00B1170A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39A8">
              <w:rPr>
                <w:b/>
                <w:bCs/>
                <w:sz w:val="22"/>
                <w:szCs w:val="22"/>
              </w:rPr>
              <w:t>Vnt. įkainis, Eur (su PVM)</w:t>
            </w:r>
          </w:p>
        </w:tc>
        <w:tc>
          <w:tcPr>
            <w:tcW w:w="1560" w:type="dxa"/>
          </w:tcPr>
          <w:p w14:paraId="01F98302" w14:textId="77777777" w:rsidR="00B1170A" w:rsidRPr="00DA39A8" w:rsidRDefault="00B1170A" w:rsidP="00B1170A">
            <w:pPr>
              <w:jc w:val="center"/>
              <w:rPr>
                <w:b/>
                <w:bCs/>
                <w:sz w:val="22"/>
                <w:szCs w:val="22"/>
              </w:rPr>
            </w:pPr>
            <w:r w:rsidRPr="00DA39A8">
              <w:rPr>
                <w:b/>
                <w:bCs/>
                <w:sz w:val="22"/>
                <w:szCs w:val="22"/>
              </w:rPr>
              <w:t xml:space="preserve">Viso 12 mėn. kiekio kaina, Eur </w:t>
            </w:r>
          </w:p>
          <w:p w14:paraId="6D3EAB1E" w14:textId="77777777" w:rsidR="00B1170A" w:rsidRPr="00DA39A8" w:rsidRDefault="00B1170A" w:rsidP="00B1170A">
            <w:pPr>
              <w:jc w:val="center"/>
              <w:rPr>
                <w:b/>
                <w:bCs/>
                <w:sz w:val="22"/>
                <w:szCs w:val="22"/>
              </w:rPr>
            </w:pPr>
            <w:r w:rsidRPr="00DA39A8">
              <w:rPr>
                <w:b/>
                <w:bCs/>
                <w:sz w:val="22"/>
                <w:szCs w:val="22"/>
              </w:rPr>
              <w:t>(be PVM)</w:t>
            </w:r>
          </w:p>
          <w:p w14:paraId="6CE03502" w14:textId="11CA82C0" w:rsidR="00DA39A8" w:rsidRPr="00DA39A8" w:rsidRDefault="00DA39A8" w:rsidP="00B1170A">
            <w:pPr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 w:rsidRPr="00DA39A8">
              <w:rPr>
                <w:i/>
                <w:iCs/>
                <w:sz w:val="22"/>
                <w:szCs w:val="22"/>
              </w:rPr>
              <w:t>(4x6)</w:t>
            </w:r>
          </w:p>
        </w:tc>
        <w:tc>
          <w:tcPr>
            <w:tcW w:w="1700" w:type="dxa"/>
          </w:tcPr>
          <w:p w14:paraId="5CDF7264" w14:textId="77777777" w:rsidR="00B1170A" w:rsidRPr="00DA39A8" w:rsidRDefault="00B1170A" w:rsidP="00B1170A">
            <w:pPr>
              <w:jc w:val="center"/>
              <w:rPr>
                <w:b/>
                <w:bCs/>
                <w:sz w:val="22"/>
                <w:szCs w:val="22"/>
              </w:rPr>
            </w:pPr>
            <w:r w:rsidRPr="00DA39A8">
              <w:rPr>
                <w:b/>
                <w:bCs/>
                <w:sz w:val="22"/>
                <w:szCs w:val="22"/>
              </w:rPr>
              <w:t xml:space="preserve">Viso 12 mėn. kiekio kaina, Eur </w:t>
            </w:r>
          </w:p>
          <w:p w14:paraId="4610AE18" w14:textId="77777777" w:rsidR="00B1170A" w:rsidRPr="00DA39A8" w:rsidRDefault="00B1170A" w:rsidP="00B1170A">
            <w:pPr>
              <w:jc w:val="center"/>
              <w:rPr>
                <w:b/>
                <w:bCs/>
                <w:sz w:val="22"/>
                <w:szCs w:val="22"/>
              </w:rPr>
            </w:pPr>
            <w:r w:rsidRPr="00DA39A8">
              <w:rPr>
                <w:b/>
                <w:bCs/>
                <w:sz w:val="22"/>
                <w:szCs w:val="22"/>
              </w:rPr>
              <w:t>(su PVM)</w:t>
            </w:r>
          </w:p>
          <w:p w14:paraId="769C5BE7" w14:textId="34E1A111" w:rsidR="00DA39A8" w:rsidRPr="00DA39A8" w:rsidRDefault="00DA39A8" w:rsidP="00B1170A">
            <w:pPr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 w:rsidRPr="00DA39A8">
              <w:rPr>
                <w:i/>
                <w:iCs/>
                <w:sz w:val="22"/>
                <w:szCs w:val="22"/>
              </w:rPr>
              <w:t>(4x7)</w:t>
            </w:r>
          </w:p>
        </w:tc>
      </w:tr>
      <w:tr w:rsidR="00DA39A8" w14:paraId="32933790" w14:textId="77777777" w:rsidTr="00DA39A8">
        <w:tc>
          <w:tcPr>
            <w:tcW w:w="704" w:type="dxa"/>
          </w:tcPr>
          <w:p w14:paraId="1EAE6DE7" w14:textId="54C75C30" w:rsidR="00DA39A8" w:rsidRPr="00DA39A8" w:rsidRDefault="00DA39A8" w:rsidP="00B1170A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DA39A8">
              <w:rPr>
                <w:b/>
                <w:bCs/>
                <w:i/>
                <w:iCs/>
                <w:lang w:eastAsia="lt-LT"/>
              </w:rPr>
              <w:t>1</w:t>
            </w:r>
          </w:p>
        </w:tc>
        <w:tc>
          <w:tcPr>
            <w:tcW w:w="5528" w:type="dxa"/>
          </w:tcPr>
          <w:p w14:paraId="24BAE9CC" w14:textId="7F288536" w:rsidR="00DA39A8" w:rsidRPr="00DA39A8" w:rsidRDefault="00DA39A8" w:rsidP="00B1170A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DA39A8">
              <w:rPr>
                <w:b/>
                <w:bCs/>
                <w:i/>
                <w:iCs/>
                <w:lang w:eastAsia="lt-LT"/>
              </w:rPr>
              <w:t>2</w:t>
            </w:r>
          </w:p>
        </w:tc>
        <w:tc>
          <w:tcPr>
            <w:tcW w:w="709" w:type="dxa"/>
          </w:tcPr>
          <w:p w14:paraId="31A7F766" w14:textId="508B5869" w:rsidR="00DA39A8" w:rsidRPr="00DA39A8" w:rsidRDefault="00DA39A8" w:rsidP="00B1170A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DA39A8">
              <w:rPr>
                <w:b/>
                <w:bCs/>
                <w:i/>
                <w:iCs/>
                <w:lang w:eastAsia="lt-LT"/>
              </w:rPr>
              <w:t>3</w:t>
            </w:r>
          </w:p>
        </w:tc>
        <w:tc>
          <w:tcPr>
            <w:tcW w:w="992" w:type="dxa"/>
          </w:tcPr>
          <w:p w14:paraId="13CAD80D" w14:textId="0CCB8E49" w:rsidR="00DA39A8" w:rsidRPr="00DA39A8" w:rsidRDefault="00DA39A8" w:rsidP="00B1170A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DA39A8">
              <w:rPr>
                <w:b/>
                <w:bCs/>
                <w:i/>
                <w:iCs/>
                <w:lang w:eastAsia="lt-LT"/>
              </w:rPr>
              <w:t>4</w:t>
            </w:r>
          </w:p>
        </w:tc>
        <w:tc>
          <w:tcPr>
            <w:tcW w:w="1843" w:type="dxa"/>
          </w:tcPr>
          <w:p w14:paraId="67CF35F3" w14:textId="781E4DB3" w:rsidR="00DA39A8" w:rsidRPr="00DA39A8" w:rsidRDefault="00DA39A8" w:rsidP="00B1170A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DA39A8">
              <w:rPr>
                <w:b/>
                <w:bCs/>
                <w:i/>
                <w:iCs/>
                <w:lang w:eastAsia="lt-LT"/>
              </w:rPr>
              <w:t>5</w:t>
            </w:r>
          </w:p>
        </w:tc>
        <w:tc>
          <w:tcPr>
            <w:tcW w:w="1134" w:type="dxa"/>
          </w:tcPr>
          <w:p w14:paraId="13559335" w14:textId="3D97BB4C" w:rsidR="00DA39A8" w:rsidRPr="00DA39A8" w:rsidRDefault="00DA39A8" w:rsidP="00B1170A">
            <w:pPr>
              <w:jc w:val="center"/>
              <w:rPr>
                <w:b/>
                <w:bCs/>
                <w:i/>
                <w:iCs/>
              </w:rPr>
            </w:pPr>
            <w:r w:rsidRPr="00DA39A8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992" w:type="dxa"/>
          </w:tcPr>
          <w:p w14:paraId="54FD0942" w14:textId="00F9226A" w:rsidR="00DA39A8" w:rsidRPr="00DA39A8" w:rsidRDefault="00DA39A8" w:rsidP="00B1170A">
            <w:pPr>
              <w:jc w:val="center"/>
              <w:rPr>
                <w:b/>
                <w:bCs/>
                <w:i/>
                <w:iCs/>
              </w:rPr>
            </w:pPr>
            <w:r w:rsidRPr="00DA39A8"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1560" w:type="dxa"/>
          </w:tcPr>
          <w:p w14:paraId="0A58FAE0" w14:textId="70A9DAC7" w:rsidR="00DA39A8" w:rsidRPr="00DA39A8" w:rsidRDefault="00DA39A8" w:rsidP="00B1170A">
            <w:pPr>
              <w:jc w:val="center"/>
              <w:rPr>
                <w:b/>
                <w:bCs/>
                <w:i/>
                <w:iCs/>
              </w:rPr>
            </w:pPr>
            <w:r w:rsidRPr="00DA39A8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700" w:type="dxa"/>
          </w:tcPr>
          <w:p w14:paraId="129D2B4F" w14:textId="3F3AECD2" w:rsidR="00DA39A8" w:rsidRPr="00DA39A8" w:rsidRDefault="00DA39A8" w:rsidP="00B1170A">
            <w:pPr>
              <w:jc w:val="center"/>
              <w:rPr>
                <w:b/>
                <w:bCs/>
                <w:i/>
                <w:iCs/>
              </w:rPr>
            </w:pPr>
            <w:r w:rsidRPr="00DA39A8">
              <w:rPr>
                <w:b/>
                <w:bCs/>
                <w:i/>
                <w:iCs/>
              </w:rPr>
              <w:t>9</w:t>
            </w:r>
          </w:p>
        </w:tc>
      </w:tr>
      <w:tr w:rsidR="00293195" w14:paraId="6F0E85B1" w14:textId="677E9E0F" w:rsidTr="00DA39A8">
        <w:tc>
          <w:tcPr>
            <w:tcW w:w="704" w:type="dxa"/>
          </w:tcPr>
          <w:p w14:paraId="51649B5A" w14:textId="1C478B72" w:rsidR="00B1170A" w:rsidRPr="00293195" w:rsidRDefault="00B1170A" w:rsidP="00B1170A">
            <w:pPr>
              <w:rPr>
                <w:sz w:val="22"/>
                <w:szCs w:val="22"/>
                <w:lang w:val="en-US" w:eastAsia="lt-LT"/>
              </w:rPr>
            </w:pPr>
            <w:r w:rsidRPr="00293195">
              <w:rPr>
                <w:sz w:val="22"/>
                <w:szCs w:val="22"/>
                <w:lang w:val="en-US" w:eastAsia="lt-LT"/>
              </w:rPr>
              <w:t>1.</w:t>
            </w:r>
          </w:p>
        </w:tc>
        <w:tc>
          <w:tcPr>
            <w:tcW w:w="5528" w:type="dxa"/>
            <w:vAlign w:val="center"/>
          </w:tcPr>
          <w:p w14:paraId="1BA899B3" w14:textId="26BFF666" w:rsidR="00B1170A" w:rsidRPr="00293195" w:rsidRDefault="00B1170A" w:rsidP="00B1170A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highlight w:val="yellow"/>
                <w:lang w:eastAsia="zh-CN" w:bidi="ar"/>
              </w:rPr>
            </w:pPr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Stiklo pluošto kompoziciniai kaiščiai, </w:t>
            </w:r>
            <w:proofErr w:type="spellStart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silanuoti</w:t>
            </w:r>
            <w:proofErr w:type="spellEnd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,</w:t>
            </w:r>
            <w:r w:rsid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rentgeno kontrastiniai, elastingi, l.</w:t>
            </w:r>
            <w:r w:rsid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atsparūs nuovargiui,</w:t>
            </w:r>
            <w:r w:rsid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žymėti spalviniu kodu, </w:t>
            </w:r>
            <w:proofErr w:type="spellStart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įv</w:t>
            </w:r>
            <w:proofErr w:type="spellEnd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 dydžių:1,2 mm, 1,3 mm, 1,6 mm, 1,9 mm. Pakuotė: ne mažiau 10</w:t>
            </w:r>
            <w:r w:rsidR="00357C98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vnt.</w:t>
            </w:r>
          </w:p>
        </w:tc>
        <w:tc>
          <w:tcPr>
            <w:tcW w:w="709" w:type="dxa"/>
            <w:vAlign w:val="center"/>
          </w:tcPr>
          <w:p w14:paraId="2E1D1EE0" w14:textId="4F9E894E" w:rsidR="00B1170A" w:rsidRPr="00293195" w:rsidRDefault="00CD49A7" w:rsidP="00B1170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pak</w:t>
            </w:r>
            <w:proofErr w:type="spellEnd"/>
            <w:r w:rsidR="00B1170A"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</w:t>
            </w:r>
          </w:p>
        </w:tc>
        <w:tc>
          <w:tcPr>
            <w:tcW w:w="992" w:type="dxa"/>
            <w:vAlign w:val="center"/>
          </w:tcPr>
          <w:p w14:paraId="2E364FB8" w14:textId="6E8D6997" w:rsidR="00B1170A" w:rsidRPr="00293195" w:rsidRDefault="00B1170A" w:rsidP="00B1170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15</w:t>
            </w:r>
          </w:p>
        </w:tc>
        <w:tc>
          <w:tcPr>
            <w:tcW w:w="1843" w:type="dxa"/>
          </w:tcPr>
          <w:p w14:paraId="749CFF3C" w14:textId="57DA1D53" w:rsidR="00B1170A" w:rsidRPr="009B0204" w:rsidRDefault="005308D5" w:rsidP="00B1170A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Glassix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Plius, gamintojas </w:t>
            </w:r>
            <w:proofErr w:type="spellStart"/>
            <w:r>
              <w:rPr>
                <w:sz w:val="22"/>
                <w:szCs w:val="22"/>
                <w:lang w:eastAsia="lt-LT"/>
              </w:rPr>
              <w:t>Nordin</w:t>
            </w:r>
            <w:proofErr w:type="spellEnd"/>
            <w:r>
              <w:rPr>
                <w:sz w:val="22"/>
                <w:szCs w:val="22"/>
                <w:lang w:eastAsia="lt-LT"/>
              </w:rPr>
              <w:t>, pakuotėje po 10 vnt.</w:t>
            </w:r>
          </w:p>
        </w:tc>
        <w:tc>
          <w:tcPr>
            <w:tcW w:w="1134" w:type="dxa"/>
          </w:tcPr>
          <w:p w14:paraId="45F8A63E" w14:textId="2496CAA9" w:rsidR="00B1170A" w:rsidRDefault="005308D5" w:rsidP="00B1170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37,52</w:t>
            </w:r>
          </w:p>
        </w:tc>
        <w:tc>
          <w:tcPr>
            <w:tcW w:w="992" w:type="dxa"/>
          </w:tcPr>
          <w:p w14:paraId="3F755596" w14:textId="7ED4F542" w:rsidR="00B1170A" w:rsidRDefault="005308D5" w:rsidP="00B1170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45,40</w:t>
            </w:r>
          </w:p>
        </w:tc>
        <w:tc>
          <w:tcPr>
            <w:tcW w:w="1560" w:type="dxa"/>
          </w:tcPr>
          <w:p w14:paraId="74F0C6CB" w14:textId="0E1A36DE" w:rsidR="00B1170A" w:rsidRDefault="005308D5" w:rsidP="00B1170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562,80</w:t>
            </w:r>
          </w:p>
        </w:tc>
        <w:tc>
          <w:tcPr>
            <w:tcW w:w="1700" w:type="dxa"/>
          </w:tcPr>
          <w:p w14:paraId="7F828A13" w14:textId="514CAC48" w:rsidR="005308D5" w:rsidRDefault="005308D5" w:rsidP="00B1170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681,00</w:t>
            </w:r>
          </w:p>
        </w:tc>
      </w:tr>
      <w:tr w:rsidR="00293195" w14:paraId="2B54E858" w14:textId="4DF7F8EE" w:rsidTr="00DA39A8">
        <w:tc>
          <w:tcPr>
            <w:tcW w:w="704" w:type="dxa"/>
          </w:tcPr>
          <w:p w14:paraId="1B2BCA18" w14:textId="1CF45690" w:rsidR="00B1170A" w:rsidRPr="00293195" w:rsidRDefault="00B1170A" w:rsidP="00B1170A">
            <w:pPr>
              <w:rPr>
                <w:sz w:val="22"/>
                <w:szCs w:val="22"/>
                <w:lang w:val="en-US" w:eastAsia="lt-LT"/>
              </w:rPr>
            </w:pPr>
            <w:r w:rsidRPr="00293195">
              <w:rPr>
                <w:sz w:val="22"/>
                <w:szCs w:val="22"/>
                <w:lang w:val="en-US" w:eastAsia="lt-LT"/>
              </w:rPr>
              <w:t>2.</w:t>
            </w:r>
          </w:p>
        </w:tc>
        <w:tc>
          <w:tcPr>
            <w:tcW w:w="5528" w:type="dxa"/>
            <w:vAlign w:val="center"/>
          </w:tcPr>
          <w:p w14:paraId="79F4B8AE" w14:textId="2D5C6014" w:rsidR="00B1170A" w:rsidRPr="00293195" w:rsidRDefault="00B1170A" w:rsidP="00B1170A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highlight w:val="yellow"/>
                <w:lang w:eastAsia="zh-CN" w:bidi="ar"/>
              </w:rPr>
            </w:pPr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Medžiaga danties </w:t>
            </w:r>
            <w:proofErr w:type="spellStart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kulties</w:t>
            </w:r>
            <w:proofErr w:type="spellEnd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atstatymui prieš protezavimą . Dvigubo kietėjimo </w:t>
            </w:r>
            <w:proofErr w:type="spellStart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radiokontrastiškas</w:t>
            </w:r>
            <w:proofErr w:type="spellEnd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skystas kompozitas, skirtas </w:t>
            </w:r>
            <w:proofErr w:type="spellStart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kulties</w:t>
            </w:r>
            <w:proofErr w:type="spellEnd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atstatymui ir  stiklo pluošto kaiščių cementavimui.</w:t>
            </w:r>
            <w:r w:rsidR="00304E16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Rinkinį sudaro: </w:t>
            </w:r>
            <w:proofErr w:type="spellStart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kartridžas</w:t>
            </w:r>
            <w:proofErr w:type="spellEnd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- 50 g., maišytuvai - 12 </w:t>
            </w:r>
            <w:proofErr w:type="spellStart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vnt</w:t>
            </w:r>
            <w:proofErr w:type="spellEnd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, labai </w:t>
            </w:r>
            <w:proofErr w:type="spellStart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radiokontrastiškas</w:t>
            </w:r>
            <w:proofErr w:type="spellEnd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ir turintis fluoro;</w:t>
            </w:r>
            <w:r w:rsid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Pasižymi puikiomis mechaninėmis savybėmis ; Trijų skirtingų spalvų: mėlynos , dentino, baltos. Pakuotė 50</w:t>
            </w:r>
            <w:r w:rsidR="00357C98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g.</w:t>
            </w:r>
          </w:p>
        </w:tc>
        <w:tc>
          <w:tcPr>
            <w:tcW w:w="709" w:type="dxa"/>
            <w:vAlign w:val="center"/>
          </w:tcPr>
          <w:p w14:paraId="3C5DF3BB" w14:textId="0C04460D" w:rsidR="00B1170A" w:rsidRPr="00293195" w:rsidRDefault="00CD49A7" w:rsidP="00B1170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rink</w:t>
            </w:r>
          </w:p>
        </w:tc>
        <w:tc>
          <w:tcPr>
            <w:tcW w:w="992" w:type="dxa"/>
            <w:vAlign w:val="center"/>
          </w:tcPr>
          <w:p w14:paraId="7B5C24F9" w14:textId="2DE9B9D7" w:rsidR="00B1170A" w:rsidRPr="00293195" w:rsidRDefault="00B1170A" w:rsidP="00B1170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1843" w:type="dxa"/>
          </w:tcPr>
          <w:p w14:paraId="19034EB5" w14:textId="59BF49FC" w:rsidR="00B1170A" w:rsidRPr="009B0204" w:rsidRDefault="00EF2982" w:rsidP="00B1170A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Rebilda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DC, gamintojas </w:t>
            </w:r>
            <w:proofErr w:type="spellStart"/>
            <w:r>
              <w:rPr>
                <w:sz w:val="22"/>
                <w:szCs w:val="22"/>
                <w:lang w:eastAsia="lt-LT"/>
              </w:rPr>
              <w:t>Voco</w:t>
            </w:r>
            <w:proofErr w:type="spellEnd"/>
          </w:p>
        </w:tc>
        <w:tc>
          <w:tcPr>
            <w:tcW w:w="1134" w:type="dxa"/>
          </w:tcPr>
          <w:p w14:paraId="2EEF3F1C" w14:textId="3C72453C" w:rsidR="00B1170A" w:rsidRDefault="00397810" w:rsidP="00B1170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129,26</w:t>
            </w:r>
          </w:p>
        </w:tc>
        <w:tc>
          <w:tcPr>
            <w:tcW w:w="992" w:type="dxa"/>
          </w:tcPr>
          <w:p w14:paraId="143944B1" w14:textId="73A82C2F" w:rsidR="00B1170A" w:rsidRDefault="00EF2982" w:rsidP="00B1170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156,40</w:t>
            </w:r>
          </w:p>
        </w:tc>
        <w:tc>
          <w:tcPr>
            <w:tcW w:w="1560" w:type="dxa"/>
          </w:tcPr>
          <w:p w14:paraId="37D09F82" w14:textId="38DDB969" w:rsidR="00B1170A" w:rsidRDefault="00397810" w:rsidP="00B1170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646,30</w:t>
            </w:r>
          </w:p>
        </w:tc>
        <w:tc>
          <w:tcPr>
            <w:tcW w:w="1700" w:type="dxa"/>
          </w:tcPr>
          <w:p w14:paraId="3D15B062" w14:textId="612386A5" w:rsidR="00397810" w:rsidRDefault="00397810" w:rsidP="00B1170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782,00</w:t>
            </w:r>
          </w:p>
        </w:tc>
      </w:tr>
      <w:tr w:rsidR="00293195" w14:paraId="01B69780" w14:textId="041C64FD" w:rsidTr="00DA39A8">
        <w:tc>
          <w:tcPr>
            <w:tcW w:w="704" w:type="dxa"/>
          </w:tcPr>
          <w:p w14:paraId="73624345" w14:textId="5605AD7C" w:rsidR="00B1170A" w:rsidRPr="00293195" w:rsidRDefault="00B1170A" w:rsidP="00B1170A">
            <w:pPr>
              <w:rPr>
                <w:sz w:val="22"/>
                <w:szCs w:val="22"/>
                <w:lang w:val="en-US" w:eastAsia="lt-LT"/>
              </w:rPr>
            </w:pPr>
            <w:r w:rsidRPr="00293195">
              <w:rPr>
                <w:sz w:val="22"/>
                <w:szCs w:val="22"/>
                <w:lang w:val="en-US" w:eastAsia="lt-LT"/>
              </w:rPr>
              <w:t>3.</w:t>
            </w:r>
          </w:p>
        </w:tc>
        <w:tc>
          <w:tcPr>
            <w:tcW w:w="5528" w:type="dxa"/>
            <w:vAlign w:val="center"/>
          </w:tcPr>
          <w:p w14:paraId="1BBB9CF6" w14:textId="4BDE9B82" w:rsidR="00B1170A" w:rsidRPr="00293195" w:rsidRDefault="00B1170A" w:rsidP="00B1170A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Dvigubo kietėjimo pats ėsdinantis </w:t>
            </w:r>
            <w:proofErr w:type="spellStart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surišiklis</w:t>
            </w:r>
            <w:proofErr w:type="spellEnd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, sutvirtintas </w:t>
            </w:r>
            <w:proofErr w:type="spellStart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nano</w:t>
            </w:r>
            <w:proofErr w:type="spellEnd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užpildo dalelėmis, užtikrinantis patvarų, be kraštinio pralaidumo šviesos, cheminio ir dvigubo kietėjimo plombų surišimą su danties struktūromis. </w:t>
            </w:r>
            <w:proofErr w:type="spellStart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Adhezyvas</w:t>
            </w:r>
            <w:proofErr w:type="spellEnd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sudarytas iš dviejų komponentų. Atskiras ėsdinimo žingsnis nereikalingas .Toleruoja drėgmės likučius danties ertmėje ir gali būti universaliai naudojamas su visais šviesoje, chemiškai ir dvigubo kietėjimo kompozitais. Pakuotė: vienkartinėmis dozėmis ne mažiau 50</w:t>
            </w:r>
            <w:r w:rsidR="00357C98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vnt. po ≥ 0,25 g/</w:t>
            </w:r>
            <w:proofErr w:type="spellStart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doz</w:t>
            </w:r>
            <w:proofErr w:type="spellEnd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14:paraId="07815C9E" w14:textId="198606F0" w:rsidR="00B1170A" w:rsidRPr="00293195" w:rsidRDefault="009C1843" w:rsidP="00B1170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</w:t>
            </w:r>
            <w:r w:rsidR="00CD49A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ak</w:t>
            </w:r>
            <w:proofErr w:type="spellEnd"/>
            <w:r w:rsidR="00CD49A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</w:t>
            </w:r>
          </w:p>
        </w:tc>
        <w:tc>
          <w:tcPr>
            <w:tcW w:w="992" w:type="dxa"/>
            <w:vAlign w:val="center"/>
          </w:tcPr>
          <w:p w14:paraId="08CAC54F" w14:textId="6A4C1CE7" w:rsidR="00B1170A" w:rsidRPr="00293195" w:rsidRDefault="00B1170A" w:rsidP="00B1170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843" w:type="dxa"/>
          </w:tcPr>
          <w:p w14:paraId="66002C1B" w14:textId="5D62F5BD" w:rsidR="00B1170A" w:rsidRPr="009B0204" w:rsidRDefault="00397810" w:rsidP="00B1170A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Futura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Bond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U, gamintojas </w:t>
            </w:r>
            <w:proofErr w:type="spellStart"/>
            <w:r>
              <w:rPr>
                <w:sz w:val="22"/>
                <w:szCs w:val="22"/>
                <w:lang w:eastAsia="lt-LT"/>
              </w:rPr>
              <w:t>Voco</w:t>
            </w:r>
            <w:proofErr w:type="spellEnd"/>
          </w:p>
        </w:tc>
        <w:tc>
          <w:tcPr>
            <w:tcW w:w="1134" w:type="dxa"/>
          </w:tcPr>
          <w:p w14:paraId="2FA901CB" w14:textId="068B4050" w:rsidR="00B1170A" w:rsidRDefault="00397810" w:rsidP="00B1170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71,31</w:t>
            </w:r>
          </w:p>
        </w:tc>
        <w:tc>
          <w:tcPr>
            <w:tcW w:w="992" w:type="dxa"/>
          </w:tcPr>
          <w:p w14:paraId="2ED6FF4B" w14:textId="4C21E43E" w:rsidR="00B1170A" w:rsidRDefault="00397810" w:rsidP="00B1170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86,29</w:t>
            </w:r>
          </w:p>
        </w:tc>
        <w:tc>
          <w:tcPr>
            <w:tcW w:w="1560" w:type="dxa"/>
          </w:tcPr>
          <w:p w14:paraId="3CC42887" w14:textId="4064DA27" w:rsidR="00B1170A" w:rsidRDefault="00397810" w:rsidP="00B1170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142,62</w:t>
            </w:r>
          </w:p>
        </w:tc>
        <w:tc>
          <w:tcPr>
            <w:tcW w:w="1700" w:type="dxa"/>
          </w:tcPr>
          <w:p w14:paraId="505AF907" w14:textId="5A675A84" w:rsidR="00B1170A" w:rsidRDefault="00397810" w:rsidP="00B1170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172,58</w:t>
            </w:r>
          </w:p>
        </w:tc>
      </w:tr>
      <w:tr w:rsidR="00293195" w14:paraId="3C366B94" w14:textId="4D106772" w:rsidTr="00DA39A8">
        <w:tc>
          <w:tcPr>
            <w:tcW w:w="704" w:type="dxa"/>
          </w:tcPr>
          <w:p w14:paraId="54DEB94E" w14:textId="70FB8007" w:rsidR="00B1170A" w:rsidRPr="00293195" w:rsidRDefault="00B1170A" w:rsidP="00B1170A">
            <w:pPr>
              <w:rPr>
                <w:sz w:val="22"/>
                <w:szCs w:val="22"/>
                <w:lang w:val="en-US" w:eastAsia="lt-LT"/>
              </w:rPr>
            </w:pPr>
            <w:r w:rsidRPr="00293195">
              <w:rPr>
                <w:sz w:val="22"/>
                <w:szCs w:val="22"/>
                <w:lang w:val="en-US" w:eastAsia="lt-LT"/>
              </w:rPr>
              <w:t>4.</w:t>
            </w:r>
          </w:p>
        </w:tc>
        <w:tc>
          <w:tcPr>
            <w:tcW w:w="5528" w:type="dxa"/>
            <w:vAlign w:val="center"/>
          </w:tcPr>
          <w:p w14:paraId="7F77BAD4" w14:textId="74447B5A" w:rsidR="00B1170A" w:rsidRPr="00293195" w:rsidRDefault="00B1170A" w:rsidP="00B1170A">
            <w:pPr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Dvigubo kietėjimo pats ėsdinantis </w:t>
            </w:r>
            <w:proofErr w:type="spellStart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surišiklis</w:t>
            </w:r>
            <w:proofErr w:type="spellEnd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, sutvirtintas </w:t>
            </w:r>
            <w:proofErr w:type="spellStart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nano</w:t>
            </w:r>
            <w:proofErr w:type="spellEnd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užpildo dalelėmis, užtikrinantis patvarų, be kraštinio pralaidumo šviesos, cheminio ir dvigubo kietėjimo plombų surišimą su danties struktūromis. </w:t>
            </w:r>
            <w:proofErr w:type="spellStart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Adhezyvas</w:t>
            </w:r>
            <w:proofErr w:type="spellEnd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sudarytas iš dviejų komponentų. Atskiras ėsdinimo žingsnis nereikalingas.</w:t>
            </w:r>
            <w:r w:rsidR="00304E16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Toleruoja drėgmės likučius danties ertmėje ir gali būti universaliai naudojamas su visais šviesoje, chemiškai ir dvigubo kietėjimo kompozitais. Pakuotė: ne mažiau 2 flakonėliai po ≥ 4 ml. </w:t>
            </w:r>
          </w:p>
        </w:tc>
        <w:tc>
          <w:tcPr>
            <w:tcW w:w="709" w:type="dxa"/>
            <w:vAlign w:val="center"/>
          </w:tcPr>
          <w:p w14:paraId="2F475186" w14:textId="2ADE4D43" w:rsidR="00B1170A" w:rsidRPr="00293195" w:rsidRDefault="009C1843" w:rsidP="00B1170A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</w:t>
            </w:r>
            <w:r w:rsidR="00CD49A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ak</w:t>
            </w:r>
            <w:proofErr w:type="spellEnd"/>
            <w:r w:rsidR="00CD49A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</w:t>
            </w:r>
          </w:p>
        </w:tc>
        <w:tc>
          <w:tcPr>
            <w:tcW w:w="992" w:type="dxa"/>
            <w:vAlign w:val="center"/>
          </w:tcPr>
          <w:p w14:paraId="5E0F5AEB" w14:textId="1723313C" w:rsidR="00B1170A" w:rsidRPr="00293195" w:rsidRDefault="00B1170A" w:rsidP="00B1170A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6</w:t>
            </w:r>
          </w:p>
        </w:tc>
        <w:tc>
          <w:tcPr>
            <w:tcW w:w="1843" w:type="dxa"/>
          </w:tcPr>
          <w:p w14:paraId="0E1FD007" w14:textId="0543F8D2" w:rsidR="00B1170A" w:rsidRPr="009B0204" w:rsidRDefault="00397810" w:rsidP="00B1170A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Futur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Bond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DC, gamintojas </w:t>
            </w:r>
            <w:proofErr w:type="spellStart"/>
            <w:r>
              <w:rPr>
                <w:sz w:val="22"/>
                <w:szCs w:val="22"/>
                <w:lang w:eastAsia="lt-LT"/>
              </w:rPr>
              <w:t>Voco</w:t>
            </w:r>
            <w:proofErr w:type="spellEnd"/>
          </w:p>
        </w:tc>
        <w:tc>
          <w:tcPr>
            <w:tcW w:w="1134" w:type="dxa"/>
          </w:tcPr>
          <w:p w14:paraId="757C4A2C" w14:textId="6B676FD4" w:rsidR="000243F5" w:rsidRDefault="003F6514" w:rsidP="00B1170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48,91</w:t>
            </w:r>
          </w:p>
        </w:tc>
        <w:tc>
          <w:tcPr>
            <w:tcW w:w="992" w:type="dxa"/>
          </w:tcPr>
          <w:p w14:paraId="47D8B4D6" w14:textId="62945A24" w:rsidR="00B1170A" w:rsidRDefault="003F6514" w:rsidP="00B1170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59,18</w:t>
            </w:r>
          </w:p>
        </w:tc>
        <w:tc>
          <w:tcPr>
            <w:tcW w:w="1560" w:type="dxa"/>
          </w:tcPr>
          <w:p w14:paraId="3E4640D1" w14:textId="723B4041" w:rsidR="00B1170A" w:rsidRDefault="003F6514" w:rsidP="00B1170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293,46</w:t>
            </w:r>
          </w:p>
        </w:tc>
        <w:tc>
          <w:tcPr>
            <w:tcW w:w="1700" w:type="dxa"/>
          </w:tcPr>
          <w:p w14:paraId="095D5B75" w14:textId="45D974D1" w:rsidR="00B1170A" w:rsidRDefault="003F6514" w:rsidP="00B1170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355,08</w:t>
            </w:r>
          </w:p>
        </w:tc>
      </w:tr>
      <w:tr w:rsidR="00293195" w:rsidRPr="00E94BC9" w14:paraId="1BE5D31F" w14:textId="5EA91836" w:rsidTr="00DA39A8">
        <w:tc>
          <w:tcPr>
            <w:tcW w:w="704" w:type="dxa"/>
          </w:tcPr>
          <w:p w14:paraId="420E254E" w14:textId="06995DC1" w:rsidR="00B1170A" w:rsidRPr="00293195" w:rsidRDefault="00DE20F7" w:rsidP="00B1170A">
            <w:pPr>
              <w:rPr>
                <w:sz w:val="22"/>
                <w:szCs w:val="22"/>
                <w:lang w:val="en-US" w:eastAsia="lt-LT"/>
              </w:rPr>
            </w:pPr>
            <w:r>
              <w:rPr>
                <w:sz w:val="22"/>
                <w:szCs w:val="22"/>
                <w:lang w:val="en-US" w:eastAsia="lt-LT"/>
              </w:rPr>
              <w:lastRenderedPageBreak/>
              <w:t>5</w:t>
            </w:r>
            <w:r w:rsidR="00B1170A" w:rsidRPr="00293195">
              <w:rPr>
                <w:sz w:val="22"/>
                <w:szCs w:val="22"/>
                <w:lang w:val="en-US" w:eastAsia="lt-LT"/>
              </w:rPr>
              <w:t>.</w:t>
            </w:r>
          </w:p>
        </w:tc>
        <w:tc>
          <w:tcPr>
            <w:tcW w:w="5528" w:type="dxa"/>
            <w:vAlign w:val="center"/>
          </w:tcPr>
          <w:p w14:paraId="33B9EAEB" w14:textId="64E25113" w:rsidR="00B1170A" w:rsidRPr="00293195" w:rsidRDefault="00B1170A" w:rsidP="00B1170A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Masė laikinų vainikėlių gamybai. Atitinka Vita spalvų raktą. Pakuotėje ne mažiau 75g. </w:t>
            </w:r>
            <w:proofErr w:type="spellStart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Fluorescentinė</w:t>
            </w:r>
            <w:proofErr w:type="spellEnd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šaltos polimerizacijos pasta- pasta sistema </w:t>
            </w:r>
            <w:proofErr w:type="spellStart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kartridže</w:t>
            </w:r>
            <w:proofErr w:type="spellEnd"/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laikiniems vainikėliams, tiltams,</w:t>
            </w:r>
            <w:r w:rsid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užklotams ir įklotams gaminti. </w:t>
            </w:r>
          </w:p>
        </w:tc>
        <w:tc>
          <w:tcPr>
            <w:tcW w:w="709" w:type="dxa"/>
            <w:vAlign w:val="center"/>
          </w:tcPr>
          <w:p w14:paraId="7E75FB14" w14:textId="184B1346" w:rsidR="00B1170A" w:rsidRPr="00293195" w:rsidRDefault="009C1843" w:rsidP="00B1170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</w:t>
            </w:r>
            <w:r w:rsidR="00CD49A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ak</w:t>
            </w:r>
            <w:proofErr w:type="spellEnd"/>
            <w:r w:rsidR="00CD49A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</w:t>
            </w:r>
          </w:p>
        </w:tc>
        <w:tc>
          <w:tcPr>
            <w:tcW w:w="992" w:type="dxa"/>
            <w:vAlign w:val="center"/>
          </w:tcPr>
          <w:p w14:paraId="0F2E39EF" w14:textId="4D3FA017" w:rsidR="00B1170A" w:rsidRPr="00293195" w:rsidRDefault="00B1170A" w:rsidP="00B1170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2931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17</w:t>
            </w:r>
          </w:p>
        </w:tc>
        <w:tc>
          <w:tcPr>
            <w:tcW w:w="1843" w:type="dxa"/>
          </w:tcPr>
          <w:p w14:paraId="7B714F7A" w14:textId="7D455A54" w:rsidR="00B1170A" w:rsidRPr="009B0204" w:rsidRDefault="00FB6A56" w:rsidP="00B1170A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Structur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2SC, gamintojas </w:t>
            </w:r>
            <w:proofErr w:type="spellStart"/>
            <w:r>
              <w:rPr>
                <w:sz w:val="22"/>
                <w:szCs w:val="22"/>
                <w:lang w:eastAsia="lt-LT"/>
              </w:rPr>
              <w:t>Voco</w:t>
            </w:r>
            <w:proofErr w:type="spellEnd"/>
          </w:p>
        </w:tc>
        <w:tc>
          <w:tcPr>
            <w:tcW w:w="1134" w:type="dxa"/>
          </w:tcPr>
          <w:p w14:paraId="4502EA5D" w14:textId="20926B0C" w:rsidR="00B1170A" w:rsidRPr="00E94BC9" w:rsidRDefault="00FB6A56" w:rsidP="00B1170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73,93</w:t>
            </w:r>
          </w:p>
        </w:tc>
        <w:tc>
          <w:tcPr>
            <w:tcW w:w="992" w:type="dxa"/>
          </w:tcPr>
          <w:p w14:paraId="1983FCAD" w14:textId="7E824E09" w:rsidR="00B1170A" w:rsidRPr="00E94BC9" w:rsidRDefault="00FB6A56" w:rsidP="00B1170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89,45</w:t>
            </w:r>
          </w:p>
        </w:tc>
        <w:tc>
          <w:tcPr>
            <w:tcW w:w="1560" w:type="dxa"/>
          </w:tcPr>
          <w:p w14:paraId="251A80A5" w14:textId="24C88FEB" w:rsidR="00B1170A" w:rsidRPr="00E94BC9" w:rsidRDefault="00FB6A56" w:rsidP="00B1170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1256,81</w:t>
            </w:r>
          </w:p>
        </w:tc>
        <w:tc>
          <w:tcPr>
            <w:tcW w:w="1700" w:type="dxa"/>
          </w:tcPr>
          <w:p w14:paraId="1812B7FF" w14:textId="3CEDE18F" w:rsidR="00B1170A" w:rsidRPr="00E94BC9" w:rsidRDefault="00FB6A56" w:rsidP="00B1170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1520,65</w:t>
            </w:r>
          </w:p>
        </w:tc>
      </w:tr>
    </w:tbl>
    <w:p w14:paraId="058F6B3C" w14:textId="77777777" w:rsidR="001D60BD" w:rsidRPr="00E94BC9" w:rsidRDefault="001D60BD">
      <w:pPr>
        <w:rPr>
          <w:sz w:val="24"/>
          <w:szCs w:val="24"/>
        </w:rPr>
      </w:pPr>
    </w:p>
    <w:p w14:paraId="6B1AD653" w14:textId="77777777" w:rsidR="001D60BD" w:rsidRDefault="001D60BD"/>
    <w:p w14:paraId="7F9D0B6F" w14:textId="617CD00B" w:rsidR="001D60BD" w:rsidRDefault="00320D13">
      <w:pPr>
        <w:jc w:val="center"/>
        <w:rPr>
          <w:sz w:val="24"/>
          <w:szCs w:val="24"/>
        </w:rPr>
      </w:pPr>
      <w:r>
        <w:t>___________</w:t>
      </w:r>
      <w:r w:rsidR="00293195">
        <w:t>________________________________</w:t>
      </w:r>
      <w:r>
        <w:t>______</w:t>
      </w:r>
    </w:p>
    <w:sectPr w:rsidR="001D60BD" w:rsidSect="00DA39A8">
      <w:headerReference w:type="default" r:id="rId8"/>
      <w:pgSz w:w="16838" w:h="11906" w:orient="landscape"/>
      <w:pgMar w:top="851" w:right="709" w:bottom="28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A1D15" w14:textId="77777777" w:rsidR="006C09A0" w:rsidRDefault="006C09A0" w:rsidP="00B1170A">
      <w:r>
        <w:separator/>
      </w:r>
    </w:p>
  </w:endnote>
  <w:endnote w:type="continuationSeparator" w:id="0">
    <w:p w14:paraId="13D91F6E" w14:textId="77777777" w:rsidR="006C09A0" w:rsidRDefault="006C09A0" w:rsidP="00B1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LT">
    <w:altName w:val="Times New Roman"/>
    <w:charset w:val="BA"/>
    <w:family w:val="roman"/>
    <w:pitch w:val="default"/>
    <w:sig w:usb0="00000000" w:usb1="00000000" w:usb2="00000008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818E5" w14:textId="77777777" w:rsidR="006C09A0" w:rsidRDefault="006C09A0" w:rsidP="00B1170A">
      <w:r>
        <w:separator/>
      </w:r>
    </w:p>
  </w:footnote>
  <w:footnote w:type="continuationSeparator" w:id="0">
    <w:p w14:paraId="69848712" w14:textId="77777777" w:rsidR="006C09A0" w:rsidRDefault="006C09A0" w:rsidP="00B11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90772932"/>
      <w:docPartObj>
        <w:docPartGallery w:val="Page Numbers (Top of Page)"/>
        <w:docPartUnique/>
      </w:docPartObj>
    </w:sdtPr>
    <w:sdtEndPr/>
    <w:sdtContent>
      <w:p w14:paraId="7E7A7943" w14:textId="5C3B631B" w:rsidR="00B1170A" w:rsidRDefault="00B1170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FFE62E" w14:textId="77777777" w:rsidR="00B1170A" w:rsidRDefault="00B1170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23"/>
    <w:rsid w:val="000243F5"/>
    <w:rsid w:val="000611C8"/>
    <w:rsid w:val="000A3B60"/>
    <w:rsid w:val="000D50FA"/>
    <w:rsid w:val="0015690B"/>
    <w:rsid w:val="001652FB"/>
    <w:rsid w:val="001B167C"/>
    <w:rsid w:val="001B1C5C"/>
    <w:rsid w:val="001D60BD"/>
    <w:rsid w:val="001E1115"/>
    <w:rsid w:val="001E5603"/>
    <w:rsid w:val="001F6292"/>
    <w:rsid w:val="001F6923"/>
    <w:rsid w:val="001F79DE"/>
    <w:rsid w:val="00200BA8"/>
    <w:rsid w:val="00201938"/>
    <w:rsid w:val="00211591"/>
    <w:rsid w:val="002445EA"/>
    <w:rsid w:val="00265036"/>
    <w:rsid w:val="002723E6"/>
    <w:rsid w:val="002918F4"/>
    <w:rsid w:val="00293195"/>
    <w:rsid w:val="002B1636"/>
    <w:rsid w:val="002C2D3B"/>
    <w:rsid w:val="002E02D4"/>
    <w:rsid w:val="00304E16"/>
    <w:rsid w:val="003100FB"/>
    <w:rsid w:val="00320D13"/>
    <w:rsid w:val="00357C98"/>
    <w:rsid w:val="00397810"/>
    <w:rsid w:val="003B5C15"/>
    <w:rsid w:val="003D3F93"/>
    <w:rsid w:val="003F6514"/>
    <w:rsid w:val="00494736"/>
    <w:rsid w:val="004B0A38"/>
    <w:rsid w:val="004B5C34"/>
    <w:rsid w:val="004C0B17"/>
    <w:rsid w:val="004C1CC6"/>
    <w:rsid w:val="004F08C0"/>
    <w:rsid w:val="00515CD2"/>
    <w:rsid w:val="00530398"/>
    <w:rsid w:val="005308D5"/>
    <w:rsid w:val="00550F70"/>
    <w:rsid w:val="00551399"/>
    <w:rsid w:val="00575486"/>
    <w:rsid w:val="0058791E"/>
    <w:rsid w:val="005A1DF8"/>
    <w:rsid w:val="005B71D0"/>
    <w:rsid w:val="005D4C60"/>
    <w:rsid w:val="005F7D82"/>
    <w:rsid w:val="006835C0"/>
    <w:rsid w:val="00683A85"/>
    <w:rsid w:val="006C09A0"/>
    <w:rsid w:val="006E6DFC"/>
    <w:rsid w:val="006F1CFF"/>
    <w:rsid w:val="00703C0D"/>
    <w:rsid w:val="00711E44"/>
    <w:rsid w:val="007163C8"/>
    <w:rsid w:val="00746A6D"/>
    <w:rsid w:val="00767A91"/>
    <w:rsid w:val="00776825"/>
    <w:rsid w:val="00780F4B"/>
    <w:rsid w:val="00795589"/>
    <w:rsid w:val="007B5797"/>
    <w:rsid w:val="007D1BE5"/>
    <w:rsid w:val="007F0BA3"/>
    <w:rsid w:val="007F6699"/>
    <w:rsid w:val="00833C0C"/>
    <w:rsid w:val="008607FB"/>
    <w:rsid w:val="00880496"/>
    <w:rsid w:val="00891AD1"/>
    <w:rsid w:val="008B40B3"/>
    <w:rsid w:val="00927700"/>
    <w:rsid w:val="009A459F"/>
    <w:rsid w:val="009B0204"/>
    <w:rsid w:val="009B03E8"/>
    <w:rsid w:val="009B0783"/>
    <w:rsid w:val="009C1843"/>
    <w:rsid w:val="00A14FF1"/>
    <w:rsid w:val="00A210EC"/>
    <w:rsid w:val="00A575F3"/>
    <w:rsid w:val="00A94EE0"/>
    <w:rsid w:val="00AA7CF8"/>
    <w:rsid w:val="00AB49CF"/>
    <w:rsid w:val="00AE1E81"/>
    <w:rsid w:val="00B1170A"/>
    <w:rsid w:val="00B477ED"/>
    <w:rsid w:val="00B57369"/>
    <w:rsid w:val="00B6629E"/>
    <w:rsid w:val="00B734DE"/>
    <w:rsid w:val="00BA7629"/>
    <w:rsid w:val="00BF0BAF"/>
    <w:rsid w:val="00C210F1"/>
    <w:rsid w:val="00C31AD2"/>
    <w:rsid w:val="00C47316"/>
    <w:rsid w:val="00C47C97"/>
    <w:rsid w:val="00CD49A7"/>
    <w:rsid w:val="00D21472"/>
    <w:rsid w:val="00D85B23"/>
    <w:rsid w:val="00D964BA"/>
    <w:rsid w:val="00D978E6"/>
    <w:rsid w:val="00DA39A8"/>
    <w:rsid w:val="00DD77DF"/>
    <w:rsid w:val="00DE20F7"/>
    <w:rsid w:val="00E322FD"/>
    <w:rsid w:val="00E36E48"/>
    <w:rsid w:val="00E8353A"/>
    <w:rsid w:val="00E94BC9"/>
    <w:rsid w:val="00EF2982"/>
    <w:rsid w:val="00F20AE6"/>
    <w:rsid w:val="00F263B6"/>
    <w:rsid w:val="00F64E29"/>
    <w:rsid w:val="00F72378"/>
    <w:rsid w:val="00F75EE8"/>
    <w:rsid w:val="00F86E62"/>
    <w:rsid w:val="00F92E4A"/>
    <w:rsid w:val="00F95BC8"/>
    <w:rsid w:val="00FB6A56"/>
    <w:rsid w:val="0149287A"/>
    <w:rsid w:val="01BE5289"/>
    <w:rsid w:val="05441AAD"/>
    <w:rsid w:val="05B75F44"/>
    <w:rsid w:val="05CF7C20"/>
    <w:rsid w:val="06674AF5"/>
    <w:rsid w:val="06B43836"/>
    <w:rsid w:val="070B1F8D"/>
    <w:rsid w:val="07DF743F"/>
    <w:rsid w:val="08302889"/>
    <w:rsid w:val="08EC0D90"/>
    <w:rsid w:val="08F9602B"/>
    <w:rsid w:val="09893400"/>
    <w:rsid w:val="0AE14C21"/>
    <w:rsid w:val="0B044D66"/>
    <w:rsid w:val="0B3A31A0"/>
    <w:rsid w:val="0B8A67F7"/>
    <w:rsid w:val="0C8D12FF"/>
    <w:rsid w:val="0CA74F48"/>
    <w:rsid w:val="0F0B0447"/>
    <w:rsid w:val="1066124E"/>
    <w:rsid w:val="10AD0CA9"/>
    <w:rsid w:val="10BB1E9D"/>
    <w:rsid w:val="11393085"/>
    <w:rsid w:val="113F7B48"/>
    <w:rsid w:val="13C27275"/>
    <w:rsid w:val="14A813FA"/>
    <w:rsid w:val="14E37137"/>
    <w:rsid w:val="14F51081"/>
    <w:rsid w:val="15021EE6"/>
    <w:rsid w:val="160A3FEF"/>
    <w:rsid w:val="160B2569"/>
    <w:rsid w:val="16194328"/>
    <w:rsid w:val="162A2D80"/>
    <w:rsid w:val="166A3F84"/>
    <w:rsid w:val="17D27F36"/>
    <w:rsid w:val="18081E29"/>
    <w:rsid w:val="181A363C"/>
    <w:rsid w:val="18DB7D9E"/>
    <w:rsid w:val="1A0D16DE"/>
    <w:rsid w:val="1A4B6590"/>
    <w:rsid w:val="1B5B064A"/>
    <w:rsid w:val="1BE7009F"/>
    <w:rsid w:val="1CF101FB"/>
    <w:rsid w:val="1D733C11"/>
    <w:rsid w:val="1D8D3985"/>
    <w:rsid w:val="1EFB6372"/>
    <w:rsid w:val="1FC12880"/>
    <w:rsid w:val="21444C19"/>
    <w:rsid w:val="229718AF"/>
    <w:rsid w:val="22BD6AF2"/>
    <w:rsid w:val="23193F4C"/>
    <w:rsid w:val="23D174D2"/>
    <w:rsid w:val="24B46243"/>
    <w:rsid w:val="25072540"/>
    <w:rsid w:val="252F27F7"/>
    <w:rsid w:val="25C503A5"/>
    <w:rsid w:val="26055B60"/>
    <w:rsid w:val="261E3E8D"/>
    <w:rsid w:val="26835DFF"/>
    <w:rsid w:val="29765C3F"/>
    <w:rsid w:val="2A371C19"/>
    <w:rsid w:val="2A9673E5"/>
    <w:rsid w:val="2B80362A"/>
    <w:rsid w:val="2C314436"/>
    <w:rsid w:val="2CC86825"/>
    <w:rsid w:val="2CDC2191"/>
    <w:rsid w:val="2DFC0947"/>
    <w:rsid w:val="2F1C2D84"/>
    <w:rsid w:val="304770A8"/>
    <w:rsid w:val="308A461B"/>
    <w:rsid w:val="308B3F1A"/>
    <w:rsid w:val="31050AFF"/>
    <w:rsid w:val="313500A0"/>
    <w:rsid w:val="31C6150E"/>
    <w:rsid w:val="31EB7051"/>
    <w:rsid w:val="323A112B"/>
    <w:rsid w:val="323D3E43"/>
    <w:rsid w:val="33D8038C"/>
    <w:rsid w:val="33EC2880"/>
    <w:rsid w:val="3439009F"/>
    <w:rsid w:val="34D05DDB"/>
    <w:rsid w:val="35AD7630"/>
    <w:rsid w:val="36B05EF7"/>
    <w:rsid w:val="36BF7A9A"/>
    <w:rsid w:val="373A67B4"/>
    <w:rsid w:val="37B304C0"/>
    <w:rsid w:val="386059FC"/>
    <w:rsid w:val="3885022C"/>
    <w:rsid w:val="39090E5D"/>
    <w:rsid w:val="3A3E6ADD"/>
    <w:rsid w:val="3A605189"/>
    <w:rsid w:val="3AD4693D"/>
    <w:rsid w:val="3AE53379"/>
    <w:rsid w:val="3C8045B9"/>
    <w:rsid w:val="3D251110"/>
    <w:rsid w:val="3D545777"/>
    <w:rsid w:val="3E101D7B"/>
    <w:rsid w:val="3E877E4A"/>
    <w:rsid w:val="3EE23AAC"/>
    <w:rsid w:val="3EF832C9"/>
    <w:rsid w:val="3EFE0A37"/>
    <w:rsid w:val="3FB9044C"/>
    <w:rsid w:val="40A354B3"/>
    <w:rsid w:val="40AA4359"/>
    <w:rsid w:val="413E6EE8"/>
    <w:rsid w:val="4176422E"/>
    <w:rsid w:val="41CD00A4"/>
    <w:rsid w:val="41CD42C5"/>
    <w:rsid w:val="41ED1777"/>
    <w:rsid w:val="421A2308"/>
    <w:rsid w:val="42290A4A"/>
    <w:rsid w:val="42CF3990"/>
    <w:rsid w:val="42F103DC"/>
    <w:rsid w:val="438D08A3"/>
    <w:rsid w:val="439839E4"/>
    <w:rsid w:val="44BA36A6"/>
    <w:rsid w:val="458D3AA2"/>
    <w:rsid w:val="49340590"/>
    <w:rsid w:val="4A810D81"/>
    <w:rsid w:val="4ACA61D9"/>
    <w:rsid w:val="4EFA7262"/>
    <w:rsid w:val="4F7A37BD"/>
    <w:rsid w:val="503302EC"/>
    <w:rsid w:val="50732F73"/>
    <w:rsid w:val="51197DF3"/>
    <w:rsid w:val="516C37E1"/>
    <w:rsid w:val="51E25CB0"/>
    <w:rsid w:val="520B4CEC"/>
    <w:rsid w:val="522B612E"/>
    <w:rsid w:val="54033F7C"/>
    <w:rsid w:val="54CD7738"/>
    <w:rsid w:val="55250F53"/>
    <w:rsid w:val="553F2525"/>
    <w:rsid w:val="55D97F57"/>
    <w:rsid w:val="566F1630"/>
    <w:rsid w:val="56A21951"/>
    <w:rsid w:val="57DA4EC1"/>
    <w:rsid w:val="58C77CB1"/>
    <w:rsid w:val="58EA0062"/>
    <w:rsid w:val="5A031D65"/>
    <w:rsid w:val="5AC646A0"/>
    <w:rsid w:val="5BC45E97"/>
    <w:rsid w:val="5C9E56BA"/>
    <w:rsid w:val="5DD14D3C"/>
    <w:rsid w:val="5E0A04D6"/>
    <w:rsid w:val="5E0C4A42"/>
    <w:rsid w:val="5EC93B96"/>
    <w:rsid w:val="5F567E00"/>
    <w:rsid w:val="5FE90B4D"/>
    <w:rsid w:val="5FFE3277"/>
    <w:rsid w:val="62973056"/>
    <w:rsid w:val="63456133"/>
    <w:rsid w:val="634910C1"/>
    <w:rsid w:val="638B3F1A"/>
    <w:rsid w:val="63F8133A"/>
    <w:rsid w:val="64064291"/>
    <w:rsid w:val="64810054"/>
    <w:rsid w:val="64F647F7"/>
    <w:rsid w:val="653A40EF"/>
    <w:rsid w:val="66071F5E"/>
    <w:rsid w:val="666D082D"/>
    <w:rsid w:val="66740D21"/>
    <w:rsid w:val="667C3AD1"/>
    <w:rsid w:val="679E290A"/>
    <w:rsid w:val="67A12203"/>
    <w:rsid w:val="68D744EF"/>
    <w:rsid w:val="68F06909"/>
    <w:rsid w:val="6C0277F2"/>
    <w:rsid w:val="6C4B3EA2"/>
    <w:rsid w:val="6CC52FDF"/>
    <w:rsid w:val="6EA7063C"/>
    <w:rsid w:val="6F73095F"/>
    <w:rsid w:val="70164DCF"/>
    <w:rsid w:val="70D774A0"/>
    <w:rsid w:val="72344BDC"/>
    <w:rsid w:val="72B51750"/>
    <w:rsid w:val="750F5154"/>
    <w:rsid w:val="75DE6C8B"/>
    <w:rsid w:val="761B2FAB"/>
    <w:rsid w:val="77874D24"/>
    <w:rsid w:val="78C00D16"/>
    <w:rsid w:val="7A0A6C7A"/>
    <w:rsid w:val="7A7E56DE"/>
    <w:rsid w:val="7A875376"/>
    <w:rsid w:val="7B0A509D"/>
    <w:rsid w:val="7B79791E"/>
    <w:rsid w:val="7DB9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4038"/>
  <w15:docId w15:val="{9D896F0F-F82A-47BC-9A1C-B08B8A45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0" w:line="240" w:lineRule="auto"/>
    </w:pPr>
    <w:rPr>
      <w:rFonts w:eastAsia="Times New Roman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qFormat/>
    <w:pPr>
      <w:widowControl w:val="0"/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rastasis"/>
    <w:qFormat/>
    <w:pPr>
      <w:ind w:left="720"/>
      <w:contextualSpacing/>
    </w:pPr>
    <w:rPr>
      <w:rFonts w:ascii="TimesLT" w:hAnsi="TimesLT"/>
      <w:sz w:val="24"/>
      <w:lang w:val="en-US"/>
    </w:rPr>
  </w:style>
  <w:style w:type="character" w:customStyle="1" w:styleId="Bodytext4Exact">
    <w:name w:val="Body text (4) Exact"/>
    <w:link w:val="Bodytext4"/>
    <w:uiPriority w:val="99"/>
    <w:qFormat/>
    <w:locked/>
    <w:rPr>
      <w:rFonts w:ascii="Times New Roman" w:hAnsi="Times New Roman"/>
      <w:i/>
      <w:shd w:val="clear" w:color="auto" w:fill="FFFFFF"/>
    </w:rPr>
  </w:style>
  <w:style w:type="paragraph" w:customStyle="1" w:styleId="Bodytext4">
    <w:name w:val="Body text (4)"/>
    <w:basedOn w:val="prastasis"/>
    <w:link w:val="Bodytext4Exact"/>
    <w:uiPriority w:val="99"/>
    <w:qFormat/>
    <w:pPr>
      <w:widowControl w:val="0"/>
      <w:shd w:val="clear" w:color="auto" w:fill="FFFFFF"/>
      <w:spacing w:after="240" w:line="250" w:lineRule="exact"/>
    </w:pPr>
    <w:rPr>
      <w:rFonts w:eastAsiaTheme="minorHAnsi" w:cstheme="minorBidi"/>
      <w:i/>
      <w:sz w:val="22"/>
      <w:szCs w:val="22"/>
    </w:rPr>
  </w:style>
  <w:style w:type="paragraph" w:customStyle="1" w:styleId="Linija">
    <w:name w:val="Linija"/>
    <w:basedOn w:val="prastasis"/>
    <w:uiPriority w:val="99"/>
    <w:qFormat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rFonts w:eastAsia="Arial Unicode MS"/>
      <w:color w:val="000000"/>
      <w:sz w:val="12"/>
      <w:szCs w:val="12"/>
    </w:rPr>
  </w:style>
  <w:style w:type="paragraph" w:customStyle="1" w:styleId="Normaldokumentas">
    <w:name w:val="Normal_dokumentas"/>
    <w:qFormat/>
    <w:pPr>
      <w:spacing w:after="0" w:line="240" w:lineRule="auto"/>
      <w:jc w:val="both"/>
    </w:pPr>
    <w:rPr>
      <w:rFonts w:eastAsia="Calibri"/>
      <w:sz w:val="24"/>
      <w:szCs w:val="22"/>
      <w:lang w:eastAsia="en-US"/>
    </w:rPr>
  </w:style>
  <w:style w:type="character" w:customStyle="1" w:styleId="font11">
    <w:name w:val="font11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rPr>
      <w:rFonts w:ascii="Arial" w:hAnsi="Arial" w:cs="Arial"/>
      <w:color w:val="000000"/>
      <w:sz w:val="22"/>
      <w:szCs w:val="22"/>
      <w:u w:val="none"/>
    </w:rPr>
  </w:style>
  <w:style w:type="character" w:customStyle="1" w:styleId="font21">
    <w:name w:val="font21"/>
    <w:rPr>
      <w:rFonts w:ascii="Arial" w:hAnsi="Arial" w:cs="Arial"/>
      <w:color w:val="000000"/>
      <w:sz w:val="22"/>
      <w:szCs w:val="22"/>
      <w:u w:val="none"/>
    </w:rPr>
  </w:style>
  <w:style w:type="character" w:customStyle="1" w:styleId="font31">
    <w:name w:val="font31"/>
    <w:rPr>
      <w:rFonts w:ascii="Arial" w:hAnsi="Arial" w:cs="Arial"/>
      <w:color w:val="000000"/>
      <w:sz w:val="22"/>
      <w:szCs w:val="22"/>
      <w:u w:val="none"/>
    </w:rPr>
  </w:style>
  <w:style w:type="paragraph" w:styleId="Antrats">
    <w:name w:val="header"/>
    <w:basedOn w:val="prastasis"/>
    <w:link w:val="AntratsDiagrama"/>
    <w:uiPriority w:val="99"/>
    <w:unhideWhenUsed/>
    <w:rsid w:val="00B1170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170A"/>
    <w:rPr>
      <w:rFonts w:eastAsia="Times New Roman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1170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1170A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0BAD91-AF88-4862-B2CB-1EC044F86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Jurate</cp:lastModifiedBy>
  <cp:revision>4</cp:revision>
  <cp:lastPrinted>2019-12-20T08:23:00Z</cp:lastPrinted>
  <dcterms:created xsi:type="dcterms:W3CDTF">2021-01-21T11:47:00Z</dcterms:created>
  <dcterms:modified xsi:type="dcterms:W3CDTF">2021-01-21T12:19:00Z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1033-10.2.0.6069</vt:lpwstr>
  </property>
</Properties>
</file>