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6FFD" w14:textId="77777777" w:rsidR="00DD12A9" w:rsidRPr="006150A9" w:rsidRDefault="00DD12A9" w:rsidP="00DD12A9">
      <w:pPr>
        <w:pStyle w:val="Title"/>
        <w:rPr>
          <w:rFonts w:ascii="Arial" w:hAnsi="Arial" w:cs="Arial"/>
          <w:sz w:val="20"/>
        </w:rPr>
      </w:pPr>
    </w:p>
    <w:p w14:paraId="36831EC4" w14:textId="77777777" w:rsidR="00DD12A9" w:rsidRPr="006150A9" w:rsidRDefault="00DD12A9" w:rsidP="00DD12A9">
      <w:pPr>
        <w:pStyle w:val="Title"/>
        <w:rPr>
          <w:rFonts w:ascii="Arial" w:hAnsi="Arial" w:cs="Arial"/>
          <w:sz w:val="20"/>
        </w:rPr>
      </w:pPr>
      <w:r w:rsidRPr="006150A9">
        <w:rPr>
          <w:rFonts w:ascii="Arial" w:hAnsi="Arial" w:cs="Arial"/>
          <w:sz w:val="20"/>
        </w:rPr>
        <w:t>SUSITARIMAS</w:t>
      </w:r>
    </w:p>
    <w:p w14:paraId="5F4027BB" w14:textId="77777777" w:rsidR="00DD12A9" w:rsidRPr="006150A9" w:rsidRDefault="00DD12A9" w:rsidP="00DD12A9">
      <w:pPr>
        <w:jc w:val="center"/>
        <w:rPr>
          <w:rFonts w:ascii="Arial" w:hAnsi="Arial" w:cs="Arial"/>
          <w:lang w:val="lt-LT"/>
        </w:rPr>
      </w:pPr>
      <w:r w:rsidRPr="006150A9">
        <w:rPr>
          <w:rFonts w:ascii="Arial" w:hAnsi="Arial" w:cs="Arial"/>
          <w:b/>
          <w:lang w:val="lt-LT"/>
        </w:rPr>
        <w:t>DĖL 20</w:t>
      </w:r>
      <w:r>
        <w:rPr>
          <w:rFonts w:ascii="Arial" w:hAnsi="Arial" w:cs="Arial"/>
          <w:b/>
          <w:lang w:val="en-US"/>
        </w:rPr>
        <w:t>20</w:t>
      </w:r>
      <w:r w:rsidRPr="006150A9">
        <w:rPr>
          <w:rFonts w:ascii="Arial" w:hAnsi="Arial" w:cs="Arial"/>
          <w:b/>
          <w:lang w:val="lt-LT"/>
        </w:rPr>
        <w:t xml:space="preserve"> M.  </w:t>
      </w:r>
      <w:r>
        <w:rPr>
          <w:rFonts w:ascii="Arial" w:hAnsi="Arial" w:cs="Arial"/>
          <w:b/>
          <w:lang w:val="lt-LT"/>
        </w:rPr>
        <w:t>GEGUŽĖS 21 D.</w:t>
      </w:r>
    </w:p>
    <w:p w14:paraId="3B412BAB" w14:textId="77777777" w:rsidR="00DD12A9" w:rsidRPr="006150A9" w:rsidRDefault="00DD12A9" w:rsidP="00DD12A9">
      <w:pPr>
        <w:jc w:val="center"/>
        <w:rPr>
          <w:rFonts w:ascii="Arial" w:hAnsi="Arial" w:cs="Arial"/>
          <w:b/>
          <w:lang w:val="lt-LT"/>
        </w:rPr>
      </w:pPr>
      <w:r w:rsidRPr="006150A9">
        <w:rPr>
          <w:rFonts w:ascii="Arial" w:hAnsi="Arial" w:cs="Arial"/>
          <w:b/>
          <w:lang w:val="lt-LT"/>
        </w:rPr>
        <w:t xml:space="preserve">PIRKIMO SUTARTIES NR. </w:t>
      </w:r>
      <w:r>
        <w:rPr>
          <w:rFonts w:ascii="Arial" w:hAnsi="Arial" w:cs="Arial"/>
          <w:b/>
          <w:lang w:val="lt-LT"/>
        </w:rPr>
        <w:t>2020-P0018</w:t>
      </w:r>
      <w:r w:rsidRPr="006150A9">
        <w:rPr>
          <w:rFonts w:ascii="Arial" w:hAnsi="Arial" w:cs="Arial"/>
          <w:lang w:val="lt-LT"/>
        </w:rPr>
        <w:t xml:space="preserve"> </w:t>
      </w:r>
      <w:r w:rsidRPr="006150A9">
        <w:rPr>
          <w:rFonts w:ascii="Arial" w:hAnsi="Arial" w:cs="Arial"/>
          <w:b/>
          <w:lang w:val="lt-LT"/>
        </w:rPr>
        <w:t>PAKEITIMO</w:t>
      </w:r>
    </w:p>
    <w:p w14:paraId="4E3506D4" w14:textId="77777777" w:rsidR="00DD12A9" w:rsidRPr="006150A9" w:rsidRDefault="00DD12A9" w:rsidP="00DD12A9">
      <w:pPr>
        <w:jc w:val="center"/>
        <w:rPr>
          <w:rFonts w:ascii="Arial" w:hAnsi="Arial" w:cs="Arial"/>
          <w:b/>
          <w:lang w:val="lt-LT"/>
        </w:rPr>
      </w:pPr>
    </w:p>
    <w:p w14:paraId="6353C656" w14:textId="77777777" w:rsidR="00DD12A9" w:rsidRPr="006150A9" w:rsidRDefault="00DD12A9" w:rsidP="00DD12A9">
      <w:pPr>
        <w:jc w:val="center"/>
        <w:rPr>
          <w:rFonts w:ascii="Arial" w:hAnsi="Arial" w:cs="Arial"/>
          <w:lang w:val="lt-LT"/>
        </w:rPr>
      </w:pPr>
      <w:r w:rsidRPr="006150A9">
        <w:rPr>
          <w:rFonts w:ascii="Arial" w:hAnsi="Arial" w:cs="Arial"/>
          <w:lang w:val="lt-LT"/>
        </w:rPr>
        <w:t>Vilnius</w:t>
      </w:r>
    </w:p>
    <w:p w14:paraId="1FECAA7C" w14:textId="77777777" w:rsidR="00DD12A9" w:rsidRPr="006150A9" w:rsidRDefault="00DD12A9" w:rsidP="00DD12A9">
      <w:pPr>
        <w:jc w:val="center"/>
        <w:rPr>
          <w:rFonts w:ascii="Arial" w:hAnsi="Arial" w:cs="Arial"/>
          <w:lang w:val="lt-LT"/>
        </w:rPr>
      </w:pPr>
    </w:p>
    <w:p w14:paraId="55551756" w14:textId="77777777" w:rsidR="00DD12A9" w:rsidRPr="006150A9" w:rsidRDefault="00DD12A9" w:rsidP="00DD12A9">
      <w:pPr>
        <w:ind w:firstLine="1247"/>
        <w:jc w:val="both"/>
        <w:rPr>
          <w:rFonts w:ascii="Arial" w:hAnsi="Arial" w:cs="Arial"/>
          <w:lang w:val="lt-LT"/>
        </w:rPr>
      </w:pPr>
      <w:r w:rsidRPr="006150A9">
        <w:rPr>
          <w:rFonts w:ascii="Arial" w:hAnsi="Arial" w:cs="Arial"/>
          <w:b/>
          <w:bCs/>
          <w:lang w:val="lt-LT"/>
        </w:rPr>
        <w:t>Akcinė bendrovė Lietuvos paštas</w:t>
      </w:r>
      <w:r w:rsidRPr="006150A9">
        <w:rPr>
          <w:rFonts w:ascii="Arial" w:hAnsi="Arial" w:cs="Arial"/>
          <w:lang w:val="lt-LT"/>
        </w:rPr>
        <w:t xml:space="preserve"> (toliau – Pirkėjas), atstovaujama direktorės Astos </w:t>
      </w:r>
      <w:proofErr w:type="spellStart"/>
      <w:r w:rsidRPr="006150A9">
        <w:rPr>
          <w:rFonts w:ascii="Arial" w:hAnsi="Arial" w:cs="Arial"/>
          <w:lang w:val="lt-LT"/>
        </w:rPr>
        <w:t>Sungailienės</w:t>
      </w:r>
      <w:proofErr w:type="spellEnd"/>
      <w:r w:rsidRPr="006150A9">
        <w:rPr>
          <w:rFonts w:ascii="Arial" w:hAnsi="Arial" w:cs="Arial"/>
          <w:lang w:val="lt-LT"/>
        </w:rPr>
        <w:t>, veikiančios pagal bendrovės įstatus, ir</w:t>
      </w:r>
      <w:r>
        <w:rPr>
          <w:rFonts w:ascii="Arial" w:hAnsi="Arial" w:cs="Arial"/>
          <w:lang w:val="lt-LT"/>
        </w:rPr>
        <w:t xml:space="preserve"> </w:t>
      </w:r>
      <w:r w:rsidRPr="00614DD0">
        <w:rPr>
          <w:rFonts w:ascii="Arial" w:hAnsi="Arial" w:cs="Arial"/>
          <w:b/>
          <w:bCs/>
          <w:lang w:val="lt-LT"/>
        </w:rPr>
        <w:t>UAB „</w:t>
      </w:r>
      <w:proofErr w:type="spellStart"/>
      <w:r w:rsidRPr="00614DD0">
        <w:rPr>
          <w:rFonts w:ascii="Arial" w:hAnsi="Arial" w:cs="Arial"/>
          <w:b/>
          <w:bCs/>
          <w:lang w:val="lt-LT"/>
        </w:rPr>
        <w:t>Transgardas</w:t>
      </w:r>
      <w:proofErr w:type="spellEnd"/>
      <w:r w:rsidRPr="00614DD0">
        <w:rPr>
          <w:rFonts w:ascii="Arial" w:hAnsi="Arial" w:cs="Arial"/>
          <w:b/>
          <w:bCs/>
          <w:lang w:val="lt-LT"/>
        </w:rPr>
        <w:t xml:space="preserve">“ </w:t>
      </w:r>
      <w:r w:rsidRPr="006150A9">
        <w:rPr>
          <w:rFonts w:ascii="Arial" w:hAnsi="Arial" w:cs="Arial"/>
          <w:lang w:val="lt-LT"/>
        </w:rPr>
        <w:t xml:space="preserve">(toliau – Tiekėjas), </w:t>
      </w:r>
      <w:r>
        <w:rPr>
          <w:rFonts w:ascii="Arial" w:hAnsi="Arial" w:cs="Arial"/>
          <w:lang w:val="lt-LT"/>
        </w:rPr>
        <w:t xml:space="preserve">direktoriaus Vinco </w:t>
      </w:r>
      <w:proofErr w:type="spellStart"/>
      <w:r>
        <w:rPr>
          <w:rFonts w:ascii="Arial" w:hAnsi="Arial" w:cs="Arial"/>
          <w:lang w:val="lt-LT"/>
        </w:rPr>
        <w:t>Jurkėno</w:t>
      </w:r>
      <w:proofErr w:type="spellEnd"/>
      <w:r w:rsidRPr="006150A9">
        <w:rPr>
          <w:rFonts w:ascii="Arial" w:hAnsi="Arial" w:cs="Arial"/>
          <w:lang w:val="lt-LT"/>
        </w:rPr>
        <w:t xml:space="preserve">, veikiančio pagal </w:t>
      </w:r>
      <w:r>
        <w:rPr>
          <w:rFonts w:ascii="Arial" w:hAnsi="Arial" w:cs="Arial"/>
          <w:lang w:val="lt-LT"/>
        </w:rPr>
        <w:t>bendrovės įstatus</w:t>
      </w:r>
      <w:r w:rsidRPr="006150A9">
        <w:rPr>
          <w:rFonts w:ascii="Arial" w:hAnsi="Arial" w:cs="Arial"/>
          <w:lang w:val="lt-LT"/>
        </w:rPr>
        <w:t>, toliau kartu vadinamos Šalimis, o kiekviena atskirai – Šalimi, atsižvelgdamos į tai, kad:</w:t>
      </w:r>
    </w:p>
    <w:p w14:paraId="3C6D123D" w14:textId="77777777" w:rsidR="00DD12A9" w:rsidRPr="006150A9" w:rsidRDefault="00DD12A9" w:rsidP="00DD12A9">
      <w:pPr>
        <w:numPr>
          <w:ilvl w:val="0"/>
          <w:numId w:val="1"/>
        </w:numPr>
        <w:tabs>
          <w:tab w:val="left" w:pos="426"/>
        </w:tabs>
        <w:ind w:left="142" w:firstLine="0"/>
        <w:jc w:val="both"/>
        <w:rPr>
          <w:rFonts w:ascii="Arial" w:hAnsi="Arial" w:cs="Arial"/>
          <w:lang w:val="lt-LT"/>
        </w:rPr>
      </w:pPr>
      <w:r w:rsidRPr="006150A9">
        <w:rPr>
          <w:rFonts w:ascii="Arial" w:hAnsi="Arial" w:cs="Arial"/>
          <w:lang w:val="lt-LT"/>
        </w:rPr>
        <w:t>Šalys 202</w:t>
      </w:r>
      <w:r>
        <w:rPr>
          <w:rFonts w:ascii="Arial" w:hAnsi="Arial" w:cs="Arial"/>
          <w:lang w:val="en-US"/>
        </w:rPr>
        <w:t>1</w:t>
      </w:r>
      <w:r w:rsidRPr="006150A9">
        <w:rPr>
          <w:rFonts w:ascii="Arial" w:hAnsi="Arial" w:cs="Arial"/>
          <w:lang w:val="lt-LT"/>
        </w:rPr>
        <w:t xml:space="preserve"> m.  </w:t>
      </w:r>
      <w:r>
        <w:rPr>
          <w:rFonts w:ascii="Arial" w:hAnsi="Arial" w:cs="Arial"/>
          <w:lang w:val="lt-LT"/>
        </w:rPr>
        <w:t xml:space="preserve">gegužės </w:t>
      </w:r>
      <w:r>
        <w:rPr>
          <w:rFonts w:ascii="Arial" w:hAnsi="Arial" w:cs="Arial"/>
          <w:lang w:val="en-US"/>
        </w:rPr>
        <w:t xml:space="preserve">21 d. </w:t>
      </w:r>
      <w:r w:rsidRPr="006150A9">
        <w:rPr>
          <w:rFonts w:ascii="Arial" w:hAnsi="Arial" w:cs="Arial"/>
          <w:lang w:val="lt-LT"/>
        </w:rPr>
        <w:t>sudarė pirkimo sutartį Nr.</w:t>
      </w:r>
      <w:r>
        <w:rPr>
          <w:rFonts w:ascii="Arial" w:hAnsi="Arial" w:cs="Arial"/>
          <w:lang w:val="lt-LT"/>
        </w:rPr>
        <w:t xml:space="preserve"> 2020-P0018</w:t>
      </w:r>
      <w:r w:rsidRPr="006150A9">
        <w:rPr>
          <w:rFonts w:ascii="Arial" w:hAnsi="Arial" w:cs="Arial"/>
          <w:lang w:val="lt-LT"/>
        </w:rPr>
        <w:t xml:space="preserve"> (toliau – Sutartis);</w:t>
      </w:r>
    </w:p>
    <w:p w14:paraId="3F617963" w14:textId="77777777" w:rsidR="00DD12A9" w:rsidRPr="006150A9" w:rsidRDefault="00DD12A9" w:rsidP="00DD12A9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Arial" w:hAnsi="Arial" w:cs="Arial"/>
          <w:lang w:val="lt-LT"/>
        </w:rPr>
      </w:pPr>
      <w:bookmarkStart w:id="0" w:name="part_5505f6f8e853437eb59b15574d751ac8"/>
      <w:bookmarkStart w:id="1" w:name="part_6eb27d5a402344a6aa623e97ba5936fd"/>
      <w:bookmarkStart w:id="2" w:name="part_c40f168ff1c24e7397f4eb6a6b1841b2"/>
      <w:bookmarkStart w:id="3" w:name="part_dc41d5bf8c654e8199fc09813ef18b9b"/>
      <w:bookmarkStart w:id="4" w:name="part_7211c81ac65c4b15b4882ae2a78037e1"/>
      <w:bookmarkStart w:id="5" w:name="part_05c03807fe8a49648d89df4ccff7d05a"/>
      <w:bookmarkStart w:id="6" w:name="part_b7636efacb93489197c28981f5d97171"/>
      <w:bookmarkStart w:id="7" w:name="part_9fb2ba3e8339430cb86552c32a3d54dc"/>
      <w:bookmarkStart w:id="8" w:name="part_f91275690f0c4d06bb0ea074fa19b784"/>
      <w:bookmarkStart w:id="9" w:name="part_6322dd749783414f93ba50c1c4bb556f"/>
      <w:bookmarkStart w:id="10" w:name="part_8a4464e74cdf4726b511dd83f78dce1c"/>
      <w:bookmarkStart w:id="11" w:name="part_25728647f81c42acac1ee0a5e5492c7a"/>
      <w:bookmarkStart w:id="12" w:name="part_ea5e45aff6414bdfb7814755d6eeeb8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150A9">
        <w:rPr>
          <w:rFonts w:ascii="Arial" w:hAnsi="Arial" w:cs="Arial"/>
          <w:lang w:val="lt-LT"/>
        </w:rPr>
        <w:t xml:space="preserve">Lietuvos Respublikos pirkimų, atliekamų vandentvarkos, energetikos, transporto ar pašto paslaugų srities perkančiųjų subjektų įstatymo </w:t>
      </w:r>
      <w:r>
        <w:rPr>
          <w:rFonts w:ascii="Arial" w:hAnsi="Arial" w:cs="Arial"/>
          <w:lang w:val="lt-LT"/>
        </w:rPr>
        <w:t xml:space="preserve">(toliau – Pirkimų įstatymas) </w:t>
      </w:r>
      <w:r w:rsidRPr="006150A9">
        <w:rPr>
          <w:rFonts w:ascii="Arial" w:hAnsi="Arial" w:cs="Arial"/>
          <w:lang w:val="lt-LT"/>
        </w:rPr>
        <w:t xml:space="preserve">97 str. </w:t>
      </w:r>
      <w:r>
        <w:rPr>
          <w:rFonts w:ascii="Arial" w:hAnsi="Arial" w:cs="Arial"/>
          <w:lang w:val="lt-LT"/>
        </w:rPr>
        <w:t>2</w:t>
      </w:r>
      <w:r w:rsidRPr="006150A9">
        <w:rPr>
          <w:rFonts w:ascii="Arial" w:hAnsi="Arial" w:cs="Arial"/>
          <w:lang w:val="lt-LT"/>
        </w:rPr>
        <w:t xml:space="preserve"> d. reglamentuoja, kad pirkimo sutartis jos galiojimo laikotarpiu gali būti keičiama neatliekant naujos pirkimo procedūros, kai yra kartu visos šios sąlygos: </w:t>
      </w:r>
    </w:p>
    <w:p w14:paraId="197AB2E5" w14:textId="77777777" w:rsidR="00DD12A9" w:rsidRPr="00C71DFB" w:rsidRDefault="00DD12A9" w:rsidP="00DD12A9">
      <w:pPr>
        <w:tabs>
          <w:tab w:val="left" w:pos="426"/>
        </w:tabs>
        <w:jc w:val="both"/>
        <w:rPr>
          <w:rFonts w:ascii="Arial" w:hAnsi="Arial" w:cs="Arial"/>
          <w:lang w:val="lt-LT"/>
        </w:rPr>
      </w:pPr>
      <w:r w:rsidRPr="006150A9">
        <w:rPr>
          <w:rFonts w:ascii="Arial" w:hAnsi="Arial" w:cs="Arial"/>
          <w:lang w:val="lt-LT"/>
        </w:rPr>
        <w:t xml:space="preserve">1) </w:t>
      </w:r>
      <w:r w:rsidRPr="00C71DFB">
        <w:rPr>
          <w:rFonts w:ascii="Arial" w:hAnsi="Arial" w:cs="Arial"/>
          <w:lang w:val="lt-LT"/>
        </w:rPr>
        <w:t xml:space="preserve">bendra atskirų pakeitimų pagal šį punktą vertė neviršija atitinkamų tarptautinio pirkimo vertės ribų, nurodytų šio įstatymo 12 straipsnyje; </w:t>
      </w:r>
    </w:p>
    <w:p w14:paraId="132DAC33" w14:textId="77777777" w:rsidR="00DD12A9" w:rsidRPr="00C71DFB" w:rsidRDefault="00DD12A9" w:rsidP="00DD12A9">
      <w:pPr>
        <w:tabs>
          <w:tab w:val="left" w:pos="426"/>
        </w:tabs>
        <w:jc w:val="both"/>
        <w:rPr>
          <w:rFonts w:ascii="Arial" w:hAnsi="Arial" w:cs="Arial"/>
          <w:lang w:val="lt-LT"/>
        </w:rPr>
      </w:pPr>
      <w:r w:rsidRPr="00C71DFB">
        <w:rPr>
          <w:rFonts w:ascii="Arial" w:hAnsi="Arial" w:cs="Arial"/>
          <w:lang w:val="lt-LT"/>
        </w:rPr>
        <w:t xml:space="preserve">2) bendra atskirų pakeitimų pagal šį punktą vertė neviršija 10 procentų pradinės pirkimo sutarties </w:t>
      </w:r>
      <w:r w:rsidRPr="00C71DFB">
        <w:rPr>
          <w:rFonts w:ascii="Arial" w:hAnsi="Arial" w:cs="Arial"/>
          <w:bCs/>
          <w:lang w:val="lt-LT"/>
        </w:rPr>
        <w:t>ar preliminariosios sutarties</w:t>
      </w:r>
      <w:r w:rsidRPr="00C71DFB">
        <w:rPr>
          <w:rFonts w:ascii="Arial" w:hAnsi="Arial" w:cs="Arial"/>
          <w:lang w:val="lt-LT"/>
        </w:rPr>
        <w:t xml:space="preserve"> vertės prekių ar paslaugų pirkimo atveju ir 15 procentų – darbų pirkimo atveju;</w:t>
      </w:r>
    </w:p>
    <w:p w14:paraId="5A33CC0F" w14:textId="77777777" w:rsidR="00DD12A9" w:rsidRPr="00C71DFB" w:rsidRDefault="00DD12A9" w:rsidP="00DD12A9">
      <w:pPr>
        <w:tabs>
          <w:tab w:val="left" w:pos="426"/>
        </w:tabs>
        <w:jc w:val="both"/>
        <w:rPr>
          <w:rFonts w:ascii="Arial" w:hAnsi="Arial" w:cs="Arial"/>
          <w:lang w:val="lt-LT"/>
        </w:rPr>
      </w:pPr>
      <w:r w:rsidRPr="00C71DFB">
        <w:rPr>
          <w:rFonts w:ascii="Arial" w:hAnsi="Arial" w:cs="Arial"/>
          <w:lang w:val="lt-LT"/>
        </w:rPr>
        <w:t>3) pakeitimu iš esmės nepakeičiamas pirkimo sutarties ar preliminariosios sutarties pobūdis.</w:t>
      </w:r>
    </w:p>
    <w:p w14:paraId="102849BF" w14:textId="77777777" w:rsidR="00DD12A9" w:rsidRPr="006150A9" w:rsidRDefault="00DD12A9" w:rsidP="00DD12A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lang w:val="lt-LT"/>
        </w:rPr>
      </w:pPr>
      <w:r w:rsidRPr="006150A9">
        <w:rPr>
          <w:rFonts w:ascii="Arial" w:hAnsi="Arial" w:cs="Arial"/>
          <w:lang w:val="lt-LT"/>
        </w:rPr>
        <w:t>sudarė šį susitarimą (toliau – Susitarimas), kuriuo susitarė:</w:t>
      </w:r>
    </w:p>
    <w:p w14:paraId="74A1E63F" w14:textId="77777777" w:rsidR="00DD12A9" w:rsidRPr="00BC67D7" w:rsidRDefault="00DD12A9" w:rsidP="00DD12A9">
      <w:pPr>
        <w:pStyle w:val="BodyTextIndent3"/>
        <w:numPr>
          <w:ilvl w:val="0"/>
          <w:numId w:val="2"/>
        </w:numPr>
        <w:ind w:left="426" w:hanging="284"/>
        <w:jc w:val="both"/>
        <w:rPr>
          <w:rFonts w:ascii="Arial" w:hAnsi="Arial" w:cs="Arial"/>
          <w:sz w:val="20"/>
        </w:rPr>
      </w:pPr>
      <w:r w:rsidRPr="00BC67D7">
        <w:rPr>
          <w:rFonts w:ascii="Arial" w:hAnsi="Arial" w:cs="Arial"/>
          <w:sz w:val="20"/>
        </w:rPr>
        <w:t>Į sutartį įtraukti papildomą paslaugą „Nustatyto pristatymo laiko (NPL) iki 7:00 paslauga“ (toliau – Paslauga). Paslaugą įsigyti</w:t>
      </w:r>
      <w:r>
        <w:rPr>
          <w:rFonts w:ascii="Arial" w:hAnsi="Arial" w:cs="Arial"/>
          <w:sz w:val="20"/>
        </w:rPr>
        <w:t xml:space="preserve"> </w:t>
      </w:r>
      <w:r w:rsidRPr="008642B6">
        <w:rPr>
          <w:rFonts w:ascii="Arial" w:hAnsi="Arial" w:cs="Arial"/>
          <w:sz w:val="20"/>
        </w:rPr>
        <w:t>už ne didesnę kaip 15 000 EUR be PVM (penkiolika tūkstančių eurų) sumą</w:t>
      </w:r>
      <w:r>
        <w:rPr>
          <w:rFonts w:ascii="Arial" w:hAnsi="Arial" w:cs="Arial"/>
          <w:sz w:val="20"/>
        </w:rPr>
        <w:t>,</w:t>
      </w:r>
      <w:r w:rsidRPr="00BC67D7">
        <w:rPr>
          <w:rFonts w:ascii="Arial" w:hAnsi="Arial" w:cs="Arial"/>
          <w:sz w:val="20"/>
        </w:rPr>
        <w:t xml:space="preserve"> nedidinant bendros Sutarties vertės</w:t>
      </w:r>
      <w:r>
        <w:rPr>
          <w:rFonts w:ascii="Arial" w:hAnsi="Arial" w:cs="Arial"/>
          <w:sz w:val="20"/>
        </w:rPr>
        <w:t>.</w:t>
      </w:r>
      <w:r w:rsidRPr="00BC67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Pirkėjas įsipareigoja už tinkamai ir laiku suteiktą Paslaugą mokėti Tiekėjui 0,46 Eur be PVM/km.</w:t>
      </w:r>
    </w:p>
    <w:p w14:paraId="020AF221" w14:textId="77777777" w:rsidR="00DD12A9" w:rsidRPr="006150A9" w:rsidRDefault="00DD12A9" w:rsidP="00DD12A9">
      <w:pPr>
        <w:pStyle w:val="BodyTextIndent3"/>
        <w:numPr>
          <w:ilvl w:val="0"/>
          <w:numId w:val="2"/>
        </w:numPr>
        <w:ind w:left="426" w:hanging="284"/>
        <w:jc w:val="both"/>
        <w:rPr>
          <w:rFonts w:ascii="Arial" w:hAnsi="Arial" w:cs="Arial"/>
          <w:sz w:val="20"/>
        </w:rPr>
      </w:pPr>
      <w:r w:rsidRPr="006150A9">
        <w:rPr>
          <w:rFonts w:ascii="Arial" w:hAnsi="Arial" w:cs="Arial"/>
          <w:sz w:val="20"/>
        </w:rPr>
        <w:t>Kitos Sutarties sąlygos lieka nepakeistos.</w:t>
      </w:r>
    </w:p>
    <w:p w14:paraId="78F79D8C" w14:textId="77777777" w:rsidR="00DD12A9" w:rsidRPr="006150A9" w:rsidRDefault="00DD12A9" w:rsidP="00DD12A9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Arial" w:hAnsi="Arial" w:cs="Arial"/>
          <w:lang w:val="lt-LT"/>
        </w:rPr>
      </w:pPr>
      <w:r w:rsidRPr="006150A9">
        <w:rPr>
          <w:rFonts w:ascii="Arial" w:hAnsi="Arial" w:cs="Arial"/>
          <w:lang w:val="lt-LT"/>
        </w:rPr>
        <w:t xml:space="preserve">Šis susitarimas nekeičia Tiekėjo bei pagrindinių ir esminių Sutarties sąlygų ir Sutarties pobūdžio. </w:t>
      </w:r>
    </w:p>
    <w:p w14:paraId="4E640197" w14:textId="77777777" w:rsidR="00DD12A9" w:rsidRPr="006150A9" w:rsidRDefault="00DD12A9" w:rsidP="00DD12A9">
      <w:pPr>
        <w:pStyle w:val="BodyTextIndent3"/>
        <w:numPr>
          <w:ilvl w:val="0"/>
          <w:numId w:val="2"/>
        </w:numPr>
        <w:ind w:left="426" w:hanging="284"/>
        <w:jc w:val="both"/>
        <w:rPr>
          <w:rFonts w:ascii="Arial" w:hAnsi="Arial" w:cs="Arial"/>
          <w:sz w:val="20"/>
        </w:rPr>
      </w:pPr>
      <w:r w:rsidRPr="006150A9">
        <w:rPr>
          <w:rFonts w:ascii="Arial" w:hAnsi="Arial" w:cs="Arial"/>
          <w:sz w:val="20"/>
        </w:rPr>
        <w:t>Šiuo Susitarimu atliekamo Sutarties pakeitimo vertė neviršija atitinkamų tarptautinio pirkimo vertės ribų.</w:t>
      </w:r>
    </w:p>
    <w:p w14:paraId="6D9DE6D4" w14:textId="77777777" w:rsidR="00DD12A9" w:rsidRPr="006150A9" w:rsidRDefault="00DD12A9" w:rsidP="00DD12A9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6150A9">
        <w:rPr>
          <w:rFonts w:ascii="Arial" w:hAnsi="Arial" w:cs="Arial"/>
          <w:sz w:val="20"/>
          <w:szCs w:val="20"/>
        </w:rPr>
        <w:t>Šis susitarimas įsigalioja nuo jo pasirašymo dienos ir yra laikomas neatskiriama Sutarties dalimi.</w:t>
      </w:r>
    </w:p>
    <w:p w14:paraId="5DAD3F36" w14:textId="77777777" w:rsidR="00DD12A9" w:rsidRPr="006150A9" w:rsidRDefault="00DD12A9" w:rsidP="00DD12A9">
      <w:pPr>
        <w:pStyle w:val="ListParagraph"/>
        <w:numPr>
          <w:ilvl w:val="0"/>
          <w:numId w:val="2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6150A9">
        <w:rPr>
          <w:rFonts w:ascii="Arial" w:hAnsi="Arial" w:cs="Arial"/>
          <w:sz w:val="20"/>
          <w:szCs w:val="20"/>
        </w:rPr>
        <w:t>Šis susitarimas sudaromas dviem vienodą juridinę galią turinčiais egzemplioriais po vieną kiekvienai Šaliai.</w:t>
      </w:r>
      <w:bookmarkStart w:id="13" w:name="part_af0fe259c4b7403da0d931e7fc940944"/>
      <w:bookmarkStart w:id="14" w:name="part_a0b8f8eb336a4f19a301fc0d0e652e07"/>
      <w:bookmarkStart w:id="15" w:name="part_d2fcee32c03a411aac79f37b054b4d23"/>
      <w:bookmarkEnd w:id="13"/>
      <w:bookmarkEnd w:id="14"/>
      <w:bookmarkEnd w:id="15"/>
    </w:p>
    <w:p w14:paraId="5A5EDF8B" w14:textId="77777777" w:rsidR="00DD12A9" w:rsidRPr="006150A9" w:rsidRDefault="00DD12A9" w:rsidP="00DD12A9">
      <w:pPr>
        <w:pStyle w:val="BodyTextIndent3"/>
        <w:numPr>
          <w:ilvl w:val="0"/>
          <w:numId w:val="2"/>
        </w:numPr>
        <w:ind w:left="426" w:hanging="284"/>
        <w:jc w:val="both"/>
        <w:rPr>
          <w:rFonts w:ascii="Arial" w:hAnsi="Arial" w:cs="Arial"/>
          <w:sz w:val="20"/>
        </w:rPr>
      </w:pPr>
      <w:r w:rsidRPr="006150A9">
        <w:rPr>
          <w:rFonts w:ascii="Arial" w:hAnsi="Arial" w:cs="Arial"/>
          <w:sz w:val="20"/>
        </w:rPr>
        <w:t>Šalių rekvizitai ir jų atstovų parašai:</w:t>
      </w:r>
    </w:p>
    <w:p w14:paraId="04B2CB0A" w14:textId="77777777" w:rsidR="00DD12A9" w:rsidRPr="006150A9" w:rsidRDefault="00DD12A9" w:rsidP="00DD12A9">
      <w:pPr>
        <w:rPr>
          <w:rFonts w:ascii="Arial" w:hAnsi="Arial" w:cs="Arial"/>
          <w:lang w:val="lt-LT"/>
        </w:rPr>
      </w:pPr>
    </w:p>
    <w:p w14:paraId="5A23F58E" w14:textId="77777777" w:rsidR="00DD12A9" w:rsidRPr="006150A9" w:rsidRDefault="00DD12A9" w:rsidP="00DD12A9">
      <w:pPr>
        <w:rPr>
          <w:rFonts w:ascii="Arial" w:hAnsi="Arial" w:cs="Arial"/>
          <w:lang w:val="lt-LT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9349"/>
        <w:gridCol w:w="289"/>
      </w:tblGrid>
      <w:tr w:rsidR="00DD12A9" w:rsidRPr="006150A9" w14:paraId="2E92CE46" w14:textId="77777777" w:rsidTr="007D0098">
        <w:trPr>
          <w:trHeight w:val="4111"/>
        </w:trPr>
        <w:tc>
          <w:tcPr>
            <w:tcW w:w="4790" w:type="dxa"/>
          </w:tcPr>
          <w:tbl>
            <w:tblPr>
              <w:tblW w:w="913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0"/>
              <w:gridCol w:w="802"/>
              <w:gridCol w:w="4171"/>
            </w:tblGrid>
            <w:tr w:rsidR="00DD12A9" w:rsidRPr="004E6E92" w14:paraId="507CEE88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9027E5" w14:textId="77777777" w:rsidR="00DD12A9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b/>
                      <w:bCs/>
                      <w:lang w:eastAsia="ar-SA"/>
                    </w:rPr>
                  </w:pPr>
                  <w:proofErr w:type="spellStart"/>
                  <w:r w:rsidRPr="00B01476">
                    <w:rPr>
                      <w:rFonts w:ascii="Arial" w:hAnsi="Arial" w:cs="Arial"/>
                      <w:b/>
                      <w:bCs/>
                      <w:lang w:eastAsia="ar-SA"/>
                    </w:rPr>
                    <w:t>Tiekėjas</w:t>
                  </w:r>
                  <w:proofErr w:type="spellEnd"/>
                </w:p>
                <w:p w14:paraId="255757D5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D13F7A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b/>
                      <w:bCs/>
                      <w:lang w:eastAsia="ar-SA"/>
                    </w:rPr>
                  </w:pPr>
                  <w:proofErr w:type="spellStart"/>
                  <w:r w:rsidRPr="00B01476">
                    <w:rPr>
                      <w:rFonts w:ascii="Arial" w:hAnsi="Arial" w:cs="Arial"/>
                      <w:b/>
                      <w:bCs/>
                      <w:lang w:eastAsia="ar-SA"/>
                    </w:rPr>
                    <w:t>Pirkėjas</w:t>
                  </w:r>
                  <w:proofErr w:type="spellEnd"/>
                </w:p>
              </w:tc>
            </w:tr>
            <w:tr w:rsidR="00DD12A9" w:rsidRPr="004E6E92" w14:paraId="5D6AC02A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D7AE9F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bookmarkStart w:id="16" w:name="_Hlk64041290"/>
                  <w:r w:rsidRPr="00B01476">
                    <w:rPr>
                      <w:rFonts w:ascii="Arial" w:hAnsi="Arial" w:cs="Arial"/>
                      <w:lang w:val="lt-LT"/>
                    </w:rPr>
                    <w:t>UAB „</w:t>
                  </w:r>
                  <w:proofErr w:type="spellStart"/>
                  <w:r w:rsidRPr="00B01476">
                    <w:rPr>
                      <w:rFonts w:ascii="Arial" w:hAnsi="Arial" w:cs="Arial"/>
                      <w:lang w:val="lt-LT"/>
                    </w:rPr>
                    <w:t>Transgardas</w:t>
                  </w:r>
                  <w:proofErr w:type="spellEnd"/>
                  <w:r w:rsidRPr="00B01476">
                    <w:rPr>
                      <w:rFonts w:ascii="Arial" w:hAnsi="Arial" w:cs="Arial"/>
                      <w:lang w:val="lt-LT"/>
                    </w:rPr>
                    <w:t>“</w:t>
                  </w:r>
                  <w:bookmarkEnd w:id="16"/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52F415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Akcinė bendrovė Lietuvos paštas</w:t>
                  </w:r>
                </w:p>
              </w:tc>
            </w:tr>
            <w:tr w:rsidR="00DD12A9" w:rsidRPr="004E6E92" w14:paraId="440C2A9A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5AF2BB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Mokyklos g. 3-3, Akademijos mstl. Kauno raj.</w:t>
                  </w: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EEA38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J. Jasinskio g. 16, 03500 Vilnius</w:t>
                  </w:r>
                </w:p>
              </w:tc>
            </w:tr>
            <w:tr w:rsidR="00DD12A9" w:rsidRPr="004E6E92" w14:paraId="2171FA20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CB41FE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Tel. +3706 86 98880</w:t>
                  </w: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AF8445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 xml:space="preserve">Tel. (8 700) 55 400 </w:t>
                  </w:r>
                </w:p>
              </w:tc>
            </w:tr>
            <w:tr w:rsidR="00DD12A9" w:rsidRPr="004E6E92" w14:paraId="1A3E505B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553CD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 xml:space="preserve">Faks. - </w:t>
                  </w: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BC9F75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Faks. (8 5) 216 3204</w:t>
                  </w:r>
                </w:p>
              </w:tc>
            </w:tr>
            <w:tr w:rsidR="00DD12A9" w:rsidRPr="004E6E92" w14:paraId="217AF49A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D687B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Juridinio asmens kodas 302594387</w:t>
                  </w: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BE2415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Juridinio asmens kodas 121215587</w:t>
                  </w:r>
                </w:p>
              </w:tc>
            </w:tr>
            <w:tr w:rsidR="00DD12A9" w:rsidRPr="004E6E92" w14:paraId="01E14969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06698D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PVM mokėtojo kodas</w:t>
                  </w: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0C0323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PVM mokėtojo kodas LT212155811</w:t>
                  </w:r>
                </w:p>
              </w:tc>
            </w:tr>
            <w:tr w:rsidR="00DD12A9" w:rsidRPr="004E6E92" w14:paraId="189C4655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C9DFA4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proofErr w:type="spellStart"/>
                  <w:r w:rsidRPr="00B01476">
                    <w:rPr>
                      <w:rFonts w:ascii="Arial" w:hAnsi="Arial" w:cs="Arial"/>
                      <w:lang w:val="lt-LT"/>
                    </w:rPr>
                    <w:t>Luminor</w:t>
                  </w:r>
                  <w:proofErr w:type="spellEnd"/>
                  <w:r w:rsidRPr="00B01476">
                    <w:rPr>
                      <w:rFonts w:ascii="Arial" w:hAnsi="Arial" w:cs="Arial"/>
                      <w:lang w:val="lt-LT"/>
                    </w:rPr>
                    <w:t xml:space="preserve"> Bank</w:t>
                  </w: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956DA5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AB SEB bankas</w:t>
                  </w:r>
                </w:p>
              </w:tc>
            </w:tr>
            <w:tr w:rsidR="00DD12A9" w:rsidRPr="004E6E92" w14:paraId="01B530A7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2FA3A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proofErr w:type="spellStart"/>
                  <w:r w:rsidRPr="00B01476">
                    <w:rPr>
                      <w:rFonts w:ascii="Arial" w:hAnsi="Arial" w:cs="Arial"/>
                      <w:lang w:val="lt-LT"/>
                    </w:rPr>
                    <w:t>A.s</w:t>
                  </w:r>
                  <w:proofErr w:type="spellEnd"/>
                  <w:r w:rsidRPr="00B01476">
                    <w:rPr>
                      <w:rFonts w:ascii="Arial" w:hAnsi="Arial" w:cs="Arial"/>
                      <w:lang w:val="lt-LT"/>
                    </w:rPr>
                    <w:t>. LT62 2140 0300 0298 5064</w:t>
                  </w: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866A9F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A. s. LT71 7044 0600 0018 7388</w:t>
                  </w:r>
                </w:p>
              </w:tc>
            </w:tr>
            <w:tr w:rsidR="00DD12A9" w:rsidRPr="004E6E92" w14:paraId="7945E3EC" w14:textId="77777777" w:rsidTr="007D0098">
              <w:trPr>
                <w:trHeight w:val="685"/>
              </w:trPr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1836CF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</w:p>
                <w:p w14:paraId="7EFB6942" w14:textId="77777777" w:rsidR="00DD12A9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Direktorius</w:t>
                  </w:r>
                  <w:r>
                    <w:rPr>
                      <w:rFonts w:ascii="Arial" w:hAnsi="Arial" w:cs="Arial"/>
                      <w:lang w:val="lt-LT"/>
                    </w:rPr>
                    <w:t xml:space="preserve"> </w:t>
                  </w:r>
                  <w:r w:rsidRPr="00B01476">
                    <w:rPr>
                      <w:rFonts w:ascii="Arial" w:hAnsi="Arial" w:cs="Arial"/>
                      <w:lang w:val="lt-LT"/>
                    </w:rPr>
                    <w:t xml:space="preserve">Vincas </w:t>
                  </w:r>
                  <w:proofErr w:type="spellStart"/>
                  <w:r w:rsidRPr="00B01476">
                    <w:rPr>
                      <w:rFonts w:ascii="Arial" w:hAnsi="Arial" w:cs="Arial"/>
                      <w:lang w:val="lt-LT"/>
                    </w:rPr>
                    <w:t>Jurkėnas</w:t>
                  </w:r>
                  <w:proofErr w:type="spellEnd"/>
                </w:p>
                <w:p w14:paraId="0E01F374" w14:textId="77777777" w:rsidR="00DD12A9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eastAsia="Calibri" w:hAnsi="Arial" w:cs="Arial"/>
                      <w:lang w:val="lt-LT"/>
                    </w:rPr>
                  </w:pPr>
                </w:p>
                <w:p w14:paraId="7BE560F5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>
                    <w:rPr>
                      <w:rFonts w:ascii="Arial" w:eastAsia="Calibri" w:hAnsi="Arial" w:cs="Arial"/>
                      <w:lang w:val="lt-LT"/>
                    </w:rPr>
                    <w:t>(</w:t>
                  </w:r>
                  <w:r w:rsidRPr="006E3CD7">
                    <w:rPr>
                      <w:rFonts w:ascii="Arial" w:eastAsia="Calibri" w:hAnsi="Arial" w:cs="Arial"/>
                      <w:lang w:val="lt-LT"/>
                    </w:rPr>
                    <w:t>pareigos, vardas, pavardė, parašas</w:t>
                  </w:r>
                  <w:r>
                    <w:rPr>
                      <w:rFonts w:ascii="Arial" w:eastAsia="Calibri" w:hAnsi="Arial" w:cs="Arial"/>
                      <w:lang w:val="lt-LT"/>
                    </w:rPr>
                    <w:t>)</w:t>
                  </w: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C5A392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</w:p>
                <w:p w14:paraId="1E20E897" w14:textId="77777777" w:rsidR="00DD12A9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 w:rsidRPr="00B01476">
                    <w:rPr>
                      <w:rFonts w:ascii="Arial" w:hAnsi="Arial" w:cs="Arial"/>
                      <w:lang w:val="lt-LT"/>
                    </w:rPr>
                    <w:t>Generalinė direktorė</w:t>
                  </w:r>
                  <w:r>
                    <w:rPr>
                      <w:rFonts w:ascii="Arial" w:hAnsi="Arial" w:cs="Arial"/>
                      <w:lang w:val="lt-LT"/>
                    </w:rPr>
                    <w:t xml:space="preserve"> </w:t>
                  </w:r>
                  <w:r w:rsidRPr="00B01476">
                    <w:rPr>
                      <w:rFonts w:ascii="Arial" w:hAnsi="Arial" w:cs="Arial"/>
                      <w:lang w:val="lt-LT"/>
                    </w:rPr>
                    <w:t>Asta Sungailienė</w:t>
                  </w:r>
                </w:p>
                <w:p w14:paraId="6F87A672" w14:textId="77777777" w:rsidR="00DD12A9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eastAsia="Calibri" w:hAnsi="Arial" w:cs="Arial"/>
                      <w:lang w:val="lt-LT"/>
                    </w:rPr>
                  </w:pPr>
                </w:p>
                <w:p w14:paraId="42094918" w14:textId="77777777" w:rsidR="00DD12A9" w:rsidRPr="00B01476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rFonts w:ascii="Arial" w:hAnsi="Arial" w:cs="Arial"/>
                      <w:lang w:val="lt-LT"/>
                    </w:rPr>
                  </w:pPr>
                  <w:r>
                    <w:rPr>
                      <w:rFonts w:ascii="Arial" w:eastAsia="Calibri" w:hAnsi="Arial" w:cs="Arial"/>
                      <w:lang w:val="lt-LT"/>
                    </w:rPr>
                    <w:t>(</w:t>
                  </w:r>
                  <w:r w:rsidRPr="006E3CD7">
                    <w:rPr>
                      <w:rFonts w:ascii="Arial" w:eastAsia="Calibri" w:hAnsi="Arial" w:cs="Arial"/>
                      <w:lang w:val="lt-LT"/>
                    </w:rPr>
                    <w:t>pareigos, vardas, pavardė, parašas)</w:t>
                  </w:r>
                </w:p>
              </w:tc>
            </w:tr>
            <w:tr w:rsidR="00DD12A9" w:rsidRPr="004E6E92" w14:paraId="58291FCC" w14:textId="77777777" w:rsidTr="007D0098">
              <w:trPr>
                <w:gridAfter w:val="2"/>
                <w:wAfter w:w="4973" w:type="dxa"/>
                <w:trHeight w:val="410"/>
              </w:trPr>
              <w:tc>
                <w:tcPr>
                  <w:tcW w:w="4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45DC82" w14:textId="77777777" w:rsidR="00DD12A9" w:rsidRPr="004E6E92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lang w:eastAsia="ar-SA"/>
                    </w:rPr>
                  </w:pPr>
                </w:p>
              </w:tc>
            </w:tr>
            <w:tr w:rsidR="00DD12A9" w:rsidRPr="004E6E92" w14:paraId="7E78AEE7" w14:textId="77777777" w:rsidTr="007D0098">
              <w:tc>
                <w:tcPr>
                  <w:tcW w:w="496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B5B445" w14:textId="77777777" w:rsidR="00DD12A9" w:rsidRPr="004E6E92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i/>
                      <w:lang w:eastAsia="ar-SA"/>
                    </w:rPr>
                  </w:pPr>
                </w:p>
              </w:tc>
              <w:tc>
                <w:tcPr>
                  <w:tcW w:w="41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D188C5" w14:textId="77777777" w:rsidR="00DD12A9" w:rsidRPr="004E6E92" w:rsidRDefault="00DD12A9" w:rsidP="007D0098">
                  <w:pPr>
                    <w:framePr w:hSpace="180" w:wrap="around" w:vAnchor="text" w:hAnchor="margin" w:x="-176" w:y="140"/>
                    <w:jc w:val="both"/>
                    <w:rPr>
                      <w:i/>
                      <w:lang w:eastAsia="ar-SA"/>
                    </w:rPr>
                  </w:pPr>
                </w:p>
              </w:tc>
            </w:tr>
          </w:tbl>
          <w:p w14:paraId="76DABCBD" w14:textId="77777777" w:rsidR="00DD12A9" w:rsidRPr="006150A9" w:rsidRDefault="00DD12A9" w:rsidP="007D0098">
            <w:pPr>
              <w:pStyle w:val="BodyTextIndent"/>
              <w:spacing w:after="60"/>
              <w:ind w:hanging="104"/>
              <w:rPr>
                <w:rFonts w:ascii="Arial" w:hAnsi="Arial" w:cs="Arial"/>
                <w:lang w:val="lt-LT"/>
              </w:rPr>
            </w:pPr>
          </w:p>
        </w:tc>
        <w:tc>
          <w:tcPr>
            <w:tcW w:w="4790" w:type="dxa"/>
          </w:tcPr>
          <w:p w14:paraId="4087A35C" w14:textId="77777777" w:rsidR="00DD12A9" w:rsidRPr="006150A9" w:rsidRDefault="00DD12A9" w:rsidP="007D0098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  <w:lang w:val="lt-LT"/>
              </w:rPr>
            </w:pPr>
          </w:p>
        </w:tc>
      </w:tr>
    </w:tbl>
    <w:p w14:paraId="510022B4" w14:textId="77777777" w:rsidR="00DD12A9" w:rsidRPr="006150A9" w:rsidRDefault="00DD12A9" w:rsidP="00DD12A9">
      <w:pPr>
        <w:rPr>
          <w:rFonts w:ascii="Arial" w:hAnsi="Arial" w:cs="Arial"/>
          <w:lang w:val="lt-LT"/>
        </w:rPr>
      </w:pPr>
    </w:p>
    <w:p w14:paraId="0D4033FA" w14:textId="77777777" w:rsidR="00DD12A9" w:rsidRPr="006150A9" w:rsidRDefault="00DD12A9" w:rsidP="00DD12A9">
      <w:pPr>
        <w:rPr>
          <w:rFonts w:ascii="Arial" w:hAnsi="Arial" w:cs="Arial"/>
          <w:lang w:val="lt-LT"/>
        </w:rPr>
      </w:pPr>
    </w:p>
    <w:p w14:paraId="6C0038C5" w14:textId="77777777" w:rsidR="008E029A" w:rsidRDefault="008E029A"/>
    <w:sectPr w:rsidR="008E02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D2BA3"/>
    <w:multiLevelType w:val="hybridMultilevel"/>
    <w:tmpl w:val="1F3CA546"/>
    <w:lvl w:ilvl="0" w:tplc="0427000F">
      <w:start w:val="1"/>
      <w:numFmt w:val="decimal"/>
      <w:lvlText w:val="%1."/>
      <w:lvlJc w:val="left"/>
      <w:pPr>
        <w:ind w:left="503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4898438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D6783162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0C26"/>
    <w:multiLevelType w:val="hybridMultilevel"/>
    <w:tmpl w:val="FC5AC04E"/>
    <w:lvl w:ilvl="0" w:tplc="F082662C">
      <w:start w:val="4"/>
      <w:numFmt w:val="bullet"/>
      <w:lvlText w:val="-"/>
      <w:lvlJc w:val="left"/>
      <w:pPr>
        <w:ind w:left="160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9A"/>
    <w:rsid w:val="008E029A"/>
    <w:rsid w:val="00D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90E0C-8323-4EB1-9CCF-BFBC0BE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12A9"/>
    <w:pPr>
      <w:jc w:val="center"/>
    </w:pPr>
    <w:rPr>
      <w:b/>
      <w:sz w:val="24"/>
      <w:lang w:val="lt-LT"/>
    </w:rPr>
  </w:style>
  <w:style w:type="character" w:customStyle="1" w:styleId="TitleChar">
    <w:name w:val="Title Char"/>
    <w:basedOn w:val="DefaultParagraphFont"/>
    <w:link w:val="Title"/>
    <w:rsid w:val="00DD12A9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DD12A9"/>
    <w:pPr>
      <w:ind w:left="5310"/>
    </w:pPr>
    <w:rPr>
      <w:sz w:val="24"/>
      <w:lang w:val="lt-LT"/>
    </w:rPr>
  </w:style>
  <w:style w:type="character" w:customStyle="1" w:styleId="BodyTextIndent3Char">
    <w:name w:val="Body Text Indent 3 Char"/>
    <w:basedOn w:val="DefaultParagraphFont"/>
    <w:link w:val="BodyTextIndent3"/>
    <w:rsid w:val="00DD12A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D1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12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2A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1767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Zaveckas</dc:creator>
  <cp:keywords/>
  <dc:description/>
  <cp:lastModifiedBy>Danielius Zaveckas</cp:lastModifiedBy>
  <cp:revision>2</cp:revision>
  <dcterms:created xsi:type="dcterms:W3CDTF">2021-03-23T11:45:00Z</dcterms:created>
  <dcterms:modified xsi:type="dcterms:W3CDTF">2021-03-23T11:45:00Z</dcterms:modified>
</cp:coreProperties>
</file>