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C7446" w14:textId="77777777" w:rsidR="00070F1B" w:rsidRPr="008A3C1C" w:rsidRDefault="00070F1B">
      <w:pPr>
        <w:jc w:val="right"/>
        <w:rPr>
          <w:rFonts w:ascii="Arial" w:hAnsi="Arial" w:cs="Arial"/>
          <w:b/>
          <w:bCs/>
          <w:caps/>
          <w:sz w:val="22"/>
          <w:szCs w:val="22"/>
          <w:lang w:val="lt-LT"/>
        </w:rPr>
      </w:pPr>
    </w:p>
    <w:p w14:paraId="42F55954" w14:textId="77777777" w:rsidR="00070F1B" w:rsidRPr="008A3C1C" w:rsidRDefault="00070F1B">
      <w:pPr>
        <w:jc w:val="center"/>
        <w:rPr>
          <w:rFonts w:ascii="Arial" w:hAnsi="Arial" w:cs="Arial"/>
          <w:b/>
          <w:bCs/>
          <w:sz w:val="22"/>
          <w:szCs w:val="22"/>
          <w:lang w:val="lt-LT"/>
        </w:rPr>
      </w:pPr>
      <w:r w:rsidRPr="008A3C1C">
        <w:rPr>
          <w:rFonts w:ascii="Arial" w:hAnsi="Arial" w:cs="Arial"/>
          <w:b/>
          <w:bCs/>
          <w:caps/>
          <w:sz w:val="22"/>
          <w:szCs w:val="22"/>
          <w:lang w:val="lt-LT"/>
        </w:rPr>
        <w:t>įmokų surinkimo</w:t>
      </w:r>
      <w:r w:rsidR="00475897" w:rsidRPr="008A3C1C">
        <w:rPr>
          <w:rFonts w:ascii="Arial" w:hAnsi="Arial" w:cs="Arial"/>
          <w:b/>
          <w:bCs/>
          <w:caps/>
          <w:sz w:val="22"/>
          <w:szCs w:val="22"/>
          <w:lang w:val="lt-LT"/>
        </w:rPr>
        <w:t xml:space="preserve"> IR ADMINISTRAVIMO</w:t>
      </w:r>
      <w:r w:rsidRPr="008A3C1C">
        <w:rPr>
          <w:rFonts w:ascii="Arial" w:hAnsi="Arial" w:cs="Arial"/>
          <w:b/>
          <w:bCs/>
          <w:caps/>
          <w:sz w:val="22"/>
          <w:szCs w:val="22"/>
          <w:lang w:val="lt-LT"/>
        </w:rPr>
        <w:t xml:space="preserve"> sutartis</w:t>
      </w:r>
      <w:r w:rsidRPr="008A3C1C">
        <w:rPr>
          <w:rFonts w:ascii="Arial" w:hAnsi="Arial" w:cs="Arial"/>
          <w:b/>
          <w:bCs/>
          <w:sz w:val="22"/>
          <w:szCs w:val="22"/>
          <w:lang w:val="lt-LT"/>
        </w:rPr>
        <w:t xml:space="preserve"> Nr. ___</w:t>
      </w:r>
      <w:r w:rsidRPr="008A3C1C">
        <w:rPr>
          <w:rFonts w:ascii="Arial" w:hAnsi="Arial" w:cs="Arial"/>
          <w:b/>
          <w:bCs/>
          <w:sz w:val="22"/>
          <w:szCs w:val="22"/>
          <w:lang w:val="lt-LT"/>
        </w:rPr>
        <w:softHyphen/>
        <w:t>______</w:t>
      </w:r>
    </w:p>
    <w:p w14:paraId="5970B252" w14:textId="77777777" w:rsidR="00070F1B" w:rsidRPr="008A3C1C" w:rsidRDefault="00070F1B">
      <w:pPr>
        <w:jc w:val="both"/>
        <w:rPr>
          <w:rFonts w:ascii="Arial" w:hAnsi="Arial" w:cs="Arial"/>
          <w:sz w:val="22"/>
          <w:szCs w:val="22"/>
          <w:lang w:val="lt-LT"/>
        </w:rPr>
      </w:pPr>
    </w:p>
    <w:p w14:paraId="5375E694" w14:textId="77777777" w:rsidR="00070F1B" w:rsidRPr="008A3C1C" w:rsidRDefault="00070F1B">
      <w:pPr>
        <w:ind w:firstLine="720"/>
        <w:jc w:val="both"/>
        <w:rPr>
          <w:rFonts w:ascii="Arial" w:hAnsi="Arial" w:cs="Arial"/>
          <w:snapToGrid w:val="0"/>
          <w:sz w:val="22"/>
          <w:szCs w:val="22"/>
          <w:lang w:val="lt-LT"/>
        </w:rPr>
      </w:pPr>
      <w:r w:rsidRPr="008A3C1C">
        <w:rPr>
          <w:rFonts w:ascii="Arial" w:hAnsi="Arial" w:cs="Arial"/>
          <w:snapToGrid w:val="0"/>
          <w:sz w:val="22"/>
          <w:szCs w:val="22"/>
          <w:lang w:val="lt-LT"/>
        </w:rPr>
        <w:t>______________ , du tūkstančiai ________ metų __________________ __ diena.</w:t>
      </w:r>
    </w:p>
    <w:p w14:paraId="6D1BA018" w14:textId="77777777" w:rsidR="00070F1B" w:rsidRPr="008A3C1C" w:rsidRDefault="00070F1B">
      <w:pPr>
        <w:ind w:firstLine="720"/>
        <w:jc w:val="both"/>
        <w:rPr>
          <w:rFonts w:ascii="Arial" w:hAnsi="Arial" w:cs="Arial"/>
          <w:sz w:val="22"/>
          <w:szCs w:val="22"/>
          <w:lang w:val="lt-LT"/>
        </w:rPr>
      </w:pPr>
    </w:p>
    <w:tbl>
      <w:tblPr>
        <w:tblW w:w="9806" w:type="dxa"/>
        <w:tblInd w:w="108" w:type="dxa"/>
        <w:tblLayout w:type="fixed"/>
        <w:tblLook w:val="0000" w:firstRow="0" w:lastRow="0" w:firstColumn="0" w:lastColumn="0" w:noHBand="0" w:noVBand="0"/>
      </w:tblPr>
      <w:tblGrid>
        <w:gridCol w:w="3686"/>
        <w:gridCol w:w="2520"/>
        <w:gridCol w:w="180"/>
        <w:gridCol w:w="1080"/>
        <w:gridCol w:w="180"/>
        <w:gridCol w:w="2160"/>
      </w:tblGrid>
      <w:tr w:rsidR="0007723C" w:rsidRPr="008A3C1C" w14:paraId="52175B6A" w14:textId="77777777" w:rsidTr="003364B2">
        <w:trPr>
          <w:trHeight w:val="761"/>
        </w:trPr>
        <w:tc>
          <w:tcPr>
            <w:tcW w:w="9806" w:type="dxa"/>
            <w:gridSpan w:val="6"/>
            <w:vAlign w:val="bottom"/>
          </w:tcPr>
          <w:p w14:paraId="57D99AE0" w14:textId="77777777" w:rsidR="0007723C" w:rsidRPr="008A3C1C" w:rsidRDefault="0007723C" w:rsidP="005B621F">
            <w:pPr>
              <w:pStyle w:val="Heading2"/>
              <w:jc w:val="left"/>
              <w:rPr>
                <w:rFonts w:ascii="Arial" w:hAnsi="Arial" w:cs="Arial"/>
                <w:szCs w:val="22"/>
              </w:rPr>
            </w:pPr>
            <w:r w:rsidRPr="008A3C1C">
              <w:rPr>
                <w:rFonts w:ascii="Arial" w:hAnsi="Arial" w:cs="Arial"/>
                <w:szCs w:val="22"/>
              </w:rPr>
              <w:t>BANKAS</w:t>
            </w:r>
          </w:p>
        </w:tc>
      </w:tr>
      <w:tr w:rsidR="0007723C" w:rsidRPr="008A3C1C" w14:paraId="4AA280CF" w14:textId="77777777" w:rsidTr="003364B2">
        <w:trPr>
          <w:cantSplit/>
        </w:trPr>
        <w:tc>
          <w:tcPr>
            <w:tcW w:w="3686" w:type="dxa"/>
          </w:tcPr>
          <w:p w14:paraId="651ADBC1" w14:textId="77777777" w:rsidR="0007723C" w:rsidRPr="008A3C1C" w:rsidRDefault="0007723C" w:rsidP="006B57EF">
            <w:pPr>
              <w:rPr>
                <w:rFonts w:ascii="Arial" w:hAnsi="Arial" w:cs="Arial"/>
                <w:b/>
                <w:sz w:val="22"/>
                <w:szCs w:val="22"/>
              </w:rPr>
            </w:pPr>
            <w:proofErr w:type="spellStart"/>
            <w:r w:rsidRPr="008A3C1C">
              <w:rPr>
                <w:rFonts w:ascii="Arial" w:hAnsi="Arial" w:cs="Arial"/>
                <w:b/>
                <w:sz w:val="22"/>
                <w:szCs w:val="22"/>
              </w:rPr>
              <w:t>Pavadinimas</w:t>
            </w:r>
            <w:proofErr w:type="spellEnd"/>
            <w:r w:rsidRPr="008A3C1C">
              <w:rPr>
                <w:rFonts w:ascii="Arial" w:hAnsi="Arial" w:cs="Arial"/>
                <w:b/>
                <w:sz w:val="22"/>
                <w:szCs w:val="22"/>
              </w:rPr>
              <w:t xml:space="preserve">: </w:t>
            </w:r>
          </w:p>
        </w:tc>
        <w:tc>
          <w:tcPr>
            <w:tcW w:w="6120" w:type="dxa"/>
            <w:gridSpan w:val="5"/>
          </w:tcPr>
          <w:p w14:paraId="526D6AAE" w14:textId="77777777" w:rsidR="0007723C" w:rsidRPr="008A3C1C" w:rsidRDefault="0007723C" w:rsidP="009348B3">
            <w:pPr>
              <w:pStyle w:val="BodyText"/>
              <w:tabs>
                <w:tab w:val="left" w:pos="1134"/>
              </w:tabs>
              <w:rPr>
                <w:rFonts w:ascii="Arial" w:hAnsi="Arial" w:cs="Arial"/>
                <w:sz w:val="22"/>
                <w:szCs w:val="22"/>
              </w:rPr>
            </w:pPr>
            <w:r w:rsidRPr="008A3C1C">
              <w:rPr>
                <w:rFonts w:ascii="Arial" w:hAnsi="Arial" w:cs="Arial"/>
                <w:sz w:val="22"/>
                <w:szCs w:val="22"/>
              </w:rPr>
              <w:t>„Swedbank“, AB</w:t>
            </w:r>
            <w:r w:rsidR="00771983" w:rsidRPr="008A3C1C">
              <w:rPr>
                <w:rFonts w:ascii="Arial" w:hAnsi="Arial" w:cs="Arial"/>
                <w:color w:val="000000"/>
                <w:sz w:val="22"/>
                <w:szCs w:val="22"/>
              </w:rPr>
              <w:t xml:space="preserve">; </w:t>
            </w:r>
          </w:p>
        </w:tc>
      </w:tr>
      <w:tr w:rsidR="0007723C" w:rsidRPr="008A3C1C" w14:paraId="6378CEE8" w14:textId="77777777" w:rsidTr="003364B2">
        <w:trPr>
          <w:cantSplit/>
        </w:trPr>
        <w:tc>
          <w:tcPr>
            <w:tcW w:w="3686" w:type="dxa"/>
          </w:tcPr>
          <w:p w14:paraId="573458BE" w14:textId="77777777" w:rsidR="0007723C" w:rsidRPr="008A3C1C" w:rsidRDefault="0007723C" w:rsidP="006B57EF">
            <w:pPr>
              <w:pStyle w:val="Heading1"/>
              <w:rPr>
                <w:rFonts w:ascii="Arial" w:hAnsi="Arial" w:cs="Arial"/>
                <w:b w:val="0"/>
                <w:sz w:val="22"/>
                <w:szCs w:val="22"/>
              </w:rPr>
            </w:pPr>
            <w:proofErr w:type="spellStart"/>
            <w:r w:rsidRPr="008A3C1C">
              <w:rPr>
                <w:rFonts w:ascii="Arial" w:hAnsi="Arial" w:cs="Arial"/>
                <w:sz w:val="22"/>
                <w:szCs w:val="22"/>
              </w:rPr>
              <w:t>Juridinio</w:t>
            </w:r>
            <w:proofErr w:type="spellEnd"/>
            <w:r w:rsidRPr="008A3C1C">
              <w:rPr>
                <w:rFonts w:ascii="Arial" w:hAnsi="Arial" w:cs="Arial"/>
                <w:sz w:val="22"/>
                <w:szCs w:val="22"/>
              </w:rPr>
              <w:t xml:space="preserve"> </w:t>
            </w:r>
            <w:proofErr w:type="spellStart"/>
            <w:r w:rsidRPr="008A3C1C">
              <w:rPr>
                <w:rFonts w:ascii="Arial" w:hAnsi="Arial" w:cs="Arial"/>
                <w:sz w:val="22"/>
                <w:szCs w:val="22"/>
              </w:rPr>
              <w:t>asmens</w:t>
            </w:r>
            <w:proofErr w:type="spellEnd"/>
            <w:r w:rsidRPr="008A3C1C">
              <w:rPr>
                <w:rFonts w:ascii="Arial" w:hAnsi="Arial" w:cs="Arial"/>
                <w:sz w:val="22"/>
                <w:szCs w:val="22"/>
              </w:rPr>
              <w:t xml:space="preserve"> </w:t>
            </w:r>
            <w:proofErr w:type="spellStart"/>
            <w:r w:rsidRPr="008A3C1C">
              <w:rPr>
                <w:rFonts w:ascii="Arial" w:hAnsi="Arial" w:cs="Arial"/>
                <w:sz w:val="22"/>
                <w:szCs w:val="22"/>
              </w:rPr>
              <w:t>kodas</w:t>
            </w:r>
            <w:proofErr w:type="spellEnd"/>
            <w:r w:rsidRPr="008A3C1C">
              <w:rPr>
                <w:rFonts w:ascii="Arial" w:hAnsi="Arial" w:cs="Arial"/>
                <w:sz w:val="22"/>
                <w:szCs w:val="22"/>
              </w:rPr>
              <w:t>:</w:t>
            </w:r>
          </w:p>
        </w:tc>
        <w:tc>
          <w:tcPr>
            <w:tcW w:w="6120" w:type="dxa"/>
            <w:gridSpan w:val="5"/>
          </w:tcPr>
          <w:p w14:paraId="0E3D5F2C" w14:textId="77777777" w:rsidR="0007723C" w:rsidRPr="008A3C1C" w:rsidRDefault="0007723C" w:rsidP="006B57EF">
            <w:pPr>
              <w:pStyle w:val="Heading1"/>
              <w:rPr>
                <w:rFonts w:ascii="Arial" w:hAnsi="Arial" w:cs="Arial"/>
                <w:sz w:val="22"/>
                <w:szCs w:val="22"/>
              </w:rPr>
            </w:pPr>
            <w:r w:rsidRPr="008A3C1C">
              <w:rPr>
                <w:rFonts w:ascii="Arial" w:hAnsi="Arial" w:cs="Arial"/>
                <w:sz w:val="22"/>
                <w:szCs w:val="22"/>
              </w:rPr>
              <w:t>112029651</w:t>
            </w:r>
          </w:p>
        </w:tc>
      </w:tr>
      <w:tr w:rsidR="0007723C" w:rsidRPr="008A3C1C" w14:paraId="6FE1551E" w14:textId="77777777" w:rsidTr="003364B2">
        <w:trPr>
          <w:cantSplit/>
        </w:trPr>
        <w:tc>
          <w:tcPr>
            <w:tcW w:w="3686" w:type="dxa"/>
          </w:tcPr>
          <w:p w14:paraId="2CA695C4" w14:textId="77777777" w:rsidR="0007723C" w:rsidRPr="008A3C1C" w:rsidRDefault="0007723C" w:rsidP="006B57EF">
            <w:pPr>
              <w:pStyle w:val="Heading1"/>
              <w:rPr>
                <w:rFonts w:ascii="Arial" w:hAnsi="Arial" w:cs="Arial"/>
                <w:b w:val="0"/>
                <w:sz w:val="22"/>
                <w:szCs w:val="22"/>
              </w:rPr>
            </w:pPr>
            <w:proofErr w:type="spellStart"/>
            <w:r w:rsidRPr="008A3C1C">
              <w:rPr>
                <w:rFonts w:ascii="Arial" w:hAnsi="Arial" w:cs="Arial"/>
                <w:sz w:val="22"/>
                <w:szCs w:val="22"/>
              </w:rPr>
              <w:t>Adresas</w:t>
            </w:r>
            <w:proofErr w:type="spellEnd"/>
            <w:r w:rsidRPr="008A3C1C">
              <w:rPr>
                <w:rFonts w:ascii="Arial" w:hAnsi="Arial" w:cs="Arial"/>
                <w:sz w:val="22"/>
                <w:szCs w:val="22"/>
              </w:rPr>
              <w:t>:</w:t>
            </w:r>
          </w:p>
        </w:tc>
        <w:tc>
          <w:tcPr>
            <w:tcW w:w="6120" w:type="dxa"/>
            <w:gridSpan w:val="5"/>
          </w:tcPr>
          <w:p w14:paraId="0DCC40DF" w14:textId="77777777" w:rsidR="0007723C" w:rsidRPr="008A3C1C" w:rsidRDefault="0007723C" w:rsidP="006B57EF">
            <w:pPr>
              <w:pStyle w:val="Heading1"/>
              <w:rPr>
                <w:rFonts w:ascii="Arial" w:hAnsi="Arial" w:cs="Arial"/>
                <w:sz w:val="22"/>
                <w:szCs w:val="22"/>
              </w:rPr>
            </w:pPr>
            <w:proofErr w:type="spellStart"/>
            <w:r w:rsidRPr="008A3C1C">
              <w:rPr>
                <w:rFonts w:ascii="Arial" w:hAnsi="Arial" w:cs="Arial"/>
                <w:sz w:val="22"/>
                <w:szCs w:val="22"/>
              </w:rPr>
              <w:t>Konstitucijos</w:t>
            </w:r>
            <w:proofErr w:type="spellEnd"/>
            <w:r w:rsidRPr="008A3C1C">
              <w:rPr>
                <w:rFonts w:ascii="Arial" w:hAnsi="Arial" w:cs="Arial"/>
                <w:sz w:val="22"/>
                <w:szCs w:val="22"/>
              </w:rPr>
              <w:t xml:space="preserve"> pr. 20A, 03502 Vilnius</w:t>
            </w:r>
          </w:p>
        </w:tc>
      </w:tr>
      <w:tr w:rsidR="0007723C" w:rsidRPr="008A3C1C" w14:paraId="11B7DFA1" w14:textId="77777777" w:rsidTr="003364B2">
        <w:trPr>
          <w:cantSplit/>
        </w:trPr>
        <w:tc>
          <w:tcPr>
            <w:tcW w:w="3686" w:type="dxa"/>
          </w:tcPr>
          <w:p w14:paraId="328B6340" w14:textId="77777777" w:rsidR="0007723C" w:rsidRPr="008A3C1C" w:rsidRDefault="0007723C" w:rsidP="006B57EF">
            <w:pPr>
              <w:rPr>
                <w:rFonts w:ascii="Arial" w:hAnsi="Arial" w:cs="Arial"/>
                <w:b/>
                <w:sz w:val="22"/>
                <w:szCs w:val="22"/>
              </w:rPr>
            </w:pPr>
            <w:proofErr w:type="spellStart"/>
            <w:r w:rsidRPr="008A3C1C">
              <w:rPr>
                <w:rFonts w:ascii="Arial" w:hAnsi="Arial" w:cs="Arial"/>
                <w:b/>
                <w:sz w:val="22"/>
                <w:szCs w:val="22"/>
              </w:rPr>
              <w:t>Telefonas</w:t>
            </w:r>
            <w:proofErr w:type="spellEnd"/>
            <w:r w:rsidRPr="008A3C1C">
              <w:rPr>
                <w:rFonts w:ascii="Arial" w:hAnsi="Arial" w:cs="Arial"/>
                <w:b/>
                <w:sz w:val="22"/>
                <w:szCs w:val="22"/>
              </w:rPr>
              <w:t>:</w:t>
            </w:r>
          </w:p>
        </w:tc>
        <w:tc>
          <w:tcPr>
            <w:tcW w:w="2700" w:type="dxa"/>
            <w:gridSpan w:val="2"/>
          </w:tcPr>
          <w:p w14:paraId="286B51C3" w14:textId="77777777" w:rsidR="0007723C" w:rsidRPr="008A3C1C" w:rsidRDefault="0007723C" w:rsidP="006B57EF">
            <w:pPr>
              <w:rPr>
                <w:rFonts w:ascii="Arial" w:hAnsi="Arial" w:cs="Arial"/>
                <w:b/>
                <w:sz w:val="22"/>
                <w:szCs w:val="22"/>
              </w:rPr>
            </w:pPr>
            <w:r w:rsidRPr="008A3C1C">
              <w:rPr>
                <w:rFonts w:ascii="Arial" w:hAnsi="Arial" w:cs="Arial"/>
                <w:sz w:val="22"/>
                <w:szCs w:val="22"/>
              </w:rPr>
              <w:t>1884; (+370 5 268 4444)</w:t>
            </w:r>
          </w:p>
        </w:tc>
        <w:tc>
          <w:tcPr>
            <w:tcW w:w="1260" w:type="dxa"/>
            <w:gridSpan w:val="2"/>
          </w:tcPr>
          <w:p w14:paraId="382C7291" w14:textId="77777777" w:rsidR="0007723C" w:rsidRPr="008A3C1C" w:rsidRDefault="0007723C" w:rsidP="006B57EF">
            <w:pPr>
              <w:rPr>
                <w:rFonts w:ascii="Arial" w:hAnsi="Arial" w:cs="Arial"/>
                <w:b/>
                <w:sz w:val="22"/>
                <w:szCs w:val="22"/>
              </w:rPr>
            </w:pPr>
            <w:proofErr w:type="spellStart"/>
            <w:r w:rsidRPr="008A3C1C">
              <w:rPr>
                <w:rFonts w:ascii="Arial" w:hAnsi="Arial" w:cs="Arial"/>
                <w:b/>
                <w:sz w:val="22"/>
                <w:szCs w:val="22"/>
              </w:rPr>
              <w:t>Faksas</w:t>
            </w:r>
            <w:proofErr w:type="spellEnd"/>
            <w:r w:rsidRPr="008A3C1C">
              <w:rPr>
                <w:rFonts w:ascii="Arial" w:hAnsi="Arial" w:cs="Arial"/>
                <w:b/>
                <w:sz w:val="22"/>
                <w:szCs w:val="22"/>
              </w:rPr>
              <w:t>:</w:t>
            </w:r>
          </w:p>
        </w:tc>
        <w:tc>
          <w:tcPr>
            <w:tcW w:w="2160" w:type="dxa"/>
          </w:tcPr>
          <w:p w14:paraId="1C33FE84" w14:textId="77777777" w:rsidR="0007723C" w:rsidRPr="008A3C1C" w:rsidRDefault="0007723C" w:rsidP="006B57EF">
            <w:pPr>
              <w:rPr>
                <w:rFonts w:ascii="Arial" w:hAnsi="Arial" w:cs="Arial"/>
                <w:sz w:val="22"/>
                <w:szCs w:val="22"/>
                <w:lang w:val="ru-RU"/>
              </w:rPr>
            </w:pPr>
            <w:r w:rsidRPr="008A3C1C">
              <w:rPr>
                <w:rFonts w:ascii="Arial" w:hAnsi="Arial" w:cs="Arial"/>
                <w:sz w:val="22"/>
                <w:szCs w:val="22"/>
              </w:rPr>
              <w:t>(8 5) 258</w:t>
            </w:r>
            <w:r w:rsidRPr="008A3C1C">
              <w:rPr>
                <w:rFonts w:ascii="Arial" w:hAnsi="Arial" w:cs="Arial"/>
                <w:sz w:val="22"/>
                <w:szCs w:val="22"/>
                <w:lang w:val="ru-RU"/>
              </w:rPr>
              <w:t xml:space="preserve"> </w:t>
            </w:r>
            <w:r w:rsidRPr="008A3C1C">
              <w:rPr>
                <w:rFonts w:ascii="Arial" w:hAnsi="Arial" w:cs="Arial"/>
                <w:sz w:val="22"/>
                <w:szCs w:val="22"/>
              </w:rPr>
              <w:t>27</w:t>
            </w:r>
            <w:r w:rsidRPr="008A3C1C">
              <w:rPr>
                <w:rFonts w:ascii="Arial" w:hAnsi="Arial" w:cs="Arial"/>
                <w:sz w:val="22"/>
                <w:szCs w:val="22"/>
                <w:lang w:val="ru-RU"/>
              </w:rPr>
              <w:t>00</w:t>
            </w:r>
          </w:p>
        </w:tc>
      </w:tr>
      <w:tr w:rsidR="0007723C" w:rsidRPr="008A3C1C" w14:paraId="04AE3478" w14:textId="77777777" w:rsidTr="003364B2">
        <w:trPr>
          <w:cantSplit/>
        </w:trPr>
        <w:tc>
          <w:tcPr>
            <w:tcW w:w="3686" w:type="dxa"/>
          </w:tcPr>
          <w:p w14:paraId="560AD683" w14:textId="77777777" w:rsidR="0007723C" w:rsidRPr="008A3C1C" w:rsidRDefault="0007723C" w:rsidP="006B57EF">
            <w:pPr>
              <w:rPr>
                <w:rFonts w:ascii="Arial" w:hAnsi="Arial" w:cs="Arial"/>
                <w:b/>
                <w:sz w:val="22"/>
                <w:szCs w:val="22"/>
              </w:rPr>
            </w:pPr>
            <w:proofErr w:type="spellStart"/>
            <w:r w:rsidRPr="008A3C1C">
              <w:rPr>
                <w:rFonts w:ascii="Arial" w:hAnsi="Arial" w:cs="Arial"/>
                <w:b/>
                <w:sz w:val="22"/>
                <w:szCs w:val="22"/>
              </w:rPr>
              <w:t>E.pašto</w:t>
            </w:r>
            <w:proofErr w:type="spellEnd"/>
            <w:r w:rsidRPr="008A3C1C">
              <w:rPr>
                <w:rFonts w:ascii="Arial" w:hAnsi="Arial" w:cs="Arial"/>
                <w:b/>
                <w:sz w:val="22"/>
                <w:szCs w:val="22"/>
              </w:rPr>
              <w:t xml:space="preserve"> </w:t>
            </w:r>
            <w:proofErr w:type="spellStart"/>
            <w:r w:rsidRPr="008A3C1C">
              <w:rPr>
                <w:rFonts w:ascii="Arial" w:hAnsi="Arial" w:cs="Arial"/>
                <w:b/>
                <w:sz w:val="22"/>
                <w:szCs w:val="22"/>
              </w:rPr>
              <w:t>adresas</w:t>
            </w:r>
            <w:proofErr w:type="spellEnd"/>
            <w:r w:rsidRPr="008A3C1C">
              <w:rPr>
                <w:rFonts w:ascii="Arial" w:hAnsi="Arial" w:cs="Arial"/>
                <w:b/>
                <w:sz w:val="22"/>
                <w:szCs w:val="22"/>
              </w:rPr>
              <w:t>:</w:t>
            </w:r>
          </w:p>
        </w:tc>
        <w:tc>
          <w:tcPr>
            <w:tcW w:w="6120" w:type="dxa"/>
            <w:gridSpan w:val="5"/>
          </w:tcPr>
          <w:p w14:paraId="78D4542D" w14:textId="77777777" w:rsidR="0007723C" w:rsidRPr="008A3C1C" w:rsidRDefault="0007723C" w:rsidP="006B57EF">
            <w:pPr>
              <w:rPr>
                <w:rFonts w:ascii="Arial" w:hAnsi="Arial" w:cs="Arial"/>
                <w:sz w:val="22"/>
                <w:szCs w:val="22"/>
              </w:rPr>
            </w:pPr>
            <w:r w:rsidRPr="008A3C1C">
              <w:rPr>
                <w:rFonts w:ascii="Arial" w:hAnsi="Arial" w:cs="Arial"/>
                <w:sz w:val="22"/>
                <w:szCs w:val="22"/>
              </w:rPr>
              <w:t>info@swedbank.lt</w:t>
            </w:r>
          </w:p>
        </w:tc>
      </w:tr>
      <w:tr w:rsidR="0007723C" w:rsidRPr="008A3C1C" w14:paraId="16490302" w14:textId="77777777" w:rsidTr="003364B2">
        <w:trPr>
          <w:cantSplit/>
          <w:trHeight w:val="507"/>
        </w:trPr>
        <w:tc>
          <w:tcPr>
            <w:tcW w:w="9806" w:type="dxa"/>
            <w:gridSpan w:val="6"/>
            <w:vAlign w:val="bottom"/>
          </w:tcPr>
          <w:p w14:paraId="2A1F8549" w14:textId="77777777" w:rsidR="0007723C" w:rsidRPr="008A3C1C" w:rsidRDefault="00771983" w:rsidP="00771983">
            <w:pPr>
              <w:rPr>
                <w:rFonts w:ascii="Arial" w:hAnsi="Arial" w:cs="Arial"/>
                <w:sz w:val="22"/>
                <w:szCs w:val="22"/>
              </w:rPr>
            </w:pPr>
            <w:r w:rsidRPr="008A3C1C">
              <w:rPr>
                <w:rFonts w:ascii="Arial" w:hAnsi="Arial" w:cs="Arial"/>
                <w:b/>
                <w:sz w:val="22"/>
                <w:szCs w:val="22"/>
              </w:rPr>
              <w:t>LĖŠŲ GAVĖJAS</w:t>
            </w:r>
            <w:r w:rsidR="0007723C" w:rsidRPr="008A3C1C">
              <w:rPr>
                <w:rFonts w:ascii="Arial" w:hAnsi="Arial" w:cs="Arial"/>
                <w:b/>
                <w:sz w:val="22"/>
                <w:szCs w:val="22"/>
              </w:rPr>
              <w:t xml:space="preserve"> </w:t>
            </w:r>
            <w:r w:rsidR="00930345" w:rsidRPr="008A3C1C">
              <w:rPr>
                <w:rFonts w:ascii="Arial" w:hAnsi="Arial" w:cs="Arial"/>
                <w:b/>
                <w:sz w:val="22"/>
                <w:szCs w:val="22"/>
              </w:rPr>
              <w:t>(GAVĖJAS)</w:t>
            </w:r>
          </w:p>
        </w:tc>
      </w:tr>
      <w:tr w:rsidR="0007723C" w:rsidRPr="008A3C1C" w14:paraId="0FECD280" w14:textId="77777777" w:rsidTr="003364B2">
        <w:trPr>
          <w:cantSplit/>
        </w:trPr>
        <w:tc>
          <w:tcPr>
            <w:tcW w:w="3686" w:type="dxa"/>
          </w:tcPr>
          <w:p w14:paraId="0A053421" w14:textId="1E1243E3" w:rsidR="0007723C" w:rsidRPr="008A3C1C" w:rsidRDefault="0007723C" w:rsidP="006B57EF">
            <w:pPr>
              <w:rPr>
                <w:rFonts w:ascii="Arial" w:hAnsi="Arial" w:cs="Arial"/>
                <w:b/>
                <w:sz w:val="22"/>
                <w:szCs w:val="22"/>
              </w:rPr>
            </w:pPr>
            <w:proofErr w:type="spellStart"/>
            <w:r w:rsidRPr="008A3C1C">
              <w:rPr>
                <w:rFonts w:ascii="Arial" w:hAnsi="Arial" w:cs="Arial"/>
                <w:b/>
                <w:sz w:val="22"/>
                <w:szCs w:val="22"/>
              </w:rPr>
              <w:t>Pavadinimas</w:t>
            </w:r>
            <w:proofErr w:type="spellEnd"/>
            <w:r w:rsidRPr="008A3C1C">
              <w:rPr>
                <w:rFonts w:ascii="Arial" w:hAnsi="Arial" w:cs="Arial"/>
                <w:b/>
                <w:sz w:val="22"/>
                <w:szCs w:val="22"/>
              </w:rPr>
              <w:t xml:space="preserve">: </w:t>
            </w:r>
            <w:r w:rsidR="001766A8">
              <w:rPr>
                <w:rFonts w:ascii="Arial" w:hAnsi="Arial" w:cs="Arial"/>
                <w:b/>
                <w:sz w:val="22"/>
                <w:szCs w:val="22"/>
              </w:rPr>
              <w:t xml:space="preserve">                                                                           </w:t>
            </w:r>
          </w:p>
        </w:tc>
        <w:tc>
          <w:tcPr>
            <w:tcW w:w="6120" w:type="dxa"/>
            <w:gridSpan w:val="5"/>
          </w:tcPr>
          <w:p w14:paraId="04AD85A6" w14:textId="2A39C1A3" w:rsidR="0007723C" w:rsidRPr="00B94C24" w:rsidRDefault="001766A8" w:rsidP="006B57EF">
            <w:pPr>
              <w:rPr>
                <w:rFonts w:ascii="Arial" w:hAnsi="Arial" w:cs="Arial"/>
                <w:b/>
                <w:bCs/>
                <w:sz w:val="22"/>
                <w:szCs w:val="22"/>
              </w:rPr>
            </w:pPr>
            <w:r w:rsidRPr="00B94C24">
              <w:rPr>
                <w:rFonts w:ascii="Arial" w:hAnsi="Arial" w:cs="Arial"/>
                <w:b/>
                <w:bCs/>
                <w:sz w:val="22"/>
                <w:szCs w:val="22"/>
              </w:rPr>
              <w:t xml:space="preserve">AB Vilniaus </w:t>
            </w:r>
            <w:proofErr w:type="spellStart"/>
            <w:r w:rsidRPr="00B94C24">
              <w:rPr>
                <w:rFonts w:ascii="Arial" w:hAnsi="Arial" w:cs="Arial"/>
                <w:b/>
                <w:bCs/>
                <w:sz w:val="22"/>
                <w:szCs w:val="22"/>
              </w:rPr>
              <w:t>šilumos</w:t>
            </w:r>
            <w:proofErr w:type="spellEnd"/>
            <w:r w:rsidRPr="00B94C24">
              <w:rPr>
                <w:rFonts w:ascii="Arial" w:hAnsi="Arial" w:cs="Arial"/>
                <w:b/>
                <w:bCs/>
                <w:sz w:val="22"/>
                <w:szCs w:val="22"/>
              </w:rPr>
              <w:t xml:space="preserve"> </w:t>
            </w:r>
            <w:proofErr w:type="spellStart"/>
            <w:r w:rsidRPr="00B94C24">
              <w:rPr>
                <w:rFonts w:ascii="Arial" w:hAnsi="Arial" w:cs="Arial"/>
                <w:b/>
                <w:bCs/>
                <w:sz w:val="22"/>
                <w:szCs w:val="22"/>
              </w:rPr>
              <w:t>tinklai</w:t>
            </w:r>
            <w:proofErr w:type="spellEnd"/>
          </w:p>
        </w:tc>
      </w:tr>
      <w:tr w:rsidR="0007723C" w:rsidRPr="008A3C1C" w14:paraId="04A58209" w14:textId="77777777" w:rsidTr="003364B2">
        <w:trPr>
          <w:cantSplit/>
        </w:trPr>
        <w:tc>
          <w:tcPr>
            <w:tcW w:w="3686" w:type="dxa"/>
          </w:tcPr>
          <w:p w14:paraId="0B543DE3" w14:textId="77777777" w:rsidR="0007723C" w:rsidRPr="001766A8" w:rsidRDefault="0007723C" w:rsidP="006B57EF">
            <w:pPr>
              <w:pStyle w:val="Heading1"/>
              <w:rPr>
                <w:rFonts w:ascii="Arial" w:hAnsi="Arial" w:cs="Arial"/>
                <w:sz w:val="22"/>
                <w:szCs w:val="22"/>
              </w:rPr>
            </w:pPr>
            <w:proofErr w:type="spellStart"/>
            <w:r w:rsidRPr="001766A8">
              <w:rPr>
                <w:rFonts w:ascii="Arial" w:hAnsi="Arial" w:cs="Arial"/>
                <w:sz w:val="22"/>
                <w:szCs w:val="22"/>
              </w:rPr>
              <w:t>Juridinio</w:t>
            </w:r>
            <w:proofErr w:type="spellEnd"/>
            <w:r w:rsidRPr="001766A8">
              <w:rPr>
                <w:rFonts w:ascii="Arial" w:hAnsi="Arial" w:cs="Arial"/>
                <w:sz w:val="22"/>
                <w:szCs w:val="22"/>
              </w:rPr>
              <w:t xml:space="preserve"> </w:t>
            </w:r>
            <w:proofErr w:type="spellStart"/>
            <w:r w:rsidRPr="001766A8">
              <w:rPr>
                <w:rFonts w:ascii="Arial" w:hAnsi="Arial" w:cs="Arial"/>
                <w:sz w:val="22"/>
                <w:szCs w:val="22"/>
              </w:rPr>
              <w:t>asmens</w:t>
            </w:r>
            <w:proofErr w:type="spellEnd"/>
            <w:r w:rsidRPr="001766A8">
              <w:rPr>
                <w:rFonts w:ascii="Arial" w:hAnsi="Arial" w:cs="Arial"/>
                <w:sz w:val="22"/>
                <w:szCs w:val="22"/>
              </w:rPr>
              <w:t xml:space="preserve"> </w:t>
            </w:r>
            <w:proofErr w:type="spellStart"/>
            <w:r w:rsidRPr="001766A8">
              <w:rPr>
                <w:rFonts w:ascii="Arial" w:hAnsi="Arial" w:cs="Arial"/>
                <w:sz w:val="22"/>
                <w:szCs w:val="22"/>
              </w:rPr>
              <w:t>kodas</w:t>
            </w:r>
            <w:proofErr w:type="spellEnd"/>
            <w:r w:rsidRPr="001766A8">
              <w:rPr>
                <w:rFonts w:ascii="Arial" w:hAnsi="Arial" w:cs="Arial"/>
                <w:sz w:val="22"/>
                <w:szCs w:val="22"/>
              </w:rPr>
              <w:t>:</w:t>
            </w:r>
          </w:p>
        </w:tc>
        <w:tc>
          <w:tcPr>
            <w:tcW w:w="6120" w:type="dxa"/>
            <w:gridSpan w:val="5"/>
          </w:tcPr>
          <w:p w14:paraId="39D6E895" w14:textId="42CECCDE" w:rsidR="0007723C" w:rsidRPr="00B94C24" w:rsidRDefault="001766A8" w:rsidP="006B57EF">
            <w:pPr>
              <w:pStyle w:val="Heading1"/>
              <w:rPr>
                <w:rFonts w:ascii="Arial" w:hAnsi="Arial" w:cs="Arial"/>
                <w:sz w:val="22"/>
                <w:szCs w:val="22"/>
              </w:rPr>
            </w:pPr>
            <w:r w:rsidRPr="00B94C24">
              <w:rPr>
                <w:rFonts w:ascii="Arial" w:hAnsi="Arial" w:cs="Arial"/>
                <w:sz w:val="22"/>
                <w:szCs w:val="22"/>
              </w:rPr>
              <w:t>124135580</w:t>
            </w:r>
          </w:p>
        </w:tc>
      </w:tr>
      <w:tr w:rsidR="0007723C" w:rsidRPr="008A3C1C" w14:paraId="1FF8BA17" w14:textId="77777777" w:rsidTr="003364B2">
        <w:trPr>
          <w:cantSplit/>
        </w:trPr>
        <w:tc>
          <w:tcPr>
            <w:tcW w:w="3686" w:type="dxa"/>
          </w:tcPr>
          <w:p w14:paraId="5C7A47F1" w14:textId="7DD65B0B" w:rsidR="0007723C" w:rsidRPr="008A3C1C" w:rsidRDefault="0007723C" w:rsidP="006B57EF">
            <w:pPr>
              <w:pStyle w:val="Heading1"/>
              <w:rPr>
                <w:rFonts w:ascii="Arial" w:hAnsi="Arial" w:cs="Arial"/>
                <w:b w:val="0"/>
                <w:sz w:val="22"/>
                <w:szCs w:val="22"/>
              </w:rPr>
            </w:pPr>
            <w:proofErr w:type="spellStart"/>
            <w:r w:rsidRPr="008A3C1C">
              <w:rPr>
                <w:rFonts w:ascii="Arial" w:hAnsi="Arial" w:cs="Arial"/>
                <w:sz w:val="22"/>
                <w:szCs w:val="22"/>
              </w:rPr>
              <w:t>Adresas</w:t>
            </w:r>
            <w:proofErr w:type="spellEnd"/>
            <w:r w:rsidRPr="008A3C1C">
              <w:rPr>
                <w:rFonts w:ascii="Arial" w:hAnsi="Arial" w:cs="Arial"/>
                <w:sz w:val="22"/>
                <w:szCs w:val="22"/>
              </w:rPr>
              <w:t>:</w:t>
            </w:r>
            <w:r w:rsidR="001766A8">
              <w:rPr>
                <w:rFonts w:ascii="Arial" w:hAnsi="Arial" w:cs="Arial"/>
                <w:sz w:val="22"/>
                <w:szCs w:val="22"/>
              </w:rPr>
              <w:t xml:space="preserve">                                             </w:t>
            </w:r>
          </w:p>
        </w:tc>
        <w:tc>
          <w:tcPr>
            <w:tcW w:w="6120" w:type="dxa"/>
            <w:gridSpan w:val="5"/>
          </w:tcPr>
          <w:p w14:paraId="1BFB6666" w14:textId="01E806AD" w:rsidR="001766A8" w:rsidRPr="00C252D2" w:rsidRDefault="001766A8" w:rsidP="001766A8">
            <w:pPr>
              <w:rPr>
                <w:rFonts w:ascii="Arial" w:hAnsi="Arial" w:cs="Arial"/>
                <w:strike/>
                <w:sz w:val="22"/>
                <w:szCs w:val="22"/>
              </w:rPr>
            </w:pPr>
          </w:p>
          <w:p w14:paraId="1694297B" w14:textId="20A3880C" w:rsidR="00D74EED" w:rsidRPr="00C252D2" w:rsidRDefault="00C252D2" w:rsidP="00D74EED">
            <w:pPr>
              <w:rPr>
                <w:rFonts w:ascii="Arial" w:hAnsi="Arial" w:cs="Arial"/>
                <w:b/>
                <w:bCs/>
                <w:sz w:val="22"/>
                <w:szCs w:val="22"/>
              </w:rPr>
            </w:pPr>
            <w:proofErr w:type="spellStart"/>
            <w:r>
              <w:rPr>
                <w:rFonts w:ascii="Arial" w:hAnsi="Arial" w:cs="Arial"/>
                <w:b/>
                <w:bCs/>
                <w:sz w:val="22"/>
                <w:szCs w:val="22"/>
              </w:rPr>
              <w:t>Buvein</w:t>
            </w:r>
            <w:proofErr w:type="spellEnd"/>
            <w:r>
              <w:rPr>
                <w:rFonts w:ascii="Arial" w:hAnsi="Arial" w:cs="Arial"/>
                <w:b/>
                <w:bCs/>
                <w:sz w:val="22"/>
                <w:szCs w:val="22"/>
                <w:lang w:val="lt-LT"/>
              </w:rPr>
              <w:t xml:space="preserve">ės adresas: </w:t>
            </w:r>
            <w:proofErr w:type="spellStart"/>
            <w:r w:rsidR="00D74EED" w:rsidRPr="00C252D2">
              <w:rPr>
                <w:rFonts w:ascii="Arial" w:hAnsi="Arial" w:cs="Arial"/>
                <w:b/>
                <w:bCs/>
                <w:sz w:val="22"/>
                <w:szCs w:val="22"/>
              </w:rPr>
              <w:t>Elektrinės</w:t>
            </w:r>
            <w:proofErr w:type="spellEnd"/>
            <w:r w:rsidR="00D74EED" w:rsidRPr="00C252D2">
              <w:rPr>
                <w:rFonts w:ascii="Arial" w:hAnsi="Arial" w:cs="Arial"/>
                <w:b/>
                <w:bCs/>
                <w:sz w:val="22"/>
                <w:szCs w:val="22"/>
              </w:rPr>
              <w:t xml:space="preserve"> g. 2, 03150 Vilnius</w:t>
            </w:r>
          </w:p>
          <w:p w14:paraId="4D07FFAB" w14:textId="77777777" w:rsidR="00D74EED" w:rsidRPr="00C252D2" w:rsidRDefault="00D74EED" w:rsidP="00D74EED">
            <w:pPr>
              <w:rPr>
                <w:rFonts w:ascii="Arial" w:hAnsi="Arial" w:cs="Arial"/>
                <w:b/>
                <w:bCs/>
                <w:sz w:val="22"/>
                <w:szCs w:val="22"/>
              </w:rPr>
            </w:pPr>
            <w:proofErr w:type="spellStart"/>
            <w:r w:rsidRPr="00C252D2">
              <w:rPr>
                <w:rFonts w:ascii="Arial" w:hAnsi="Arial" w:cs="Arial"/>
                <w:b/>
                <w:bCs/>
                <w:sz w:val="22"/>
                <w:szCs w:val="22"/>
              </w:rPr>
              <w:t>Adresas</w:t>
            </w:r>
            <w:proofErr w:type="spellEnd"/>
            <w:r w:rsidRPr="00C252D2">
              <w:rPr>
                <w:rFonts w:ascii="Arial" w:hAnsi="Arial" w:cs="Arial"/>
                <w:b/>
                <w:bCs/>
                <w:sz w:val="22"/>
                <w:szCs w:val="22"/>
              </w:rPr>
              <w:t xml:space="preserve"> </w:t>
            </w:r>
            <w:proofErr w:type="spellStart"/>
            <w:r w:rsidRPr="00C252D2">
              <w:rPr>
                <w:rFonts w:ascii="Arial" w:hAnsi="Arial" w:cs="Arial"/>
                <w:b/>
                <w:bCs/>
                <w:sz w:val="22"/>
                <w:szCs w:val="22"/>
              </w:rPr>
              <w:t>korespondencijai</w:t>
            </w:r>
            <w:proofErr w:type="spellEnd"/>
            <w:r w:rsidRPr="00C252D2">
              <w:rPr>
                <w:rFonts w:ascii="Arial" w:hAnsi="Arial" w:cs="Arial"/>
                <w:b/>
                <w:bCs/>
                <w:sz w:val="22"/>
                <w:szCs w:val="22"/>
              </w:rPr>
              <w:t xml:space="preserve">: </w:t>
            </w:r>
            <w:proofErr w:type="spellStart"/>
            <w:r w:rsidRPr="00C252D2">
              <w:rPr>
                <w:rFonts w:ascii="Arial" w:hAnsi="Arial" w:cs="Arial"/>
                <w:b/>
                <w:bCs/>
                <w:sz w:val="22"/>
                <w:szCs w:val="22"/>
              </w:rPr>
              <w:t>Spaudos</w:t>
            </w:r>
            <w:proofErr w:type="spellEnd"/>
            <w:r w:rsidRPr="00C252D2">
              <w:rPr>
                <w:rFonts w:ascii="Arial" w:hAnsi="Arial" w:cs="Arial"/>
                <w:b/>
                <w:bCs/>
                <w:sz w:val="22"/>
                <w:szCs w:val="22"/>
              </w:rPr>
              <w:t xml:space="preserve"> g. 6-1, 05132 Vilnius</w:t>
            </w:r>
          </w:p>
          <w:p w14:paraId="5A26DCFD" w14:textId="19F66131" w:rsidR="00D74EED" w:rsidRPr="00C252D2" w:rsidRDefault="00D74EED" w:rsidP="001766A8">
            <w:pPr>
              <w:rPr>
                <w:rFonts w:ascii="Arial" w:hAnsi="Arial" w:cs="Arial"/>
                <w:strike/>
                <w:sz w:val="22"/>
                <w:szCs w:val="22"/>
              </w:rPr>
            </w:pPr>
          </w:p>
        </w:tc>
      </w:tr>
      <w:tr w:rsidR="0007723C" w:rsidRPr="008A3C1C" w14:paraId="5347BAD8" w14:textId="77777777" w:rsidTr="003364B2">
        <w:trPr>
          <w:cantSplit/>
        </w:trPr>
        <w:tc>
          <w:tcPr>
            <w:tcW w:w="3686" w:type="dxa"/>
          </w:tcPr>
          <w:p w14:paraId="2407D894" w14:textId="77777777" w:rsidR="0007723C" w:rsidRPr="008A3C1C" w:rsidRDefault="0007723C" w:rsidP="006B57EF">
            <w:pPr>
              <w:rPr>
                <w:rFonts w:ascii="Arial" w:hAnsi="Arial" w:cs="Arial"/>
                <w:b/>
                <w:sz w:val="22"/>
                <w:szCs w:val="22"/>
              </w:rPr>
            </w:pPr>
            <w:proofErr w:type="spellStart"/>
            <w:r w:rsidRPr="008A3C1C">
              <w:rPr>
                <w:rFonts w:ascii="Arial" w:hAnsi="Arial" w:cs="Arial"/>
                <w:b/>
                <w:sz w:val="22"/>
                <w:szCs w:val="22"/>
              </w:rPr>
              <w:t>Telefonas</w:t>
            </w:r>
            <w:proofErr w:type="spellEnd"/>
            <w:r w:rsidRPr="008A3C1C">
              <w:rPr>
                <w:rFonts w:ascii="Arial" w:hAnsi="Arial" w:cs="Arial"/>
                <w:b/>
                <w:sz w:val="22"/>
                <w:szCs w:val="22"/>
              </w:rPr>
              <w:t>:</w:t>
            </w:r>
          </w:p>
        </w:tc>
        <w:tc>
          <w:tcPr>
            <w:tcW w:w="2520" w:type="dxa"/>
          </w:tcPr>
          <w:p w14:paraId="5C0C5F89" w14:textId="58455E45" w:rsidR="0007723C" w:rsidRPr="006C0A49" w:rsidRDefault="00B94C24" w:rsidP="006B57EF">
            <w:pPr>
              <w:rPr>
                <w:rFonts w:ascii="Arial" w:hAnsi="Arial" w:cs="Arial"/>
                <w:sz w:val="22"/>
                <w:szCs w:val="22"/>
                <w:u w:val="single"/>
              </w:rPr>
            </w:pPr>
            <w:r w:rsidRPr="006C0A49">
              <w:rPr>
                <w:rFonts w:ascii="Arial" w:hAnsi="Arial" w:cs="Arial"/>
                <w:sz w:val="22"/>
                <w:szCs w:val="22"/>
              </w:rPr>
              <w:t>1840</w:t>
            </w:r>
            <w:r w:rsidR="001766A8" w:rsidRPr="006C0A49">
              <w:rPr>
                <w:rFonts w:ascii="Arial" w:hAnsi="Arial" w:cs="Arial"/>
                <w:sz w:val="22"/>
                <w:szCs w:val="22"/>
                <w:u w:val="single"/>
              </w:rPr>
              <w:t xml:space="preserve">     </w:t>
            </w:r>
          </w:p>
        </w:tc>
        <w:tc>
          <w:tcPr>
            <w:tcW w:w="1260" w:type="dxa"/>
            <w:gridSpan w:val="2"/>
          </w:tcPr>
          <w:p w14:paraId="61B9E655" w14:textId="77777777" w:rsidR="0007723C" w:rsidRPr="00054173" w:rsidRDefault="0007723C" w:rsidP="006B57EF">
            <w:pPr>
              <w:rPr>
                <w:rFonts w:ascii="Arial" w:hAnsi="Arial" w:cs="Arial"/>
                <w:b/>
                <w:sz w:val="22"/>
                <w:szCs w:val="22"/>
                <w:highlight w:val="yellow"/>
              </w:rPr>
            </w:pPr>
          </w:p>
        </w:tc>
        <w:tc>
          <w:tcPr>
            <w:tcW w:w="2340" w:type="dxa"/>
            <w:gridSpan w:val="2"/>
          </w:tcPr>
          <w:p w14:paraId="33C6235F" w14:textId="77777777" w:rsidR="0007723C" w:rsidRPr="00054173" w:rsidRDefault="0007723C" w:rsidP="006B57EF">
            <w:pPr>
              <w:rPr>
                <w:rFonts w:ascii="Arial" w:hAnsi="Arial" w:cs="Arial"/>
                <w:sz w:val="22"/>
                <w:szCs w:val="22"/>
                <w:highlight w:val="yellow"/>
              </w:rPr>
            </w:pPr>
          </w:p>
        </w:tc>
      </w:tr>
      <w:tr w:rsidR="0007723C" w:rsidRPr="008A3C1C" w14:paraId="598F2C47" w14:textId="77777777" w:rsidTr="003364B2">
        <w:trPr>
          <w:cantSplit/>
        </w:trPr>
        <w:tc>
          <w:tcPr>
            <w:tcW w:w="3686" w:type="dxa"/>
          </w:tcPr>
          <w:p w14:paraId="01D7C751" w14:textId="2A6A4F36" w:rsidR="0007723C" w:rsidRPr="008A3C1C" w:rsidRDefault="0007723C" w:rsidP="006B57EF">
            <w:pPr>
              <w:rPr>
                <w:rFonts w:ascii="Arial" w:hAnsi="Arial" w:cs="Arial"/>
                <w:b/>
                <w:sz w:val="22"/>
                <w:szCs w:val="22"/>
              </w:rPr>
            </w:pPr>
            <w:proofErr w:type="spellStart"/>
            <w:r w:rsidRPr="008A3C1C">
              <w:rPr>
                <w:rFonts w:ascii="Arial" w:hAnsi="Arial" w:cs="Arial"/>
                <w:b/>
                <w:sz w:val="22"/>
                <w:szCs w:val="22"/>
              </w:rPr>
              <w:t>E.pašto</w:t>
            </w:r>
            <w:proofErr w:type="spellEnd"/>
            <w:r w:rsidRPr="008A3C1C">
              <w:rPr>
                <w:rFonts w:ascii="Arial" w:hAnsi="Arial" w:cs="Arial"/>
                <w:b/>
                <w:sz w:val="22"/>
                <w:szCs w:val="22"/>
              </w:rPr>
              <w:t xml:space="preserve"> adresas:</w:t>
            </w:r>
            <w:r w:rsidR="001766A8">
              <w:rPr>
                <w:rFonts w:ascii="Arial" w:hAnsi="Arial" w:cs="Arial"/>
                <w:b/>
                <w:sz w:val="22"/>
                <w:szCs w:val="22"/>
              </w:rPr>
              <w:t xml:space="preserve">                                 </w:t>
            </w:r>
          </w:p>
        </w:tc>
        <w:tc>
          <w:tcPr>
            <w:tcW w:w="6120" w:type="dxa"/>
            <w:gridSpan w:val="5"/>
          </w:tcPr>
          <w:p w14:paraId="4E060F8B" w14:textId="556D1C1C" w:rsidR="0007723C" w:rsidRPr="008A3C1C" w:rsidRDefault="00146D1D" w:rsidP="006B57EF">
            <w:pPr>
              <w:rPr>
                <w:rFonts w:ascii="Arial" w:hAnsi="Arial" w:cs="Arial"/>
                <w:sz w:val="22"/>
                <w:szCs w:val="22"/>
              </w:rPr>
            </w:pPr>
            <w:hyperlink r:id="rId8" w:history="1">
              <w:r w:rsidR="001766A8" w:rsidRPr="004D6392">
                <w:rPr>
                  <w:rStyle w:val="Hyperlink"/>
                  <w:rFonts w:ascii="Arial" w:hAnsi="Arial" w:cs="Arial"/>
                  <w:sz w:val="22"/>
                  <w:szCs w:val="22"/>
                </w:rPr>
                <w:t>info@chc.lt</w:t>
              </w:r>
            </w:hyperlink>
            <w:r w:rsidR="001766A8">
              <w:rPr>
                <w:rFonts w:ascii="Arial" w:hAnsi="Arial" w:cs="Arial"/>
                <w:sz w:val="22"/>
                <w:szCs w:val="22"/>
              </w:rPr>
              <w:t xml:space="preserve"> </w:t>
            </w:r>
          </w:p>
        </w:tc>
      </w:tr>
    </w:tbl>
    <w:p w14:paraId="64A27609" w14:textId="77777777" w:rsidR="0007723C" w:rsidRPr="008A3C1C" w:rsidRDefault="0007723C">
      <w:pPr>
        <w:pStyle w:val="BodyText2"/>
        <w:ind w:firstLine="720"/>
        <w:rPr>
          <w:rFonts w:ascii="Arial" w:hAnsi="Arial" w:cs="Arial"/>
          <w:szCs w:val="22"/>
        </w:rPr>
      </w:pPr>
    </w:p>
    <w:p w14:paraId="479713BB" w14:textId="77777777" w:rsidR="0007723C" w:rsidRPr="008A3C1C" w:rsidRDefault="0007723C">
      <w:pPr>
        <w:pStyle w:val="BodyText2"/>
        <w:ind w:firstLine="720"/>
        <w:rPr>
          <w:rFonts w:ascii="Arial" w:hAnsi="Arial" w:cs="Arial"/>
          <w:szCs w:val="22"/>
        </w:rPr>
      </w:pPr>
    </w:p>
    <w:p w14:paraId="09DCCC52" w14:textId="77777777" w:rsidR="00070F1B" w:rsidRPr="008A3C1C" w:rsidRDefault="00070F1B" w:rsidP="00BE0B42">
      <w:pPr>
        <w:jc w:val="both"/>
        <w:rPr>
          <w:rFonts w:ascii="Arial" w:hAnsi="Arial" w:cs="Arial"/>
          <w:b/>
          <w:bCs/>
          <w:sz w:val="22"/>
          <w:szCs w:val="22"/>
          <w:lang w:val="lt-LT"/>
        </w:rPr>
      </w:pPr>
      <w:r w:rsidRPr="008A3C1C">
        <w:rPr>
          <w:rFonts w:ascii="Arial" w:hAnsi="Arial" w:cs="Arial"/>
          <w:b/>
          <w:bCs/>
          <w:sz w:val="22"/>
          <w:szCs w:val="22"/>
          <w:lang w:val="lt-LT"/>
        </w:rPr>
        <w:t xml:space="preserve">1. Sutarties dalykas </w:t>
      </w:r>
    </w:p>
    <w:p w14:paraId="76972207" w14:textId="4A4B1D61" w:rsidR="00070F1B" w:rsidRDefault="00070F1B" w:rsidP="00BE0B42">
      <w:pPr>
        <w:jc w:val="both"/>
        <w:rPr>
          <w:rFonts w:ascii="Arial" w:hAnsi="Arial" w:cs="Arial"/>
          <w:sz w:val="22"/>
          <w:szCs w:val="22"/>
          <w:lang w:val="lt-LT"/>
        </w:rPr>
      </w:pPr>
      <w:r w:rsidRPr="008A3C1C">
        <w:rPr>
          <w:rFonts w:ascii="Arial" w:hAnsi="Arial" w:cs="Arial"/>
          <w:sz w:val="22"/>
          <w:szCs w:val="22"/>
          <w:lang w:val="lt-LT"/>
        </w:rPr>
        <w:t xml:space="preserve">1.1. Sutartis reglamentuoja </w:t>
      </w:r>
      <w:r w:rsidR="00475897" w:rsidRPr="008A3C1C">
        <w:rPr>
          <w:rFonts w:ascii="Arial" w:hAnsi="Arial" w:cs="Arial"/>
          <w:sz w:val="22"/>
          <w:szCs w:val="22"/>
          <w:lang w:val="lt-LT"/>
        </w:rPr>
        <w:t>G</w:t>
      </w:r>
      <w:r w:rsidRPr="008A3C1C">
        <w:rPr>
          <w:rFonts w:ascii="Arial" w:hAnsi="Arial" w:cs="Arial"/>
          <w:sz w:val="22"/>
          <w:szCs w:val="22"/>
          <w:lang w:val="lt-LT"/>
        </w:rPr>
        <w:t>avėjo ir Banko santykius, atsirandančius Bankui priimant įmokas</w:t>
      </w:r>
      <w:r w:rsidR="00686FBE" w:rsidRPr="008A3C1C">
        <w:rPr>
          <w:rFonts w:ascii="Arial" w:hAnsi="Arial" w:cs="Arial"/>
          <w:sz w:val="22"/>
          <w:szCs w:val="22"/>
          <w:lang w:val="lt-LT"/>
        </w:rPr>
        <w:t xml:space="preserve"> (Gavėjui sumokėtas </w:t>
      </w:r>
      <w:r w:rsidR="009A6819" w:rsidRPr="008A3C1C">
        <w:rPr>
          <w:rFonts w:ascii="Arial" w:hAnsi="Arial" w:cs="Arial"/>
          <w:sz w:val="22"/>
          <w:szCs w:val="22"/>
          <w:lang w:val="lt-LT"/>
        </w:rPr>
        <w:t>įmokų m</w:t>
      </w:r>
      <w:r w:rsidR="00686FBE" w:rsidRPr="008A3C1C">
        <w:rPr>
          <w:rFonts w:ascii="Arial" w:hAnsi="Arial" w:cs="Arial"/>
          <w:sz w:val="22"/>
          <w:szCs w:val="22"/>
          <w:lang w:val="lt-LT"/>
        </w:rPr>
        <w:t>okėtojų lėšas)</w:t>
      </w:r>
      <w:r w:rsidRPr="008A3C1C">
        <w:rPr>
          <w:rFonts w:ascii="Arial" w:hAnsi="Arial" w:cs="Arial"/>
          <w:sz w:val="22"/>
          <w:szCs w:val="22"/>
          <w:lang w:val="lt-LT"/>
        </w:rPr>
        <w:t xml:space="preserve"> iš įmokų mokėtojų (toliau – Mokėtojai) ir </w:t>
      </w:r>
      <w:r w:rsidR="00645D28" w:rsidRPr="008A3C1C">
        <w:rPr>
          <w:rFonts w:ascii="Arial" w:hAnsi="Arial" w:cs="Arial"/>
          <w:sz w:val="22"/>
          <w:szCs w:val="22"/>
          <w:lang w:val="lt-LT"/>
        </w:rPr>
        <w:t xml:space="preserve">pervedant </w:t>
      </w:r>
      <w:r w:rsidR="009A6819" w:rsidRPr="008A3C1C">
        <w:rPr>
          <w:rFonts w:ascii="Arial" w:hAnsi="Arial" w:cs="Arial"/>
          <w:sz w:val="22"/>
          <w:szCs w:val="22"/>
          <w:lang w:val="lt-LT"/>
        </w:rPr>
        <w:t xml:space="preserve">jas </w:t>
      </w:r>
      <w:r w:rsidRPr="008A3C1C">
        <w:rPr>
          <w:rFonts w:ascii="Arial" w:hAnsi="Arial" w:cs="Arial"/>
          <w:sz w:val="22"/>
          <w:szCs w:val="22"/>
          <w:lang w:val="lt-LT"/>
        </w:rPr>
        <w:t>į Gavėjo banko sąskaitą</w:t>
      </w:r>
      <w:r w:rsidR="0091215B" w:rsidRPr="008A3C1C">
        <w:rPr>
          <w:rFonts w:ascii="Arial" w:hAnsi="Arial" w:cs="Arial"/>
          <w:sz w:val="22"/>
          <w:szCs w:val="22"/>
          <w:lang w:val="lt-LT"/>
        </w:rPr>
        <w:t>,</w:t>
      </w:r>
      <w:r w:rsidRPr="008A3C1C">
        <w:rPr>
          <w:rFonts w:ascii="Arial" w:hAnsi="Arial" w:cs="Arial"/>
          <w:sz w:val="22"/>
          <w:szCs w:val="22"/>
          <w:lang w:val="lt-LT"/>
        </w:rPr>
        <w:t xml:space="preserve"> </w:t>
      </w:r>
      <w:r w:rsidR="00A65BC7" w:rsidRPr="008A3C1C">
        <w:rPr>
          <w:rFonts w:ascii="Arial" w:hAnsi="Arial" w:cs="Arial"/>
          <w:sz w:val="22"/>
          <w:szCs w:val="22"/>
          <w:lang w:val="lt-LT"/>
        </w:rPr>
        <w:t xml:space="preserve">nurodytą Sutarties </w:t>
      </w:r>
      <w:r w:rsidR="00950424" w:rsidRPr="008A3C1C">
        <w:rPr>
          <w:rFonts w:ascii="Arial" w:hAnsi="Arial" w:cs="Arial"/>
          <w:sz w:val="22"/>
          <w:szCs w:val="22"/>
          <w:lang w:val="lt-LT"/>
        </w:rPr>
        <w:t>P</w:t>
      </w:r>
      <w:r w:rsidR="00A65BC7" w:rsidRPr="008A3C1C">
        <w:rPr>
          <w:rFonts w:ascii="Arial" w:hAnsi="Arial" w:cs="Arial"/>
          <w:sz w:val="22"/>
          <w:szCs w:val="22"/>
          <w:lang w:val="lt-LT"/>
        </w:rPr>
        <w:t>riede Nr. 1</w:t>
      </w:r>
      <w:r w:rsidRPr="008A3C1C">
        <w:rPr>
          <w:rFonts w:ascii="Arial" w:hAnsi="Arial" w:cs="Arial"/>
          <w:sz w:val="22"/>
          <w:szCs w:val="22"/>
          <w:lang w:val="lt-LT"/>
        </w:rPr>
        <w:t xml:space="preserve"> (toliau – Sąskaita).</w:t>
      </w:r>
    </w:p>
    <w:p w14:paraId="1F01683F" w14:textId="77777777" w:rsidR="00070F1B" w:rsidRPr="008A3C1C" w:rsidRDefault="00070F1B" w:rsidP="00BE0B42">
      <w:pPr>
        <w:jc w:val="both"/>
        <w:rPr>
          <w:rFonts w:ascii="Arial" w:hAnsi="Arial" w:cs="Arial"/>
          <w:sz w:val="22"/>
          <w:szCs w:val="22"/>
          <w:lang w:val="lt-LT"/>
        </w:rPr>
      </w:pPr>
    </w:p>
    <w:p w14:paraId="1408FC8D" w14:textId="77777777" w:rsidR="00070F1B" w:rsidRPr="008A3C1C" w:rsidRDefault="00070F1B" w:rsidP="00BE0B42">
      <w:pPr>
        <w:jc w:val="both"/>
        <w:rPr>
          <w:rFonts w:ascii="Arial" w:hAnsi="Arial" w:cs="Arial"/>
          <w:b/>
          <w:bCs/>
          <w:sz w:val="22"/>
          <w:szCs w:val="22"/>
          <w:lang w:val="lt-LT"/>
        </w:rPr>
      </w:pPr>
      <w:r w:rsidRPr="008A3C1C">
        <w:rPr>
          <w:rFonts w:ascii="Arial" w:hAnsi="Arial" w:cs="Arial"/>
          <w:b/>
          <w:bCs/>
          <w:sz w:val="22"/>
          <w:szCs w:val="22"/>
          <w:lang w:val="lt-LT"/>
        </w:rPr>
        <w:t>2. Įmokų priėmimas</w:t>
      </w:r>
    </w:p>
    <w:p w14:paraId="37CD6186" w14:textId="77777777" w:rsidR="00070F1B" w:rsidRPr="008A3C1C" w:rsidRDefault="00070F1B" w:rsidP="00BE0B42">
      <w:pPr>
        <w:jc w:val="both"/>
        <w:rPr>
          <w:rFonts w:ascii="Arial" w:hAnsi="Arial" w:cs="Arial"/>
          <w:sz w:val="22"/>
          <w:szCs w:val="22"/>
          <w:lang w:val="lt-LT"/>
        </w:rPr>
      </w:pPr>
      <w:r w:rsidRPr="008A3C1C">
        <w:rPr>
          <w:rFonts w:ascii="Arial" w:hAnsi="Arial" w:cs="Arial"/>
          <w:sz w:val="22"/>
          <w:szCs w:val="22"/>
          <w:lang w:val="lt-LT"/>
        </w:rPr>
        <w:t>2.1. Bankas įmokas pagal Mokėtojo pateiktus Sutarties 2.3 punkte nurodytus mokėjimo dokumentus iš Mokėtojo priima nurašant lėšas iš Mokėtojo banko sąskaitos, esančios Banke</w:t>
      </w:r>
      <w:r w:rsidR="00D94D73" w:rsidRPr="008A3C1C">
        <w:rPr>
          <w:rFonts w:ascii="Arial" w:hAnsi="Arial" w:cs="Arial"/>
          <w:sz w:val="22"/>
          <w:szCs w:val="22"/>
          <w:lang w:val="lt-LT"/>
        </w:rPr>
        <w:t>, ir pervedant jas į Sąskaitą</w:t>
      </w:r>
      <w:r w:rsidRPr="008A3C1C">
        <w:rPr>
          <w:rFonts w:ascii="Arial" w:hAnsi="Arial" w:cs="Arial"/>
          <w:sz w:val="22"/>
          <w:szCs w:val="22"/>
          <w:lang w:val="lt-LT"/>
        </w:rPr>
        <w:t>.</w:t>
      </w:r>
    </w:p>
    <w:p w14:paraId="5D232346" w14:textId="77777777" w:rsidR="00070F1B" w:rsidRPr="008A3C1C" w:rsidRDefault="00070F1B" w:rsidP="00BE0B42">
      <w:pPr>
        <w:pStyle w:val="BodyTextIndent2"/>
        <w:ind w:firstLine="0"/>
        <w:rPr>
          <w:rFonts w:ascii="Arial" w:hAnsi="Arial" w:cs="Arial"/>
          <w:szCs w:val="22"/>
        </w:rPr>
      </w:pPr>
      <w:r w:rsidRPr="008A3C1C">
        <w:rPr>
          <w:rFonts w:ascii="Arial" w:hAnsi="Arial" w:cs="Arial"/>
          <w:szCs w:val="22"/>
        </w:rPr>
        <w:t xml:space="preserve">2.2. Bankas, </w:t>
      </w:r>
      <w:r w:rsidR="00A65BC7" w:rsidRPr="008A3C1C">
        <w:rPr>
          <w:rFonts w:ascii="Arial" w:hAnsi="Arial" w:cs="Arial"/>
          <w:szCs w:val="22"/>
        </w:rPr>
        <w:t>G</w:t>
      </w:r>
      <w:r w:rsidRPr="008A3C1C">
        <w:rPr>
          <w:rFonts w:ascii="Arial" w:hAnsi="Arial" w:cs="Arial"/>
          <w:szCs w:val="22"/>
        </w:rPr>
        <w:t>avėjo pageidavimu, atskiroms įmokų rūšims suteikia atskirus įmokų kodus, nurodytus Sutarties priede Nr. 1.</w:t>
      </w:r>
    </w:p>
    <w:p w14:paraId="280D2D37" w14:textId="77777777" w:rsidR="00070F1B" w:rsidRPr="008A3C1C" w:rsidRDefault="00070F1B" w:rsidP="00BE0B42">
      <w:pPr>
        <w:jc w:val="both"/>
        <w:rPr>
          <w:rFonts w:ascii="Arial" w:hAnsi="Arial" w:cs="Arial"/>
          <w:sz w:val="22"/>
          <w:szCs w:val="22"/>
          <w:lang w:val="lt-LT"/>
        </w:rPr>
      </w:pPr>
      <w:r w:rsidRPr="008A3C1C">
        <w:rPr>
          <w:rFonts w:ascii="Arial" w:hAnsi="Arial" w:cs="Arial"/>
          <w:snapToGrid w:val="0"/>
          <w:sz w:val="22"/>
          <w:szCs w:val="22"/>
          <w:lang w:val="lt-LT"/>
        </w:rPr>
        <w:t xml:space="preserve">2.3. Bankas įmokas iš Mokėtojų priima </w:t>
      </w:r>
      <w:r w:rsidR="00686FBE" w:rsidRPr="008A3C1C">
        <w:rPr>
          <w:rFonts w:ascii="Arial" w:hAnsi="Arial" w:cs="Arial"/>
          <w:snapToGrid w:val="0"/>
          <w:sz w:val="22"/>
          <w:szCs w:val="22"/>
          <w:lang w:val="lt-LT"/>
        </w:rPr>
        <w:t xml:space="preserve">pagal </w:t>
      </w:r>
      <w:r w:rsidRPr="008A3C1C">
        <w:rPr>
          <w:rFonts w:ascii="Arial" w:hAnsi="Arial" w:cs="Arial"/>
          <w:snapToGrid w:val="0"/>
          <w:sz w:val="22"/>
          <w:szCs w:val="22"/>
          <w:lang w:val="lt-LT"/>
        </w:rPr>
        <w:t>mokėjimo dokumentą</w:t>
      </w:r>
      <w:r w:rsidR="00686FBE" w:rsidRPr="008A3C1C">
        <w:rPr>
          <w:rFonts w:ascii="Arial" w:hAnsi="Arial" w:cs="Arial"/>
          <w:snapToGrid w:val="0"/>
          <w:sz w:val="22"/>
          <w:szCs w:val="22"/>
          <w:lang w:val="lt-LT"/>
        </w:rPr>
        <w:t xml:space="preserve"> (mokėjimo nurodymą)</w:t>
      </w:r>
      <w:r w:rsidRPr="008A3C1C">
        <w:rPr>
          <w:rFonts w:ascii="Arial" w:hAnsi="Arial" w:cs="Arial"/>
          <w:snapToGrid w:val="0"/>
          <w:sz w:val="22"/>
          <w:szCs w:val="22"/>
          <w:lang w:val="lt-LT"/>
        </w:rPr>
        <w:t xml:space="preserve">, kurio rekvizitai ir/ar forma nurodyta Sutarties </w:t>
      </w:r>
      <w:r w:rsidR="00950424" w:rsidRPr="008A3C1C">
        <w:rPr>
          <w:rFonts w:ascii="Arial" w:hAnsi="Arial" w:cs="Arial"/>
          <w:snapToGrid w:val="0"/>
          <w:sz w:val="22"/>
          <w:szCs w:val="22"/>
          <w:lang w:val="lt-LT"/>
        </w:rPr>
        <w:t>P</w:t>
      </w:r>
      <w:r w:rsidRPr="008A3C1C">
        <w:rPr>
          <w:rFonts w:ascii="Arial" w:hAnsi="Arial" w:cs="Arial"/>
          <w:snapToGrid w:val="0"/>
          <w:sz w:val="22"/>
          <w:szCs w:val="22"/>
          <w:lang w:val="lt-LT"/>
        </w:rPr>
        <w:t xml:space="preserve">riede Nr. </w:t>
      </w:r>
      <w:r w:rsidR="00FA625E" w:rsidRPr="008A3C1C">
        <w:rPr>
          <w:rFonts w:ascii="Arial" w:hAnsi="Arial" w:cs="Arial"/>
          <w:snapToGrid w:val="0"/>
          <w:sz w:val="22"/>
          <w:szCs w:val="22"/>
          <w:lang w:val="lt-LT"/>
        </w:rPr>
        <w:t>2</w:t>
      </w:r>
      <w:r w:rsidRPr="008A3C1C">
        <w:rPr>
          <w:rFonts w:ascii="Arial" w:hAnsi="Arial" w:cs="Arial"/>
          <w:snapToGrid w:val="0"/>
          <w:sz w:val="22"/>
          <w:szCs w:val="22"/>
          <w:lang w:val="lt-LT"/>
        </w:rPr>
        <w:t xml:space="preserve">. Bankas, priimdamas įmokas, įsipareigoja užtikrinti, kad Mokėtojai, užpildydami mokėjimo dokumentą, pateiktų Bankui visus Sutarties </w:t>
      </w:r>
      <w:r w:rsidR="00950424" w:rsidRPr="008A3C1C">
        <w:rPr>
          <w:rFonts w:ascii="Arial" w:hAnsi="Arial" w:cs="Arial"/>
          <w:snapToGrid w:val="0"/>
          <w:sz w:val="22"/>
          <w:szCs w:val="22"/>
          <w:lang w:val="lt-LT"/>
        </w:rPr>
        <w:t>P</w:t>
      </w:r>
      <w:r w:rsidRPr="008A3C1C">
        <w:rPr>
          <w:rFonts w:ascii="Arial" w:hAnsi="Arial" w:cs="Arial"/>
          <w:snapToGrid w:val="0"/>
          <w:sz w:val="22"/>
          <w:szCs w:val="22"/>
          <w:lang w:val="lt-LT"/>
        </w:rPr>
        <w:t xml:space="preserve">riede Nr. </w:t>
      </w:r>
      <w:r w:rsidR="009D116D" w:rsidRPr="008A3C1C">
        <w:rPr>
          <w:rFonts w:ascii="Arial" w:hAnsi="Arial" w:cs="Arial"/>
          <w:snapToGrid w:val="0"/>
          <w:sz w:val="22"/>
          <w:szCs w:val="22"/>
          <w:lang w:val="lt-LT"/>
        </w:rPr>
        <w:t>2</w:t>
      </w:r>
      <w:r w:rsidRPr="008A3C1C">
        <w:rPr>
          <w:rFonts w:ascii="Arial" w:hAnsi="Arial" w:cs="Arial"/>
          <w:snapToGrid w:val="0"/>
          <w:sz w:val="22"/>
          <w:szCs w:val="22"/>
          <w:lang w:val="lt-LT"/>
        </w:rPr>
        <w:t xml:space="preserve"> nurodytus </w:t>
      </w:r>
      <w:r w:rsidR="00D94D73" w:rsidRPr="008A3C1C">
        <w:rPr>
          <w:rFonts w:ascii="Arial" w:hAnsi="Arial" w:cs="Arial"/>
          <w:snapToGrid w:val="0"/>
          <w:sz w:val="22"/>
          <w:szCs w:val="22"/>
          <w:lang w:val="lt-LT"/>
        </w:rPr>
        <w:t xml:space="preserve">privalomus </w:t>
      </w:r>
      <w:r w:rsidRPr="008A3C1C">
        <w:rPr>
          <w:rFonts w:ascii="Arial" w:hAnsi="Arial" w:cs="Arial"/>
          <w:snapToGrid w:val="0"/>
          <w:sz w:val="22"/>
          <w:szCs w:val="22"/>
          <w:lang w:val="lt-LT"/>
        </w:rPr>
        <w:t xml:space="preserve">mokėjimo dokumento rekvizitus. </w:t>
      </w:r>
    </w:p>
    <w:p w14:paraId="1C8C6954" w14:textId="77777777" w:rsidR="00BE0B42" w:rsidRDefault="00BE0B42" w:rsidP="00BE0B42">
      <w:pPr>
        <w:jc w:val="both"/>
        <w:rPr>
          <w:rFonts w:ascii="Arial" w:hAnsi="Arial" w:cs="Arial"/>
          <w:b/>
          <w:bCs/>
          <w:sz w:val="22"/>
          <w:szCs w:val="22"/>
          <w:lang w:val="lt-LT"/>
        </w:rPr>
      </w:pPr>
    </w:p>
    <w:p w14:paraId="51B186E5" w14:textId="77777777" w:rsidR="00070F1B" w:rsidRPr="008A3C1C" w:rsidRDefault="0091215B" w:rsidP="00BE0B42">
      <w:pPr>
        <w:jc w:val="both"/>
        <w:rPr>
          <w:rFonts w:ascii="Arial" w:hAnsi="Arial" w:cs="Arial"/>
          <w:b/>
          <w:bCs/>
          <w:sz w:val="22"/>
          <w:szCs w:val="22"/>
          <w:lang w:val="lt-LT"/>
        </w:rPr>
      </w:pPr>
      <w:r w:rsidRPr="008A3C1C">
        <w:rPr>
          <w:rFonts w:ascii="Arial" w:hAnsi="Arial" w:cs="Arial"/>
          <w:b/>
          <w:bCs/>
          <w:sz w:val="22"/>
          <w:szCs w:val="22"/>
          <w:lang w:val="lt-LT"/>
        </w:rPr>
        <w:t>3</w:t>
      </w:r>
      <w:r w:rsidR="00070F1B" w:rsidRPr="008A3C1C">
        <w:rPr>
          <w:rFonts w:ascii="Arial" w:hAnsi="Arial" w:cs="Arial"/>
          <w:b/>
          <w:bCs/>
          <w:sz w:val="22"/>
          <w:szCs w:val="22"/>
          <w:lang w:val="lt-LT"/>
        </w:rPr>
        <w:t>. Mokesčiai</w:t>
      </w:r>
    </w:p>
    <w:p w14:paraId="2290CEB1" w14:textId="30BC0DB8" w:rsidR="005B621F" w:rsidRPr="008A3C1C" w:rsidRDefault="0091215B" w:rsidP="00BE0B42">
      <w:pPr>
        <w:jc w:val="both"/>
        <w:rPr>
          <w:rFonts w:ascii="Arial" w:hAnsi="Arial" w:cs="Arial"/>
          <w:sz w:val="22"/>
          <w:szCs w:val="22"/>
          <w:lang w:val="lt-LT"/>
        </w:rPr>
      </w:pPr>
      <w:r w:rsidRPr="008A3C1C">
        <w:rPr>
          <w:rFonts w:ascii="Arial" w:hAnsi="Arial" w:cs="Arial"/>
          <w:sz w:val="22"/>
          <w:szCs w:val="22"/>
          <w:lang w:val="lt-LT"/>
        </w:rPr>
        <w:t>3</w:t>
      </w:r>
      <w:r w:rsidR="00070F1B" w:rsidRPr="008A3C1C">
        <w:rPr>
          <w:rFonts w:ascii="Arial" w:hAnsi="Arial" w:cs="Arial"/>
          <w:sz w:val="22"/>
          <w:szCs w:val="22"/>
          <w:lang w:val="lt-LT"/>
        </w:rPr>
        <w:t xml:space="preserve">.1. </w:t>
      </w:r>
      <w:r w:rsidR="005B621F" w:rsidRPr="008A3C1C">
        <w:rPr>
          <w:rFonts w:ascii="Arial" w:hAnsi="Arial" w:cs="Arial"/>
          <w:sz w:val="22"/>
          <w:szCs w:val="22"/>
          <w:lang w:val="lt-LT"/>
        </w:rPr>
        <w:t>Už Sutarties pasirašymą, Sutarties mėnesinį palaikymą, Sutarties sąlygų keitimą bei įmokų surinkimą ir administravimą, Gavėjas moka Bankui paslaugos suteikimo metu galiojančiuose Banko paslaugų ir operacijų įkainiuose numatyto dydžio mokesčius, išskyrus kai kitaip nurodyta Sutarties Priede Nr. 3 „Mokesčiai“</w:t>
      </w:r>
      <w:r w:rsidR="00390BF5">
        <w:rPr>
          <w:rFonts w:ascii="Arial" w:hAnsi="Arial" w:cs="Arial"/>
          <w:sz w:val="22"/>
          <w:szCs w:val="22"/>
          <w:lang w:val="lt-LT"/>
        </w:rPr>
        <w:t>.</w:t>
      </w:r>
    </w:p>
    <w:p w14:paraId="28562B6D" w14:textId="1AB1402F" w:rsidR="00D94D73" w:rsidRPr="008A3C1C" w:rsidRDefault="00AD7BA5" w:rsidP="00BE0B42">
      <w:pPr>
        <w:jc w:val="both"/>
        <w:rPr>
          <w:rFonts w:ascii="Arial" w:hAnsi="Arial" w:cs="Arial"/>
          <w:sz w:val="22"/>
          <w:szCs w:val="22"/>
          <w:lang w:val="lt-LT"/>
        </w:rPr>
      </w:pPr>
      <w:r w:rsidRPr="008A3C1C">
        <w:rPr>
          <w:rFonts w:ascii="Arial" w:hAnsi="Arial" w:cs="Arial"/>
          <w:sz w:val="22"/>
          <w:szCs w:val="22"/>
          <w:lang w:val="lt-LT"/>
        </w:rPr>
        <w:t>3</w:t>
      </w:r>
      <w:r w:rsidR="00D94D73" w:rsidRPr="008A3C1C">
        <w:rPr>
          <w:rFonts w:ascii="Arial" w:hAnsi="Arial" w:cs="Arial"/>
          <w:sz w:val="22"/>
          <w:szCs w:val="22"/>
          <w:lang w:val="lt-LT"/>
        </w:rPr>
        <w:t xml:space="preserve">.2. Bankas turi teisę vienašališkai keisti Banko paslaugų ir operacijų įkainius Banko </w:t>
      </w:r>
      <w:r w:rsidR="0091215B" w:rsidRPr="008A3C1C">
        <w:rPr>
          <w:rFonts w:ascii="Arial" w:hAnsi="Arial" w:cs="Arial"/>
          <w:sz w:val="22"/>
          <w:szCs w:val="22"/>
          <w:lang w:val="lt-LT"/>
        </w:rPr>
        <w:t xml:space="preserve">mokėjimo </w:t>
      </w:r>
      <w:r w:rsidR="00D94D73" w:rsidRPr="008A3C1C">
        <w:rPr>
          <w:rFonts w:ascii="Arial" w:hAnsi="Arial" w:cs="Arial"/>
          <w:sz w:val="22"/>
          <w:szCs w:val="22"/>
          <w:lang w:val="lt-LT"/>
        </w:rPr>
        <w:t xml:space="preserve">paslaugų teikimo sąlygose nustatyta tvarka, išskyrus kai kitaip nurodyta Sutarties Priede Nr. </w:t>
      </w:r>
      <w:r w:rsidR="00CB364C" w:rsidRPr="008A3C1C">
        <w:rPr>
          <w:rFonts w:ascii="Arial" w:hAnsi="Arial" w:cs="Arial"/>
          <w:sz w:val="22"/>
          <w:szCs w:val="22"/>
          <w:lang w:val="lt-LT"/>
        </w:rPr>
        <w:t xml:space="preserve">3 </w:t>
      </w:r>
      <w:r w:rsidR="00D94D73" w:rsidRPr="008A3C1C">
        <w:rPr>
          <w:rFonts w:ascii="Arial" w:hAnsi="Arial" w:cs="Arial"/>
          <w:sz w:val="22"/>
          <w:szCs w:val="22"/>
          <w:lang w:val="lt-LT"/>
        </w:rPr>
        <w:t>„Mokesčiai“</w:t>
      </w:r>
      <w:r w:rsidR="00E9015C">
        <w:rPr>
          <w:rFonts w:ascii="Arial" w:hAnsi="Arial" w:cs="Arial"/>
          <w:sz w:val="22"/>
          <w:szCs w:val="22"/>
          <w:lang w:val="lt-LT"/>
        </w:rPr>
        <w:t>.</w:t>
      </w:r>
    </w:p>
    <w:p w14:paraId="6A9E6755" w14:textId="159458D4" w:rsidR="00D8025B" w:rsidRPr="00F660F9" w:rsidRDefault="00F660F9" w:rsidP="001401F2">
      <w:pPr>
        <w:jc w:val="both"/>
        <w:rPr>
          <w:rFonts w:ascii="Arial" w:hAnsi="Arial" w:cs="Arial"/>
          <w:sz w:val="22"/>
          <w:szCs w:val="22"/>
          <w:lang w:val="lt-LT"/>
        </w:rPr>
      </w:pPr>
      <w:r w:rsidRPr="00D8025B">
        <w:rPr>
          <w:rFonts w:ascii="Arial" w:hAnsi="Arial" w:cs="Arial"/>
          <w:sz w:val="22"/>
          <w:szCs w:val="22"/>
          <w:lang w:val="lt-LT"/>
        </w:rPr>
        <w:t>3.3. Sutarties pasiraš</w:t>
      </w:r>
      <w:r w:rsidRPr="001401F2">
        <w:rPr>
          <w:rFonts w:ascii="Arial" w:hAnsi="Arial" w:cs="Arial"/>
          <w:sz w:val="22"/>
          <w:szCs w:val="22"/>
          <w:lang w:val="lt-LT"/>
        </w:rPr>
        <w:t xml:space="preserve">ymo mokestis mokamas Sutarties sudarymo dieną, Sutarties sąlygų keitimo mokestis mokamas susitarimo dėl Sutarties sąlygų keitimo sudarymo dieną, mėnesinis palaikymo mokestis mokamas kiekvieno mėnesio penktą dieną, o mokestis už įmokų surinkimą ir </w:t>
      </w:r>
      <w:r w:rsidRPr="001401F2">
        <w:rPr>
          <w:rFonts w:ascii="Arial" w:hAnsi="Arial" w:cs="Arial"/>
          <w:sz w:val="22"/>
          <w:szCs w:val="22"/>
          <w:lang w:val="lt-LT"/>
        </w:rPr>
        <w:lastRenderedPageBreak/>
        <w:t>administravimą mokamas kiekvieną dieną, už einamąją dieną priimtas įmokas, išskyrus, jei Sutarties Priede Nr. 3 „Mokesčiai“ yra nurodyta kitaip.</w:t>
      </w:r>
    </w:p>
    <w:p w14:paraId="27047CC7" w14:textId="226E2F8D" w:rsidR="00070F1B" w:rsidRDefault="0091215B" w:rsidP="00BE0B42">
      <w:pPr>
        <w:jc w:val="both"/>
        <w:rPr>
          <w:rFonts w:ascii="Arial" w:hAnsi="Arial" w:cs="Arial"/>
          <w:sz w:val="22"/>
          <w:szCs w:val="22"/>
          <w:lang w:val="lt-LT"/>
        </w:rPr>
      </w:pPr>
      <w:r w:rsidRPr="008A3C1C">
        <w:rPr>
          <w:rFonts w:ascii="Arial" w:hAnsi="Arial" w:cs="Arial"/>
          <w:sz w:val="22"/>
          <w:szCs w:val="22"/>
          <w:lang w:val="lt-LT"/>
        </w:rPr>
        <w:t>3</w:t>
      </w:r>
      <w:r w:rsidR="00070F1B" w:rsidRPr="008A3C1C">
        <w:rPr>
          <w:rFonts w:ascii="Arial" w:hAnsi="Arial" w:cs="Arial"/>
          <w:sz w:val="22"/>
          <w:szCs w:val="22"/>
          <w:lang w:val="lt-LT"/>
        </w:rPr>
        <w:t>.</w:t>
      </w:r>
      <w:r w:rsidR="00CB364C" w:rsidRPr="008A3C1C">
        <w:rPr>
          <w:rFonts w:ascii="Arial" w:hAnsi="Arial" w:cs="Arial"/>
          <w:sz w:val="22"/>
          <w:szCs w:val="22"/>
          <w:lang w:val="lt-LT"/>
        </w:rPr>
        <w:t>4</w:t>
      </w:r>
      <w:r w:rsidR="00070F1B" w:rsidRPr="008A3C1C">
        <w:rPr>
          <w:rFonts w:ascii="Arial" w:hAnsi="Arial" w:cs="Arial"/>
          <w:sz w:val="22"/>
          <w:szCs w:val="22"/>
          <w:lang w:val="lt-LT"/>
        </w:rPr>
        <w:t xml:space="preserve">. </w:t>
      </w:r>
      <w:r w:rsidR="00D94D73" w:rsidRPr="008A3C1C">
        <w:rPr>
          <w:rFonts w:ascii="Arial" w:hAnsi="Arial" w:cs="Arial"/>
          <w:sz w:val="22"/>
          <w:szCs w:val="22"/>
          <w:lang w:val="lt-LT"/>
        </w:rPr>
        <w:t>Visus Gavėjo pagal Sutartį mokėtinus mokesčius Bankas nu</w:t>
      </w:r>
      <w:r w:rsidR="003D3B8C" w:rsidRPr="008A3C1C">
        <w:rPr>
          <w:rFonts w:ascii="Arial" w:hAnsi="Arial" w:cs="Arial"/>
          <w:sz w:val="22"/>
          <w:szCs w:val="22"/>
          <w:lang w:val="lt-LT"/>
        </w:rPr>
        <w:t>si</w:t>
      </w:r>
      <w:r w:rsidR="00D94D73" w:rsidRPr="008A3C1C">
        <w:rPr>
          <w:rFonts w:ascii="Arial" w:hAnsi="Arial" w:cs="Arial"/>
          <w:sz w:val="22"/>
          <w:szCs w:val="22"/>
          <w:lang w:val="lt-LT"/>
        </w:rPr>
        <w:t xml:space="preserve">rašo </w:t>
      </w:r>
      <w:r w:rsidR="003D3B8C" w:rsidRPr="008A3C1C">
        <w:rPr>
          <w:rFonts w:ascii="Arial" w:hAnsi="Arial" w:cs="Arial"/>
          <w:sz w:val="22"/>
          <w:szCs w:val="22"/>
          <w:lang w:val="lt-LT"/>
        </w:rPr>
        <w:t>iš</w:t>
      </w:r>
      <w:r w:rsidR="00D94D73" w:rsidRPr="008A3C1C">
        <w:rPr>
          <w:rFonts w:ascii="Arial" w:hAnsi="Arial" w:cs="Arial"/>
          <w:sz w:val="22"/>
          <w:szCs w:val="22"/>
          <w:lang w:val="lt-LT"/>
        </w:rPr>
        <w:t xml:space="preserve"> Sutart</w:t>
      </w:r>
      <w:r w:rsidR="00BA32E6" w:rsidRPr="008A3C1C">
        <w:rPr>
          <w:rFonts w:ascii="Arial" w:hAnsi="Arial" w:cs="Arial"/>
          <w:sz w:val="22"/>
          <w:szCs w:val="22"/>
          <w:lang w:val="lt-LT"/>
        </w:rPr>
        <w:t xml:space="preserve">ies </w:t>
      </w:r>
      <w:r w:rsidR="00950424" w:rsidRPr="008A3C1C">
        <w:rPr>
          <w:rFonts w:ascii="Arial" w:hAnsi="Arial" w:cs="Arial"/>
          <w:sz w:val="22"/>
          <w:szCs w:val="22"/>
          <w:lang w:val="lt-LT"/>
        </w:rPr>
        <w:t>P</w:t>
      </w:r>
      <w:r w:rsidR="00BA32E6" w:rsidRPr="008A3C1C">
        <w:rPr>
          <w:rFonts w:ascii="Arial" w:hAnsi="Arial" w:cs="Arial"/>
          <w:sz w:val="22"/>
          <w:szCs w:val="22"/>
          <w:lang w:val="lt-LT"/>
        </w:rPr>
        <w:t xml:space="preserve">riede Nr. </w:t>
      </w:r>
      <w:r w:rsidR="003B435B" w:rsidRPr="008A3C1C">
        <w:rPr>
          <w:rFonts w:ascii="Arial" w:hAnsi="Arial" w:cs="Arial"/>
          <w:sz w:val="22"/>
          <w:szCs w:val="22"/>
          <w:lang w:val="lt-LT"/>
        </w:rPr>
        <w:t xml:space="preserve">1 </w:t>
      </w:r>
      <w:r w:rsidR="00D94D73" w:rsidRPr="008A3C1C">
        <w:rPr>
          <w:rFonts w:ascii="Arial" w:hAnsi="Arial" w:cs="Arial"/>
          <w:sz w:val="22"/>
          <w:szCs w:val="22"/>
          <w:lang w:val="lt-LT"/>
        </w:rPr>
        <w:t xml:space="preserve">nurodytos </w:t>
      </w:r>
      <w:r w:rsidR="00BA32E6" w:rsidRPr="008A3C1C">
        <w:rPr>
          <w:rFonts w:ascii="Arial" w:hAnsi="Arial" w:cs="Arial"/>
          <w:sz w:val="22"/>
          <w:szCs w:val="22"/>
          <w:lang w:val="lt-LT"/>
        </w:rPr>
        <w:t>atitinkamos mokesčių sąskaitos (toliau – Mokesčių sąskaita)</w:t>
      </w:r>
      <w:r w:rsidR="00D94D73" w:rsidRPr="008A3C1C">
        <w:rPr>
          <w:rFonts w:ascii="Arial" w:hAnsi="Arial" w:cs="Arial"/>
          <w:sz w:val="22"/>
          <w:szCs w:val="22"/>
          <w:lang w:val="lt-LT"/>
        </w:rPr>
        <w:t xml:space="preserve"> tarp Gavėjo ir Banko sudarytoje banko sąskaitos sutartyje nustatyta tvarka. Tuo atveju, jei </w:t>
      </w:r>
      <w:r w:rsidR="00BA32E6" w:rsidRPr="008A3C1C">
        <w:rPr>
          <w:rFonts w:ascii="Arial" w:hAnsi="Arial" w:cs="Arial"/>
          <w:sz w:val="22"/>
          <w:szCs w:val="22"/>
          <w:lang w:val="lt-LT"/>
        </w:rPr>
        <w:t>atitinkamoje Mokesčių s</w:t>
      </w:r>
      <w:r w:rsidR="00D94D73" w:rsidRPr="008A3C1C">
        <w:rPr>
          <w:rFonts w:ascii="Arial" w:hAnsi="Arial" w:cs="Arial"/>
          <w:sz w:val="22"/>
          <w:szCs w:val="22"/>
          <w:lang w:val="lt-LT"/>
        </w:rPr>
        <w:t xml:space="preserve">ąskaitoje nėra pakankamai lėšų mokesčiams sumokėti, Bankas turi teisę ne ginčo tvarka visas Gavėjo pagal Sutartį mokėtinas sumas nurašyti nuo Sąskaitos ar kitų </w:t>
      </w:r>
      <w:r w:rsidR="00581AAB" w:rsidRPr="008A3C1C">
        <w:rPr>
          <w:rFonts w:ascii="Arial" w:hAnsi="Arial" w:cs="Arial"/>
          <w:sz w:val="22"/>
          <w:szCs w:val="22"/>
          <w:lang w:val="lt-LT"/>
        </w:rPr>
        <w:t>Gavėjo</w:t>
      </w:r>
      <w:r w:rsidR="00D94D73" w:rsidRPr="008A3C1C">
        <w:rPr>
          <w:rFonts w:ascii="Arial" w:hAnsi="Arial" w:cs="Arial"/>
          <w:sz w:val="22"/>
          <w:szCs w:val="22"/>
          <w:lang w:val="lt-LT"/>
        </w:rPr>
        <w:t xml:space="preserve"> sąskaitų, esančių Banke.</w:t>
      </w:r>
    </w:p>
    <w:p w14:paraId="72339D4E" w14:textId="6302C5CB" w:rsidR="00581AAB" w:rsidRDefault="0091215B" w:rsidP="00BE0B42">
      <w:pPr>
        <w:jc w:val="both"/>
        <w:rPr>
          <w:rFonts w:ascii="Arial" w:hAnsi="Arial" w:cs="Arial"/>
          <w:sz w:val="22"/>
          <w:szCs w:val="22"/>
          <w:lang w:val="lt-LT"/>
        </w:rPr>
      </w:pPr>
      <w:r w:rsidRPr="00390BF5">
        <w:rPr>
          <w:rFonts w:ascii="Arial" w:hAnsi="Arial" w:cs="Arial"/>
          <w:sz w:val="22"/>
          <w:szCs w:val="22"/>
          <w:lang w:val="lt-LT"/>
        </w:rPr>
        <w:t>3</w:t>
      </w:r>
      <w:r w:rsidR="00581AAB" w:rsidRPr="00390BF5">
        <w:rPr>
          <w:rFonts w:ascii="Arial" w:hAnsi="Arial" w:cs="Arial"/>
          <w:sz w:val="22"/>
          <w:szCs w:val="22"/>
          <w:lang w:val="lt-LT"/>
        </w:rPr>
        <w:t>.</w:t>
      </w:r>
      <w:r w:rsidR="00D8025B">
        <w:rPr>
          <w:rFonts w:ascii="Arial" w:hAnsi="Arial" w:cs="Arial"/>
          <w:sz w:val="22"/>
          <w:szCs w:val="22"/>
          <w:lang w:val="lt-LT"/>
        </w:rPr>
        <w:t>5</w:t>
      </w:r>
      <w:r w:rsidR="00581AAB" w:rsidRPr="00390BF5">
        <w:rPr>
          <w:rFonts w:ascii="Arial" w:hAnsi="Arial" w:cs="Arial"/>
          <w:sz w:val="22"/>
          <w:szCs w:val="22"/>
          <w:lang w:val="lt-LT"/>
        </w:rPr>
        <w:t>. Gavėjui nevykdant Sutartyje numatytų mokėjimo įsipareigojimų, Bankas turi teisę neteikti</w:t>
      </w:r>
      <w:r w:rsidR="00581AAB" w:rsidRPr="008A3C1C">
        <w:rPr>
          <w:rFonts w:ascii="Arial" w:hAnsi="Arial" w:cs="Arial"/>
          <w:sz w:val="22"/>
          <w:szCs w:val="22"/>
          <w:lang w:val="lt-LT"/>
        </w:rPr>
        <w:t xml:space="preserve"> Įmokų surinkimo ir administravimo paslaugos ar laikinai sustabdyti šios paslaugos teikimą.</w:t>
      </w:r>
    </w:p>
    <w:p w14:paraId="3F0E7760" w14:textId="77777777" w:rsidR="009B3F28" w:rsidRDefault="009B3F28" w:rsidP="009B3F28">
      <w:pPr>
        <w:jc w:val="both"/>
        <w:rPr>
          <w:rFonts w:ascii="Arial" w:hAnsi="Arial" w:cs="Arial"/>
          <w:sz w:val="22"/>
          <w:szCs w:val="22"/>
          <w:lang w:val="lt-LT"/>
        </w:rPr>
      </w:pPr>
      <w:r w:rsidRPr="00437933">
        <w:rPr>
          <w:rFonts w:ascii="Arial" w:hAnsi="Arial" w:cs="Arial"/>
          <w:sz w:val="22"/>
          <w:szCs w:val="22"/>
          <w:lang w:val="lt-LT"/>
        </w:rPr>
        <w:t>3.6. Už pagal šią Sutartį Banko teikiamas paslaugas taikant Sutarties Priede Nr. 3 nurodytus įkainius Bankas Gavėjui sąskaitą faktūrą pateikia VĮ Registrų centro administruojamos informacinės sistemos „E. sąskaita“ priemonėmis iki kiekvieno einamojo mėnesio 15-os darbo dienos už praeitą mėnesį. Gavėjas, negavęs sąskaitos faktūros iki nurodytos datos, privalo nedelsiant apie tai informuoti Banką.</w:t>
      </w:r>
    </w:p>
    <w:p w14:paraId="70126F03" w14:textId="658452D9" w:rsidR="00B74B6D" w:rsidRPr="00390BF5" w:rsidRDefault="00B74B6D" w:rsidP="00390BF5">
      <w:pPr>
        <w:jc w:val="both"/>
        <w:rPr>
          <w:rFonts w:ascii="Arial" w:hAnsi="Arial" w:cs="Arial"/>
          <w:sz w:val="22"/>
          <w:szCs w:val="22"/>
          <w:lang w:val="lt-LT"/>
        </w:rPr>
      </w:pPr>
      <w:r w:rsidRPr="00390BF5">
        <w:rPr>
          <w:rFonts w:ascii="Arial" w:hAnsi="Arial" w:cs="Arial"/>
          <w:sz w:val="22"/>
          <w:szCs w:val="22"/>
          <w:lang w:val="lt-LT"/>
        </w:rPr>
        <w:t>3.</w:t>
      </w:r>
      <w:r w:rsidR="00D8025B">
        <w:rPr>
          <w:rFonts w:ascii="Arial" w:hAnsi="Arial" w:cs="Arial"/>
          <w:sz w:val="22"/>
          <w:szCs w:val="22"/>
          <w:lang w:val="lt-LT"/>
        </w:rPr>
        <w:t>7</w:t>
      </w:r>
      <w:r w:rsidRPr="00390BF5">
        <w:rPr>
          <w:rFonts w:ascii="Arial" w:hAnsi="Arial" w:cs="Arial"/>
          <w:sz w:val="22"/>
          <w:szCs w:val="22"/>
          <w:lang w:val="lt-LT"/>
        </w:rPr>
        <w:t xml:space="preserve">. Bendra numatoma perkamų paslaugų pagal Sutartį vertė </w:t>
      </w:r>
      <w:r w:rsidR="00390BF5" w:rsidRPr="00390BF5">
        <w:rPr>
          <w:rFonts w:ascii="Arial" w:hAnsi="Arial" w:cs="Arial"/>
          <w:sz w:val="22"/>
          <w:szCs w:val="22"/>
          <w:lang w:val="lt-LT"/>
        </w:rPr>
        <w:t xml:space="preserve">252.000,00 </w:t>
      </w:r>
      <w:r w:rsidRPr="00390BF5">
        <w:rPr>
          <w:rFonts w:ascii="Arial" w:hAnsi="Arial" w:cs="Arial"/>
          <w:sz w:val="22"/>
          <w:szCs w:val="22"/>
          <w:lang w:val="lt-LT"/>
        </w:rPr>
        <w:t>EUR be PVM. Gavėjas įsipareigoja stebėti ir nedelsiant raštu informuoti Banką, kai pasiekiama maksimali Sutarties vertė. Nuo tokio raštiško pranešimo gavimo dienos paslaugos nebeteikiamos, tačiau tai nepanaikina Šalių įsipareigojimo atsiskaityti tarpusavyje už iki pranešimo pateikimo dienos faktiškai suteiktas paslaugas pagal Sutartį.</w:t>
      </w:r>
    </w:p>
    <w:p w14:paraId="5CC3117D" w14:textId="206B4B4A" w:rsidR="00B74B6D" w:rsidRDefault="00B74B6D" w:rsidP="00B74B6D">
      <w:pPr>
        <w:jc w:val="both"/>
        <w:rPr>
          <w:rFonts w:ascii="Arial" w:hAnsi="Arial" w:cs="Arial"/>
          <w:sz w:val="22"/>
          <w:szCs w:val="22"/>
          <w:lang w:val="lt-LT"/>
        </w:rPr>
      </w:pPr>
      <w:r w:rsidRPr="00390BF5">
        <w:rPr>
          <w:rFonts w:ascii="Arial" w:hAnsi="Arial" w:cs="Arial"/>
          <w:sz w:val="22"/>
          <w:szCs w:val="22"/>
          <w:lang w:val="lt-LT"/>
        </w:rPr>
        <w:t>3.</w:t>
      </w:r>
      <w:r w:rsidR="00D8025B">
        <w:rPr>
          <w:rFonts w:ascii="Arial" w:hAnsi="Arial" w:cs="Arial"/>
          <w:sz w:val="22"/>
          <w:szCs w:val="22"/>
          <w:lang w:val="lt-LT"/>
        </w:rPr>
        <w:t>8</w:t>
      </w:r>
      <w:r w:rsidRPr="00390BF5">
        <w:rPr>
          <w:rFonts w:ascii="Arial" w:hAnsi="Arial" w:cs="Arial"/>
          <w:sz w:val="22"/>
          <w:szCs w:val="22"/>
          <w:lang w:val="lt-LT"/>
        </w:rPr>
        <w:t>. Taikomas kainodara – fiksuotas įkainis su peržiūra. Paslaugų įkainiai Sutarties galiojimo laikotarpiu nekeičiami</w:t>
      </w:r>
      <w:r>
        <w:rPr>
          <w:rFonts w:ascii="Arial" w:hAnsi="Arial" w:cs="Arial"/>
          <w:sz w:val="22"/>
          <w:szCs w:val="22"/>
          <w:lang w:val="lt-LT"/>
        </w:rPr>
        <w:t xml:space="preserve"> ir gali būti peržiūrimi po</w:t>
      </w:r>
      <w:r w:rsidR="00AB607C">
        <w:rPr>
          <w:rFonts w:ascii="Arial" w:hAnsi="Arial" w:cs="Arial"/>
          <w:sz w:val="22"/>
          <w:szCs w:val="22"/>
          <w:lang w:val="lt-LT"/>
        </w:rPr>
        <w:t xml:space="preserve"> 12 (dvylikos) mėnesių nuo sutarties pasirašymo dienos, tokiomis sąlygomis:</w:t>
      </w:r>
    </w:p>
    <w:p w14:paraId="3561C35A" w14:textId="428E04BB" w:rsidR="00B74B6D" w:rsidRPr="00B74B6D" w:rsidRDefault="00B74B6D" w:rsidP="00B74B6D">
      <w:pPr>
        <w:jc w:val="both"/>
        <w:rPr>
          <w:rFonts w:ascii="Arial" w:hAnsi="Arial" w:cs="Arial"/>
          <w:sz w:val="22"/>
          <w:szCs w:val="22"/>
          <w:lang w:val="lt-LT"/>
        </w:rPr>
      </w:pPr>
      <w:r w:rsidRPr="00B74B6D">
        <w:rPr>
          <w:rFonts w:ascii="Arial" w:hAnsi="Arial" w:cs="Arial"/>
          <w:sz w:val="22"/>
          <w:szCs w:val="22"/>
          <w:lang w:val="lt-LT"/>
        </w:rPr>
        <w:t>a) Paslaugų įkainiai Sutarties galiojimo laikotarpiu galės būti perskaičiuojami ir keičiami, jeigu Lietuvos Respublikos metinė infliacija pagal suderintą vartotojų kainų indeksą, remiantis Lietuvos Respublikos statistikos departamento duomenimis, buvo didesnė nei 5 proc. arba mažesnė nei -5 proc., pirmą kartą perskaičiuojant ne ankščiau kaip praėjus vieneriems metams po Sutarties įsigaliojimo. Paslaugų įkainių perskaičiavimą inicijuojanti Šalis turi informuoti kitą Šalį raštu apie pageidavimą perskaičiuoti Paslaugų įkainius. Paslaugų įkainiai perskaičiuojami pagal žemiau pateiktą formulę:</w:t>
      </w:r>
    </w:p>
    <w:p w14:paraId="6D137643" w14:textId="275227C8" w:rsidR="00B74B6D" w:rsidRPr="00B74B6D" w:rsidRDefault="00B74B6D" w:rsidP="00B74B6D">
      <w:pPr>
        <w:jc w:val="both"/>
        <w:rPr>
          <w:rFonts w:ascii="Arial" w:hAnsi="Arial" w:cs="Arial"/>
          <w:sz w:val="22"/>
          <w:szCs w:val="22"/>
          <w:lang w:val="lt-LT"/>
        </w:rPr>
      </w:pPr>
      <w:proofErr w:type="spellStart"/>
      <w:r w:rsidRPr="00B74B6D">
        <w:rPr>
          <w:rFonts w:ascii="Arial" w:hAnsi="Arial" w:cs="Arial"/>
          <w:sz w:val="22"/>
          <w:szCs w:val="22"/>
          <w:lang w:val="lt-LT"/>
        </w:rPr>
        <w:t>Cpn</w:t>
      </w:r>
      <w:proofErr w:type="spellEnd"/>
      <w:r w:rsidRPr="00B74B6D">
        <w:rPr>
          <w:rFonts w:ascii="Arial" w:hAnsi="Arial" w:cs="Arial"/>
          <w:sz w:val="22"/>
          <w:szCs w:val="22"/>
          <w:lang w:val="lt-LT"/>
        </w:rPr>
        <w:t xml:space="preserve"> = </w:t>
      </w:r>
      <w:proofErr w:type="spellStart"/>
      <w:r w:rsidRPr="00B74B6D">
        <w:rPr>
          <w:rFonts w:ascii="Arial" w:hAnsi="Arial" w:cs="Arial"/>
          <w:sz w:val="22"/>
          <w:szCs w:val="22"/>
          <w:lang w:val="lt-LT"/>
        </w:rPr>
        <w:t>Sn</w:t>
      </w:r>
      <w:proofErr w:type="spellEnd"/>
      <w:r w:rsidRPr="00B74B6D">
        <w:rPr>
          <w:rFonts w:ascii="Arial" w:hAnsi="Arial" w:cs="Arial"/>
          <w:sz w:val="22"/>
          <w:szCs w:val="22"/>
          <w:lang w:val="lt-LT"/>
        </w:rPr>
        <w:t xml:space="preserve">  x (1 + I  / 100), kur</w:t>
      </w:r>
    </w:p>
    <w:p w14:paraId="1EACDEBB" w14:textId="77777777" w:rsidR="00B74B6D" w:rsidRPr="00B74B6D" w:rsidRDefault="00B74B6D" w:rsidP="00B74B6D">
      <w:pPr>
        <w:jc w:val="both"/>
        <w:rPr>
          <w:rFonts w:ascii="Arial" w:hAnsi="Arial" w:cs="Arial"/>
          <w:sz w:val="22"/>
          <w:szCs w:val="22"/>
          <w:lang w:val="lt-LT"/>
        </w:rPr>
      </w:pPr>
      <w:proofErr w:type="spellStart"/>
      <w:r w:rsidRPr="00B74B6D">
        <w:rPr>
          <w:rFonts w:ascii="Arial" w:hAnsi="Arial" w:cs="Arial"/>
          <w:sz w:val="22"/>
          <w:szCs w:val="22"/>
          <w:lang w:val="lt-LT"/>
        </w:rPr>
        <w:t>Cpn</w:t>
      </w:r>
      <w:proofErr w:type="spellEnd"/>
      <w:r w:rsidRPr="00B74B6D">
        <w:rPr>
          <w:rFonts w:ascii="Arial" w:hAnsi="Arial" w:cs="Arial"/>
          <w:sz w:val="22"/>
          <w:szCs w:val="22"/>
          <w:lang w:val="lt-LT"/>
        </w:rPr>
        <w:t xml:space="preserve"> – perskaičiuota Paslaugų įkainis;</w:t>
      </w:r>
    </w:p>
    <w:p w14:paraId="68E9762F" w14:textId="5838D42E" w:rsidR="00B74B6D" w:rsidRPr="00B74B6D" w:rsidRDefault="00B74B6D" w:rsidP="00B74B6D">
      <w:pPr>
        <w:jc w:val="both"/>
        <w:rPr>
          <w:rFonts w:ascii="Arial" w:hAnsi="Arial" w:cs="Arial"/>
          <w:sz w:val="22"/>
          <w:szCs w:val="22"/>
          <w:lang w:val="lt-LT"/>
        </w:rPr>
      </w:pPr>
      <w:proofErr w:type="spellStart"/>
      <w:r w:rsidRPr="00B74B6D">
        <w:rPr>
          <w:rFonts w:ascii="Arial" w:hAnsi="Arial" w:cs="Arial"/>
          <w:sz w:val="22"/>
          <w:szCs w:val="22"/>
          <w:lang w:val="lt-LT"/>
        </w:rPr>
        <w:t>Sn</w:t>
      </w:r>
      <w:proofErr w:type="spellEnd"/>
      <w:r w:rsidRPr="00B74B6D">
        <w:rPr>
          <w:rFonts w:ascii="Arial" w:hAnsi="Arial" w:cs="Arial"/>
          <w:sz w:val="22"/>
          <w:szCs w:val="22"/>
          <w:lang w:val="lt-LT"/>
        </w:rPr>
        <w:t xml:space="preserve"> – Sutartyje numatyt</w:t>
      </w:r>
      <w:r w:rsidR="00997C56">
        <w:rPr>
          <w:rFonts w:ascii="Arial" w:hAnsi="Arial" w:cs="Arial"/>
          <w:sz w:val="22"/>
          <w:szCs w:val="22"/>
          <w:lang w:val="lt-LT"/>
        </w:rPr>
        <w:t>a</w:t>
      </w:r>
      <w:r w:rsidRPr="00B74B6D">
        <w:rPr>
          <w:rFonts w:ascii="Arial" w:hAnsi="Arial" w:cs="Arial"/>
          <w:sz w:val="22"/>
          <w:szCs w:val="22"/>
          <w:lang w:val="lt-LT"/>
        </w:rPr>
        <w:t>s Paslaugų įkainis;</w:t>
      </w:r>
    </w:p>
    <w:p w14:paraId="5F67E980" w14:textId="77777777" w:rsidR="00B74B6D" w:rsidRPr="00B74B6D" w:rsidRDefault="00B74B6D" w:rsidP="00B74B6D">
      <w:pPr>
        <w:jc w:val="both"/>
        <w:rPr>
          <w:rFonts w:ascii="Arial" w:hAnsi="Arial" w:cs="Arial"/>
          <w:sz w:val="22"/>
          <w:szCs w:val="22"/>
          <w:lang w:val="lt-LT"/>
        </w:rPr>
      </w:pPr>
      <w:r w:rsidRPr="00B74B6D">
        <w:rPr>
          <w:rFonts w:ascii="Arial" w:hAnsi="Arial" w:cs="Arial"/>
          <w:sz w:val="22"/>
          <w:szCs w:val="22"/>
          <w:lang w:val="lt-LT"/>
        </w:rPr>
        <w:t>I – Lietuvos Respublikos metinė infliacija pagal suderintą vartotojų kainų indeksą (infliacijos atveju teigiamas dydis, defliacijos atveju – neigiamas).</w:t>
      </w:r>
    </w:p>
    <w:p w14:paraId="3075BA14" w14:textId="77777777" w:rsidR="00B74B6D" w:rsidRPr="00B74B6D" w:rsidRDefault="00B74B6D" w:rsidP="00B74B6D">
      <w:pPr>
        <w:jc w:val="both"/>
        <w:rPr>
          <w:rFonts w:ascii="Arial" w:hAnsi="Arial" w:cs="Arial"/>
          <w:sz w:val="22"/>
          <w:szCs w:val="22"/>
          <w:lang w:val="lt-LT"/>
        </w:rPr>
      </w:pPr>
      <w:r w:rsidRPr="00B74B6D">
        <w:rPr>
          <w:rFonts w:ascii="Arial" w:hAnsi="Arial" w:cs="Arial"/>
          <w:sz w:val="22"/>
          <w:szCs w:val="22"/>
          <w:lang w:val="lt-LT"/>
        </w:rPr>
        <w:t>Duomenų šaltinis – http://www.stat.gov.lt, Pagrindiniai Lietuvos Respublikos rodikliai.</w:t>
      </w:r>
    </w:p>
    <w:p w14:paraId="2F705E4B" w14:textId="77777777" w:rsidR="00B74B6D" w:rsidRPr="00B74B6D" w:rsidRDefault="00B74B6D" w:rsidP="00B74B6D">
      <w:pPr>
        <w:jc w:val="both"/>
        <w:rPr>
          <w:rFonts w:ascii="Arial" w:hAnsi="Arial" w:cs="Arial"/>
          <w:sz w:val="22"/>
          <w:szCs w:val="22"/>
          <w:lang w:val="lt-LT"/>
        </w:rPr>
      </w:pPr>
      <w:r w:rsidRPr="00B74B6D">
        <w:rPr>
          <w:rFonts w:ascii="Arial" w:hAnsi="Arial" w:cs="Arial"/>
          <w:sz w:val="22"/>
          <w:szCs w:val="22"/>
          <w:lang w:val="lt-LT"/>
        </w:rPr>
        <w:t>b)</w:t>
      </w:r>
      <w:r w:rsidRPr="00B74B6D">
        <w:rPr>
          <w:rFonts w:ascii="Arial" w:hAnsi="Arial" w:cs="Arial"/>
          <w:sz w:val="22"/>
          <w:szCs w:val="22"/>
          <w:lang w:val="lt-LT"/>
        </w:rPr>
        <w:tab/>
        <w:t>Perskaičiuoti Paslaugų įkainiai įsigalioja nuo abiejų Šalių susitarimo dėl Sutarties pakeitimo pasirašymo dienos, jei pačiame susitarime nenumatyta kitaip, bei galioja tik tai Paslaugų daliai, kuri Užsakovo dar nebuvo apmokėta. Už Paslaugas, suteiktas iki susitarimo dėl Paslaugų įkainių perskaičiavimo pasirašymo dienos, Užsakovas apmoka taikant iki tol galiojusius Paslaugų įkainius, o už Paslaugas, užsakytas po susitarimo pasirašymo dienos, Paslaugų teikėjui bus apmokama taikant naujus Paslaugų įkainius.</w:t>
      </w:r>
    </w:p>
    <w:p w14:paraId="48AA358B" w14:textId="4F342468" w:rsidR="00D8025B" w:rsidRPr="00B74B6D" w:rsidRDefault="00B74B6D" w:rsidP="00B74B6D">
      <w:pPr>
        <w:jc w:val="both"/>
        <w:rPr>
          <w:rFonts w:ascii="Arial" w:hAnsi="Arial" w:cs="Arial"/>
          <w:sz w:val="22"/>
          <w:szCs w:val="22"/>
          <w:lang w:val="lt-LT"/>
        </w:rPr>
      </w:pPr>
      <w:r w:rsidRPr="00B74B6D">
        <w:rPr>
          <w:rFonts w:ascii="Arial" w:hAnsi="Arial" w:cs="Arial"/>
          <w:sz w:val="22"/>
          <w:szCs w:val="22"/>
          <w:lang w:val="lt-LT"/>
        </w:rPr>
        <w:t>c)</w:t>
      </w:r>
      <w:r w:rsidRPr="00B74B6D">
        <w:rPr>
          <w:rFonts w:ascii="Arial" w:hAnsi="Arial" w:cs="Arial"/>
          <w:sz w:val="22"/>
          <w:szCs w:val="22"/>
          <w:lang w:val="lt-LT"/>
        </w:rPr>
        <w:tab/>
        <w:t xml:space="preserve">Paslaugų įkainių perskaičiavimas įforminamas Šalių pasirašomu susitarimu, kuriame užfiksuojami perskaičiuoti įkainiai, ir šio perskaičiavimo įsigaliojimo sąlygos. Kartu su pasirašomu susitarimu turi būti pateikiama ir patikslinta perskaičiuota sąmata, kuri laikoma neatskiriama susitarimo dalimi (jei taikoma). </w:t>
      </w:r>
    </w:p>
    <w:p w14:paraId="7875F3A0" w14:textId="77777777" w:rsidR="00390BF5" w:rsidRPr="008A3C1C" w:rsidRDefault="00390BF5" w:rsidP="00B74B6D">
      <w:pPr>
        <w:jc w:val="both"/>
        <w:rPr>
          <w:rFonts w:ascii="Arial" w:hAnsi="Arial" w:cs="Arial"/>
          <w:sz w:val="22"/>
          <w:szCs w:val="22"/>
          <w:lang w:val="lt-LT"/>
        </w:rPr>
      </w:pPr>
    </w:p>
    <w:p w14:paraId="4126B053" w14:textId="77777777" w:rsidR="00070F1B" w:rsidRPr="008A3C1C" w:rsidRDefault="00070F1B" w:rsidP="00BE0B42">
      <w:pPr>
        <w:jc w:val="both"/>
        <w:rPr>
          <w:rFonts w:ascii="Arial" w:hAnsi="Arial" w:cs="Arial"/>
          <w:sz w:val="22"/>
          <w:szCs w:val="22"/>
          <w:lang w:val="lt-LT"/>
        </w:rPr>
      </w:pPr>
    </w:p>
    <w:p w14:paraId="044724B7" w14:textId="77777777" w:rsidR="00070F1B" w:rsidRPr="008A3C1C" w:rsidRDefault="00E92BF2" w:rsidP="00BE0B42">
      <w:pPr>
        <w:jc w:val="both"/>
        <w:rPr>
          <w:rFonts w:ascii="Arial" w:hAnsi="Arial" w:cs="Arial"/>
          <w:b/>
          <w:bCs/>
          <w:sz w:val="22"/>
          <w:szCs w:val="22"/>
          <w:lang w:val="lt-LT"/>
        </w:rPr>
      </w:pPr>
      <w:r w:rsidRPr="008A3C1C">
        <w:rPr>
          <w:rFonts w:ascii="Arial" w:hAnsi="Arial" w:cs="Arial"/>
          <w:b/>
          <w:bCs/>
          <w:sz w:val="22"/>
          <w:szCs w:val="22"/>
          <w:lang w:val="lt-LT"/>
        </w:rPr>
        <w:t>4</w:t>
      </w:r>
      <w:r w:rsidR="00070F1B" w:rsidRPr="008A3C1C">
        <w:rPr>
          <w:rFonts w:ascii="Arial" w:hAnsi="Arial" w:cs="Arial"/>
          <w:b/>
          <w:bCs/>
          <w:sz w:val="22"/>
          <w:szCs w:val="22"/>
          <w:lang w:val="lt-LT"/>
        </w:rPr>
        <w:t>. Šalių atsakomybė</w:t>
      </w:r>
    </w:p>
    <w:p w14:paraId="38583BAD" w14:textId="77777777" w:rsidR="007C3A99" w:rsidRPr="008A3C1C" w:rsidRDefault="002B45AC" w:rsidP="00BE0B42">
      <w:pPr>
        <w:jc w:val="both"/>
        <w:rPr>
          <w:rFonts w:ascii="Arial" w:hAnsi="Arial" w:cs="Arial"/>
          <w:sz w:val="22"/>
          <w:szCs w:val="22"/>
          <w:lang w:val="lt-LT"/>
        </w:rPr>
      </w:pPr>
      <w:r w:rsidRPr="008A3C1C">
        <w:rPr>
          <w:rFonts w:ascii="Arial" w:hAnsi="Arial" w:cs="Arial"/>
          <w:sz w:val="22"/>
          <w:szCs w:val="22"/>
          <w:lang w:val="lt-LT"/>
        </w:rPr>
        <w:t>4</w:t>
      </w:r>
      <w:r w:rsidR="007C3A99" w:rsidRPr="008A3C1C">
        <w:rPr>
          <w:rFonts w:ascii="Arial" w:hAnsi="Arial" w:cs="Arial"/>
          <w:sz w:val="22"/>
          <w:szCs w:val="22"/>
          <w:lang w:val="lt-LT"/>
        </w:rPr>
        <w:t>.1. Šalys privalo tinkamai vykdyti visus Sutartimi prisiimtus įsipareigojimus ir įsipareigoja įstatymo nustatyta tvarka atlyginti visus tiesioginius kitos Šalies nuostolius, turėtus dėl to, kad kita Šalis nevykdė ar vykdė netinkamai Sutartimi prisiimtus įsipareigojimus</w:t>
      </w:r>
    </w:p>
    <w:p w14:paraId="2BF6225B" w14:textId="77777777" w:rsidR="00070F1B" w:rsidRPr="008A3C1C" w:rsidRDefault="002B45AC" w:rsidP="00BE0B42">
      <w:pPr>
        <w:jc w:val="both"/>
        <w:rPr>
          <w:rFonts w:ascii="Arial" w:hAnsi="Arial" w:cs="Arial"/>
          <w:sz w:val="22"/>
          <w:szCs w:val="22"/>
          <w:lang w:val="lt-LT"/>
        </w:rPr>
      </w:pPr>
      <w:r w:rsidRPr="008A3C1C">
        <w:rPr>
          <w:rFonts w:ascii="Arial" w:hAnsi="Arial" w:cs="Arial"/>
          <w:sz w:val="22"/>
          <w:szCs w:val="22"/>
          <w:lang w:val="lt-LT"/>
        </w:rPr>
        <w:t>4</w:t>
      </w:r>
      <w:r w:rsidR="00070F1B" w:rsidRPr="008A3C1C">
        <w:rPr>
          <w:rFonts w:ascii="Arial" w:hAnsi="Arial" w:cs="Arial"/>
          <w:sz w:val="22"/>
          <w:szCs w:val="22"/>
          <w:lang w:val="lt-LT"/>
        </w:rPr>
        <w:t>.2.</w:t>
      </w:r>
      <w:r w:rsidR="00070F1B" w:rsidRPr="008A3C1C">
        <w:rPr>
          <w:rFonts w:ascii="Arial" w:hAnsi="Arial" w:cs="Arial"/>
          <w:snapToGrid w:val="0"/>
          <w:sz w:val="22"/>
          <w:szCs w:val="22"/>
          <w:lang w:val="lt-LT"/>
        </w:rPr>
        <w:t xml:space="preserve"> Bankas, priim</w:t>
      </w:r>
      <w:r w:rsidR="00187503" w:rsidRPr="008A3C1C">
        <w:rPr>
          <w:rFonts w:ascii="Arial" w:hAnsi="Arial" w:cs="Arial"/>
          <w:snapToGrid w:val="0"/>
          <w:sz w:val="22"/>
          <w:szCs w:val="22"/>
          <w:lang w:val="lt-LT"/>
        </w:rPr>
        <w:t>damas</w:t>
      </w:r>
      <w:r w:rsidR="00070F1B" w:rsidRPr="008A3C1C">
        <w:rPr>
          <w:rFonts w:ascii="Arial" w:hAnsi="Arial" w:cs="Arial"/>
          <w:snapToGrid w:val="0"/>
          <w:sz w:val="22"/>
          <w:szCs w:val="22"/>
          <w:lang w:val="lt-LT"/>
        </w:rPr>
        <w:t xml:space="preserve"> įmokas</w:t>
      </w:r>
      <w:r w:rsidR="00BE40B4" w:rsidRPr="008A3C1C">
        <w:rPr>
          <w:rFonts w:ascii="Arial" w:hAnsi="Arial" w:cs="Arial"/>
          <w:snapToGrid w:val="0"/>
          <w:sz w:val="22"/>
          <w:szCs w:val="22"/>
          <w:lang w:val="lt-LT"/>
        </w:rPr>
        <w:t>,</w:t>
      </w:r>
      <w:r w:rsidR="00070F1B" w:rsidRPr="008A3C1C">
        <w:rPr>
          <w:rFonts w:ascii="Arial" w:hAnsi="Arial" w:cs="Arial"/>
          <w:snapToGrid w:val="0"/>
          <w:sz w:val="22"/>
          <w:szCs w:val="22"/>
          <w:lang w:val="lt-LT"/>
        </w:rPr>
        <w:t xml:space="preserve"> </w:t>
      </w:r>
      <w:r w:rsidR="00726598" w:rsidRPr="008A3C1C">
        <w:rPr>
          <w:rFonts w:ascii="Arial" w:hAnsi="Arial" w:cs="Arial"/>
          <w:snapToGrid w:val="0"/>
          <w:sz w:val="22"/>
          <w:szCs w:val="22"/>
          <w:lang w:val="lt-LT"/>
        </w:rPr>
        <w:t>tikrina, kad Mokėtojai, užpildydami mokėjimo dokumentą, pateiktų Ban</w:t>
      </w:r>
      <w:r w:rsidR="00E50869" w:rsidRPr="008A3C1C">
        <w:rPr>
          <w:rFonts w:ascii="Arial" w:hAnsi="Arial" w:cs="Arial"/>
          <w:snapToGrid w:val="0"/>
          <w:sz w:val="22"/>
          <w:szCs w:val="22"/>
          <w:lang w:val="lt-LT"/>
        </w:rPr>
        <w:t xml:space="preserve">kui visus Sutarties </w:t>
      </w:r>
      <w:r w:rsidR="00C43608" w:rsidRPr="008A3C1C">
        <w:rPr>
          <w:rFonts w:ascii="Arial" w:hAnsi="Arial" w:cs="Arial"/>
          <w:snapToGrid w:val="0"/>
          <w:sz w:val="22"/>
          <w:szCs w:val="22"/>
          <w:lang w:val="lt-LT"/>
        </w:rPr>
        <w:t>P</w:t>
      </w:r>
      <w:r w:rsidR="00E50869" w:rsidRPr="008A3C1C">
        <w:rPr>
          <w:rFonts w:ascii="Arial" w:hAnsi="Arial" w:cs="Arial"/>
          <w:snapToGrid w:val="0"/>
          <w:sz w:val="22"/>
          <w:szCs w:val="22"/>
          <w:lang w:val="lt-LT"/>
        </w:rPr>
        <w:t xml:space="preserve">riede Nr. </w:t>
      </w:r>
      <w:r w:rsidR="00FA625E" w:rsidRPr="008A3C1C">
        <w:rPr>
          <w:rFonts w:ascii="Arial" w:hAnsi="Arial" w:cs="Arial"/>
          <w:snapToGrid w:val="0"/>
          <w:sz w:val="22"/>
          <w:szCs w:val="22"/>
          <w:lang w:val="lt-LT"/>
        </w:rPr>
        <w:t>2</w:t>
      </w:r>
      <w:r w:rsidR="00726598" w:rsidRPr="008A3C1C">
        <w:rPr>
          <w:rFonts w:ascii="Arial" w:hAnsi="Arial" w:cs="Arial"/>
          <w:snapToGrid w:val="0"/>
          <w:sz w:val="22"/>
          <w:szCs w:val="22"/>
          <w:lang w:val="lt-LT"/>
        </w:rPr>
        <w:t xml:space="preserve"> nurodytus privalomus mokėjimo dokumento rekvizitus, tačiau </w:t>
      </w:r>
      <w:r w:rsidR="00070F1B" w:rsidRPr="008A3C1C">
        <w:rPr>
          <w:rFonts w:ascii="Arial" w:hAnsi="Arial" w:cs="Arial"/>
          <w:snapToGrid w:val="0"/>
          <w:sz w:val="22"/>
          <w:szCs w:val="22"/>
          <w:lang w:val="lt-LT"/>
        </w:rPr>
        <w:t>netikrina Mokėtojo pateiktų duomenų teisingumo ir Gavėjui už jų teisingumą neatsako</w:t>
      </w:r>
      <w:r w:rsidR="00070F1B" w:rsidRPr="008A3C1C">
        <w:rPr>
          <w:rFonts w:ascii="Arial" w:hAnsi="Arial" w:cs="Arial"/>
          <w:sz w:val="22"/>
          <w:szCs w:val="22"/>
          <w:lang w:val="lt-LT"/>
        </w:rPr>
        <w:t>.</w:t>
      </w:r>
    </w:p>
    <w:p w14:paraId="1C90D3FA" w14:textId="29BA153E" w:rsidR="00070F1B" w:rsidRDefault="002B45AC" w:rsidP="00BE0B42">
      <w:pPr>
        <w:jc w:val="both"/>
        <w:rPr>
          <w:rFonts w:ascii="Arial" w:hAnsi="Arial" w:cs="Arial"/>
          <w:sz w:val="22"/>
          <w:szCs w:val="22"/>
          <w:lang w:val="lt-LT"/>
        </w:rPr>
      </w:pPr>
      <w:r w:rsidRPr="008A3C1C">
        <w:rPr>
          <w:rFonts w:ascii="Arial" w:hAnsi="Arial" w:cs="Arial"/>
          <w:sz w:val="22"/>
          <w:szCs w:val="22"/>
          <w:lang w:val="lt-LT"/>
        </w:rPr>
        <w:t>4</w:t>
      </w:r>
      <w:r w:rsidR="00070F1B" w:rsidRPr="008A3C1C">
        <w:rPr>
          <w:rFonts w:ascii="Arial" w:hAnsi="Arial" w:cs="Arial"/>
          <w:sz w:val="22"/>
          <w:szCs w:val="22"/>
          <w:lang w:val="lt-LT"/>
        </w:rPr>
        <w:t>.3. Bankas neatsako už Gavėjo ir Mokėtojų tarpusavio pretenzijas ir jų nenagrinėja.</w:t>
      </w:r>
    </w:p>
    <w:p w14:paraId="62CDB0FB" w14:textId="777FA825" w:rsidR="00AB607C" w:rsidRDefault="00AB607C" w:rsidP="00BE0B42">
      <w:pPr>
        <w:jc w:val="both"/>
        <w:rPr>
          <w:rFonts w:ascii="Arial" w:hAnsi="Arial" w:cs="Arial"/>
          <w:sz w:val="22"/>
          <w:szCs w:val="22"/>
          <w:lang w:val="lt-LT"/>
        </w:rPr>
      </w:pPr>
      <w:r>
        <w:rPr>
          <w:rFonts w:ascii="Arial" w:hAnsi="Arial" w:cs="Arial"/>
          <w:sz w:val="22"/>
          <w:szCs w:val="22"/>
          <w:lang w:val="lt-LT"/>
        </w:rPr>
        <w:lastRenderedPageBreak/>
        <w:t>4</w:t>
      </w:r>
      <w:r w:rsidRPr="00AB607C">
        <w:rPr>
          <w:rFonts w:ascii="Arial" w:hAnsi="Arial" w:cs="Arial"/>
          <w:sz w:val="22"/>
          <w:szCs w:val="22"/>
          <w:lang w:val="lt-LT"/>
        </w:rPr>
        <w:t>.</w:t>
      </w:r>
      <w:r>
        <w:rPr>
          <w:rFonts w:ascii="Arial" w:hAnsi="Arial" w:cs="Arial"/>
          <w:sz w:val="22"/>
          <w:szCs w:val="22"/>
          <w:lang w:val="lt-LT"/>
        </w:rPr>
        <w:t>4</w:t>
      </w:r>
      <w:r w:rsidRPr="00AB607C">
        <w:rPr>
          <w:rFonts w:ascii="Arial" w:hAnsi="Arial" w:cs="Arial"/>
          <w:sz w:val="22"/>
          <w:szCs w:val="22"/>
          <w:lang w:val="lt-LT"/>
        </w:rPr>
        <w:t>. Jei viena Šalis dėl kitos Šalies veiksmų patyrė nuostolių, kaltoji Šalis privalo visiškai atlyginti patirtus tiesioginius nuostolius.</w:t>
      </w:r>
    </w:p>
    <w:p w14:paraId="77629AC2" w14:textId="5B6E7022" w:rsidR="00D8025B" w:rsidRPr="00D8025B" w:rsidRDefault="00D8025B" w:rsidP="00BE0B42">
      <w:pPr>
        <w:jc w:val="both"/>
        <w:rPr>
          <w:rFonts w:ascii="Arial" w:hAnsi="Arial" w:cs="Arial"/>
          <w:sz w:val="22"/>
          <w:szCs w:val="22"/>
          <w:lang w:val="lt-LT"/>
        </w:rPr>
      </w:pPr>
      <w:r w:rsidRPr="001401F2">
        <w:rPr>
          <w:rFonts w:ascii="Arial" w:hAnsi="Arial" w:cs="Arial"/>
          <w:sz w:val="22"/>
          <w:szCs w:val="22"/>
          <w:lang w:val="lt-LT"/>
        </w:rPr>
        <w:t>4.</w:t>
      </w:r>
      <w:r>
        <w:rPr>
          <w:rFonts w:ascii="Arial" w:hAnsi="Arial" w:cs="Arial"/>
          <w:sz w:val="22"/>
          <w:szCs w:val="22"/>
          <w:lang w:val="lt-LT"/>
        </w:rPr>
        <w:t>5.</w:t>
      </w:r>
      <w:r w:rsidRPr="001401F2">
        <w:rPr>
          <w:lang w:val="lt-LT"/>
        </w:rPr>
        <w:t xml:space="preserve"> </w:t>
      </w:r>
      <w:r w:rsidRPr="00D8025B">
        <w:rPr>
          <w:rFonts w:ascii="Arial" w:hAnsi="Arial" w:cs="Arial"/>
          <w:sz w:val="22"/>
          <w:szCs w:val="22"/>
          <w:lang w:val="lt-LT"/>
        </w:rPr>
        <w:t>Už prievolių pagal Sutartį nevykdymą Bankas ir Gavėjas atsako Lietuvos Respublikos įstatymų ir Sutartyje nustatyta tvarka. Tuo atveju, jeigu Banko teikiamos paslaugos yra su trūkumais ir neatitinka šioms paslaugoms keliamų techninių reikalavimų, bankas privalo šiuos trūkumus pašalinti per 3 darbo dienas. Paslaugų trūkumų nepašalinus per nustatytą 3 darbo dienų terminą, bankas Gavėjui pareikalavus moka 0,05 proc. delspinigius nuo Sutarties vertės.</w:t>
      </w:r>
    </w:p>
    <w:p w14:paraId="7B20EC44" w14:textId="77777777" w:rsidR="00070F1B" w:rsidRPr="008A3C1C" w:rsidRDefault="00070F1B" w:rsidP="00BE0B42">
      <w:pPr>
        <w:jc w:val="both"/>
        <w:rPr>
          <w:rFonts w:ascii="Arial" w:hAnsi="Arial" w:cs="Arial"/>
          <w:sz w:val="22"/>
          <w:szCs w:val="22"/>
          <w:lang w:val="lt-LT"/>
        </w:rPr>
      </w:pPr>
    </w:p>
    <w:p w14:paraId="3914F3BA" w14:textId="77777777" w:rsidR="00070F1B" w:rsidRPr="008A3C1C" w:rsidRDefault="00D51D1C" w:rsidP="00BE0B42">
      <w:pPr>
        <w:jc w:val="both"/>
        <w:rPr>
          <w:rFonts w:ascii="Arial" w:hAnsi="Arial" w:cs="Arial"/>
          <w:b/>
          <w:bCs/>
          <w:sz w:val="22"/>
          <w:szCs w:val="22"/>
          <w:lang w:val="lt-LT"/>
        </w:rPr>
      </w:pPr>
      <w:r w:rsidRPr="008A3C1C">
        <w:rPr>
          <w:rFonts w:ascii="Arial" w:hAnsi="Arial" w:cs="Arial"/>
          <w:b/>
          <w:bCs/>
          <w:sz w:val="22"/>
          <w:szCs w:val="22"/>
          <w:lang w:val="lt-LT"/>
        </w:rPr>
        <w:t>5</w:t>
      </w:r>
      <w:r w:rsidR="00070F1B" w:rsidRPr="008A3C1C">
        <w:rPr>
          <w:rFonts w:ascii="Arial" w:hAnsi="Arial" w:cs="Arial"/>
          <w:b/>
          <w:bCs/>
          <w:sz w:val="22"/>
          <w:szCs w:val="22"/>
          <w:lang w:val="lt-LT"/>
        </w:rPr>
        <w:t>. Sutarties galiojimas, keitimas ir nutraukimas</w:t>
      </w:r>
    </w:p>
    <w:p w14:paraId="3181730A" w14:textId="09B78476" w:rsidR="00010C03" w:rsidRDefault="00D51D1C" w:rsidP="00BE0B42">
      <w:pPr>
        <w:jc w:val="both"/>
        <w:rPr>
          <w:rFonts w:ascii="Arial" w:hAnsi="Arial" w:cs="Arial"/>
          <w:sz w:val="22"/>
          <w:szCs w:val="22"/>
          <w:lang w:val="lt-LT"/>
        </w:rPr>
      </w:pPr>
      <w:r w:rsidRPr="00390BF5">
        <w:rPr>
          <w:rFonts w:ascii="Arial" w:hAnsi="Arial" w:cs="Arial"/>
          <w:sz w:val="22"/>
          <w:szCs w:val="22"/>
          <w:lang w:val="lt-LT"/>
        </w:rPr>
        <w:t>5</w:t>
      </w:r>
      <w:r w:rsidR="00070F1B" w:rsidRPr="00390BF5">
        <w:rPr>
          <w:rFonts w:ascii="Arial" w:hAnsi="Arial" w:cs="Arial"/>
          <w:sz w:val="22"/>
          <w:szCs w:val="22"/>
          <w:lang w:val="lt-LT"/>
        </w:rPr>
        <w:t xml:space="preserve">.1. </w:t>
      </w:r>
      <w:r w:rsidR="00010C03" w:rsidRPr="00390BF5">
        <w:rPr>
          <w:rFonts w:ascii="Arial" w:hAnsi="Arial" w:cs="Arial"/>
          <w:sz w:val="22"/>
          <w:szCs w:val="22"/>
          <w:lang w:val="lt-LT"/>
        </w:rPr>
        <w:t>Sutartis įsigalioja nuo jos pasirašymo dienos arba 2021-04-01 (priklausomi nuo to, kuris terminas sueina vėliau) ir galioja 37 (trisdešimt septynis) mėnesius. Paskutinis sutarties galiojimo mėnuo nėra skirtas paslaugų teikimui, o tik apmokėjimui už suteiktas paslaugas. Sutartis gali baigti galioti anksčiau, jei Sutarties įgyvendinimo metu bus pasiekta pradinė sutarties vertė</w:t>
      </w:r>
      <w:r w:rsidR="00AB607C" w:rsidRPr="00390BF5">
        <w:rPr>
          <w:rFonts w:ascii="Arial" w:hAnsi="Arial" w:cs="Arial"/>
          <w:sz w:val="22"/>
          <w:szCs w:val="22"/>
          <w:lang w:val="lt-LT"/>
        </w:rPr>
        <w:t xml:space="preserve"> nurodyta sutarties punkte 3.</w:t>
      </w:r>
      <w:r w:rsidR="00390BF5" w:rsidRPr="00390BF5">
        <w:rPr>
          <w:rFonts w:ascii="Arial" w:hAnsi="Arial" w:cs="Arial"/>
          <w:sz w:val="22"/>
          <w:szCs w:val="22"/>
          <w:lang w:val="lt-LT"/>
        </w:rPr>
        <w:t>1</w:t>
      </w:r>
      <w:r w:rsidR="00390BF5">
        <w:rPr>
          <w:rFonts w:ascii="Arial" w:hAnsi="Arial" w:cs="Arial"/>
          <w:sz w:val="22"/>
          <w:szCs w:val="22"/>
          <w:lang w:val="lt-LT"/>
        </w:rPr>
        <w:t>0</w:t>
      </w:r>
      <w:r w:rsidR="00AB607C" w:rsidRPr="00390BF5">
        <w:rPr>
          <w:rFonts w:ascii="Arial" w:hAnsi="Arial" w:cs="Arial"/>
          <w:sz w:val="22"/>
          <w:szCs w:val="22"/>
          <w:lang w:val="lt-LT"/>
        </w:rPr>
        <w:t>.</w:t>
      </w:r>
    </w:p>
    <w:p w14:paraId="164F3AD3" w14:textId="7690F12E" w:rsidR="00187503" w:rsidRPr="008A3C1C" w:rsidRDefault="00D51D1C" w:rsidP="00BE0B42">
      <w:pPr>
        <w:jc w:val="both"/>
        <w:rPr>
          <w:rFonts w:ascii="Arial" w:hAnsi="Arial" w:cs="Arial"/>
          <w:sz w:val="22"/>
          <w:szCs w:val="22"/>
          <w:lang w:val="lt-LT"/>
        </w:rPr>
      </w:pPr>
      <w:r w:rsidRPr="008A3C1C">
        <w:rPr>
          <w:rFonts w:ascii="Arial" w:hAnsi="Arial" w:cs="Arial"/>
          <w:sz w:val="22"/>
          <w:szCs w:val="22"/>
          <w:lang w:val="lt-LT"/>
        </w:rPr>
        <w:t>5</w:t>
      </w:r>
      <w:r w:rsidR="00070F1B" w:rsidRPr="008A3C1C">
        <w:rPr>
          <w:rFonts w:ascii="Arial" w:hAnsi="Arial" w:cs="Arial"/>
          <w:sz w:val="22"/>
          <w:szCs w:val="22"/>
          <w:lang w:val="lt-LT"/>
        </w:rPr>
        <w:t xml:space="preserve">.2. </w:t>
      </w:r>
      <w:r w:rsidR="00E872DD" w:rsidRPr="008A3C1C">
        <w:rPr>
          <w:rFonts w:ascii="Arial" w:hAnsi="Arial" w:cs="Arial"/>
          <w:sz w:val="22"/>
          <w:szCs w:val="22"/>
          <w:lang w:val="lt-LT"/>
        </w:rPr>
        <w:t>Šalys susitaria, kad įsigaliojus Sutarčiai</w:t>
      </w:r>
      <w:r w:rsidR="00C43608" w:rsidRPr="008A3C1C">
        <w:rPr>
          <w:rFonts w:ascii="Arial" w:hAnsi="Arial" w:cs="Arial"/>
          <w:sz w:val="22"/>
          <w:szCs w:val="22"/>
          <w:lang w:val="lt-LT"/>
        </w:rPr>
        <w:t>,</w:t>
      </w:r>
      <w:r w:rsidR="00E872DD" w:rsidRPr="008A3C1C">
        <w:rPr>
          <w:rFonts w:ascii="Arial" w:hAnsi="Arial" w:cs="Arial"/>
          <w:sz w:val="22"/>
          <w:szCs w:val="22"/>
          <w:lang w:val="lt-LT"/>
        </w:rPr>
        <w:t xml:space="preserve"> neteks galios </w:t>
      </w:r>
      <w:r w:rsidR="00187503" w:rsidRPr="008A3C1C">
        <w:rPr>
          <w:rFonts w:ascii="Arial" w:hAnsi="Arial" w:cs="Arial"/>
          <w:sz w:val="22"/>
          <w:szCs w:val="22"/>
          <w:lang w:val="lt-LT"/>
        </w:rPr>
        <w:t xml:space="preserve">visos tarp Šalių sudarytos </w:t>
      </w:r>
      <w:r w:rsidR="00E872DD" w:rsidRPr="008A3C1C">
        <w:rPr>
          <w:rFonts w:ascii="Arial" w:hAnsi="Arial" w:cs="Arial"/>
          <w:sz w:val="22"/>
          <w:szCs w:val="22"/>
          <w:lang w:val="lt-LT"/>
        </w:rPr>
        <w:t>sutart</w:t>
      </w:r>
      <w:r w:rsidR="00187503" w:rsidRPr="008A3C1C">
        <w:rPr>
          <w:rFonts w:ascii="Arial" w:hAnsi="Arial" w:cs="Arial"/>
          <w:sz w:val="22"/>
          <w:szCs w:val="22"/>
          <w:lang w:val="lt-LT"/>
        </w:rPr>
        <w:t>y</w:t>
      </w:r>
      <w:r w:rsidR="00E872DD" w:rsidRPr="008A3C1C">
        <w:rPr>
          <w:rFonts w:ascii="Arial" w:hAnsi="Arial" w:cs="Arial"/>
          <w:sz w:val="22"/>
          <w:szCs w:val="22"/>
          <w:lang w:val="lt-LT"/>
        </w:rPr>
        <w:t xml:space="preserve">s ir visi kiti iki Sutarties sudarymo Šalių sudaryti susitarimai dėl įmokų priėmimo, ir pervedimo į </w:t>
      </w:r>
      <w:r w:rsidR="002B45AC" w:rsidRPr="008A3C1C">
        <w:rPr>
          <w:rFonts w:ascii="Arial" w:hAnsi="Arial" w:cs="Arial"/>
          <w:sz w:val="22"/>
          <w:szCs w:val="22"/>
          <w:lang w:val="lt-LT"/>
        </w:rPr>
        <w:t>G</w:t>
      </w:r>
      <w:r w:rsidR="00E872DD" w:rsidRPr="008A3C1C">
        <w:rPr>
          <w:rFonts w:ascii="Arial" w:hAnsi="Arial" w:cs="Arial"/>
          <w:sz w:val="22"/>
          <w:szCs w:val="22"/>
          <w:lang w:val="lt-LT"/>
        </w:rPr>
        <w:t>avėjo sąskaitą.</w:t>
      </w:r>
      <w:r w:rsidR="00BB347D" w:rsidRPr="008A3C1C">
        <w:rPr>
          <w:rFonts w:ascii="Arial" w:hAnsi="Arial" w:cs="Arial"/>
          <w:sz w:val="22"/>
          <w:szCs w:val="22"/>
          <w:lang w:val="lt-LT"/>
        </w:rPr>
        <w:t xml:space="preserve"> </w:t>
      </w:r>
    </w:p>
    <w:p w14:paraId="78907283" w14:textId="77777777" w:rsidR="00C43608" w:rsidRPr="008A3C1C" w:rsidRDefault="00D51D1C" w:rsidP="00BE0B42">
      <w:pPr>
        <w:jc w:val="both"/>
        <w:rPr>
          <w:rFonts w:ascii="Arial" w:hAnsi="Arial" w:cs="Arial"/>
          <w:sz w:val="22"/>
          <w:szCs w:val="22"/>
          <w:lang w:val="lt-LT"/>
        </w:rPr>
      </w:pPr>
      <w:r w:rsidRPr="008A3C1C">
        <w:rPr>
          <w:rFonts w:ascii="Arial" w:hAnsi="Arial" w:cs="Arial"/>
          <w:sz w:val="22"/>
          <w:szCs w:val="22"/>
          <w:lang w:val="lt-LT"/>
        </w:rPr>
        <w:t>5</w:t>
      </w:r>
      <w:r w:rsidR="00070F1B" w:rsidRPr="008A3C1C">
        <w:rPr>
          <w:rFonts w:ascii="Arial" w:hAnsi="Arial" w:cs="Arial"/>
          <w:sz w:val="22"/>
          <w:szCs w:val="22"/>
          <w:lang w:val="lt-LT"/>
        </w:rPr>
        <w:t>.3. Sutartis automatiškai nustoja galioti</w:t>
      </w:r>
      <w:r w:rsidR="00FE499B" w:rsidRPr="008A3C1C">
        <w:rPr>
          <w:rFonts w:ascii="Arial" w:hAnsi="Arial" w:cs="Arial"/>
          <w:sz w:val="22"/>
          <w:szCs w:val="22"/>
          <w:lang w:val="lt-LT"/>
        </w:rPr>
        <w:t>, jei</w:t>
      </w:r>
      <w:r w:rsidR="00070F1B" w:rsidRPr="008A3C1C">
        <w:rPr>
          <w:rFonts w:ascii="Arial" w:hAnsi="Arial" w:cs="Arial"/>
          <w:sz w:val="22"/>
          <w:szCs w:val="22"/>
          <w:lang w:val="lt-LT"/>
        </w:rPr>
        <w:t xml:space="preserve"> nutrauk</w:t>
      </w:r>
      <w:r w:rsidR="00FE499B" w:rsidRPr="008A3C1C">
        <w:rPr>
          <w:rFonts w:ascii="Arial" w:hAnsi="Arial" w:cs="Arial"/>
          <w:sz w:val="22"/>
          <w:szCs w:val="22"/>
          <w:lang w:val="lt-LT"/>
        </w:rPr>
        <w:t>iama (-</w:t>
      </w:r>
      <w:proofErr w:type="spellStart"/>
      <w:r w:rsidR="00FE499B" w:rsidRPr="008A3C1C">
        <w:rPr>
          <w:rFonts w:ascii="Arial" w:hAnsi="Arial" w:cs="Arial"/>
          <w:sz w:val="22"/>
          <w:szCs w:val="22"/>
          <w:lang w:val="lt-LT"/>
        </w:rPr>
        <w:t>os</w:t>
      </w:r>
      <w:proofErr w:type="spellEnd"/>
      <w:r w:rsidR="00FE499B" w:rsidRPr="008A3C1C">
        <w:rPr>
          <w:rFonts w:ascii="Arial" w:hAnsi="Arial" w:cs="Arial"/>
          <w:sz w:val="22"/>
          <w:szCs w:val="22"/>
          <w:lang w:val="lt-LT"/>
        </w:rPr>
        <w:t>)</w:t>
      </w:r>
      <w:r w:rsidR="00070F1B" w:rsidRPr="008A3C1C">
        <w:rPr>
          <w:rFonts w:ascii="Arial" w:hAnsi="Arial" w:cs="Arial"/>
          <w:sz w:val="22"/>
          <w:szCs w:val="22"/>
          <w:lang w:val="lt-LT"/>
        </w:rPr>
        <w:t xml:space="preserve"> </w:t>
      </w:r>
      <w:r w:rsidR="00FE499B" w:rsidRPr="008A3C1C">
        <w:rPr>
          <w:rFonts w:ascii="Arial" w:hAnsi="Arial" w:cs="Arial"/>
          <w:sz w:val="22"/>
          <w:szCs w:val="22"/>
          <w:lang w:val="lt-LT"/>
        </w:rPr>
        <w:t>tarp Gavėjo ir</w:t>
      </w:r>
      <w:r w:rsidR="00070F1B" w:rsidRPr="008A3C1C">
        <w:rPr>
          <w:rFonts w:ascii="Arial" w:hAnsi="Arial" w:cs="Arial"/>
          <w:sz w:val="22"/>
          <w:szCs w:val="22"/>
          <w:lang w:val="lt-LT"/>
        </w:rPr>
        <w:t xml:space="preserve"> Bank</w:t>
      </w:r>
      <w:r w:rsidR="00FE499B" w:rsidRPr="008A3C1C">
        <w:rPr>
          <w:rFonts w:ascii="Arial" w:hAnsi="Arial" w:cs="Arial"/>
          <w:sz w:val="22"/>
          <w:szCs w:val="22"/>
          <w:lang w:val="lt-LT"/>
        </w:rPr>
        <w:t xml:space="preserve">o </w:t>
      </w:r>
      <w:r w:rsidR="00070F1B" w:rsidRPr="008A3C1C">
        <w:rPr>
          <w:rFonts w:ascii="Arial" w:hAnsi="Arial" w:cs="Arial"/>
          <w:sz w:val="22"/>
          <w:szCs w:val="22"/>
          <w:lang w:val="lt-LT"/>
        </w:rPr>
        <w:t xml:space="preserve"> sudaryt</w:t>
      </w:r>
      <w:r w:rsidR="00FE499B" w:rsidRPr="008A3C1C">
        <w:rPr>
          <w:rFonts w:ascii="Arial" w:hAnsi="Arial" w:cs="Arial"/>
          <w:sz w:val="22"/>
          <w:szCs w:val="22"/>
          <w:lang w:val="lt-LT"/>
        </w:rPr>
        <w:t>a (-</w:t>
      </w:r>
      <w:proofErr w:type="spellStart"/>
      <w:r w:rsidR="00FE499B" w:rsidRPr="008A3C1C">
        <w:rPr>
          <w:rFonts w:ascii="Arial" w:hAnsi="Arial" w:cs="Arial"/>
          <w:sz w:val="22"/>
          <w:szCs w:val="22"/>
          <w:lang w:val="lt-LT"/>
        </w:rPr>
        <w:t>os</w:t>
      </w:r>
      <w:proofErr w:type="spellEnd"/>
      <w:r w:rsidR="00FE499B" w:rsidRPr="008A3C1C">
        <w:rPr>
          <w:rFonts w:ascii="Arial" w:hAnsi="Arial" w:cs="Arial"/>
          <w:sz w:val="22"/>
          <w:szCs w:val="22"/>
          <w:lang w:val="lt-LT"/>
        </w:rPr>
        <w:t>) banko sąskaitos sutartis (-</w:t>
      </w:r>
      <w:proofErr w:type="spellStart"/>
      <w:r w:rsidR="00FE499B" w:rsidRPr="008A3C1C">
        <w:rPr>
          <w:rFonts w:ascii="Arial" w:hAnsi="Arial" w:cs="Arial"/>
          <w:sz w:val="22"/>
          <w:szCs w:val="22"/>
          <w:lang w:val="lt-LT"/>
        </w:rPr>
        <w:t>ys</w:t>
      </w:r>
      <w:proofErr w:type="spellEnd"/>
      <w:r w:rsidR="00FE499B" w:rsidRPr="008A3C1C">
        <w:rPr>
          <w:rFonts w:ascii="Arial" w:hAnsi="Arial" w:cs="Arial"/>
          <w:sz w:val="22"/>
          <w:szCs w:val="22"/>
          <w:lang w:val="lt-LT"/>
        </w:rPr>
        <w:t>) dėl</w:t>
      </w:r>
      <w:r w:rsidR="00070F1B" w:rsidRPr="008A3C1C">
        <w:rPr>
          <w:rFonts w:ascii="Arial" w:hAnsi="Arial" w:cs="Arial"/>
          <w:sz w:val="22"/>
          <w:szCs w:val="22"/>
          <w:lang w:val="lt-LT"/>
        </w:rPr>
        <w:t xml:space="preserve"> </w:t>
      </w:r>
      <w:r w:rsidR="00E872DD" w:rsidRPr="008A3C1C">
        <w:rPr>
          <w:rFonts w:ascii="Arial" w:hAnsi="Arial" w:cs="Arial"/>
          <w:sz w:val="22"/>
          <w:szCs w:val="22"/>
          <w:lang w:val="lt-LT"/>
        </w:rPr>
        <w:t>Sąskaitos</w:t>
      </w:r>
      <w:r w:rsidR="003B435B" w:rsidRPr="008A3C1C">
        <w:rPr>
          <w:rFonts w:ascii="Arial" w:hAnsi="Arial" w:cs="Arial"/>
          <w:sz w:val="22"/>
          <w:szCs w:val="22"/>
          <w:lang w:val="lt-LT"/>
        </w:rPr>
        <w:t xml:space="preserve"> (-ų)</w:t>
      </w:r>
      <w:r w:rsidR="00070F1B" w:rsidRPr="008A3C1C">
        <w:rPr>
          <w:rFonts w:ascii="Arial" w:hAnsi="Arial" w:cs="Arial"/>
          <w:sz w:val="22"/>
          <w:szCs w:val="22"/>
          <w:lang w:val="lt-LT"/>
        </w:rPr>
        <w:t>, nurodytos</w:t>
      </w:r>
      <w:r w:rsidR="003B435B" w:rsidRPr="008A3C1C">
        <w:rPr>
          <w:rFonts w:ascii="Arial" w:hAnsi="Arial" w:cs="Arial"/>
          <w:sz w:val="22"/>
          <w:szCs w:val="22"/>
          <w:lang w:val="lt-LT"/>
        </w:rPr>
        <w:t xml:space="preserve"> (-ų)</w:t>
      </w:r>
      <w:r w:rsidR="00070F1B" w:rsidRPr="008A3C1C">
        <w:rPr>
          <w:rFonts w:ascii="Arial" w:hAnsi="Arial" w:cs="Arial"/>
          <w:sz w:val="22"/>
          <w:szCs w:val="22"/>
          <w:lang w:val="lt-LT"/>
        </w:rPr>
        <w:t xml:space="preserve"> </w:t>
      </w:r>
      <w:r w:rsidR="002B45AC" w:rsidRPr="008A3C1C">
        <w:rPr>
          <w:rFonts w:ascii="Arial" w:hAnsi="Arial" w:cs="Arial"/>
          <w:sz w:val="22"/>
          <w:szCs w:val="22"/>
          <w:lang w:val="lt-LT"/>
        </w:rPr>
        <w:t>P</w:t>
      </w:r>
      <w:r w:rsidR="00E872DD" w:rsidRPr="008A3C1C">
        <w:rPr>
          <w:rFonts w:ascii="Arial" w:hAnsi="Arial" w:cs="Arial"/>
          <w:sz w:val="22"/>
          <w:szCs w:val="22"/>
          <w:lang w:val="lt-LT"/>
        </w:rPr>
        <w:t>riede Nr. 1</w:t>
      </w:r>
      <w:r w:rsidR="00070F1B" w:rsidRPr="008A3C1C">
        <w:rPr>
          <w:rFonts w:ascii="Arial" w:hAnsi="Arial" w:cs="Arial"/>
          <w:sz w:val="22"/>
          <w:szCs w:val="22"/>
          <w:lang w:val="lt-LT"/>
        </w:rPr>
        <w:t>.</w:t>
      </w:r>
      <w:r w:rsidR="00BE0713" w:rsidRPr="008A3C1C">
        <w:rPr>
          <w:rFonts w:ascii="Arial" w:hAnsi="Arial" w:cs="Arial"/>
          <w:sz w:val="22"/>
          <w:szCs w:val="22"/>
          <w:lang w:val="lt-LT"/>
        </w:rPr>
        <w:t xml:space="preserve"> </w:t>
      </w:r>
    </w:p>
    <w:p w14:paraId="278DF2F1" w14:textId="2B332F32" w:rsidR="00E872DD" w:rsidRPr="00390BF5" w:rsidRDefault="00D51D1C" w:rsidP="00BE0B42">
      <w:pPr>
        <w:jc w:val="both"/>
        <w:rPr>
          <w:rFonts w:ascii="Arial" w:hAnsi="Arial" w:cs="Arial"/>
          <w:sz w:val="22"/>
          <w:szCs w:val="22"/>
          <w:lang w:val="lt-LT"/>
        </w:rPr>
      </w:pPr>
      <w:r w:rsidRPr="00390BF5">
        <w:rPr>
          <w:rFonts w:ascii="Arial" w:hAnsi="Arial" w:cs="Arial"/>
          <w:sz w:val="22"/>
          <w:szCs w:val="22"/>
          <w:lang w:val="lt-LT"/>
        </w:rPr>
        <w:t>5</w:t>
      </w:r>
      <w:r w:rsidR="00E872DD" w:rsidRPr="00390BF5">
        <w:rPr>
          <w:rFonts w:ascii="Arial" w:hAnsi="Arial" w:cs="Arial"/>
          <w:sz w:val="22"/>
          <w:szCs w:val="22"/>
          <w:lang w:val="lt-LT"/>
        </w:rPr>
        <w:t>.</w:t>
      </w:r>
      <w:r w:rsidR="00D8025B">
        <w:rPr>
          <w:rFonts w:ascii="Arial" w:hAnsi="Arial" w:cs="Arial"/>
          <w:sz w:val="22"/>
          <w:szCs w:val="22"/>
          <w:lang w:val="lt-LT"/>
        </w:rPr>
        <w:t>4</w:t>
      </w:r>
      <w:r w:rsidR="00E872DD" w:rsidRPr="00390BF5">
        <w:rPr>
          <w:rFonts w:ascii="Arial" w:hAnsi="Arial" w:cs="Arial"/>
          <w:sz w:val="22"/>
          <w:szCs w:val="22"/>
          <w:lang w:val="lt-LT"/>
        </w:rPr>
        <w:t>. Šalis turi teisę vienašališkai nutraukti Sutartį apie tai raštu prieš 30 (trisdešimt) kalendorinių dienų informavusi kitą Šalį.</w:t>
      </w:r>
    </w:p>
    <w:p w14:paraId="06F5A590" w14:textId="65A6545F" w:rsidR="00F860CB" w:rsidRPr="00390BF5" w:rsidRDefault="00F860CB" w:rsidP="00F860CB">
      <w:pPr>
        <w:jc w:val="both"/>
        <w:rPr>
          <w:rFonts w:ascii="Arial" w:hAnsi="Arial" w:cs="Arial"/>
          <w:sz w:val="22"/>
          <w:szCs w:val="22"/>
          <w:lang w:val="lt-LT"/>
        </w:rPr>
      </w:pPr>
      <w:r w:rsidRPr="00390BF5">
        <w:rPr>
          <w:rFonts w:ascii="Arial" w:hAnsi="Arial" w:cs="Arial"/>
          <w:sz w:val="22"/>
          <w:szCs w:val="22"/>
          <w:lang w:val="lt-LT"/>
        </w:rPr>
        <w:t>5.</w:t>
      </w:r>
      <w:r w:rsidR="00D8025B">
        <w:rPr>
          <w:rFonts w:ascii="Arial" w:hAnsi="Arial" w:cs="Arial"/>
          <w:sz w:val="22"/>
          <w:szCs w:val="22"/>
          <w:lang w:val="lt-LT"/>
        </w:rPr>
        <w:t>5</w:t>
      </w:r>
      <w:r w:rsidRPr="00390BF5">
        <w:rPr>
          <w:rFonts w:ascii="Arial" w:hAnsi="Arial" w:cs="Arial"/>
          <w:sz w:val="22"/>
          <w:szCs w:val="22"/>
          <w:lang w:val="lt-LT"/>
        </w:rPr>
        <w:t>. Sutarties sąlygos jos galiojimo laikotarpiu gali būti keičiamos neatliekant naujos pirkimo procedūros vadovaujantis Lietuvos Respublikos pirkimų, atliekamų vandentvarkos, energetikos, transporto ar pašto paslaugų srities perkančiųjų subjektų įstatymo 97 straipsnio nuostatomis ir užtikrinant, kad nebūtų pažeisti šio įstatymo 29 straipsnyje nustatyti principai ir tikslai.</w:t>
      </w:r>
    </w:p>
    <w:p w14:paraId="2B172991" w14:textId="38FFBE18" w:rsidR="00F860CB" w:rsidRDefault="00F860CB" w:rsidP="00BE0B42">
      <w:pPr>
        <w:jc w:val="both"/>
        <w:rPr>
          <w:rFonts w:ascii="Arial" w:hAnsi="Arial" w:cs="Arial"/>
          <w:sz w:val="22"/>
          <w:szCs w:val="22"/>
          <w:lang w:val="lt-LT"/>
        </w:rPr>
      </w:pPr>
      <w:r w:rsidRPr="00390BF5">
        <w:rPr>
          <w:rFonts w:ascii="Arial" w:hAnsi="Arial" w:cs="Arial"/>
          <w:sz w:val="22"/>
          <w:szCs w:val="22"/>
          <w:lang w:val="lt-LT"/>
        </w:rPr>
        <w:t>5.</w:t>
      </w:r>
      <w:r w:rsidR="00D8025B">
        <w:rPr>
          <w:rFonts w:ascii="Arial" w:hAnsi="Arial" w:cs="Arial"/>
          <w:sz w:val="22"/>
          <w:szCs w:val="22"/>
          <w:lang w:val="lt-LT"/>
        </w:rPr>
        <w:t>6</w:t>
      </w:r>
      <w:r w:rsidRPr="00390BF5">
        <w:rPr>
          <w:rFonts w:ascii="Arial" w:hAnsi="Arial" w:cs="Arial"/>
          <w:sz w:val="22"/>
          <w:szCs w:val="22"/>
          <w:lang w:val="lt-LT"/>
        </w:rPr>
        <w:t>. Nei viena iš šalių neįgyja teisės perduoti savo įsipareigojimų pagal šią Sutartį trečiajam asmeniui be raštiško kitos Šalies sutikimo. Šis įsipareigojimų perdavimo ribojimas netaikomas tais atvejais, kuomet įsipareigojimai perduodami Gavėjo asocijuotiems asmenims, atitinkantiems bent vieną iš Lietuvos Respublikos pelno mokesčio įstatymo 2 straipsnio 8 dalyje įtvirtintų kriterijų.</w:t>
      </w:r>
    </w:p>
    <w:p w14:paraId="284DAF45" w14:textId="77777777" w:rsidR="00070F1B" w:rsidRPr="008A3C1C" w:rsidRDefault="00070F1B" w:rsidP="00BE0B42">
      <w:pPr>
        <w:jc w:val="both"/>
        <w:rPr>
          <w:rFonts w:ascii="Arial" w:hAnsi="Arial" w:cs="Arial"/>
          <w:sz w:val="22"/>
          <w:szCs w:val="22"/>
          <w:lang w:val="lt-LT"/>
        </w:rPr>
      </w:pPr>
    </w:p>
    <w:p w14:paraId="4749B1FF" w14:textId="77777777" w:rsidR="00070F1B" w:rsidRPr="008A3C1C" w:rsidRDefault="000E01E6" w:rsidP="00BE0B42">
      <w:pPr>
        <w:jc w:val="both"/>
        <w:rPr>
          <w:rFonts w:ascii="Arial" w:hAnsi="Arial" w:cs="Arial"/>
          <w:b/>
          <w:bCs/>
          <w:sz w:val="22"/>
          <w:szCs w:val="22"/>
          <w:lang w:val="lt-LT"/>
        </w:rPr>
      </w:pPr>
      <w:r w:rsidRPr="008A3C1C">
        <w:rPr>
          <w:rFonts w:ascii="Arial" w:hAnsi="Arial" w:cs="Arial"/>
          <w:b/>
          <w:bCs/>
          <w:sz w:val="22"/>
          <w:szCs w:val="22"/>
          <w:lang w:val="lt-LT"/>
        </w:rPr>
        <w:t>6</w:t>
      </w:r>
      <w:r w:rsidR="00070F1B" w:rsidRPr="008A3C1C">
        <w:rPr>
          <w:rFonts w:ascii="Arial" w:hAnsi="Arial" w:cs="Arial"/>
          <w:b/>
          <w:bCs/>
          <w:sz w:val="22"/>
          <w:szCs w:val="22"/>
          <w:lang w:val="lt-LT"/>
        </w:rPr>
        <w:t>. Baigiamosios nuostatos</w:t>
      </w:r>
    </w:p>
    <w:p w14:paraId="713E6BDC" w14:textId="6145D79A" w:rsidR="00686FBE" w:rsidRPr="00AA6E9B" w:rsidRDefault="000E01E6" w:rsidP="00BE0B42">
      <w:pPr>
        <w:jc w:val="both"/>
        <w:rPr>
          <w:rFonts w:ascii="Arial" w:hAnsi="Arial" w:cs="Arial"/>
          <w:sz w:val="22"/>
          <w:szCs w:val="22"/>
          <w:lang w:val="lt-LT"/>
        </w:rPr>
      </w:pPr>
      <w:r w:rsidRPr="008A3C1C">
        <w:rPr>
          <w:rFonts w:ascii="Arial" w:hAnsi="Arial" w:cs="Arial"/>
          <w:sz w:val="22"/>
          <w:szCs w:val="22"/>
          <w:lang w:val="lt-LT"/>
        </w:rPr>
        <w:t>6</w:t>
      </w:r>
      <w:r w:rsidR="00686FBE" w:rsidRPr="008A3C1C">
        <w:rPr>
          <w:rFonts w:ascii="Arial" w:hAnsi="Arial" w:cs="Arial"/>
          <w:sz w:val="22"/>
          <w:szCs w:val="22"/>
          <w:lang w:val="lt-LT"/>
        </w:rPr>
        <w:t xml:space="preserve">.1. </w:t>
      </w:r>
      <w:r w:rsidR="00A10575" w:rsidRPr="008A3C1C">
        <w:rPr>
          <w:rFonts w:ascii="Arial" w:hAnsi="Arial" w:cs="Arial"/>
          <w:sz w:val="22"/>
          <w:szCs w:val="22"/>
          <w:lang w:val="lt-LT"/>
        </w:rPr>
        <w:t>G</w:t>
      </w:r>
      <w:r w:rsidR="00686FBE" w:rsidRPr="008A3C1C">
        <w:rPr>
          <w:rFonts w:ascii="Arial" w:hAnsi="Arial" w:cs="Arial"/>
          <w:sz w:val="22"/>
          <w:szCs w:val="22"/>
          <w:lang w:val="lt-LT"/>
        </w:rPr>
        <w:t>avėjo atstovas, pasirašydamas Sutartį, patvirtina, kad</w:t>
      </w:r>
      <w:r w:rsidR="001C7A4B" w:rsidRPr="008A3C1C">
        <w:rPr>
          <w:rFonts w:ascii="Arial" w:hAnsi="Arial" w:cs="Arial"/>
          <w:sz w:val="22"/>
          <w:szCs w:val="22"/>
          <w:lang w:val="lt-LT"/>
        </w:rPr>
        <w:t xml:space="preserve"> </w:t>
      </w:r>
      <w:r w:rsidR="00686FBE" w:rsidRPr="008A3C1C">
        <w:rPr>
          <w:rFonts w:ascii="Arial" w:hAnsi="Arial" w:cs="Arial"/>
          <w:sz w:val="22"/>
          <w:szCs w:val="22"/>
          <w:lang w:val="lt-LT"/>
        </w:rPr>
        <w:t>yra susipažinęs su Banko klientų aptarnavimo ir paslaugų teikimo bendrosiomis sąlygomis, Banko mokėjimo paslaugų teikimo sąlygomis</w:t>
      </w:r>
      <w:r w:rsidR="00686FBE" w:rsidRPr="008A3C1C">
        <w:rPr>
          <w:rFonts w:ascii="Arial" w:hAnsi="Arial" w:cs="Arial"/>
          <w:color w:val="000000"/>
          <w:sz w:val="22"/>
          <w:szCs w:val="22"/>
          <w:lang w:val="lt-LT"/>
        </w:rPr>
        <w:t xml:space="preserve"> bei Banko paslaugų ir operacijų įkainiais, kurie visi yra neatsiejama Sutarties dalis, ir įsipareigoja jų laikytis</w:t>
      </w:r>
      <w:r w:rsidR="001C7A4B" w:rsidRPr="008A3C1C">
        <w:rPr>
          <w:rFonts w:ascii="Arial" w:hAnsi="Arial" w:cs="Arial"/>
          <w:sz w:val="22"/>
          <w:szCs w:val="22"/>
          <w:lang w:val="lt-LT"/>
        </w:rPr>
        <w:t xml:space="preserve"> bei žino, kad su galiojančiomis minėtų dokumentų redakcijomis jis gali </w:t>
      </w:r>
      <w:r w:rsidR="001C7A4B" w:rsidRPr="00AA6E9B">
        <w:rPr>
          <w:rFonts w:ascii="Arial" w:hAnsi="Arial" w:cs="Arial"/>
          <w:sz w:val="22"/>
          <w:szCs w:val="22"/>
          <w:lang w:val="lt-LT"/>
        </w:rPr>
        <w:t>susipažinti apsilankęs Banko tinklalapyje internete (</w:t>
      </w:r>
      <w:hyperlink r:id="rId9" w:history="1">
        <w:r w:rsidR="004C2EFC" w:rsidRPr="00AA6E9B">
          <w:rPr>
            <w:rStyle w:val="Hyperlink"/>
            <w:rFonts w:ascii="Arial" w:hAnsi="Arial" w:cs="Arial"/>
            <w:sz w:val="22"/>
            <w:szCs w:val="22"/>
            <w:lang w:val="lt-LT"/>
          </w:rPr>
          <w:t>www.swedbank.lt</w:t>
        </w:r>
      </w:hyperlink>
      <w:r w:rsidR="001C7A4B" w:rsidRPr="00AA6E9B">
        <w:rPr>
          <w:rFonts w:ascii="Arial" w:hAnsi="Arial" w:cs="Arial"/>
          <w:sz w:val="22"/>
          <w:szCs w:val="22"/>
          <w:lang w:val="lt-LT"/>
        </w:rPr>
        <w:t>).</w:t>
      </w:r>
    </w:p>
    <w:p w14:paraId="3CE310AA" w14:textId="77777777" w:rsidR="004C2EFC" w:rsidRDefault="004C2EFC" w:rsidP="00BE0B42">
      <w:pPr>
        <w:jc w:val="both"/>
        <w:rPr>
          <w:rFonts w:ascii="Arial" w:hAnsi="Arial" w:cs="Arial"/>
          <w:sz w:val="22"/>
          <w:szCs w:val="22"/>
          <w:lang w:val="lt-LT"/>
        </w:rPr>
      </w:pPr>
      <w:r w:rsidRPr="00AA6E9B">
        <w:rPr>
          <w:rFonts w:ascii="Arial" w:hAnsi="Arial" w:cs="Arial"/>
          <w:sz w:val="22"/>
          <w:szCs w:val="22"/>
          <w:lang w:val="lt-LT"/>
        </w:rPr>
        <w:t>6.2. Bankas yra asmens duomenų valdytojas, tvarkantis asmens duomenis iš anksto apibrėžtais tikslais, kurie yra skelbiami Asmens duomenų tvarkymo principuose, kurie yra „Swedbank“, AB klientų aptarnavimo ir paslaugų teikimo bendrųjų sąlygų priedas.</w:t>
      </w:r>
    </w:p>
    <w:p w14:paraId="02BCCA2A" w14:textId="1AF03AA3" w:rsidR="002074D8" w:rsidRPr="008A3C1C" w:rsidRDefault="004C2EFC" w:rsidP="00BE0B42">
      <w:pPr>
        <w:jc w:val="both"/>
        <w:rPr>
          <w:rFonts w:ascii="Arial" w:hAnsi="Arial" w:cs="Arial"/>
          <w:sz w:val="22"/>
          <w:szCs w:val="22"/>
          <w:lang w:val="lt-LT"/>
        </w:rPr>
      </w:pPr>
      <w:r>
        <w:rPr>
          <w:rFonts w:ascii="Arial" w:hAnsi="Arial" w:cs="Arial"/>
          <w:sz w:val="22"/>
          <w:szCs w:val="22"/>
          <w:lang w:val="lt-LT"/>
        </w:rPr>
        <w:t xml:space="preserve">6.3. </w:t>
      </w:r>
      <w:r w:rsidR="002074D8" w:rsidRPr="008A3C1C">
        <w:rPr>
          <w:rFonts w:ascii="Arial" w:hAnsi="Arial" w:cs="Arial"/>
          <w:sz w:val="22"/>
          <w:szCs w:val="22"/>
          <w:lang w:val="lt-LT"/>
        </w:rPr>
        <w:t xml:space="preserve">Sutarčiai taikoma Lietuvos Respublikos teisė. </w:t>
      </w:r>
    </w:p>
    <w:p w14:paraId="1FA46ED3" w14:textId="43D04B15" w:rsidR="00187503" w:rsidRPr="008A3C1C" w:rsidRDefault="000E01E6" w:rsidP="00BE0B42">
      <w:pPr>
        <w:jc w:val="both"/>
        <w:rPr>
          <w:rFonts w:ascii="Arial" w:hAnsi="Arial" w:cs="Arial"/>
          <w:sz w:val="22"/>
          <w:szCs w:val="22"/>
          <w:lang w:val="lt-LT"/>
        </w:rPr>
      </w:pPr>
      <w:r w:rsidRPr="008A3C1C">
        <w:rPr>
          <w:rFonts w:ascii="Arial" w:hAnsi="Arial" w:cs="Arial"/>
          <w:sz w:val="22"/>
          <w:szCs w:val="22"/>
          <w:lang w:val="lt-LT"/>
        </w:rPr>
        <w:t>6</w:t>
      </w:r>
      <w:r w:rsidR="002074D8" w:rsidRPr="008A3C1C">
        <w:rPr>
          <w:rFonts w:ascii="Arial" w:hAnsi="Arial" w:cs="Arial"/>
          <w:sz w:val="22"/>
          <w:szCs w:val="22"/>
          <w:lang w:val="lt-LT"/>
        </w:rPr>
        <w:t>.</w:t>
      </w:r>
      <w:r w:rsidR="004C2EFC">
        <w:rPr>
          <w:rFonts w:ascii="Arial" w:hAnsi="Arial" w:cs="Arial"/>
          <w:sz w:val="22"/>
          <w:szCs w:val="22"/>
          <w:lang w:val="lt-LT"/>
        </w:rPr>
        <w:t>4</w:t>
      </w:r>
      <w:r w:rsidR="002074D8" w:rsidRPr="008A3C1C">
        <w:rPr>
          <w:rFonts w:ascii="Arial" w:hAnsi="Arial" w:cs="Arial"/>
          <w:sz w:val="22"/>
          <w:szCs w:val="22"/>
          <w:lang w:val="lt-LT"/>
        </w:rPr>
        <w:t xml:space="preserve">. </w:t>
      </w:r>
      <w:r w:rsidR="00070F1B" w:rsidRPr="008A3C1C">
        <w:rPr>
          <w:rFonts w:ascii="Arial" w:hAnsi="Arial" w:cs="Arial"/>
          <w:sz w:val="22"/>
          <w:szCs w:val="22"/>
          <w:lang w:val="lt-LT"/>
        </w:rPr>
        <w:t>Ginčai, kylantys dėl Sutarties, sprendžiami derybų keliu. Nepavykus ginčų išspręsti derybų keliu, ginčas sprendžiamas Lietuvos Respublikos įstatymų nustatyta tvarka</w:t>
      </w:r>
      <w:r w:rsidR="00187503" w:rsidRPr="008A3C1C">
        <w:rPr>
          <w:rFonts w:ascii="Arial" w:hAnsi="Arial" w:cs="Arial"/>
          <w:sz w:val="22"/>
          <w:szCs w:val="22"/>
          <w:lang w:val="lt-LT"/>
        </w:rPr>
        <w:t xml:space="preserve"> teisme pagal Banko buveinės buvimo vietą.</w:t>
      </w:r>
    </w:p>
    <w:p w14:paraId="023C45A9" w14:textId="4A8CF4F2" w:rsidR="00187503" w:rsidRPr="008A3C1C" w:rsidRDefault="000E01E6" w:rsidP="00BE0B42">
      <w:pPr>
        <w:jc w:val="both"/>
        <w:rPr>
          <w:rFonts w:ascii="Arial" w:hAnsi="Arial" w:cs="Arial"/>
          <w:b/>
          <w:bCs/>
          <w:color w:val="000000"/>
          <w:sz w:val="22"/>
          <w:szCs w:val="22"/>
          <w:lang w:val="lt-LT"/>
        </w:rPr>
      </w:pPr>
      <w:r w:rsidRPr="008A3C1C">
        <w:rPr>
          <w:rFonts w:ascii="Arial" w:hAnsi="Arial" w:cs="Arial"/>
          <w:sz w:val="22"/>
          <w:szCs w:val="22"/>
          <w:lang w:val="lt-LT"/>
        </w:rPr>
        <w:t>6</w:t>
      </w:r>
      <w:r w:rsidR="00070F1B" w:rsidRPr="008A3C1C">
        <w:rPr>
          <w:rFonts w:ascii="Arial" w:hAnsi="Arial" w:cs="Arial"/>
          <w:sz w:val="22"/>
          <w:szCs w:val="22"/>
          <w:lang w:val="lt-LT"/>
        </w:rPr>
        <w:t>.</w:t>
      </w:r>
      <w:r w:rsidR="004C2EFC">
        <w:rPr>
          <w:rFonts w:ascii="Arial" w:hAnsi="Arial" w:cs="Arial"/>
          <w:sz w:val="22"/>
          <w:szCs w:val="22"/>
          <w:lang w:val="lt-LT"/>
        </w:rPr>
        <w:t>5</w:t>
      </w:r>
      <w:r w:rsidR="00070F1B" w:rsidRPr="008A3C1C">
        <w:rPr>
          <w:rFonts w:ascii="Arial" w:hAnsi="Arial" w:cs="Arial"/>
          <w:sz w:val="22"/>
          <w:szCs w:val="22"/>
          <w:lang w:val="lt-LT"/>
        </w:rPr>
        <w:t>. Sutartis pasirašoma dviem vienodą juridinę galią turinčiais egzemplioriais, po vieną kiekvienai Šaliai. Šalys pasirašo ant kiekvieno Sutarties ir jos priedų lapo</w:t>
      </w:r>
      <w:r w:rsidR="006B0E4B" w:rsidRPr="008A3C1C">
        <w:rPr>
          <w:rFonts w:ascii="Arial" w:hAnsi="Arial" w:cs="Arial"/>
          <w:sz w:val="22"/>
          <w:szCs w:val="22"/>
          <w:lang w:val="lt-LT"/>
        </w:rPr>
        <w:t xml:space="preserve"> (Šis punktas taikomas tik tuo atveju, jei Sutartis sudaroma Banko padalinyje).</w:t>
      </w:r>
      <w:r w:rsidR="00187503" w:rsidRPr="008A3C1C">
        <w:rPr>
          <w:rFonts w:ascii="Arial" w:hAnsi="Arial" w:cs="Arial"/>
          <w:sz w:val="22"/>
          <w:szCs w:val="22"/>
          <w:lang w:val="lt-LT"/>
        </w:rPr>
        <w:t xml:space="preserve"> </w:t>
      </w:r>
    </w:p>
    <w:p w14:paraId="5D4926EE" w14:textId="6D55214E" w:rsidR="00187503" w:rsidRDefault="00187503" w:rsidP="00BE0B42">
      <w:pPr>
        <w:jc w:val="both"/>
        <w:rPr>
          <w:rFonts w:ascii="Arial" w:hAnsi="Arial" w:cs="Arial"/>
          <w:color w:val="000000"/>
          <w:sz w:val="22"/>
          <w:szCs w:val="22"/>
          <w:lang w:val="lt-LT"/>
        </w:rPr>
      </w:pPr>
      <w:r w:rsidRPr="008A3C1C">
        <w:rPr>
          <w:rFonts w:ascii="Arial" w:hAnsi="Arial" w:cs="Arial"/>
          <w:color w:val="000000"/>
          <w:sz w:val="22"/>
          <w:szCs w:val="22"/>
          <w:lang w:val="lt-LT"/>
        </w:rPr>
        <w:t>6.</w:t>
      </w:r>
      <w:r w:rsidR="004C2EFC">
        <w:rPr>
          <w:rFonts w:ascii="Arial" w:hAnsi="Arial" w:cs="Arial"/>
          <w:color w:val="000000"/>
          <w:sz w:val="22"/>
          <w:szCs w:val="22"/>
          <w:lang w:val="lt-LT"/>
        </w:rPr>
        <w:t>6</w:t>
      </w:r>
      <w:r w:rsidRPr="008A3C1C">
        <w:rPr>
          <w:rFonts w:ascii="Arial" w:hAnsi="Arial" w:cs="Arial"/>
          <w:color w:val="000000"/>
          <w:sz w:val="22"/>
          <w:szCs w:val="22"/>
          <w:lang w:val="lt-LT"/>
        </w:rPr>
        <w:t xml:space="preserve">. Duomenys apie Banką – Banko tinklalapis internete: www.swedbank.lt; duomenys apie Banką kaupiami ir saugomi Lietuvos Respublikos Juridinių asmenų registre; Bankas verčiasi finansinių paslaugų teikimu, jam yra išduota banko licencija Nr. 11, kurią 1993 m. gruodžio 28 d. išdavė Lietuvos bankas (adresas Gedimino pr. 6, LT-01103 Vilnius, tel.: +370 5 2680029, faks.: +370 5 2628124, elektroninio pašto adresas: </w:t>
      </w:r>
      <w:proofErr w:type="spellStart"/>
      <w:r w:rsidRPr="008A3C1C">
        <w:rPr>
          <w:rFonts w:ascii="Arial" w:hAnsi="Arial" w:cs="Arial"/>
          <w:color w:val="000000"/>
          <w:sz w:val="22"/>
          <w:szCs w:val="22"/>
          <w:lang w:val="lt-LT"/>
        </w:rPr>
        <w:t>info@lb.lt</w:t>
      </w:r>
      <w:proofErr w:type="spellEnd"/>
      <w:r w:rsidRPr="008A3C1C">
        <w:rPr>
          <w:rFonts w:ascii="Arial" w:hAnsi="Arial" w:cs="Arial"/>
          <w:color w:val="000000"/>
          <w:sz w:val="22"/>
          <w:szCs w:val="22"/>
          <w:lang w:val="lt-LT"/>
        </w:rPr>
        <w:t xml:space="preserve">, tinklalapis internete: </w:t>
      </w:r>
      <w:hyperlink r:id="rId10" w:history="1">
        <w:r w:rsidR="006E06C7" w:rsidRPr="001C4C44">
          <w:rPr>
            <w:rStyle w:val="Hyperlink"/>
            <w:rFonts w:ascii="Arial" w:hAnsi="Arial" w:cs="Arial"/>
            <w:sz w:val="22"/>
            <w:szCs w:val="22"/>
            <w:lang w:val="lt-LT"/>
          </w:rPr>
          <w:t>www.lb.lt)</w:t>
        </w:r>
      </w:hyperlink>
      <w:r w:rsidRPr="008A3C1C">
        <w:rPr>
          <w:rFonts w:ascii="Arial" w:hAnsi="Arial" w:cs="Arial"/>
          <w:color w:val="000000"/>
          <w:sz w:val="22"/>
          <w:szCs w:val="22"/>
          <w:lang w:val="lt-LT"/>
        </w:rPr>
        <w:t>).</w:t>
      </w:r>
    </w:p>
    <w:p w14:paraId="58B04A41" w14:textId="1CF442AC" w:rsidR="006E06C7" w:rsidRPr="003E1E96" w:rsidRDefault="006E06C7" w:rsidP="003E1E96">
      <w:pPr>
        <w:jc w:val="both"/>
        <w:rPr>
          <w:rFonts w:ascii="Arial" w:hAnsi="Arial" w:cs="Arial"/>
          <w:sz w:val="22"/>
          <w:szCs w:val="22"/>
          <w:lang w:val="lt-LT"/>
        </w:rPr>
      </w:pPr>
    </w:p>
    <w:p w14:paraId="5A675DB1" w14:textId="77777777" w:rsidR="00070F1B" w:rsidRPr="008A3C1C" w:rsidRDefault="00070F1B" w:rsidP="00BE0B42">
      <w:pPr>
        <w:jc w:val="both"/>
        <w:rPr>
          <w:rFonts w:ascii="Arial" w:hAnsi="Arial" w:cs="Arial"/>
          <w:sz w:val="22"/>
          <w:szCs w:val="22"/>
          <w:lang w:val="lt-LT"/>
        </w:rPr>
      </w:pPr>
    </w:p>
    <w:p w14:paraId="4A8228FD" w14:textId="77777777" w:rsidR="00070F1B" w:rsidRPr="008A3C1C" w:rsidRDefault="000E01E6" w:rsidP="00BE0B42">
      <w:pPr>
        <w:jc w:val="both"/>
        <w:rPr>
          <w:rFonts w:ascii="Arial" w:hAnsi="Arial" w:cs="Arial"/>
          <w:b/>
          <w:bCs/>
          <w:sz w:val="22"/>
          <w:szCs w:val="22"/>
          <w:lang w:val="lt-LT"/>
        </w:rPr>
      </w:pPr>
      <w:r w:rsidRPr="008A3C1C">
        <w:rPr>
          <w:rFonts w:ascii="Arial" w:hAnsi="Arial" w:cs="Arial"/>
          <w:b/>
          <w:bCs/>
          <w:sz w:val="22"/>
          <w:szCs w:val="22"/>
          <w:lang w:val="lt-LT"/>
        </w:rPr>
        <w:t>7</w:t>
      </w:r>
      <w:r w:rsidR="00070F1B" w:rsidRPr="008A3C1C">
        <w:rPr>
          <w:rFonts w:ascii="Arial" w:hAnsi="Arial" w:cs="Arial"/>
          <w:b/>
          <w:bCs/>
          <w:sz w:val="22"/>
          <w:szCs w:val="22"/>
          <w:lang w:val="lt-LT"/>
        </w:rPr>
        <w:t>. Sutarties priedai</w:t>
      </w:r>
    </w:p>
    <w:p w14:paraId="7E6B5C01" w14:textId="77777777" w:rsidR="00070F1B" w:rsidRPr="008A3C1C" w:rsidRDefault="000E01E6" w:rsidP="00BE0B42">
      <w:pPr>
        <w:jc w:val="both"/>
        <w:rPr>
          <w:rFonts w:ascii="Arial" w:hAnsi="Arial" w:cs="Arial"/>
          <w:sz w:val="22"/>
          <w:szCs w:val="22"/>
          <w:lang w:val="lt-LT"/>
        </w:rPr>
      </w:pPr>
      <w:r w:rsidRPr="008A3C1C">
        <w:rPr>
          <w:rFonts w:ascii="Arial" w:hAnsi="Arial" w:cs="Arial"/>
          <w:sz w:val="22"/>
          <w:szCs w:val="22"/>
          <w:lang w:val="lt-LT"/>
        </w:rPr>
        <w:t>7</w:t>
      </w:r>
      <w:r w:rsidR="00070F1B" w:rsidRPr="008A3C1C">
        <w:rPr>
          <w:rFonts w:ascii="Arial" w:hAnsi="Arial" w:cs="Arial"/>
          <w:sz w:val="22"/>
          <w:szCs w:val="22"/>
          <w:lang w:val="lt-LT"/>
        </w:rPr>
        <w:t xml:space="preserve">.1. Sutarties </w:t>
      </w:r>
      <w:r w:rsidR="0064724E" w:rsidRPr="008A3C1C">
        <w:rPr>
          <w:rFonts w:ascii="Arial" w:hAnsi="Arial" w:cs="Arial"/>
          <w:sz w:val="22"/>
          <w:szCs w:val="22"/>
          <w:lang w:val="lt-LT"/>
        </w:rPr>
        <w:t>P</w:t>
      </w:r>
      <w:r w:rsidR="00070F1B" w:rsidRPr="008A3C1C">
        <w:rPr>
          <w:rFonts w:ascii="Arial" w:hAnsi="Arial" w:cs="Arial"/>
          <w:sz w:val="22"/>
          <w:szCs w:val="22"/>
          <w:lang w:val="lt-LT"/>
        </w:rPr>
        <w:t>riedas Nr. 1 „Įmokų kodai”;</w:t>
      </w:r>
    </w:p>
    <w:p w14:paraId="77B59A5B" w14:textId="77777777" w:rsidR="00E872DD" w:rsidRPr="008A3C1C" w:rsidRDefault="000E01E6" w:rsidP="00BE0B42">
      <w:pPr>
        <w:jc w:val="both"/>
        <w:rPr>
          <w:rFonts w:ascii="Arial" w:hAnsi="Arial" w:cs="Arial"/>
          <w:sz w:val="22"/>
          <w:szCs w:val="22"/>
          <w:lang w:val="lt-LT"/>
        </w:rPr>
      </w:pPr>
      <w:r w:rsidRPr="008A3C1C">
        <w:rPr>
          <w:rFonts w:ascii="Arial" w:hAnsi="Arial" w:cs="Arial"/>
          <w:sz w:val="22"/>
          <w:szCs w:val="22"/>
          <w:lang w:val="lt-LT"/>
        </w:rPr>
        <w:t>7</w:t>
      </w:r>
      <w:r w:rsidR="00070F1B" w:rsidRPr="008A3C1C">
        <w:rPr>
          <w:rFonts w:ascii="Arial" w:hAnsi="Arial" w:cs="Arial"/>
          <w:sz w:val="22"/>
          <w:szCs w:val="22"/>
          <w:lang w:val="lt-LT"/>
        </w:rPr>
        <w:t xml:space="preserve">.2. Sutarties </w:t>
      </w:r>
      <w:r w:rsidR="0064724E" w:rsidRPr="008A3C1C">
        <w:rPr>
          <w:rFonts w:ascii="Arial" w:hAnsi="Arial" w:cs="Arial"/>
          <w:sz w:val="22"/>
          <w:szCs w:val="22"/>
          <w:lang w:val="lt-LT"/>
        </w:rPr>
        <w:t>P</w:t>
      </w:r>
      <w:r w:rsidR="00070F1B" w:rsidRPr="008A3C1C">
        <w:rPr>
          <w:rFonts w:ascii="Arial" w:hAnsi="Arial" w:cs="Arial"/>
          <w:sz w:val="22"/>
          <w:szCs w:val="22"/>
          <w:lang w:val="lt-LT"/>
        </w:rPr>
        <w:t>riedas Nr. 2 „Mokėjimo dokumentas”</w:t>
      </w:r>
      <w:r w:rsidR="00E872DD" w:rsidRPr="008A3C1C">
        <w:rPr>
          <w:rFonts w:ascii="Arial" w:hAnsi="Arial" w:cs="Arial"/>
          <w:sz w:val="22"/>
          <w:szCs w:val="22"/>
          <w:lang w:val="lt-LT"/>
        </w:rPr>
        <w:t>;</w:t>
      </w:r>
    </w:p>
    <w:p w14:paraId="0CEF88FA" w14:textId="193C6769" w:rsidR="00070F1B" w:rsidRDefault="000E01E6" w:rsidP="00BE0B42">
      <w:pPr>
        <w:jc w:val="both"/>
        <w:rPr>
          <w:rFonts w:ascii="Arial" w:hAnsi="Arial" w:cs="Arial"/>
          <w:sz w:val="22"/>
          <w:szCs w:val="22"/>
          <w:lang w:val="lt-LT"/>
        </w:rPr>
      </w:pPr>
      <w:r w:rsidRPr="008A3C1C">
        <w:rPr>
          <w:rFonts w:ascii="Arial" w:hAnsi="Arial" w:cs="Arial"/>
          <w:sz w:val="22"/>
          <w:szCs w:val="22"/>
          <w:lang w:val="lt-LT"/>
        </w:rPr>
        <w:lastRenderedPageBreak/>
        <w:t>7</w:t>
      </w:r>
      <w:r w:rsidR="00E872DD" w:rsidRPr="008A3C1C">
        <w:rPr>
          <w:rFonts w:ascii="Arial" w:hAnsi="Arial" w:cs="Arial"/>
          <w:sz w:val="22"/>
          <w:szCs w:val="22"/>
          <w:lang w:val="lt-LT"/>
        </w:rPr>
        <w:t xml:space="preserve">.3. Sutarties </w:t>
      </w:r>
      <w:r w:rsidR="0064724E" w:rsidRPr="008A3C1C">
        <w:rPr>
          <w:rFonts w:ascii="Arial" w:hAnsi="Arial" w:cs="Arial"/>
          <w:sz w:val="22"/>
          <w:szCs w:val="22"/>
          <w:lang w:val="lt-LT"/>
        </w:rPr>
        <w:t>P</w:t>
      </w:r>
      <w:r w:rsidR="00E872DD" w:rsidRPr="008A3C1C">
        <w:rPr>
          <w:rFonts w:ascii="Arial" w:hAnsi="Arial" w:cs="Arial"/>
          <w:sz w:val="22"/>
          <w:szCs w:val="22"/>
          <w:lang w:val="lt-LT"/>
        </w:rPr>
        <w:t>riedas Nr. 3 „Mokesčiai“</w:t>
      </w:r>
      <w:r w:rsidR="00D26C51">
        <w:rPr>
          <w:rFonts w:ascii="Arial" w:hAnsi="Arial" w:cs="Arial"/>
          <w:sz w:val="22"/>
          <w:szCs w:val="22"/>
          <w:lang w:val="lt-LT"/>
        </w:rPr>
        <w:t>;</w:t>
      </w:r>
    </w:p>
    <w:p w14:paraId="3D57E842" w14:textId="6267FA18" w:rsidR="006838D6" w:rsidRDefault="006838D6" w:rsidP="00BE0B42">
      <w:pPr>
        <w:jc w:val="both"/>
        <w:rPr>
          <w:rFonts w:ascii="Arial" w:hAnsi="Arial" w:cs="Arial"/>
          <w:sz w:val="22"/>
          <w:szCs w:val="22"/>
          <w:lang w:val="lt-LT"/>
        </w:rPr>
      </w:pPr>
      <w:r>
        <w:rPr>
          <w:rFonts w:ascii="Arial" w:hAnsi="Arial" w:cs="Arial"/>
          <w:sz w:val="22"/>
          <w:szCs w:val="22"/>
          <w:lang w:val="lt-LT"/>
        </w:rPr>
        <w:t>7.</w:t>
      </w:r>
      <w:r w:rsidR="00733DA5">
        <w:rPr>
          <w:rFonts w:ascii="Arial" w:hAnsi="Arial" w:cs="Arial"/>
          <w:sz w:val="22"/>
          <w:szCs w:val="22"/>
          <w:lang w:val="lt-LT"/>
        </w:rPr>
        <w:t>4. Sutarties Priedas Nr. 4 „</w:t>
      </w:r>
      <w:r w:rsidR="005A399E">
        <w:rPr>
          <w:rFonts w:ascii="Arial" w:hAnsi="Arial" w:cs="Arial"/>
          <w:sz w:val="22"/>
          <w:szCs w:val="22"/>
          <w:lang w:val="lt-LT"/>
        </w:rPr>
        <w:t>Techninė specifikacija“;</w:t>
      </w:r>
    </w:p>
    <w:p w14:paraId="5720E4F5" w14:textId="69D2FFAC" w:rsidR="006D52B0" w:rsidRPr="006D52B0" w:rsidRDefault="00F129A5" w:rsidP="006D52B0">
      <w:pPr>
        <w:pStyle w:val="BodyTextIndent"/>
        <w:spacing w:after="60"/>
        <w:ind w:firstLine="0"/>
        <w:rPr>
          <w:rFonts w:ascii="Arial" w:hAnsi="Arial" w:cs="Arial"/>
          <w:bCs/>
          <w:sz w:val="22"/>
          <w:szCs w:val="22"/>
        </w:rPr>
      </w:pPr>
      <w:r>
        <w:rPr>
          <w:rFonts w:ascii="Arial" w:hAnsi="Arial" w:cs="Arial"/>
          <w:sz w:val="22"/>
          <w:szCs w:val="22"/>
        </w:rPr>
        <w:t>7.5. Sutarties Priedas Nr. 5 „</w:t>
      </w:r>
      <w:r w:rsidR="006D52B0" w:rsidRPr="006D52B0">
        <w:rPr>
          <w:rFonts w:ascii="Arial" w:hAnsi="Arial" w:cs="Arial"/>
          <w:bCs/>
          <w:sz w:val="22"/>
          <w:szCs w:val="22"/>
        </w:rPr>
        <w:t>Kontaktiniai adresai pranešimams siųsti ir asmenys, atsakingi už sutarties vykdymą“</w:t>
      </w:r>
    </w:p>
    <w:p w14:paraId="49F250D9" w14:textId="23FC7661" w:rsidR="00F129A5" w:rsidRDefault="00F129A5" w:rsidP="00BE0B42">
      <w:pPr>
        <w:jc w:val="both"/>
        <w:rPr>
          <w:rFonts w:ascii="Arial" w:hAnsi="Arial" w:cs="Arial"/>
          <w:sz w:val="22"/>
          <w:szCs w:val="22"/>
          <w:lang w:val="lt-LT"/>
        </w:rPr>
      </w:pPr>
    </w:p>
    <w:p w14:paraId="750F734B" w14:textId="77777777" w:rsidR="007B3683" w:rsidRDefault="007B3683" w:rsidP="00F94EEE">
      <w:pPr>
        <w:rPr>
          <w:rFonts w:ascii="Arial" w:hAnsi="Arial" w:cs="Arial"/>
          <w:b/>
          <w:bCs/>
          <w:sz w:val="22"/>
          <w:szCs w:val="22"/>
          <w:lang w:val="lt-LT"/>
        </w:rPr>
      </w:pPr>
    </w:p>
    <w:p w14:paraId="3F13868C" w14:textId="4CBC7633" w:rsidR="00070F1B" w:rsidRPr="008A3C1C" w:rsidRDefault="00070F1B">
      <w:pPr>
        <w:jc w:val="center"/>
        <w:rPr>
          <w:rFonts w:ascii="Arial" w:hAnsi="Arial" w:cs="Arial"/>
          <w:b/>
          <w:bCs/>
          <w:sz w:val="22"/>
          <w:szCs w:val="22"/>
          <w:lang w:val="lt-LT"/>
        </w:rPr>
      </w:pPr>
      <w:r w:rsidRPr="008A3C1C">
        <w:rPr>
          <w:rFonts w:ascii="Arial" w:hAnsi="Arial" w:cs="Arial"/>
          <w:b/>
          <w:bCs/>
          <w:sz w:val="22"/>
          <w:szCs w:val="22"/>
          <w:lang w:val="lt-LT"/>
        </w:rPr>
        <w:t>Sutarties Šalių rekvizitai ir parašai:</w:t>
      </w:r>
    </w:p>
    <w:p w14:paraId="6B1D7715" w14:textId="77777777" w:rsidR="00070F1B" w:rsidRPr="008A3C1C" w:rsidRDefault="00070F1B">
      <w:pPr>
        <w:jc w:val="center"/>
        <w:rPr>
          <w:rFonts w:ascii="Arial" w:hAnsi="Arial" w:cs="Arial"/>
          <w:sz w:val="22"/>
          <w:szCs w:val="22"/>
          <w:lang w:val="lt-LT"/>
        </w:rPr>
      </w:pPr>
    </w:p>
    <w:tbl>
      <w:tblPr>
        <w:tblW w:w="9889" w:type="dxa"/>
        <w:tblLayout w:type="fixed"/>
        <w:tblLook w:val="0000" w:firstRow="0" w:lastRow="0" w:firstColumn="0" w:lastColumn="0" w:noHBand="0" w:noVBand="0"/>
      </w:tblPr>
      <w:tblGrid>
        <w:gridCol w:w="4739"/>
        <w:gridCol w:w="5150"/>
      </w:tblGrid>
      <w:tr w:rsidR="00070F1B" w:rsidRPr="008A3C1C" w14:paraId="1A33F18A" w14:textId="77777777">
        <w:tc>
          <w:tcPr>
            <w:tcW w:w="4739" w:type="dxa"/>
          </w:tcPr>
          <w:p w14:paraId="646E52BE" w14:textId="77777777" w:rsidR="00070F1B" w:rsidRPr="008A3C1C" w:rsidRDefault="00070F1B">
            <w:pPr>
              <w:rPr>
                <w:rFonts w:ascii="Arial" w:hAnsi="Arial" w:cs="Arial"/>
                <w:b/>
                <w:bCs/>
                <w:sz w:val="22"/>
                <w:szCs w:val="22"/>
                <w:lang w:val="lt-LT"/>
              </w:rPr>
            </w:pPr>
            <w:r w:rsidRPr="008A3C1C">
              <w:rPr>
                <w:rFonts w:ascii="Arial" w:hAnsi="Arial" w:cs="Arial"/>
                <w:b/>
                <w:bCs/>
                <w:sz w:val="22"/>
                <w:szCs w:val="22"/>
                <w:lang w:val="lt-LT"/>
              </w:rPr>
              <w:t>Bankas</w:t>
            </w:r>
          </w:p>
        </w:tc>
        <w:tc>
          <w:tcPr>
            <w:tcW w:w="5150" w:type="dxa"/>
          </w:tcPr>
          <w:p w14:paraId="77693570" w14:textId="77777777" w:rsidR="00070F1B" w:rsidRPr="008A3C1C" w:rsidRDefault="00070F1B">
            <w:pPr>
              <w:rPr>
                <w:rFonts w:ascii="Arial" w:hAnsi="Arial" w:cs="Arial"/>
                <w:b/>
                <w:bCs/>
                <w:sz w:val="22"/>
                <w:szCs w:val="22"/>
                <w:lang w:val="lt-LT"/>
              </w:rPr>
            </w:pPr>
            <w:r w:rsidRPr="008A3C1C">
              <w:rPr>
                <w:rFonts w:ascii="Arial" w:hAnsi="Arial" w:cs="Arial"/>
                <w:b/>
                <w:bCs/>
                <w:sz w:val="22"/>
                <w:szCs w:val="22"/>
                <w:lang w:val="lt-LT"/>
              </w:rPr>
              <w:t>Gavėjas</w:t>
            </w:r>
          </w:p>
        </w:tc>
      </w:tr>
      <w:tr w:rsidR="00070F1B" w:rsidRPr="008A3C1C" w14:paraId="04828EF1" w14:textId="77777777">
        <w:tc>
          <w:tcPr>
            <w:tcW w:w="4739" w:type="dxa"/>
          </w:tcPr>
          <w:p w14:paraId="55C60BAE" w14:textId="462C62AE" w:rsidR="00070F1B" w:rsidRPr="008A3C1C" w:rsidRDefault="00070F1B" w:rsidP="00D6744B">
            <w:pPr>
              <w:rPr>
                <w:rFonts w:ascii="Arial" w:hAnsi="Arial" w:cs="Arial"/>
                <w:sz w:val="22"/>
                <w:szCs w:val="22"/>
                <w:lang w:val="lt-LT"/>
              </w:rPr>
            </w:pPr>
            <w:r w:rsidRPr="008A3C1C">
              <w:rPr>
                <w:rFonts w:ascii="Arial" w:hAnsi="Arial" w:cs="Arial"/>
                <w:sz w:val="22"/>
                <w:szCs w:val="22"/>
                <w:lang w:val="lt-LT"/>
              </w:rPr>
              <w:t>„Swedbank“, AB</w:t>
            </w:r>
          </w:p>
        </w:tc>
        <w:tc>
          <w:tcPr>
            <w:tcW w:w="5150" w:type="dxa"/>
          </w:tcPr>
          <w:p w14:paraId="29BAF62B" w14:textId="7EF22CC0" w:rsidR="00070F1B" w:rsidRPr="00C252D2" w:rsidRDefault="008711CE">
            <w:pPr>
              <w:rPr>
                <w:rFonts w:ascii="Arial" w:hAnsi="Arial" w:cs="Arial"/>
                <w:sz w:val="22"/>
                <w:szCs w:val="22"/>
                <w:lang w:val="lt-LT"/>
              </w:rPr>
            </w:pPr>
            <w:r w:rsidRPr="00C252D2">
              <w:rPr>
                <w:rFonts w:ascii="Arial" w:hAnsi="Arial" w:cs="Arial"/>
                <w:sz w:val="22"/>
                <w:szCs w:val="22"/>
              </w:rPr>
              <w:t>AB VILNIAUS ŠILUMOS TINKLAI</w:t>
            </w:r>
          </w:p>
        </w:tc>
      </w:tr>
      <w:tr w:rsidR="00070F1B" w:rsidRPr="008A3C1C" w14:paraId="25D9D321" w14:textId="77777777">
        <w:tc>
          <w:tcPr>
            <w:tcW w:w="4739" w:type="dxa"/>
          </w:tcPr>
          <w:p w14:paraId="43CBF1B2" w14:textId="25FF6916" w:rsidR="00D8025B" w:rsidRPr="00D8025B" w:rsidRDefault="00D8025B" w:rsidP="00D8025B">
            <w:pPr>
              <w:rPr>
                <w:rFonts w:ascii="Arial" w:hAnsi="Arial" w:cs="Arial"/>
                <w:sz w:val="22"/>
                <w:szCs w:val="22"/>
                <w:lang w:val="lt-LT"/>
              </w:rPr>
            </w:pPr>
            <w:r>
              <w:rPr>
                <w:rFonts w:ascii="Arial" w:hAnsi="Arial" w:cs="Arial"/>
                <w:sz w:val="22"/>
                <w:szCs w:val="22"/>
                <w:lang w:val="lt-LT"/>
              </w:rPr>
              <w:t>Į.</w:t>
            </w:r>
            <w:r w:rsidR="001401F2">
              <w:rPr>
                <w:rFonts w:ascii="Arial" w:hAnsi="Arial" w:cs="Arial"/>
                <w:sz w:val="22"/>
                <w:szCs w:val="22"/>
                <w:lang w:val="lt-LT"/>
              </w:rPr>
              <w:t xml:space="preserve"> </w:t>
            </w:r>
            <w:r>
              <w:rPr>
                <w:rFonts w:ascii="Arial" w:hAnsi="Arial" w:cs="Arial"/>
                <w:sz w:val="22"/>
                <w:szCs w:val="22"/>
                <w:lang w:val="lt-LT"/>
              </w:rPr>
              <w:t xml:space="preserve">k. </w:t>
            </w:r>
            <w:r w:rsidRPr="00D8025B">
              <w:rPr>
                <w:rFonts w:ascii="Arial" w:hAnsi="Arial" w:cs="Arial"/>
                <w:sz w:val="22"/>
                <w:szCs w:val="22"/>
                <w:lang w:val="lt-LT"/>
              </w:rPr>
              <w:t>112029651</w:t>
            </w:r>
          </w:p>
          <w:p w14:paraId="02040E43" w14:textId="77777777" w:rsidR="00D8025B" w:rsidRPr="00D8025B" w:rsidRDefault="00D8025B" w:rsidP="00D8025B">
            <w:pPr>
              <w:rPr>
                <w:rFonts w:ascii="Arial" w:hAnsi="Arial" w:cs="Arial"/>
                <w:sz w:val="22"/>
                <w:szCs w:val="22"/>
                <w:lang w:val="lt-LT"/>
              </w:rPr>
            </w:pPr>
            <w:r w:rsidRPr="00D8025B">
              <w:rPr>
                <w:rFonts w:ascii="Arial" w:hAnsi="Arial" w:cs="Arial"/>
                <w:sz w:val="22"/>
                <w:szCs w:val="22"/>
                <w:lang w:val="lt-LT"/>
              </w:rPr>
              <w:t>Konstitucijos pr. 20A, 03502 Vilnius</w:t>
            </w:r>
          </w:p>
          <w:p w14:paraId="11C3F8CF" w14:textId="14AD6E35" w:rsidR="00D8025B" w:rsidRDefault="00D8025B" w:rsidP="00D8025B">
            <w:pPr>
              <w:rPr>
                <w:rFonts w:ascii="Arial" w:hAnsi="Arial" w:cs="Arial"/>
                <w:sz w:val="22"/>
                <w:szCs w:val="22"/>
                <w:lang w:val="lt-LT"/>
              </w:rPr>
            </w:pPr>
            <w:r>
              <w:rPr>
                <w:rFonts w:ascii="Arial" w:hAnsi="Arial" w:cs="Arial"/>
                <w:sz w:val="22"/>
                <w:szCs w:val="22"/>
                <w:lang w:val="lt-LT"/>
              </w:rPr>
              <w:t xml:space="preserve">Tel. </w:t>
            </w:r>
            <w:r w:rsidRPr="00D8025B">
              <w:rPr>
                <w:rFonts w:ascii="Arial" w:hAnsi="Arial" w:cs="Arial"/>
                <w:sz w:val="22"/>
                <w:szCs w:val="22"/>
                <w:lang w:val="lt-LT"/>
              </w:rPr>
              <w:t>1884; (+370 5 268 4444)</w:t>
            </w:r>
            <w:r w:rsidRPr="00D8025B">
              <w:rPr>
                <w:rFonts w:ascii="Arial" w:hAnsi="Arial" w:cs="Arial"/>
                <w:sz w:val="22"/>
                <w:szCs w:val="22"/>
                <w:lang w:val="lt-LT"/>
              </w:rPr>
              <w:tab/>
            </w:r>
          </w:p>
          <w:p w14:paraId="70A3D696" w14:textId="594AF626" w:rsidR="00D8025B" w:rsidRPr="00D8025B" w:rsidRDefault="00D8025B" w:rsidP="00D8025B">
            <w:pPr>
              <w:rPr>
                <w:rFonts w:ascii="Arial" w:hAnsi="Arial" w:cs="Arial"/>
                <w:sz w:val="22"/>
                <w:szCs w:val="22"/>
                <w:lang w:val="lt-LT"/>
              </w:rPr>
            </w:pPr>
            <w:r w:rsidRPr="00D8025B">
              <w:rPr>
                <w:rFonts w:ascii="Arial" w:hAnsi="Arial" w:cs="Arial"/>
                <w:sz w:val="22"/>
                <w:szCs w:val="22"/>
                <w:lang w:val="lt-LT"/>
              </w:rPr>
              <w:t>Faksas:</w:t>
            </w:r>
            <w:r>
              <w:rPr>
                <w:rFonts w:ascii="Arial" w:hAnsi="Arial" w:cs="Arial"/>
                <w:sz w:val="22"/>
                <w:szCs w:val="22"/>
                <w:lang w:val="lt-LT"/>
              </w:rPr>
              <w:t xml:space="preserve"> </w:t>
            </w:r>
            <w:r w:rsidRPr="00D8025B">
              <w:rPr>
                <w:rFonts w:ascii="Arial" w:hAnsi="Arial" w:cs="Arial"/>
                <w:sz w:val="22"/>
                <w:szCs w:val="22"/>
                <w:lang w:val="lt-LT"/>
              </w:rPr>
              <w:t>(8 5) 258 2700</w:t>
            </w:r>
          </w:p>
          <w:p w14:paraId="1FB25353" w14:textId="586C25D0" w:rsidR="00070F1B" w:rsidRPr="008A3C1C" w:rsidRDefault="00D8025B" w:rsidP="00D8025B">
            <w:pPr>
              <w:rPr>
                <w:rFonts w:ascii="Arial" w:hAnsi="Arial" w:cs="Arial"/>
                <w:sz w:val="22"/>
                <w:szCs w:val="22"/>
                <w:lang w:val="lt-LT"/>
              </w:rPr>
            </w:pPr>
            <w:r w:rsidRPr="00D8025B">
              <w:rPr>
                <w:rFonts w:ascii="Arial" w:hAnsi="Arial" w:cs="Arial"/>
                <w:sz w:val="22"/>
                <w:szCs w:val="22"/>
                <w:lang w:val="lt-LT"/>
              </w:rPr>
              <w:t>info@swedbank.lt</w:t>
            </w:r>
          </w:p>
        </w:tc>
        <w:tc>
          <w:tcPr>
            <w:tcW w:w="5150" w:type="dxa"/>
          </w:tcPr>
          <w:p w14:paraId="4CCEC808" w14:textId="77777777" w:rsidR="00070F1B" w:rsidRPr="00C252D2" w:rsidRDefault="00B40BDC">
            <w:pPr>
              <w:rPr>
                <w:rFonts w:ascii="Arial" w:hAnsi="Arial" w:cs="Arial"/>
                <w:sz w:val="22"/>
                <w:szCs w:val="22"/>
                <w:lang w:val="lt-LT"/>
              </w:rPr>
            </w:pPr>
            <w:r w:rsidRPr="00C252D2">
              <w:rPr>
                <w:rFonts w:ascii="Arial" w:hAnsi="Arial" w:cs="Arial"/>
                <w:sz w:val="22"/>
                <w:szCs w:val="22"/>
                <w:lang w:val="lt-LT"/>
              </w:rPr>
              <w:t>Į. k. 124135580</w:t>
            </w:r>
          </w:p>
          <w:p w14:paraId="6F025305" w14:textId="7899850A" w:rsidR="00B40BDC" w:rsidRPr="00C252D2" w:rsidRDefault="00FB4829">
            <w:pPr>
              <w:rPr>
                <w:rFonts w:ascii="Arial" w:hAnsi="Arial" w:cs="Arial"/>
                <w:sz w:val="22"/>
                <w:szCs w:val="22"/>
                <w:lang w:val="lt-LT"/>
              </w:rPr>
            </w:pPr>
            <w:r w:rsidRPr="00C252D2">
              <w:rPr>
                <w:rFonts w:ascii="Arial" w:hAnsi="Arial" w:cs="Arial"/>
                <w:sz w:val="22"/>
                <w:szCs w:val="22"/>
                <w:lang w:val="lt-LT"/>
              </w:rPr>
              <w:t xml:space="preserve">Buveinės adresas: </w:t>
            </w:r>
            <w:r w:rsidR="00DB49A1" w:rsidRPr="00C252D2">
              <w:rPr>
                <w:rFonts w:ascii="Arial" w:hAnsi="Arial" w:cs="Arial"/>
                <w:sz w:val="22"/>
                <w:szCs w:val="22"/>
                <w:lang w:val="lt-LT"/>
              </w:rPr>
              <w:t>Elektrinės g. 2, 03150 Vilnius</w:t>
            </w:r>
          </w:p>
          <w:p w14:paraId="6ED15379" w14:textId="77777777" w:rsidR="00FB4829" w:rsidRPr="00C252D2" w:rsidRDefault="000B2E2F">
            <w:pPr>
              <w:rPr>
                <w:rFonts w:ascii="Arial" w:hAnsi="Arial" w:cs="Arial"/>
                <w:sz w:val="22"/>
                <w:szCs w:val="22"/>
                <w:lang w:val="lt-LT"/>
              </w:rPr>
            </w:pPr>
            <w:r w:rsidRPr="00C252D2">
              <w:rPr>
                <w:rFonts w:ascii="Arial" w:hAnsi="Arial" w:cs="Arial"/>
                <w:bCs/>
                <w:sz w:val="22"/>
                <w:szCs w:val="22"/>
                <w:lang w:val="lt-LT"/>
              </w:rPr>
              <w:t>Adresas korespondencijai:</w:t>
            </w:r>
            <w:r w:rsidRPr="00C252D2">
              <w:rPr>
                <w:rFonts w:ascii="Arial" w:hAnsi="Arial" w:cs="Arial"/>
                <w:sz w:val="22"/>
                <w:szCs w:val="22"/>
                <w:lang w:val="lt-LT"/>
              </w:rPr>
              <w:t xml:space="preserve"> </w:t>
            </w:r>
            <w:r w:rsidR="00FB4829" w:rsidRPr="00C252D2">
              <w:rPr>
                <w:rFonts w:ascii="Arial" w:hAnsi="Arial" w:cs="Arial"/>
                <w:sz w:val="22"/>
                <w:szCs w:val="22"/>
                <w:lang w:val="lt-LT"/>
              </w:rPr>
              <w:t>Spaudos g. 6-1, 05132 Vilnius</w:t>
            </w:r>
          </w:p>
          <w:p w14:paraId="6083A31F" w14:textId="77777777" w:rsidR="000B2E2F" w:rsidRPr="00C252D2" w:rsidRDefault="000B2E2F">
            <w:pPr>
              <w:rPr>
                <w:rFonts w:ascii="Arial" w:hAnsi="Arial" w:cs="Arial"/>
                <w:sz w:val="22"/>
                <w:szCs w:val="22"/>
                <w:lang w:val="lt-LT"/>
              </w:rPr>
            </w:pPr>
            <w:r w:rsidRPr="00C252D2">
              <w:rPr>
                <w:rFonts w:ascii="Arial" w:hAnsi="Arial" w:cs="Arial"/>
                <w:sz w:val="22"/>
                <w:szCs w:val="22"/>
                <w:lang w:val="lt-LT"/>
              </w:rPr>
              <w:t xml:space="preserve">Tel. </w:t>
            </w:r>
            <w:r w:rsidRPr="006C0A49">
              <w:rPr>
                <w:rFonts w:ascii="Arial" w:hAnsi="Arial" w:cs="Arial"/>
                <w:sz w:val="22"/>
                <w:szCs w:val="22"/>
                <w:lang w:val="lt-LT"/>
              </w:rPr>
              <w:t>1840</w:t>
            </w:r>
          </w:p>
          <w:p w14:paraId="17334B3B" w14:textId="5088EA56" w:rsidR="000B2E2F" w:rsidRPr="00C252D2" w:rsidRDefault="00146D1D">
            <w:pPr>
              <w:rPr>
                <w:rFonts w:ascii="Arial" w:hAnsi="Arial" w:cs="Arial"/>
                <w:sz w:val="22"/>
                <w:szCs w:val="22"/>
                <w:lang w:val="lt-LT"/>
              </w:rPr>
            </w:pPr>
            <w:hyperlink r:id="rId11" w:history="1">
              <w:r w:rsidR="000D3B10" w:rsidRPr="00C252D2">
                <w:rPr>
                  <w:rStyle w:val="Hyperlink"/>
                  <w:rFonts w:ascii="Arial" w:hAnsi="Arial" w:cs="Arial"/>
                  <w:sz w:val="22"/>
                  <w:szCs w:val="22"/>
                </w:rPr>
                <w:t>info@chc.lt</w:t>
              </w:r>
            </w:hyperlink>
          </w:p>
        </w:tc>
      </w:tr>
      <w:tr w:rsidR="00070F1B" w:rsidRPr="008A3C1C" w14:paraId="25E1BE18" w14:textId="77777777">
        <w:tc>
          <w:tcPr>
            <w:tcW w:w="4739" w:type="dxa"/>
          </w:tcPr>
          <w:p w14:paraId="30855169" w14:textId="77777777" w:rsidR="00070F1B" w:rsidRPr="008A3C1C" w:rsidRDefault="00070F1B">
            <w:pPr>
              <w:rPr>
                <w:rFonts w:ascii="Arial" w:hAnsi="Arial" w:cs="Arial"/>
                <w:sz w:val="22"/>
                <w:szCs w:val="22"/>
                <w:lang w:val="lt-LT"/>
              </w:rPr>
            </w:pPr>
          </w:p>
        </w:tc>
        <w:tc>
          <w:tcPr>
            <w:tcW w:w="5150" w:type="dxa"/>
          </w:tcPr>
          <w:p w14:paraId="0590FA5F" w14:textId="77777777" w:rsidR="00070F1B" w:rsidRPr="00C252D2" w:rsidRDefault="00070F1B">
            <w:pPr>
              <w:rPr>
                <w:rFonts w:ascii="Arial" w:hAnsi="Arial" w:cs="Arial"/>
                <w:sz w:val="22"/>
                <w:szCs w:val="22"/>
                <w:lang w:val="lt-LT"/>
              </w:rPr>
            </w:pPr>
          </w:p>
        </w:tc>
      </w:tr>
      <w:tr w:rsidR="00070F1B" w:rsidRPr="001401F2" w14:paraId="072A6300" w14:textId="77777777">
        <w:tc>
          <w:tcPr>
            <w:tcW w:w="4739" w:type="dxa"/>
          </w:tcPr>
          <w:p w14:paraId="60465F4E" w14:textId="4D47829E" w:rsidR="00070F1B" w:rsidRPr="006C0A49" w:rsidRDefault="00070F1B" w:rsidP="001401F2">
            <w:pPr>
              <w:rPr>
                <w:rFonts w:ascii="Arial" w:hAnsi="Arial" w:cs="Arial"/>
                <w:sz w:val="22"/>
                <w:szCs w:val="22"/>
              </w:rPr>
            </w:pPr>
            <w:bookmarkStart w:id="0" w:name="_GoBack"/>
            <w:bookmarkEnd w:id="0"/>
          </w:p>
        </w:tc>
        <w:tc>
          <w:tcPr>
            <w:tcW w:w="5150" w:type="dxa"/>
          </w:tcPr>
          <w:p w14:paraId="06C32335" w14:textId="77777777" w:rsidR="00070F1B" w:rsidRPr="00C252D2" w:rsidRDefault="00070F1B">
            <w:pPr>
              <w:rPr>
                <w:rFonts w:ascii="Arial" w:hAnsi="Arial" w:cs="Arial"/>
                <w:sz w:val="22"/>
                <w:szCs w:val="22"/>
                <w:lang w:val="lt-LT"/>
              </w:rPr>
            </w:pPr>
          </w:p>
        </w:tc>
      </w:tr>
      <w:tr w:rsidR="00070F1B" w:rsidRPr="008A3C1C" w14:paraId="1E08FDA7" w14:textId="77777777">
        <w:tc>
          <w:tcPr>
            <w:tcW w:w="4739" w:type="dxa"/>
          </w:tcPr>
          <w:p w14:paraId="4D51277F" w14:textId="77777777" w:rsidR="00070F1B" w:rsidRPr="008A3C1C" w:rsidRDefault="00070F1B">
            <w:pPr>
              <w:rPr>
                <w:rFonts w:ascii="Arial" w:hAnsi="Arial" w:cs="Arial"/>
                <w:sz w:val="22"/>
                <w:szCs w:val="22"/>
                <w:lang w:val="lt-LT"/>
              </w:rPr>
            </w:pPr>
          </w:p>
        </w:tc>
        <w:tc>
          <w:tcPr>
            <w:tcW w:w="5150" w:type="dxa"/>
          </w:tcPr>
          <w:p w14:paraId="514D5028" w14:textId="77777777" w:rsidR="00070F1B" w:rsidRPr="008A3C1C" w:rsidRDefault="00070F1B">
            <w:pPr>
              <w:rPr>
                <w:rFonts w:ascii="Arial" w:hAnsi="Arial" w:cs="Arial"/>
                <w:sz w:val="22"/>
                <w:szCs w:val="22"/>
                <w:lang w:val="lt-LT"/>
              </w:rPr>
            </w:pPr>
          </w:p>
        </w:tc>
      </w:tr>
      <w:tr w:rsidR="00070F1B" w:rsidRPr="008A3C1C" w14:paraId="04D9F70C" w14:textId="77777777">
        <w:tc>
          <w:tcPr>
            <w:tcW w:w="4739" w:type="dxa"/>
          </w:tcPr>
          <w:p w14:paraId="59F7B174" w14:textId="77777777" w:rsidR="00070F1B" w:rsidRPr="008A3C1C" w:rsidRDefault="00070F1B">
            <w:pPr>
              <w:rPr>
                <w:rFonts w:ascii="Arial" w:hAnsi="Arial" w:cs="Arial"/>
                <w:sz w:val="22"/>
                <w:szCs w:val="22"/>
              </w:rPr>
            </w:pPr>
          </w:p>
        </w:tc>
        <w:tc>
          <w:tcPr>
            <w:tcW w:w="5150" w:type="dxa"/>
          </w:tcPr>
          <w:p w14:paraId="0E5F9B6A" w14:textId="77777777" w:rsidR="00070F1B" w:rsidRPr="008A3C1C" w:rsidRDefault="00070F1B">
            <w:pPr>
              <w:rPr>
                <w:rFonts w:ascii="Arial" w:hAnsi="Arial" w:cs="Arial"/>
                <w:sz w:val="22"/>
                <w:szCs w:val="22"/>
              </w:rPr>
            </w:pPr>
          </w:p>
        </w:tc>
      </w:tr>
      <w:tr w:rsidR="00070F1B" w:rsidRPr="008A3C1C" w14:paraId="4FDF1563" w14:textId="77777777">
        <w:tc>
          <w:tcPr>
            <w:tcW w:w="4739" w:type="dxa"/>
          </w:tcPr>
          <w:p w14:paraId="38E72A0D" w14:textId="77777777" w:rsidR="00070F1B" w:rsidRPr="008A3C1C" w:rsidRDefault="00070F1B">
            <w:pPr>
              <w:rPr>
                <w:rFonts w:ascii="Arial" w:hAnsi="Arial" w:cs="Arial"/>
                <w:sz w:val="22"/>
                <w:szCs w:val="22"/>
                <w:lang w:val="lt-LT"/>
              </w:rPr>
            </w:pPr>
          </w:p>
        </w:tc>
        <w:tc>
          <w:tcPr>
            <w:tcW w:w="5150" w:type="dxa"/>
          </w:tcPr>
          <w:p w14:paraId="17451263" w14:textId="77777777" w:rsidR="00070F1B" w:rsidRPr="008A3C1C" w:rsidRDefault="00070F1B">
            <w:pPr>
              <w:rPr>
                <w:rFonts w:ascii="Arial" w:hAnsi="Arial" w:cs="Arial"/>
                <w:sz w:val="22"/>
                <w:szCs w:val="22"/>
                <w:lang w:val="lt-LT"/>
              </w:rPr>
            </w:pPr>
          </w:p>
        </w:tc>
      </w:tr>
      <w:tr w:rsidR="00070F1B" w:rsidRPr="008A3C1C" w14:paraId="549C0A14" w14:textId="77777777">
        <w:tc>
          <w:tcPr>
            <w:tcW w:w="4739" w:type="dxa"/>
          </w:tcPr>
          <w:p w14:paraId="3C44645C" w14:textId="77777777" w:rsidR="00070F1B" w:rsidRPr="008A3C1C" w:rsidRDefault="00070F1B">
            <w:pPr>
              <w:rPr>
                <w:rFonts w:ascii="Arial" w:hAnsi="Arial" w:cs="Arial"/>
                <w:sz w:val="22"/>
                <w:szCs w:val="22"/>
                <w:lang w:val="lt-LT"/>
              </w:rPr>
            </w:pPr>
          </w:p>
        </w:tc>
        <w:tc>
          <w:tcPr>
            <w:tcW w:w="5150" w:type="dxa"/>
          </w:tcPr>
          <w:p w14:paraId="26CAFEC1" w14:textId="77777777" w:rsidR="00070F1B" w:rsidRPr="008A3C1C" w:rsidRDefault="00070F1B">
            <w:pPr>
              <w:rPr>
                <w:rFonts w:ascii="Arial" w:hAnsi="Arial" w:cs="Arial"/>
                <w:sz w:val="22"/>
                <w:szCs w:val="22"/>
                <w:lang w:val="lt-LT"/>
              </w:rPr>
            </w:pPr>
          </w:p>
        </w:tc>
      </w:tr>
      <w:tr w:rsidR="00070F1B" w:rsidRPr="008A3C1C" w14:paraId="5E38424C" w14:textId="77777777">
        <w:tc>
          <w:tcPr>
            <w:tcW w:w="4739" w:type="dxa"/>
          </w:tcPr>
          <w:p w14:paraId="013B848D" w14:textId="77777777" w:rsidR="00070F1B" w:rsidRPr="008A3C1C" w:rsidRDefault="00070F1B">
            <w:pPr>
              <w:rPr>
                <w:rFonts w:ascii="Arial" w:hAnsi="Arial" w:cs="Arial"/>
                <w:sz w:val="22"/>
                <w:szCs w:val="22"/>
                <w:lang w:val="lt-LT"/>
              </w:rPr>
            </w:pPr>
          </w:p>
        </w:tc>
        <w:tc>
          <w:tcPr>
            <w:tcW w:w="5150" w:type="dxa"/>
          </w:tcPr>
          <w:p w14:paraId="6358BC2F" w14:textId="77777777" w:rsidR="00070F1B" w:rsidRPr="008A3C1C" w:rsidRDefault="00070F1B">
            <w:pPr>
              <w:rPr>
                <w:rFonts w:ascii="Arial" w:hAnsi="Arial" w:cs="Arial"/>
                <w:sz w:val="22"/>
                <w:szCs w:val="22"/>
                <w:lang w:val="lt-LT"/>
              </w:rPr>
            </w:pPr>
          </w:p>
        </w:tc>
      </w:tr>
      <w:tr w:rsidR="00070F1B" w:rsidRPr="008A3C1C" w14:paraId="4198F87C" w14:textId="77777777">
        <w:tc>
          <w:tcPr>
            <w:tcW w:w="4739" w:type="dxa"/>
          </w:tcPr>
          <w:p w14:paraId="2F544024" w14:textId="77777777" w:rsidR="00070F1B" w:rsidRPr="008A3C1C" w:rsidRDefault="00070F1B">
            <w:pPr>
              <w:jc w:val="both"/>
              <w:rPr>
                <w:rFonts w:ascii="Arial" w:hAnsi="Arial" w:cs="Arial"/>
                <w:sz w:val="22"/>
                <w:szCs w:val="22"/>
                <w:lang w:val="lt-LT"/>
              </w:rPr>
            </w:pPr>
          </w:p>
        </w:tc>
        <w:tc>
          <w:tcPr>
            <w:tcW w:w="5150" w:type="dxa"/>
          </w:tcPr>
          <w:p w14:paraId="4E2D7972" w14:textId="77777777" w:rsidR="00070F1B" w:rsidRPr="008A3C1C" w:rsidRDefault="00070F1B">
            <w:pPr>
              <w:jc w:val="both"/>
              <w:rPr>
                <w:rFonts w:ascii="Arial" w:hAnsi="Arial" w:cs="Arial"/>
                <w:sz w:val="22"/>
                <w:szCs w:val="22"/>
                <w:lang w:val="lt-LT"/>
              </w:rPr>
            </w:pPr>
          </w:p>
        </w:tc>
      </w:tr>
    </w:tbl>
    <w:p w14:paraId="2481805E" w14:textId="2FE3B000" w:rsidR="00070F1B" w:rsidRDefault="00070F1B">
      <w:pPr>
        <w:rPr>
          <w:rFonts w:ascii="Arial" w:hAnsi="Arial" w:cs="Arial"/>
          <w:sz w:val="22"/>
          <w:szCs w:val="22"/>
          <w:lang w:val="lt-LT"/>
        </w:rPr>
      </w:pPr>
    </w:p>
    <w:p w14:paraId="4CE3C63E" w14:textId="593914FC" w:rsidR="00E61C59" w:rsidRDefault="00E61C59">
      <w:pPr>
        <w:rPr>
          <w:rFonts w:ascii="Arial" w:hAnsi="Arial" w:cs="Arial"/>
          <w:sz w:val="22"/>
          <w:szCs w:val="22"/>
          <w:lang w:val="lt-LT"/>
        </w:rPr>
      </w:pPr>
    </w:p>
    <w:p w14:paraId="7DE6E6ED" w14:textId="1E361B12" w:rsidR="00E61C59" w:rsidRDefault="00E61C59">
      <w:pPr>
        <w:rPr>
          <w:rFonts w:ascii="Arial" w:hAnsi="Arial" w:cs="Arial"/>
          <w:sz w:val="22"/>
          <w:szCs w:val="22"/>
          <w:lang w:val="lt-LT"/>
        </w:rPr>
      </w:pPr>
    </w:p>
    <w:p w14:paraId="1CB93684" w14:textId="086D298B" w:rsidR="00E61C59" w:rsidRDefault="00E61C59">
      <w:pPr>
        <w:rPr>
          <w:rFonts w:ascii="Arial" w:hAnsi="Arial" w:cs="Arial"/>
          <w:sz w:val="22"/>
          <w:szCs w:val="22"/>
          <w:lang w:val="lt-LT"/>
        </w:rPr>
      </w:pPr>
    </w:p>
    <w:p w14:paraId="5EDF66D3" w14:textId="3B78A8BC" w:rsidR="00E61C59" w:rsidRDefault="00E61C59">
      <w:pPr>
        <w:rPr>
          <w:rFonts w:ascii="Arial" w:hAnsi="Arial" w:cs="Arial"/>
          <w:sz w:val="22"/>
          <w:szCs w:val="22"/>
          <w:lang w:val="lt-LT"/>
        </w:rPr>
      </w:pPr>
    </w:p>
    <w:p w14:paraId="1EEE0658" w14:textId="2C7633D7" w:rsidR="00E61C59" w:rsidRDefault="00E61C59">
      <w:pPr>
        <w:rPr>
          <w:rFonts w:ascii="Arial" w:hAnsi="Arial" w:cs="Arial"/>
          <w:sz w:val="22"/>
          <w:szCs w:val="22"/>
          <w:lang w:val="lt-LT"/>
        </w:rPr>
      </w:pPr>
    </w:p>
    <w:p w14:paraId="4DAF78BA" w14:textId="5FB74532" w:rsidR="00E61C59" w:rsidRDefault="00E61C59">
      <w:pPr>
        <w:rPr>
          <w:rFonts w:ascii="Arial" w:hAnsi="Arial" w:cs="Arial"/>
          <w:sz w:val="22"/>
          <w:szCs w:val="22"/>
          <w:lang w:val="lt-LT"/>
        </w:rPr>
      </w:pPr>
    </w:p>
    <w:p w14:paraId="14E66FE6" w14:textId="675F9123" w:rsidR="00E61C59" w:rsidRDefault="00E61C59">
      <w:pPr>
        <w:rPr>
          <w:rFonts w:ascii="Arial" w:hAnsi="Arial" w:cs="Arial"/>
          <w:sz w:val="22"/>
          <w:szCs w:val="22"/>
          <w:lang w:val="lt-LT"/>
        </w:rPr>
      </w:pPr>
    </w:p>
    <w:p w14:paraId="584FC999" w14:textId="07F5E347" w:rsidR="00E61C59" w:rsidRDefault="00E61C59">
      <w:pPr>
        <w:rPr>
          <w:rFonts w:ascii="Arial" w:hAnsi="Arial" w:cs="Arial"/>
          <w:sz w:val="22"/>
          <w:szCs w:val="22"/>
          <w:lang w:val="lt-LT"/>
        </w:rPr>
      </w:pPr>
    </w:p>
    <w:p w14:paraId="7F1CD575" w14:textId="1035F254" w:rsidR="00E61C59" w:rsidRDefault="00E61C59">
      <w:pPr>
        <w:rPr>
          <w:rFonts w:ascii="Arial" w:hAnsi="Arial" w:cs="Arial"/>
          <w:sz w:val="22"/>
          <w:szCs w:val="22"/>
          <w:lang w:val="lt-LT"/>
        </w:rPr>
      </w:pPr>
    </w:p>
    <w:p w14:paraId="009E27B5" w14:textId="4E65FE27" w:rsidR="00E61C59" w:rsidRDefault="00E61C59">
      <w:pPr>
        <w:rPr>
          <w:rFonts w:ascii="Arial" w:hAnsi="Arial" w:cs="Arial"/>
          <w:sz w:val="22"/>
          <w:szCs w:val="22"/>
          <w:lang w:val="lt-LT"/>
        </w:rPr>
      </w:pPr>
    </w:p>
    <w:p w14:paraId="39D40F3D" w14:textId="175959C6" w:rsidR="00E61C59" w:rsidRDefault="00E61C59">
      <w:pPr>
        <w:rPr>
          <w:rFonts w:ascii="Arial" w:hAnsi="Arial" w:cs="Arial"/>
          <w:sz w:val="22"/>
          <w:szCs w:val="22"/>
          <w:lang w:val="lt-LT"/>
        </w:rPr>
      </w:pPr>
    </w:p>
    <w:p w14:paraId="59D5C6C3" w14:textId="79370BC4" w:rsidR="00E61C59" w:rsidRDefault="00E61C59">
      <w:pPr>
        <w:rPr>
          <w:rFonts w:ascii="Arial" w:hAnsi="Arial" w:cs="Arial"/>
          <w:sz w:val="22"/>
          <w:szCs w:val="22"/>
          <w:lang w:val="lt-LT"/>
        </w:rPr>
      </w:pPr>
    </w:p>
    <w:p w14:paraId="4FCB51BE" w14:textId="460BC375" w:rsidR="00E61C59" w:rsidRDefault="00E61C59">
      <w:pPr>
        <w:rPr>
          <w:rFonts w:ascii="Arial" w:hAnsi="Arial" w:cs="Arial"/>
          <w:sz w:val="22"/>
          <w:szCs w:val="22"/>
          <w:lang w:val="lt-LT"/>
        </w:rPr>
      </w:pPr>
    </w:p>
    <w:p w14:paraId="4C564CC0" w14:textId="25CB3526" w:rsidR="00E61C59" w:rsidRDefault="00E61C59">
      <w:pPr>
        <w:rPr>
          <w:rFonts w:ascii="Arial" w:hAnsi="Arial" w:cs="Arial"/>
          <w:sz w:val="22"/>
          <w:szCs w:val="22"/>
          <w:lang w:val="lt-LT"/>
        </w:rPr>
      </w:pPr>
    </w:p>
    <w:p w14:paraId="7FC2ACA5" w14:textId="6A663ED5" w:rsidR="00E61C59" w:rsidRDefault="00E61C59">
      <w:pPr>
        <w:rPr>
          <w:rFonts w:ascii="Arial" w:hAnsi="Arial" w:cs="Arial"/>
          <w:sz w:val="22"/>
          <w:szCs w:val="22"/>
          <w:lang w:val="lt-LT"/>
        </w:rPr>
      </w:pPr>
    </w:p>
    <w:p w14:paraId="6F856C2F" w14:textId="6C943C1C" w:rsidR="00E61C59" w:rsidRDefault="00E61C59">
      <w:pPr>
        <w:rPr>
          <w:rFonts w:ascii="Arial" w:hAnsi="Arial" w:cs="Arial"/>
          <w:sz w:val="22"/>
          <w:szCs w:val="22"/>
          <w:lang w:val="lt-LT"/>
        </w:rPr>
      </w:pPr>
    </w:p>
    <w:p w14:paraId="0DD2F3E3" w14:textId="70E30CBA" w:rsidR="00E61C59" w:rsidRDefault="00E61C59">
      <w:pPr>
        <w:rPr>
          <w:rFonts w:ascii="Arial" w:hAnsi="Arial" w:cs="Arial"/>
          <w:sz w:val="22"/>
          <w:szCs w:val="22"/>
          <w:lang w:val="lt-LT"/>
        </w:rPr>
      </w:pPr>
    </w:p>
    <w:p w14:paraId="516C1D6D" w14:textId="3BB1C121" w:rsidR="00E61C59" w:rsidRDefault="00E61C59">
      <w:pPr>
        <w:rPr>
          <w:rFonts w:ascii="Arial" w:hAnsi="Arial" w:cs="Arial"/>
          <w:sz w:val="22"/>
          <w:szCs w:val="22"/>
          <w:lang w:val="lt-LT"/>
        </w:rPr>
      </w:pPr>
    </w:p>
    <w:p w14:paraId="2D4AE35C" w14:textId="2D010821" w:rsidR="00E61C59" w:rsidRDefault="00E61C59">
      <w:pPr>
        <w:rPr>
          <w:rFonts w:ascii="Arial" w:hAnsi="Arial" w:cs="Arial"/>
          <w:sz w:val="22"/>
          <w:szCs w:val="22"/>
          <w:lang w:val="lt-LT"/>
        </w:rPr>
      </w:pPr>
    </w:p>
    <w:p w14:paraId="1BA1AD50" w14:textId="248288F1" w:rsidR="00E61C59" w:rsidRDefault="00E61C59">
      <w:pPr>
        <w:rPr>
          <w:rFonts w:ascii="Arial" w:hAnsi="Arial" w:cs="Arial"/>
          <w:sz w:val="22"/>
          <w:szCs w:val="22"/>
          <w:lang w:val="lt-LT"/>
        </w:rPr>
      </w:pPr>
    </w:p>
    <w:p w14:paraId="3ECC45D7" w14:textId="3DA01D1A" w:rsidR="00E61C59" w:rsidRDefault="00E61C59">
      <w:pPr>
        <w:rPr>
          <w:rFonts w:ascii="Arial" w:hAnsi="Arial" w:cs="Arial"/>
          <w:sz w:val="22"/>
          <w:szCs w:val="22"/>
          <w:lang w:val="lt-LT"/>
        </w:rPr>
      </w:pPr>
    </w:p>
    <w:p w14:paraId="428939AC" w14:textId="25766369" w:rsidR="00E61C59" w:rsidRDefault="00E61C59">
      <w:pPr>
        <w:rPr>
          <w:rFonts w:ascii="Arial" w:hAnsi="Arial" w:cs="Arial"/>
          <w:sz w:val="22"/>
          <w:szCs w:val="22"/>
          <w:lang w:val="lt-LT"/>
        </w:rPr>
      </w:pPr>
    </w:p>
    <w:p w14:paraId="49D08A83" w14:textId="605E957C" w:rsidR="00E61C59" w:rsidRDefault="00E61C59">
      <w:pPr>
        <w:rPr>
          <w:rFonts w:ascii="Arial" w:hAnsi="Arial" w:cs="Arial"/>
          <w:sz w:val="22"/>
          <w:szCs w:val="22"/>
          <w:lang w:val="lt-LT"/>
        </w:rPr>
      </w:pPr>
    </w:p>
    <w:p w14:paraId="2799A458" w14:textId="4C4285D5" w:rsidR="00E61C59" w:rsidRDefault="00E61C59">
      <w:pPr>
        <w:rPr>
          <w:rFonts w:ascii="Arial" w:hAnsi="Arial" w:cs="Arial"/>
          <w:sz w:val="22"/>
          <w:szCs w:val="22"/>
          <w:lang w:val="lt-LT"/>
        </w:rPr>
      </w:pPr>
    </w:p>
    <w:p w14:paraId="2F150942" w14:textId="5510EA63" w:rsidR="00E61C59" w:rsidRDefault="00E61C59">
      <w:pPr>
        <w:rPr>
          <w:rFonts w:ascii="Arial" w:hAnsi="Arial" w:cs="Arial"/>
          <w:sz w:val="22"/>
          <w:szCs w:val="22"/>
          <w:lang w:val="lt-LT"/>
        </w:rPr>
      </w:pPr>
    </w:p>
    <w:p w14:paraId="04FCC7C3" w14:textId="7088379D" w:rsidR="00E61C59" w:rsidRDefault="00E61C59">
      <w:pPr>
        <w:rPr>
          <w:rFonts w:ascii="Arial" w:hAnsi="Arial" w:cs="Arial"/>
          <w:sz w:val="22"/>
          <w:szCs w:val="22"/>
          <w:lang w:val="lt-LT"/>
        </w:rPr>
      </w:pPr>
    </w:p>
    <w:p w14:paraId="34CA6F95" w14:textId="5527702F" w:rsidR="00E61C59" w:rsidRDefault="00E61C59">
      <w:pPr>
        <w:rPr>
          <w:rFonts w:ascii="Arial" w:hAnsi="Arial" w:cs="Arial"/>
          <w:sz w:val="22"/>
          <w:szCs w:val="22"/>
          <w:lang w:val="lt-LT"/>
        </w:rPr>
      </w:pPr>
    </w:p>
    <w:p w14:paraId="650798BC" w14:textId="6F7B4015" w:rsidR="00E61C59" w:rsidRDefault="00E61C59">
      <w:pPr>
        <w:rPr>
          <w:rFonts w:ascii="Arial" w:hAnsi="Arial" w:cs="Arial"/>
          <w:sz w:val="22"/>
          <w:szCs w:val="22"/>
          <w:lang w:val="lt-LT"/>
        </w:rPr>
      </w:pPr>
    </w:p>
    <w:sectPr w:rsidR="00E61C59">
      <w:headerReference w:type="default" r:id="rId12"/>
      <w:footerReference w:type="even" r:id="rId13"/>
      <w:footerReference w:type="default" r:id="rId14"/>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6188F" w14:textId="77777777" w:rsidR="00E31429" w:rsidRDefault="00E31429">
      <w:r>
        <w:separator/>
      </w:r>
    </w:p>
  </w:endnote>
  <w:endnote w:type="continuationSeparator" w:id="0">
    <w:p w14:paraId="5434960D" w14:textId="77777777" w:rsidR="00E31429" w:rsidRDefault="00E3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entury Schoolbook">
    <w:charset w:val="00"/>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3474D" w14:textId="77777777" w:rsidR="00070F1B" w:rsidRDefault="00070F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22F532" w14:textId="77777777" w:rsidR="00070F1B" w:rsidRDefault="00070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FC845" w14:textId="77777777" w:rsidR="00070F1B" w:rsidRDefault="00070F1B">
    <w:pPr>
      <w:pStyle w:val="Footer"/>
      <w:framePr w:wrap="around" w:vAnchor="text" w:hAnchor="margin" w:xAlign="center" w:y="1"/>
      <w:rPr>
        <w:rStyle w:val="PageNumber"/>
        <w:sz w:val="18"/>
        <w:lang w:val="lt-LT"/>
      </w:rPr>
    </w:pPr>
    <w:r>
      <w:rPr>
        <w:rStyle w:val="PageNumber"/>
        <w:sz w:val="18"/>
        <w:lang w:val="lt-LT"/>
      </w:rPr>
      <w:fldChar w:fldCharType="begin"/>
    </w:r>
    <w:r>
      <w:rPr>
        <w:rStyle w:val="PageNumber"/>
        <w:sz w:val="18"/>
        <w:lang w:val="lt-LT"/>
      </w:rPr>
      <w:instrText xml:space="preserve">PAGE  </w:instrText>
    </w:r>
    <w:r>
      <w:rPr>
        <w:rStyle w:val="PageNumber"/>
        <w:sz w:val="18"/>
        <w:lang w:val="lt-LT"/>
      </w:rPr>
      <w:fldChar w:fldCharType="separate"/>
    </w:r>
    <w:r w:rsidR="003364B2">
      <w:rPr>
        <w:rStyle w:val="PageNumber"/>
        <w:noProof/>
        <w:sz w:val="18"/>
        <w:lang w:val="lt-LT"/>
      </w:rPr>
      <w:t>2</w:t>
    </w:r>
    <w:r>
      <w:rPr>
        <w:rStyle w:val="PageNumber"/>
        <w:sz w:val="18"/>
        <w:lang w:val="lt-LT"/>
      </w:rPr>
      <w:fldChar w:fldCharType="end"/>
    </w:r>
  </w:p>
  <w:tbl>
    <w:tblPr>
      <w:tblW w:w="0" w:type="auto"/>
      <w:tblLook w:val="0000" w:firstRow="0" w:lastRow="0" w:firstColumn="0" w:lastColumn="0" w:noHBand="0" w:noVBand="0"/>
    </w:tblPr>
    <w:tblGrid>
      <w:gridCol w:w="4818"/>
      <w:gridCol w:w="4820"/>
    </w:tblGrid>
    <w:tr w:rsidR="00070F1B" w14:paraId="07801085" w14:textId="77777777">
      <w:tc>
        <w:tcPr>
          <w:tcW w:w="5094" w:type="dxa"/>
        </w:tcPr>
        <w:p w14:paraId="65A2B9BC" w14:textId="77777777" w:rsidR="00070F1B" w:rsidRDefault="00070F1B">
          <w:pPr>
            <w:pStyle w:val="Footer"/>
            <w:widowControl w:val="0"/>
            <w:rPr>
              <w:b/>
              <w:bCs/>
              <w:sz w:val="16"/>
              <w:lang w:val="lt-LT"/>
            </w:rPr>
          </w:pPr>
          <w:r>
            <w:rPr>
              <w:b/>
              <w:bCs/>
              <w:sz w:val="16"/>
              <w:lang w:val="lt-LT"/>
            </w:rPr>
            <w:t>Bankas</w:t>
          </w:r>
        </w:p>
      </w:tc>
      <w:tc>
        <w:tcPr>
          <w:tcW w:w="5094" w:type="dxa"/>
        </w:tcPr>
        <w:p w14:paraId="2EBC43C1" w14:textId="77777777" w:rsidR="00070F1B" w:rsidRDefault="00070F1B">
          <w:pPr>
            <w:pStyle w:val="Footer"/>
            <w:widowControl w:val="0"/>
            <w:jc w:val="right"/>
            <w:rPr>
              <w:b/>
              <w:bCs/>
              <w:sz w:val="16"/>
              <w:lang w:val="lt-LT"/>
            </w:rPr>
          </w:pPr>
          <w:r>
            <w:rPr>
              <w:b/>
              <w:bCs/>
              <w:sz w:val="16"/>
              <w:lang w:val="lt-LT"/>
            </w:rPr>
            <w:t xml:space="preserve">Gavėjas </w:t>
          </w:r>
        </w:p>
      </w:tc>
    </w:tr>
  </w:tbl>
  <w:p w14:paraId="570663C8" w14:textId="77777777" w:rsidR="00070F1B" w:rsidRDefault="00070F1B">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2DC05" w14:textId="77777777" w:rsidR="00E31429" w:rsidRDefault="00E31429">
      <w:r>
        <w:separator/>
      </w:r>
    </w:p>
  </w:footnote>
  <w:footnote w:type="continuationSeparator" w:id="0">
    <w:p w14:paraId="22CD36B5" w14:textId="77777777" w:rsidR="00E31429" w:rsidRDefault="00E31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F4FF0" w14:textId="77777777" w:rsidR="00070F1B" w:rsidRDefault="00070F1B">
    <w:pPr>
      <w:pStyle w:val="Header"/>
      <w:jc w:val="right"/>
      <w:rPr>
        <w:rFonts w:ascii="Arial" w:hAnsi="Arial" w:cs="Arial"/>
        <w:sz w:val="16"/>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C6EF5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2AEE23F5"/>
    <w:multiLevelType w:val="hybridMultilevel"/>
    <w:tmpl w:val="12802AE0"/>
    <w:lvl w:ilvl="0" w:tplc="53FC479C">
      <w:start w:val="1"/>
      <w:numFmt w:val="decimal"/>
      <w:lvlText w:val="%1."/>
      <w:lvlJc w:val="left"/>
      <w:pPr>
        <w:tabs>
          <w:tab w:val="num" w:pos="720"/>
        </w:tabs>
        <w:ind w:left="720" w:hanging="360"/>
      </w:pPr>
      <w:rPr>
        <w:rFonts w:ascii="Arial" w:hAnsi="Arial" w:cs="Arial" w:hint="default"/>
        <w:sz w:val="20"/>
        <w:szCs w:val="2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DDC3A77"/>
    <w:multiLevelType w:val="multilevel"/>
    <w:tmpl w:val="D6FE86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65E84AEF"/>
    <w:multiLevelType w:val="hybridMultilevel"/>
    <w:tmpl w:val="FCBAFFAE"/>
    <w:lvl w:ilvl="0" w:tplc="5732A436">
      <w:start w:val="1"/>
      <w:numFmt w:val="upperRoman"/>
      <w:pStyle w:val="Heading4"/>
      <w:lvlText w:val="%1."/>
      <w:lvlJc w:val="left"/>
      <w:pPr>
        <w:tabs>
          <w:tab w:val="num" w:pos="1266"/>
        </w:tabs>
        <w:ind w:left="1266" w:hanging="720"/>
      </w:pPr>
      <w:rPr>
        <w:rFonts w:hint="default"/>
      </w:rPr>
    </w:lvl>
    <w:lvl w:ilvl="1" w:tplc="04090019">
      <w:start w:val="1"/>
      <w:numFmt w:val="lowerLetter"/>
      <w:lvlText w:val="%2."/>
      <w:lvlJc w:val="left"/>
      <w:pPr>
        <w:tabs>
          <w:tab w:val="num" w:pos="1626"/>
        </w:tabs>
        <w:ind w:left="1626" w:hanging="360"/>
      </w:pPr>
    </w:lvl>
    <w:lvl w:ilvl="2" w:tplc="3D02FA30">
      <w:start w:val="13"/>
      <w:numFmt w:val="decimal"/>
      <w:lvlText w:val="%3."/>
      <w:lvlJc w:val="left"/>
      <w:pPr>
        <w:tabs>
          <w:tab w:val="num" w:pos="2526"/>
        </w:tabs>
        <w:ind w:left="2526" w:hanging="360"/>
      </w:pPr>
      <w:rPr>
        <w:rFonts w:hint="default"/>
      </w:r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6" w15:restartNumberingAfterBreak="0">
    <w:nsid w:val="6C9A1962"/>
    <w:multiLevelType w:val="multilevel"/>
    <w:tmpl w:val="59B87760"/>
    <w:lvl w:ilvl="0">
      <w:start w:val="1"/>
      <w:numFmt w:val="bullet"/>
      <w:pStyle w:val="ListContinue4"/>
      <w:lvlText w:val=""/>
      <w:lvlJc w:val="left"/>
      <w:pPr>
        <w:tabs>
          <w:tab w:val="num" w:pos="1872"/>
        </w:tabs>
        <w:ind w:left="1872" w:hanging="432"/>
      </w:pPr>
      <w:rPr>
        <w:rFonts w:ascii="Symbol" w:hAnsi="Symbol"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5"/>
  </w:num>
  <w:num w:numId="3">
    <w:abstractNumId w:val="6"/>
  </w:num>
  <w:num w:numId="4">
    <w:abstractNumId w:val="2"/>
  </w:num>
  <w:num w:numId="5">
    <w:abstractNumId w:val="4"/>
  </w:num>
  <w:num w:numId="6">
    <w:abstractNumId w:val="1"/>
  </w:num>
  <w:num w:numId="7">
    <w:abstractNumId w:val="7"/>
  </w:num>
  <w:num w:numId="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3EC"/>
    <w:rsid w:val="00010C03"/>
    <w:rsid w:val="00022044"/>
    <w:rsid w:val="00054173"/>
    <w:rsid w:val="00070F1B"/>
    <w:rsid w:val="0007723C"/>
    <w:rsid w:val="00077DFE"/>
    <w:rsid w:val="000A35A5"/>
    <w:rsid w:val="000B2E2F"/>
    <w:rsid w:val="000D3B10"/>
    <w:rsid w:val="000E01E6"/>
    <w:rsid w:val="000E4542"/>
    <w:rsid w:val="000F26B6"/>
    <w:rsid w:val="000F38D5"/>
    <w:rsid w:val="001066CD"/>
    <w:rsid w:val="0011459F"/>
    <w:rsid w:val="00121871"/>
    <w:rsid w:val="00122D96"/>
    <w:rsid w:val="001401F2"/>
    <w:rsid w:val="001421BF"/>
    <w:rsid w:val="00146D1D"/>
    <w:rsid w:val="00162FED"/>
    <w:rsid w:val="001766A8"/>
    <w:rsid w:val="00187503"/>
    <w:rsid w:val="00187656"/>
    <w:rsid w:val="001C7A4B"/>
    <w:rsid w:val="001D0D64"/>
    <w:rsid w:val="001F5D10"/>
    <w:rsid w:val="002074D8"/>
    <w:rsid w:val="00246865"/>
    <w:rsid w:val="00277592"/>
    <w:rsid w:val="00292138"/>
    <w:rsid w:val="002922D0"/>
    <w:rsid w:val="00292CA8"/>
    <w:rsid w:val="002A139A"/>
    <w:rsid w:val="002B45AC"/>
    <w:rsid w:val="002C2C5B"/>
    <w:rsid w:val="002D2C10"/>
    <w:rsid w:val="002D5E55"/>
    <w:rsid w:val="002F6BE9"/>
    <w:rsid w:val="00317302"/>
    <w:rsid w:val="0032565A"/>
    <w:rsid w:val="00335372"/>
    <w:rsid w:val="003364B2"/>
    <w:rsid w:val="00342B67"/>
    <w:rsid w:val="00346A7C"/>
    <w:rsid w:val="0035539E"/>
    <w:rsid w:val="00374935"/>
    <w:rsid w:val="00390BF5"/>
    <w:rsid w:val="003B435B"/>
    <w:rsid w:val="003D3B8C"/>
    <w:rsid w:val="003E1E96"/>
    <w:rsid w:val="003E7298"/>
    <w:rsid w:val="00436759"/>
    <w:rsid w:val="00437933"/>
    <w:rsid w:val="00475897"/>
    <w:rsid w:val="0048774C"/>
    <w:rsid w:val="004B6354"/>
    <w:rsid w:val="004C2EFC"/>
    <w:rsid w:val="00545A4A"/>
    <w:rsid w:val="005463EC"/>
    <w:rsid w:val="00550D41"/>
    <w:rsid w:val="00553AA9"/>
    <w:rsid w:val="00554F49"/>
    <w:rsid w:val="0055603B"/>
    <w:rsid w:val="00563C25"/>
    <w:rsid w:val="00581AAB"/>
    <w:rsid w:val="00585E37"/>
    <w:rsid w:val="005A399E"/>
    <w:rsid w:val="005A7387"/>
    <w:rsid w:val="005B621F"/>
    <w:rsid w:val="005F4A93"/>
    <w:rsid w:val="0061225E"/>
    <w:rsid w:val="00645D28"/>
    <w:rsid w:val="0064724E"/>
    <w:rsid w:val="0066328B"/>
    <w:rsid w:val="006668C8"/>
    <w:rsid w:val="006838D6"/>
    <w:rsid w:val="00686FBE"/>
    <w:rsid w:val="006B0E4B"/>
    <w:rsid w:val="006C0A49"/>
    <w:rsid w:val="006D52B0"/>
    <w:rsid w:val="006D5F38"/>
    <w:rsid w:val="006E06C7"/>
    <w:rsid w:val="00721236"/>
    <w:rsid w:val="00726598"/>
    <w:rsid w:val="00733DA5"/>
    <w:rsid w:val="00750BAE"/>
    <w:rsid w:val="00753943"/>
    <w:rsid w:val="00771983"/>
    <w:rsid w:val="00780CF7"/>
    <w:rsid w:val="00785CC7"/>
    <w:rsid w:val="00790432"/>
    <w:rsid w:val="007A1532"/>
    <w:rsid w:val="007A2620"/>
    <w:rsid w:val="007A55AA"/>
    <w:rsid w:val="007B1362"/>
    <w:rsid w:val="007B3683"/>
    <w:rsid w:val="007C3A99"/>
    <w:rsid w:val="007E1010"/>
    <w:rsid w:val="007E2ADA"/>
    <w:rsid w:val="007E386A"/>
    <w:rsid w:val="008101D4"/>
    <w:rsid w:val="008251BC"/>
    <w:rsid w:val="008711CE"/>
    <w:rsid w:val="008937D7"/>
    <w:rsid w:val="008A3C1C"/>
    <w:rsid w:val="0091215B"/>
    <w:rsid w:val="00930345"/>
    <w:rsid w:val="009348B3"/>
    <w:rsid w:val="00940995"/>
    <w:rsid w:val="00945D64"/>
    <w:rsid w:val="00950424"/>
    <w:rsid w:val="00986589"/>
    <w:rsid w:val="00997C56"/>
    <w:rsid w:val="009A47FF"/>
    <w:rsid w:val="009A6819"/>
    <w:rsid w:val="009B3F28"/>
    <w:rsid w:val="009C2DD0"/>
    <w:rsid w:val="009D116D"/>
    <w:rsid w:val="009D1C37"/>
    <w:rsid w:val="009F62D4"/>
    <w:rsid w:val="00A10575"/>
    <w:rsid w:val="00A1142A"/>
    <w:rsid w:val="00A153B8"/>
    <w:rsid w:val="00A37221"/>
    <w:rsid w:val="00A403B3"/>
    <w:rsid w:val="00A65BC7"/>
    <w:rsid w:val="00A90C5F"/>
    <w:rsid w:val="00A933F8"/>
    <w:rsid w:val="00A940F2"/>
    <w:rsid w:val="00AA54F9"/>
    <w:rsid w:val="00AA6E9B"/>
    <w:rsid w:val="00AB607C"/>
    <w:rsid w:val="00AC66F8"/>
    <w:rsid w:val="00AD66FE"/>
    <w:rsid w:val="00AD7BA5"/>
    <w:rsid w:val="00B07087"/>
    <w:rsid w:val="00B40BDC"/>
    <w:rsid w:val="00B600C1"/>
    <w:rsid w:val="00B74B6D"/>
    <w:rsid w:val="00B820CE"/>
    <w:rsid w:val="00B84135"/>
    <w:rsid w:val="00B94C24"/>
    <w:rsid w:val="00BA32E6"/>
    <w:rsid w:val="00BB30A9"/>
    <w:rsid w:val="00BB347D"/>
    <w:rsid w:val="00BB4ECC"/>
    <w:rsid w:val="00BE0713"/>
    <w:rsid w:val="00BE0B42"/>
    <w:rsid w:val="00BE40B4"/>
    <w:rsid w:val="00BF1F82"/>
    <w:rsid w:val="00C245E1"/>
    <w:rsid w:val="00C252D2"/>
    <w:rsid w:val="00C43608"/>
    <w:rsid w:val="00C86F0F"/>
    <w:rsid w:val="00CB0043"/>
    <w:rsid w:val="00CB364C"/>
    <w:rsid w:val="00CC2C9D"/>
    <w:rsid w:val="00CC396A"/>
    <w:rsid w:val="00D25DC0"/>
    <w:rsid w:val="00D26C51"/>
    <w:rsid w:val="00D458E7"/>
    <w:rsid w:val="00D51D1C"/>
    <w:rsid w:val="00D6744B"/>
    <w:rsid w:val="00D74EED"/>
    <w:rsid w:val="00D77945"/>
    <w:rsid w:val="00D77F7B"/>
    <w:rsid w:val="00D8025B"/>
    <w:rsid w:val="00D94D73"/>
    <w:rsid w:val="00DA2445"/>
    <w:rsid w:val="00DB49A1"/>
    <w:rsid w:val="00DE69BB"/>
    <w:rsid w:val="00E125A1"/>
    <w:rsid w:val="00E17574"/>
    <w:rsid w:val="00E31429"/>
    <w:rsid w:val="00E32DC9"/>
    <w:rsid w:val="00E436DF"/>
    <w:rsid w:val="00E50869"/>
    <w:rsid w:val="00E61C59"/>
    <w:rsid w:val="00E80E11"/>
    <w:rsid w:val="00E872DD"/>
    <w:rsid w:val="00E9015C"/>
    <w:rsid w:val="00E92BF2"/>
    <w:rsid w:val="00E97EAB"/>
    <w:rsid w:val="00EE206B"/>
    <w:rsid w:val="00EE3A6A"/>
    <w:rsid w:val="00EE78DE"/>
    <w:rsid w:val="00EF2A4A"/>
    <w:rsid w:val="00EF4780"/>
    <w:rsid w:val="00EF7967"/>
    <w:rsid w:val="00F119A2"/>
    <w:rsid w:val="00F129A5"/>
    <w:rsid w:val="00F35BCC"/>
    <w:rsid w:val="00F37EA6"/>
    <w:rsid w:val="00F660F9"/>
    <w:rsid w:val="00F713AC"/>
    <w:rsid w:val="00F860CB"/>
    <w:rsid w:val="00F9140E"/>
    <w:rsid w:val="00F94EEE"/>
    <w:rsid w:val="00FA3BC3"/>
    <w:rsid w:val="00FA507E"/>
    <w:rsid w:val="00FA625E"/>
    <w:rsid w:val="00FB4829"/>
    <w:rsid w:val="00FE499B"/>
    <w:rsid w:val="00FF42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2906E"/>
  <w15:docId w15:val="{5BCF49A6-4012-4F1B-88C0-5F6BB0DD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07723C"/>
    <w:pPr>
      <w:keepNext/>
      <w:spacing w:before="240" w:after="60"/>
      <w:outlineLvl w:val="0"/>
    </w:pPr>
    <w:rPr>
      <w:rFonts w:ascii="Cambria" w:hAnsi="Cambria"/>
      <w:b/>
      <w:bCs/>
      <w:kern w:val="32"/>
      <w:sz w:val="32"/>
      <w:szCs w:val="32"/>
    </w:rPr>
  </w:style>
  <w:style w:type="paragraph" w:styleId="Heading2">
    <w:name w:val="heading 2"/>
    <w:basedOn w:val="Normal"/>
    <w:next w:val="Normal"/>
    <w:qFormat/>
    <w:pPr>
      <w:keepNext/>
      <w:jc w:val="center"/>
      <w:outlineLvl w:val="1"/>
    </w:pPr>
    <w:rPr>
      <w:b/>
      <w:bCs/>
      <w:sz w:val="22"/>
      <w:lang w:val="lt-LT"/>
    </w:rPr>
  </w:style>
  <w:style w:type="paragraph" w:styleId="Heading3">
    <w:name w:val="heading 3"/>
    <w:basedOn w:val="Normal"/>
    <w:next w:val="Normal"/>
    <w:qFormat/>
    <w:pPr>
      <w:keepNext/>
      <w:jc w:val="both"/>
      <w:outlineLvl w:val="2"/>
    </w:pPr>
    <w:rPr>
      <w:b/>
      <w:sz w:val="22"/>
      <w:lang w:val="lt-LT"/>
    </w:rPr>
  </w:style>
  <w:style w:type="paragraph" w:styleId="Heading4">
    <w:name w:val="heading 4"/>
    <w:basedOn w:val="Normal"/>
    <w:next w:val="Normal"/>
    <w:qFormat/>
    <w:pPr>
      <w:keepNext/>
      <w:widowControl w:val="0"/>
      <w:numPr>
        <w:numId w:val="2"/>
      </w:numPr>
      <w:tabs>
        <w:tab w:val="clear" w:pos="1266"/>
        <w:tab w:val="num" w:pos="426"/>
      </w:tabs>
      <w:autoSpaceDE w:val="0"/>
      <w:autoSpaceDN w:val="0"/>
      <w:adjustRightInd w:val="0"/>
      <w:spacing w:line="260" w:lineRule="auto"/>
      <w:ind w:left="0" w:firstLine="10"/>
      <w:jc w:val="center"/>
      <w:outlineLvl w:val="3"/>
    </w:pPr>
    <w:rPr>
      <w:b/>
      <w:bCs/>
      <w:caps/>
      <w:szCs w:val="22"/>
      <w:lang w:val="lt-LT"/>
    </w:rPr>
  </w:style>
  <w:style w:type="paragraph" w:styleId="Heading5">
    <w:name w:val="heading 5"/>
    <w:basedOn w:val="Normal"/>
    <w:next w:val="Normal"/>
    <w:qFormat/>
    <w:pPr>
      <w:keepNext/>
      <w:jc w:val="center"/>
      <w:outlineLvl w:val="4"/>
    </w:pPr>
    <w:rPr>
      <w:b/>
      <w:bCs/>
      <w:sz w:val="16"/>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BodyText"/>
    <w:autoRedefine/>
    <w:pPr>
      <w:numPr>
        <w:numId w:val="1"/>
      </w:numPr>
      <w:tabs>
        <w:tab w:val="clear" w:pos="360"/>
        <w:tab w:val="num" w:pos="792"/>
        <w:tab w:val="left" w:pos="1440"/>
      </w:tabs>
      <w:spacing w:before="60"/>
      <w:ind w:left="792" w:hanging="432"/>
    </w:pPr>
    <w:rPr>
      <w:rFonts w:ascii="Century Schoolbook" w:hAnsi="Century Schoolbook"/>
      <w:b w:val="0"/>
      <w:bCs w:val="0"/>
      <w:sz w:val="22"/>
      <w:szCs w:val="20"/>
    </w:rPr>
  </w:style>
  <w:style w:type="paragraph" w:styleId="BodyText">
    <w:name w:val="Body Text"/>
    <w:basedOn w:val="Normal"/>
    <w:rPr>
      <w:b/>
      <w:bCs/>
      <w:sz w:val="20"/>
      <w:lang w:val="lt-LT"/>
    </w:rPr>
  </w:style>
  <w:style w:type="paragraph" w:styleId="ListContinue4">
    <w:name w:val="List Continue 4"/>
    <w:basedOn w:val="BodyText"/>
    <w:pPr>
      <w:numPr>
        <w:numId w:val="3"/>
      </w:numPr>
      <w:spacing w:before="60"/>
    </w:pPr>
    <w:rPr>
      <w:rFonts w:ascii="Century Schoolbook" w:hAnsi="Century Schoolbook"/>
      <w:b w:val="0"/>
      <w:bCs w:val="0"/>
      <w:sz w:val="22"/>
      <w:szCs w:val="20"/>
    </w:rPr>
  </w:style>
  <w:style w:type="paragraph" w:styleId="BodyTextIndent">
    <w:name w:val="Body Text Indent"/>
    <w:basedOn w:val="Normal"/>
    <w:pPr>
      <w:ind w:firstLine="720"/>
      <w:jc w:val="both"/>
    </w:pPr>
    <w:rPr>
      <w:lang w:val="lt-LT"/>
    </w:rPr>
  </w:style>
  <w:style w:type="paragraph" w:styleId="BodyText3">
    <w:name w:val="Body Text 3"/>
    <w:basedOn w:val="Normal"/>
    <w:pPr>
      <w:jc w:val="both"/>
    </w:pPr>
    <w:rPr>
      <w:lang w:val="lt-LT"/>
    </w:rPr>
  </w:style>
  <w:style w:type="character" w:styleId="CommentReference">
    <w:name w:val="annotation reference"/>
    <w:semiHidden/>
    <w:rPr>
      <w:sz w:val="16"/>
      <w:szCs w:val="16"/>
    </w:rPr>
  </w:style>
  <w:style w:type="paragraph" w:styleId="CommentText">
    <w:name w:val="annotation text"/>
    <w:basedOn w:val="Normal"/>
    <w:semiHidden/>
    <w:rPr>
      <w:sz w:val="20"/>
      <w:szCs w:val="20"/>
      <w:lang w:val="en-GB"/>
    </w:rPr>
  </w:style>
  <w:style w:type="paragraph" w:styleId="PlainText">
    <w:name w:val="Plain Text"/>
    <w:basedOn w:val="Normal"/>
    <w:rPr>
      <w:rFonts w:ascii="Courier New" w:hAnsi="Courier New"/>
      <w:sz w:val="20"/>
      <w:szCs w:val="20"/>
      <w:lang w:val="lt-LT"/>
    </w:rPr>
  </w:style>
  <w:style w:type="paragraph" w:styleId="Header">
    <w:name w:val="header"/>
    <w:basedOn w:val="Normal"/>
    <w:pPr>
      <w:widowControl w:val="0"/>
      <w:tabs>
        <w:tab w:val="center" w:pos="4153"/>
        <w:tab w:val="right" w:pos="8306"/>
      </w:tabs>
      <w:overflowPunct w:val="0"/>
      <w:autoSpaceDE w:val="0"/>
      <w:autoSpaceDN w:val="0"/>
      <w:adjustRightInd w:val="0"/>
      <w:textAlignment w:val="baseline"/>
    </w:pPr>
    <w:rPr>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ListContinue2">
    <w:name w:val="List Continue 2"/>
    <w:basedOn w:val="Normal"/>
    <w:pPr>
      <w:spacing w:before="100" w:beforeAutospacing="1" w:after="100" w:afterAutospacing="1"/>
    </w:pPr>
    <w:rPr>
      <w:rFonts w:ascii="Arial Unicode MS" w:eastAsia="Arial Unicode MS" w:hAnsi="Arial Unicode MS" w:cs="Arial Unicode MS"/>
    </w:rPr>
  </w:style>
  <w:style w:type="character" w:styleId="Hyperlink">
    <w:name w:val="Hyperlink"/>
    <w:uiPriority w:val="99"/>
    <w:rPr>
      <w:color w:val="0000FF"/>
      <w:u w:val="single"/>
    </w:rPr>
  </w:style>
  <w:style w:type="paragraph" w:styleId="BodyText2">
    <w:name w:val="Body Text 2"/>
    <w:basedOn w:val="Normal"/>
    <w:pPr>
      <w:jc w:val="both"/>
    </w:pPr>
    <w:rPr>
      <w:sz w:val="22"/>
      <w:lang w:val="lt-LT"/>
    </w:rPr>
  </w:style>
  <w:style w:type="paragraph" w:styleId="Title">
    <w:name w:val="Title"/>
    <w:basedOn w:val="Normal"/>
    <w:qFormat/>
    <w:pPr>
      <w:jc w:val="center"/>
    </w:pPr>
    <w:rPr>
      <w:b/>
      <w:bCs/>
      <w:lang w:val="lt-LT"/>
    </w:rPr>
  </w:style>
  <w:style w:type="character" w:styleId="FollowedHyperlink">
    <w:name w:val="FollowedHyperlink"/>
    <w:rPr>
      <w:color w:val="800080"/>
      <w:u w:val="single"/>
    </w:rPr>
  </w:style>
  <w:style w:type="paragraph" w:styleId="BodyTextIndent2">
    <w:name w:val="Body Text Indent 2"/>
    <w:basedOn w:val="Normal"/>
    <w:pPr>
      <w:ind w:firstLine="720"/>
      <w:jc w:val="both"/>
    </w:pPr>
    <w:rPr>
      <w:sz w:val="22"/>
      <w:lang w:val="lt-LT"/>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lang w:val="en-US"/>
    </w:rPr>
  </w:style>
  <w:style w:type="paragraph" w:styleId="Revision">
    <w:name w:val="Revision"/>
    <w:hidden/>
    <w:uiPriority w:val="99"/>
    <w:semiHidden/>
    <w:rsid w:val="003D3B8C"/>
    <w:rPr>
      <w:sz w:val="24"/>
      <w:szCs w:val="24"/>
      <w:lang w:val="en-US" w:eastAsia="en-US"/>
    </w:rPr>
  </w:style>
  <w:style w:type="character" w:customStyle="1" w:styleId="Heading1Char">
    <w:name w:val="Heading 1 Char"/>
    <w:link w:val="Heading1"/>
    <w:rsid w:val="0007723C"/>
    <w:rPr>
      <w:rFonts w:ascii="Cambria" w:eastAsia="Times New Roman" w:hAnsi="Cambria" w:cs="Times New Roman"/>
      <w:b/>
      <w:bCs/>
      <w:kern w:val="32"/>
      <w:sz w:val="32"/>
      <w:szCs w:val="32"/>
      <w:lang w:val="en-US" w:eastAsia="en-US"/>
    </w:rPr>
  </w:style>
  <w:style w:type="character" w:styleId="UnresolvedMention">
    <w:name w:val="Unresolved Mention"/>
    <w:basedOn w:val="DefaultParagraphFont"/>
    <w:uiPriority w:val="99"/>
    <w:semiHidden/>
    <w:unhideWhenUsed/>
    <w:rsid w:val="001766A8"/>
    <w:rPr>
      <w:color w:val="605E5C"/>
      <w:shd w:val="clear" w:color="auto" w:fill="E1DFDD"/>
    </w:rPr>
  </w:style>
  <w:style w:type="paragraph" w:styleId="FootnoteText">
    <w:name w:val="footnote text"/>
    <w:basedOn w:val="Normal"/>
    <w:link w:val="FootnoteTextChar"/>
    <w:semiHidden/>
    <w:rsid w:val="00940995"/>
    <w:rPr>
      <w:sz w:val="20"/>
      <w:szCs w:val="20"/>
    </w:rPr>
  </w:style>
  <w:style w:type="character" w:customStyle="1" w:styleId="FootnoteTextChar">
    <w:name w:val="Footnote Text Char"/>
    <w:basedOn w:val="DefaultParagraphFont"/>
    <w:link w:val="FootnoteText"/>
    <w:semiHidden/>
    <w:rsid w:val="00940995"/>
    <w:rPr>
      <w:lang w:val="en-US" w:eastAsia="en-US"/>
    </w:rPr>
  </w:style>
  <w:style w:type="character" w:styleId="FootnoteReference">
    <w:name w:val="footnote reference"/>
    <w:basedOn w:val="DefaultParagraphFont"/>
    <w:rsid w:val="00940995"/>
    <w:rPr>
      <w:vertAlign w:val="superscript"/>
    </w:rPr>
  </w:style>
  <w:style w:type="paragraph" w:styleId="ListParagraph">
    <w:name w:val="List Paragraph"/>
    <w:basedOn w:val="Normal"/>
    <w:uiPriority w:val="34"/>
    <w:qFormat/>
    <w:rsid w:val="00A37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311632">
      <w:bodyDiv w:val="1"/>
      <w:marLeft w:val="0"/>
      <w:marRight w:val="0"/>
      <w:marTop w:val="0"/>
      <w:marBottom w:val="0"/>
      <w:divBdr>
        <w:top w:val="none" w:sz="0" w:space="0" w:color="auto"/>
        <w:left w:val="none" w:sz="0" w:space="0" w:color="auto"/>
        <w:bottom w:val="none" w:sz="0" w:space="0" w:color="auto"/>
        <w:right w:val="none" w:sz="0" w:space="0" w:color="auto"/>
      </w:divBdr>
    </w:div>
    <w:div w:id="103418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h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b.lt)" TargetMode="External"/><Relationship Id="rId4" Type="http://schemas.openxmlformats.org/officeDocument/2006/relationships/settings" Target="settings.xml"/><Relationship Id="rId9" Type="http://schemas.openxmlformats.org/officeDocument/2006/relationships/hyperlink" Target="http://www.swedbank.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827FA-80AD-451E-854F-170BC981A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1453</Words>
  <Characters>10318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ĮMOKŲ SURINKIMO SUTARTIS NR</vt:lpstr>
    </vt:vector>
  </TitlesOfParts>
  <Company>ltb</Company>
  <LinksUpToDate>false</LinksUpToDate>
  <CharactersWithSpaces>11748</CharactersWithSpaces>
  <SharedDoc>false</SharedDoc>
  <HLinks>
    <vt:vector size="6" baseType="variant">
      <vt:variant>
        <vt:i4>5767295</vt:i4>
      </vt:variant>
      <vt:variant>
        <vt:i4>0</vt:i4>
      </vt:variant>
      <vt:variant>
        <vt:i4>0</vt:i4>
      </vt:variant>
      <vt:variant>
        <vt:i4>5</vt:i4>
      </vt:variant>
      <vt:variant>
        <vt:lpwstr>mailto:info@swedbank.lt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ĮMOKŲ SURINKIMO SUTARTIS NR</dc:title>
  <dc:creator>Arūnas Bivainis</dc:creator>
  <cp:lastModifiedBy>Agnė DAUNORAVIČIENĖ</cp:lastModifiedBy>
  <cp:revision>60</cp:revision>
  <cp:lastPrinted>2005-09-13T09:39:00Z</cp:lastPrinted>
  <dcterms:created xsi:type="dcterms:W3CDTF">2021-03-22T07:56:00Z</dcterms:created>
  <dcterms:modified xsi:type="dcterms:W3CDTF">2021-04-06T09:51:00Z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