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5085"/>
      </w:tblGrid>
      <w:tr w:rsidR="00BA13E2" w:rsidRPr="0059064E" w:rsidTr="00BA13E2">
        <w:tc>
          <w:tcPr>
            <w:tcW w:w="5266" w:type="dxa"/>
          </w:tcPr>
          <w:p w:rsidR="00BA13E2" w:rsidRPr="0059064E" w:rsidRDefault="00BA13E2" w:rsidP="00662807">
            <w:pPr>
              <w:jc w:val="right"/>
              <w:rPr>
                <w:bCs/>
                <w:sz w:val="22"/>
                <w:szCs w:val="22"/>
              </w:rPr>
            </w:pPr>
          </w:p>
        </w:tc>
        <w:tc>
          <w:tcPr>
            <w:tcW w:w="5085" w:type="dxa"/>
          </w:tcPr>
          <w:p w:rsidR="00BA13E2" w:rsidRPr="0059064E" w:rsidRDefault="00BA13E2" w:rsidP="00662807">
            <w:pPr>
              <w:jc w:val="right"/>
              <w:rPr>
                <w:bCs/>
                <w:sz w:val="22"/>
                <w:szCs w:val="22"/>
                <w:lang w:val="en-GB"/>
              </w:rPr>
            </w:pPr>
          </w:p>
        </w:tc>
      </w:tr>
      <w:tr w:rsidR="00BA13E2" w:rsidRPr="0059064E" w:rsidTr="00BA13E2">
        <w:tc>
          <w:tcPr>
            <w:tcW w:w="5266" w:type="dxa"/>
          </w:tcPr>
          <w:p w:rsidR="00BA13E2" w:rsidRPr="008B1A7E" w:rsidRDefault="00BA13E2" w:rsidP="00662807">
            <w:pPr>
              <w:jc w:val="center"/>
              <w:rPr>
                <w:b/>
                <w:sz w:val="22"/>
                <w:szCs w:val="22"/>
              </w:rPr>
            </w:pPr>
            <w:r w:rsidRPr="008B1A7E">
              <w:rPr>
                <w:b/>
                <w:sz w:val="22"/>
                <w:szCs w:val="22"/>
              </w:rPr>
              <w:t xml:space="preserve">PAPILDOMAS SUSITARIMAS NR. 1 </w:t>
            </w:r>
          </w:p>
          <w:p w:rsidR="00BA13E2" w:rsidRPr="008B1A7E" w:rsidRDefault="00BA13E2" w:rsidP="00662807">
            <w:pPr>
              <w:jc w:val="center"/>
              <w:rPr>
                <w:b/>
                <w:sz w:val="22"/>
                <w:szCs w:val="22"/>
              </w:rPr>
            </w:pPr>
            <w:r w:rsidRPr="008B1A7E">
              <w:rPr>
                <w:b/>
                <w:sz w:val="22"/>
                <w:szCs w:val="22"/>
              </w:rPr>
              <w:t>PRIE 20</w:t>
            </w:r>
            <w:r w:rsidR="00B045DA" w:rsidRPr="008B1A7E">
              <w:rPr>
                <w:b/>
                <w:sz w:val="22"/>
                <w:szCs w:val="22"/>
              </w:rPr>
              <w:t>21</w:t>
            </w:r>
            <w:r w:rsidRPr="008B1A7E">
              <w:rPr>
                <w:b/>
                <w:sz w:val="22"/>
                <w:szCs w:val="22"/>
              </w:rPr>
              <w:t xml:space="preserve"> M. S</w:t>
            </w:r>
            <w:r w:rsidR="00B045DA" w:rsidRPr="008B1A7E">
              <w:rPr>
                <w:b/>
                <w:sz w:val="22"/>
                <w:szCs w:val="22"/>
              </w:rPr>
              <w:t>AUSIO</w:t>
            </w:r>
            <w:r w:rsidRPr="008B1A7E">
              <w:rPr>
                <w:b/>
                <w:sz w:val="22"/>
                <w:szCs w:val="22"/>
              </w:rPr>
              <w:t xml:space="preserve"> 1</w:t>
            </w:r>
            <w:r w:rsidR="00B045DA" w:rsidRPr="008B1A7E">
              <w:rPr>
                <w:b/>
                <w:sz w:val="22"/>
                <w:szCs w:val="22"/>
              </w:rPr>
              <w:t>3</w:t>
            </w:r>
            <w:r w:rsidRPr="008B1A7E">
              <w:rPr>
                <w:b/>
                <w:sz w:val="22"/>
                <w:szCs w:val="22"/>
              </w:rPr>
              <w:t xml:space="preserve"> D. </w:t>
            </w:r>
            <w:r w:rsidR="00B045DA" w:rsidRPr="008B1A7E">
              <w:rPr>
                <w:b/>
                <w:sz w:val="22"/>
                <w:szCs w:val="22"/>
              </w:rPr>
              <w:t xml:space="preserve">AUTORINĖS </w:t>
            </w:r>
            <w:r w:rsidRPr="008B1A7E">
              <w:rPr>
                <w:b/>
                <w:sz w:val="22"/>
                <w:szCs w:val="22"/>
              </w:rPr>
              <w:t>SUTARTIES NR. F.1</w:t>
            </w:r>
            <w:r w:rsidR="00157EED" w:rsidRPr="008B1A7E">
              <w:rPr>
                <w:b/>
                <w:sz w:val="22"/>
                <w:szCs w:val="22"/>
              </w:rPr>
              <w:t>2</w:t>
            </w:r>
            <w:r w:rsidRPr="008B1A7E">
              <w:rPr>
                <w:b/>
                <w:sz w:val="22"/>
                <w:szCs w:val="22"/>
              </w:rPr>
              <w:t>-</w:t>
            </w:r>
            <w:r w:rsidR="00823528" w:rsidRPr="008B1A7E">
              <w:rPr>
                <w:b/>
                <w:sz w:val="22"/>
                <w:szCs w:val="22"/>
              </w:rPr>
              <w:t>1</w:t>
            </w:r>
          </w:p>
          <w:p w:rsidR="00BA13E2" w:rsidRPr="008B1A7E" w:rsidRDefault="00BA13E2" w:rsidP="00B045DA">
            <w:pPr>
              <w:jc w:val="center"/>
              <w:rPr>
                <w:sz w:val="22"/>
                <w:szCs w:val="22"/>
              </w:rPr>
            </w:pPr>
            <w:r w:rsidRPr="008B1A7E">
              <w:rPr>
                <w:sz w:val="22"/>
                <w:szCs w:val="22"/>
              </w:rPr>
              <w:t>202</w:t>
            </w:r>
            <w:r w:rsidR="00B045DA" w:rsidRPr="008B1A7E">
              <w:rPr>
                <w:sz w:val="22"/>
                <w:szCs w:val="22"/>
              </w:rPr>
              <w:t>1</w:t>
            </w:r>
            <w:r w:rsidRPr="008B1A7E">
              <w:rPr>
                <w:sz w:val="22"/>
                <w:szCs w:val="22"/>
              </w:rPr>
              <w:t xml:space="preserve"> m. kovo </w:t>
            </w:r>
            <w:r w:rsidR="00B045DA" w:rsidRPr="008B1A7E">
              <w:rPr>
                <w:sz w:val="22"/>
                <w:szCs w:val="22"/>
              </w:rPr>
              <w:t>31</w:t>
            </w:r>
            <w:r w:rsidRPr="008B1A7E">
              <w:rPr>
                <w:sz w:val="22"/>
                <w:szCs w:val="22"/>
              </w:rPr>
              <w:t xml:space="preserve"> d., Vilnius</w:t>
            </w:r>
          </w:p>
        </w:tc>
        <w:tc>
          <w:tcPr>
            <w:tcW w:w="5085" w:type="dxa"/>
          </w:tcPr>
          <w:p w:rsidR="00BA13E2" w:rsidRPr="008B1A7E" w:rsidRDefault="00BA13E2" w:rsidP="00662807">
            <w:pPr>
              <w:jc w:val="center"/>
              <w:rPr>
                <w:b/>
                <w:sz w:val="22"/>
                <w:szCs w:val="22"/>
                <w:lang w:val="en-GB"/>
              </w:rPr>
            </w:pPr>
            <w:r w:rsidRPr="008B1A7E">
              <w:rPr>
                <w:b/>
                <w:sz w:val="22"/>
                <w:szCs w:val="22"/>
                <w:lang w:val="en-GB"/>
              </w:rPr>
              <w:t>ADDITIONAL AGREEMENT NO. 1</w:t>
            </w:r>
          </w:p>
          <w:p w:rsidR="00BA13E2" w:rsidRPr="008B1A7E" w:rsidRDefault="00BA13E2" w:rsidP="00662807">
            <w:pPr>
              <w:jc w:val="center"/>
              <w:rPr>
                <w:b/>
                <w:sz w:val="22"/>
                <w:szCs w:val="22"/>
                <w:lang w:val="en-GB"/>
              </w:rPr>
            </w:pPr>
            <w:r w:rsidRPr="008B1A7E">
              <w:rPr>
                <w:b/>
                <w:sz w:val="22"/>
                <w:szCs w:val="22"/>
                <w:lang w:val="en-GB"/>
              </w:rPr>
              <w:t xml:space="preserve">TO THE </w:t>
            </w:r>
            <w:r w:rsidR="00B045DA" w:rsidRPr="008B1A7E">
              <w:rPr>
                <w:b/>
                <w:sz w:val="22"/>
                <w:szCs w:val="22"/>
                <w:lang w:val="en-GB"/>
              </w:rPr>
              <w:t>COPYRIGHT CONTRACT</w:t>
            </w:r>
            <w:r w:rsidRPr="008B1A7E">
              <w:rPr>
                <w:b/>
                <w:sz w:val="22"/>
                <w:szCs w:val="22"/>
                <w:lang w:val="en-GB"/>
              </w:rPr>
              <w:t xml:space="preserve"> NO. F.1</w:t>
            </w:r>
            <w:r w:rsidR="00823528" w:rsidRPr="008B1A7E">
              <w:rPr>
                <w:b/>
                <w:sz w:val="22"/>
                <w:szCs w:val="22"/>
                <w:lang w:val="en-GB"/>
              </w:rPr>
              <w:t>2</w:t>
            </w:r>
            <w:r w:rsidRPr="008B1A7E">
              <w:rPr>
                <w:b/>
                <w:sz w:val="22"/>
                <w:szCs w:val="22"/>
                <w:lang w:val="en-GB"/>
              </w:rPr>
              <w:t xml:space="preserve">-1, DATED ON </w:t>
            </w:r>
            <w:r w:rsidR="00B045DA" w:rsidRPr="008B1A7E">
              <w:rPr>
                <w:b/>
                <w:sz w:val="22"/>
                <w:szCs w:val="22"/>
                <w:lang w:val="en-GB"/>
              </w:rPr>
              <w:t>13</w:t>
            </w:r>
            <w:r w:rsidR="00B045DA" w:rsidRPr="008B1A7E">
              <w:rPr>
                <w:b/>
                <w:sz w:val="22"/>
                <w:szCs w:val="22"/>
                <w:vertAlign w:val="superscript"/>
                <w:lang w:val="en-GB"/>
              </w:rPr>
              <w:t xml:space="preserve">TH </w:t>
            </w:r>
            <w:r w:rsidR="00B045DA" w:rsidRPr="008B1A7E">
              <w:rPr>
                <w:b/>
                <w:sz w:val="22"/>
                <w:szCs w:val="22"/>
                <w:lang w:val="en-GB"/>
              </w:rPr>
              <w:t xml:space="preserve"> JANUARY, 2021</w:t>
            </w:r>
          </w:p>
          <w:p w:rsidR="00BA13E2" w:rsidRPr="008B1A7E" w:rsidRDefault="00B045DA" w:rsidP="00B045DA">
            <w:pPr>
              <w:jc w:val="center"/>
              <w:rPr>
                <w:b/>
                <w:bCs/>
                <w:sz w:val="22"/>
                <w:szCs w:val="22"/>
                <w:lang w:val="en-GB"/>
              </w:rPr>
            </w:pPr>
            <w:r w:rsidRPr="008B1A7E">
              <w:rPr>
                <w:sz w:val="22"/>
                <w:szCs w:val="22"/>
                <w:lang w:val="en-GB"/>
              </w:rPr>
              <w:t>31</w:t>
            </w:r>
            <w:r w:rsidRPr="008B1A7E">
              <w:rPr>
                <w:sz w:val="22"/>
                <w:szCs w:val="22"/>
                <w:vertAlign w:val="superscript"/>
                <w:lang w:val="en-GB"/>
              </w:rPr>
              <w:t>st</w:t>
            </w:r>
            <w:r w:rsidR="00BA13E2" w:rsidRPr="008B1A7E">
              <w:rPr>
                <w:sz w:val="22"/>
                <w:szCs w:val="22"/>
                <w:lang w:val="en-GB"/>
              </w:rPr>
              <w:t xml:space="preserve"> March 202</w:t>
            </w:r>
            <w:r w:rsidRPr="008B1A7E">
              <w:rPr>
                <w:sz w:val="22"/>
                <w:szCs w:val="22"/>
                <w:lang w:val="en-GB"/>
              </w:rPr>
              <w:t>1</w:t>
            </w:r>
            <w:r w:rsidR="00BA13E2" w:rsidRPr="008B1A7E">
              <w:rPr>
                <w:sz w:val="22"/>
                <w:szCs w:val="22"/>
                <w:lang w:val="en-GB"/>
              </w:rPr>
              <w:t>, Vilnius</w:t>
            </w:r>
            <w:r w:rsidR="00BA13E2" w:rsidRPr="008B1A7E" w:rsidDel="002F01C7">
              <w:rPr>
                <w:b/>
                <w:bCs/>
                <w:sz w:val="22"/>
                <w:szCs w:val="22"/>
                <w:lang w:val="en-GB"/>
              </w:rPr>
              <w:t xml:space="preserve"> </w:t>
            </w:r>
          </w:p>
        </w:tc>
      </w:tr>
      <w:tr w:rsidR="00BA13E2" w:rsidRPr="0059064E" w:rsidTr="00BA13E2">
        <w:tc>
          <w:tcPr>
            <w:tcW w:w="5266" w:type="dxa"/>
          </w:tcPr>
          <w:p w:rsidR="00BA13E2" w:rsidRPr="0059064E" w:rsidRDefault="00BA13E2" w:rsidP="00662807">
            <w:pPr>
              <w:jc w:val="right"/>
              <w:rPr>
                <w:bCs/>
                <w:sz w:val="22"/>
                <w:szCs w:val="22"/>
              </w:rPr>
            </w:pPr>
          </w:p>
        </w:tc>
        <w:tc>
          <w:tcPr>
            <w:tcW w:w="5085" w:type="dxa"/>
          </w:tcPr>
          <w:p w:rsidR="00BA13E2" w:rsidRPr="0059064E" w:rsidRDefault="00BA13E2" w:rsidP="00662807">
            <w:pPr>
              <w:jc w:val="right"/>
              <w:rPr>
                <w:bCs/>
                <w:sz w:val="22"/>
                <w:szCs w:val="22"/>
                <w:lang w:val="en-GB"/>
              </w:rPr>
            </w:pPr>
          </w:p>
        </w:tc>
      </w:tr>
      <w:tr w:rsidR="00BA13E2" w:rsidRPr="0059064E" w:rsidTr="00BA13E2">
        <w:tc>
          <w:tcPr>
            <w:tcW w:w="5266" w:type="dxa"/>
          </w:tcPr>
          <w:p w:rsidR="00BA13E2" w:rsidRPr="0059064E" w:rsidRDefault="00BA13E2" w:rsidP="00662807">
            <w:pPr>
              <w:jc w:val="both"/>
              <w:rPr>
                <w:rFonts w:eastAsia="Calibri"/>
                <w:sz w:val="22"/>
                <w:szCs w:val="22"/>
              </w:rPr>
            </w:pPr>
            <w:r w:rsidRPr="0059064E">
              <w:rPr>
                <w:rFonts w:eastAsia="Calibri"/>
                <w:b/>
                <w:sz w:val="22"/>
                <w:szCs w:val="22"/>
              </w:rPr>
              <w:t>Nacionalinis muziejus Lietuvos Didžiosios Kunigaikštystės valdovų rūmai</w:t>
            </w:r>
            <w:r w:rsidRPr="0059064E">
              <w:rPr>
                <w:rFonts w:eastAsia="Calibri"/>
                <w:sz w:val="22"/>
                <w:szCs w:val="22"/>
              </w:rPr>
              <w:t xml:space="preserve">, pagal Lietuvos Respublikos įstatymus įsteigta ir veikianti biudžetinė įstaiga, juridinio asmens kodas 302297628, registruota buveinė adresu Katedros a. 4, Vilnius (toliau – </w:t>
            </w:r>
            <w:r w:rsidRPr="0059064E">
              <w:rPr>
                <w:rFonts w:eastAsia="Calibri"/>
                <w:b/>
                <w:sz w:val="22"/>
                <w:szCs w:val="22"/>
              </w:rPr>
              <w:t>Užsakovas</w:t>
            </w:r>
            <w:r w:rsidRPr="0059064E">
              <w:rPr>
                <w:rFonts w:eastAsia="Calibri"/>
                <w:sz w:val="22"/>
                <w:szCs w:val="22"/>
              </w:rPr>
              <w:t xml:space="preserve">), </w:t>
            </w:r>
            <w:r w:rsidRPr="0059064E">
              <w:rPr>
                <w:sz w:val="22"/>
                <w:szCs w:val="22"/>
              </w:rPr>
              <w:t xml:space="preserve"> atstovaujamas </w:t>
            </w:r>
            <w:r w:rsidRPr="0059064E">
              <w:rPr>
                <w:rFonts w:eastAsia="Calibri"/>
                <w:sz w:val="22"/>
                <w:szCs w:val="22"/>
              </w:rPr>
              <w:t>direktoriaus Vydo Dolinsko, veikiančio pagal Užsakovo nuostatus,</w:t>
            </w:r>
          </w:p>
          <w:p w:rsidR="00BA13E2" w:rsidRPr="0059064E" w:rsidRDefault="00BA13E2" w:rsidP="00662807">
            <w:pPr>
              <w:jc w:val="both"/>
              <w:rPr>
                <w:rFonts w:eastAsia="Calibri"/>
                <w:sz w:val="22"/>
                <w:szCs w:val="22"/>
              </w:rPr>
            </w:pPr>
          </w:p>
          <w:p w:rsidR="00BA13E2" w:rsidRPr="0059064E" w:rsidRDefault="00BA13E2" w:rsidP="00662807">
            <w:pPr>
              <w:jc w:val="both"/>
              <w:rPr>
                <w:rFonts w:eastAsia="Calibri"/>
                <w:sz w:val="22"/>
                <w:szCs w:val="22"/>
              </w:rPr>
            </w:pPr>
            <w:r w:rsidRPr="0059064E">
              <w:rPr>
                <w:rFonts w:eastAsia="Calibri"/>
                <w:sz w:val="22"/>
                <w:szCs w:val="22"/>
              </w:rPr>
              <w:t>ir</w:t>
            </w:r>
          </w:p>
          <w:p w:rsidR="00BA13E2" w:rsidRPr="0059064E" w:rsidRDefault="00BA13E2" w:rsidP="00662807">
            <w:pPr>
              <w:jc w:val="both"/>
              <w:rPr>
                <w:rFonts w:eastAsia="Calibri"/>
                <w:sz w:val="22"/>
                <w:szCs w:val="22"/>
              </w:rPr>
            </w:pPr>
          </w:p>
          <w:p w:rsidR="00BA13E2" w:rsidRPr="0059064E" w:rsidRDefault="00BA13E2" w:rsidP="00662807">
            <w:pPr>
              <w:jc w:val="both"/>
              <w:rPr>
                <w:sz w:val="22"/>
                <w:szCs w:val="22"/>
              </w:rPr>
            </w:pPr>
            <w:r w:rsidRPr="0059064E">
              <w:rPr>
                <w:b/>
                <w:color w:val="000000"/>
                <w:sz w:val="22"/>
                <w:szCs w:val="22"/>
              </w:rPr>
              <w:t>Aleksandr Vladimirovič Strelčenko (</w:t>
            </w:r>
            <w:r w:rsidRPr="0059064E">
              <w:rPr>
                <w:color w:val="000000"/>
                <w:sz w:val="22"/>
                <w:szCs w:val="22"/>
              </w:rPr>
              <w:t>Александр Владимирович Стрельченко)</w:t>
            </w:r>
            <w:r w:rsidRPr="0059064E">
              <w:rPr>
                <w:sz w:val="22"/>
                <w:szCs w:val="22"/>
                <w:shd w:val="clear" w:color="auto" w:fill="FFFFFF"/>
              </w:rPr>
              <w:t>, Rusijos Federacijos pilietis, paso numeris:</w:t>
            </w:r>
            <w:r w:rsidR="00CD551B">
              <w:rPr>
                <w:sz w:val="22"/>
                <w:szCs w:val="22"/>
                <w:shd w:val="clear" w:color="auto" w:fill="FFFFFF"/>
              </w:rPr>
              <w:t xml:space="preserve">            </w:t>
            </w:r>
            <w:r w:rsidRPr="0059064E">
              <w:rPr>
                <w:sz w:val="22"/>
                <w:szCs w:val="22"/>
                <w:shd w:val="clear" w:color="auto" w:fill="FFFFFF"/>
              </w:rPr>
              <w:t>, gimimo data:</w:t>
            </w:r>
            <w:r w:rsidR="00CD551B">
              <w:rPr>
                <w:sz w:val="22"/>
                <w:szCs w:val="22"/>
                <w:shd w:val="clear" w:color="auto" w:fill="FFFFFF"/>
              </w:rPr>
              <w:t xml:space="preserve">     </w:t>
            </w:r>
            <w:r w:rsidRPr="0059064E">
              <w:rPr>
                <w:sz w:val="22"/>
                <w:szCs w:val="22"/>
                <w:shd w:val="clear" w:color="auto" w:fill="FFFFFF"/>
              </w:rPr>
              <w:t>, gyvenamosios vietos adresas</w:t>
            </w:r>
            <w:r w:rsidR="00CD551B">
              <w:rPr>
                <w:sz w:val="22"/>
                <w:szCs w:val="22"/>
                <w:shd w:val="clear" w:color="auto" w:fill="FFFFFF"/>
              </w:rPr>
              <w:t xml:space="preserve">                                             </w:t>
            </w:r>
            <w:r w:rsidRPr="0059064E">
              <w:rPr>
                <w:bCs/>
                <w:color w:val="000000"/>
                <w:sz w:val="22"/>
                <w:szCs w:val="22"/>
              </w:rPr>
              <w:t xml:space="preserve">, Maskva, </w:t>
            </w:r>
            <w:r w:rsidRPr="0059064E">
              <w:rPr>
                <w:sz w:val="22"/>
                <w:szCs w:val="22"/>
                <w:shd w:val="clear" w:color="auto" w:fill="FFFFFF"/>
              </w:rPr>
              <w:t xml:space="preserve">(toliau – </w:t>
            </w:r>
            <w:r w:rsidRPr="0059064E">
              <w:rPr>
                <w:b/>
                <w:sz w:val="22"/>
                <w:szCs w:val="22"/>
                <w:shd w:val="clear" w:color="auto" w:fill="FFFFFF"/>
              </w:rPr>
              <w:t>Autorius</w:t>
            </w:r>
            <w:r w:rsidRPr="0059064E">
              <w:rPr>
                <w:sz w:val="22"/>
                <w:szCs w:val="22"/>
                <w:shd w:val="clear" w:color="auto" w:fill="FFFFFF"/>
              </w:rPr>
              <w:t>),</w:t>
            </w:r>
          </w:p>
          <w:p w:rsidR="00BA13E2" w:rsidRPr="0059064E" w:rsidRDefault="00BA13E2" w:rsidP="00662807">
            <w:pPr>
              <w:jc w:val="both"/>
              <w:rPr>
                <w:rFonts w:eastAsia="Calibri"/>
                <w:sz w:val="22"/>
                <w:szCs w:val="22"/>
              </w:rPr>
            </w:pPr>
          </w:p>
          <w:p w:rsidR="00BA13E2" w:rsidRPr="0059064E" w:rsidRDefault="00BA13E2" w:rsidP="00662807">
            <w:pPr>
              <w:jc w:val="both"/>
              <w:rPr>
                <w:rFonts w:eastAsia="Calibri"/>
                <w:sz w:val="22"/>
                <w:szCs w:val="22"/>
              </w:rPr>
            </w:pPr>
            <w:r w:rsidRPr="0059064E">
              <w:rPr>
                <w:sz w:val="22"/>
                <w:szCs w:val="22"/>
              </w:rPr>
              <w:t xml:space="preserve">toliau Užsakovas ir Autorius kartu vadinami </w:t>
            </w:r>
            <w:r w:rsidRPr="0059064E">
              <w:rPr>
                <w:b/>
                <w:sz w:val="22"/>
                <w:szCs w:val="22"/>
              </w:rPr>
              <w:t>Šalimis</w:t>
            </w:r>
            <w:r w:rsidRPr="0059064E">
              <w:rPr>
                <w:sz w:val="22"/>
                <w:szCs w:val="22"/>
              </w:rPr>
              <w:t xml:space="preserve">, o kiekviena atskirai – </w:t>
            </w:r>
            <w:r w:rsidRPr="0059064E">
              <w:rPr>
                <w:b/>
                <w:sz w:val="22"/>
                <w:szCs w:val="22"/>
              </w:rPr>
              <w:t>Šalimi</w:t>
            </w:r>
            <w:r w:rsidRPr="0059064E">
              <w:rPr>
                <w:sz w:val="22"/>
                <w:szCs w:val="22"/>
              </w:rPr>
              <w:t>,</w:t>
            </w:r>
          </w:p>
          <w:p w:rsidR="00BA13E2" w:rsidRPr="0059064E" w:rsidRDefault="00BA13E2" w:rsidP="00662807">
            <w:pPr>
              <w:jc w:val="both"/>
              <w:rPr>
                <w:rFonts w:eastAsia="Calibri"/>
                <w:sz w:val="22"/>
                <w:szCs w:val="22"/>
              </w:rPr>
            </w:pPr>
          </w:p>
          <w:p w:rsidR="00BA13E2" w:rsidRPr="0059064E" w:rsidRDefault="00BA13E2" w:rsidP="00662807">
            <w:pPr>
              <w:jc w:val="both"/>
              <w:rPr>
                <w:bCs/>
                <w:sz w:val="22"/>
                <w:szCs w:val="22"/>
              </w:rPr>
            </w:pPr>
          </w:p>
          <w:p w:rsidR="00BA13E2" w:rsidRPr="0059064E" w:rsidRDefault="00BA13E2" w:rsidP="00662807">
            <w:pPr>
              <w:jc w:val="both"/>
              <w:rPr>
                <w:bCs/>
                <w:sz w:val="22"/>
                <w:szCs w:val="22"/>
              </w:rPr>
            </w:pPr>
            <w:r w:rsidRPr="0059064E">
              <w:rPr>
                <w:bCs/>
                <w:sz w:val="22"/>
                <w:szCs w:val="22"/>
              </w:rPr>
              <w:t xml:space="preserve">Remiantis 2021 m. sausio 13 d., sudarytos Autorinės sutarties Nr. F.12-1 (toliau – Sutartis) </w:t>
            </w:r>
            <w:r w:rsidR="00E7400A" w:rsidRPr="0059064E">
              <w:rPr>
                <w:bCs/>
                <w:sz w:val="22"/>
                <w:szCs w:val="22"/>
              </w:rPr>
              <w:t>5</w:t>
            </w:r>
            <w:r w:rsidRPr="0059064E">
              <w:rPr>
                <w:bCs/>
                <w:sz w:val="22"/>
                <w:szCs w:val="22"/>
              </w:rPr>
              <w:t>.2 punktu</w:t>
            </w:r>
            <w:r w:rsidR="00E7400A" w:rsidRPr="0059064E">
              <w:rPr>
                <w:bCs/>
                <w:sz w:val="22"/>
                <w:szCs w:val="22"/>
              </w:rPr>
              <w:t xml:space="preserve"> ir atsižvelgdamos į tai, kad Lietuvos Respublikos Vyriausybės 2020 m. lapkričio 4 d. nutarimu Nr. 1226 ,,Dėl karantino Lietuvos Respublikos teritorijoje paskelbimo“ karantino režimas Lietuvos Respublikoje yra paskelbtas iki 2021 m. balandžio 30 d., </w:t>
            </w:r>
            <w:r w:rsidR="00E7400A" w:rsidRPr="00823528">
              <w:rPr>
                <w:bCs/>
                <w:sz w:val="22"/>
                <w:szCs w:val="22"/>
              </w:rPr>
              <w:t>o parodos</w:t>
            </w:r>
            <w:r w:rsidR="003C71DB" w:rsidRPr="00823528">
              <w:rPr>
                <w:bCs/>
                <w:sz w:val="22"/>
                <w:szCs w:val="22"/>
              </w:rPr>
              <w:t xml:space="preserve"> ,,</w:t>
            </w:r>
            <w:r w:rsidR="003C71DB" w:rsidRPr="00823528">
              <w:rPr>
                <w:sz w:val="22"/>
                <w:szCs w:val="22"/>
                <w:shd w:val="clear" w:color="auto" w:fill="FFFFFF"/>
              </w:rPr>
              <w:t xml:space="preserve">Kariauti pratusi tauta. Lietuvių karinis elitas XIII–XIV a.“ </w:t>
            </w:r>
            <w:r w:rsidR="00E7400A" w:rsidRPr="00823528">
              <w:rPr>
                <w:bCs/>
                <w:sz w:val="22"/>
                <w:szCs w:val="22"/>
              </w:rPr>
              <w:t xml:space="preserve">terminas pratęstas iki 2021 m. birželio 20 d., </w:t>
            </w:r>
            <w:r w:rsidRPr="00823528">
              <w:rPr>
                <w:sz w:val="22"/>
                <w:szCs w:val="22"/>
              </w:rPr>
              <w:t xml:space="preserve">Šalys susitarė ir sudarė šį papildomą susitarimą (toliau – </w:t>
            </w:r>
            <w:r w:rsidRPr="0059064E">
              <w:rPr>
                <w:b/>
                <w:sz w:val="22"/>
                <w:szCs w:val="22"/>
              </w:rPr>
              <w:t>Papildomas susitarimas</w:t>
            </w:r>
            <w:r w:rsidRPr="0059064E">
              <w:rPr>
                <w:sz w:val="22"/>
                <w:szCs w:val="22"/>
              </w:rPr>
              <w:t>):</w:t>
            </w:r>
          </w:p>
          <w:p w:rsidR="00BA13E2" w:rsidRPr="0059064E" w:rsidRDefault="00BA13E2" w:rsidP="00662807">
            <w:pPr>
              <w:jc w:val="both"/>
              <w:rPr>
                <w:bCs/>
                <w:sz w:val="22"/>
                <w:szCs w:val="22"/>
              </w:rPr>
            </w:pPr>
          </w:p>
        </w:tc>
        <w:tc>
          <w:tcPr>
            <w:tcW w:w="5085" w:type="dxa"/>
          </w:tcPr>
          <w:p w:rsidR="00BA13E2" w:rsidRPr="0059064E" w:rsidRDefault="00BA13E2" w:rsidP="00662807">
            <w:pPr>
              <w:jc w:val="both"/>
              <w:rPr>
                <w:bCs/>
                <w:sz w:val="22"/>
                <w:szCs w:val="22"/>
              </w:rPr>
            </w:pPr>
            <w:r w:rsidRPr="0059064E">
              <w:rPr>
                <w:b/>
                <w:sz w:val="22"/>
                <w:szCs w:val="22"/>
              </w:rPr>
              <w:t>National Museum Palace of the Grand Dukes of Lithuania</w:t>
            </w:r>
            <w:r w:rsidRPr="0059064E">
              <w:rPr>
                <w:sz w:val="22"/>
                <w:szCs w:val="22"/>
              </w:rPr>
              <w:t>, a public institution incorporated and existing under the laws of the Republic of Lithuania, legal entity’s code 302297628, registered office at Katedros sq. 4, Vilnius, the Republic of Lithuania (</w:t>
            </w:r>
            <w:r w:rsidRPr="0059064E">
              <w:rPr>
                <w:b/>
                <w:sz w:val="22"/>
                <w:szCs w:val="22"/>
                <w:lang w:val="en-GB"/>
              </w:rPr>
              <w:t xml:space="preserve">hereinafter the </w:t>
            </w:r>
            <w:r w:rsidRPr="0059064E">
              <w:rPr>
                <w:sz w:val="22"/>
                <w:szCs w:val="22"/>
                <w:lang w:val="en-GB"/>
              </w:rPr>
              <w:t>Client</w:t>
            </w:r>
            <w:r w:rsidRPr="0059064E">
              <w:rPr>
                <w:sz w:val="22"/>
                <w:szCs w:val="22"/>
              </w:rPr>
              <w:t>),  represented by director Vydas Dolinskas, acting under regulations of the Client,</w:t>
            </w:r>
          </w:p>
          <w:p w:rsidR="00BA13E2" w:rsidRPr="0059064E" w:rsidRDefault="00BA13E2" w:rsidP="00662807">
            <w:pPr>
              <w:jc w:val="both"/>
              <w:rPr>
                <w:bCs/>
                <w:sz w:val="22"/>
                <w:szCs w:val="22"/>
              </w:rPr>
            </w:pPr>
          </w:p>
          <w:p w:rsidR="00BA13E2" w:rsidRPr="0059064E" w:rsidRDefault="00BA13E2" w:rsidP="00662807">
            <w:pPr>
              <w:jc w:val="both"/>
              <w:rPr>
                <w:bCs/>
                <w:sz w:val="22"/>
                <w:szCs w:val="22"/>
              </w:rPr>
            </w:pPr>
            <w:r w:rsidRPr="0059064E">
              <w:rPr>
                <w:bCs/>
                <w:sz w:val="22"/>
                <w:szCs w:val="22"/>
              </w:rPr>
              <w:t>and</w:t>
            </w:r>
          </w:p>
          <w:p w:rsidR="00BA13E2" w:rsidRPr="0059064E" w:rsidRDefault="00BA13E2" w:rsidP="00662807">
            <w:pPr>
              <w:jc w:val="both"/>
              <w:rPr>
                <w:bCs/>
                <w:sz w:val="22"/>
                <w:szCs w:val="22"/>
              </w:rPr>
            </w:pPr>
          </w:p>
          <w:p w:rsidR="00BA13E2" w:rsidRPr="0059064E" w:rsidRDefault="00BA13E2" w:rsidP="00662807">
            <w:pPr>
              <w:jc w:val="both"/>
              <w:rPr>
                <w:b/>
                <w:sz w:val="22"/>
                <w:szCs w:val="22"/>
              </w:rPr>
            </w:pPr>
            <w:r w:rsidRPr="002442F5">
              <w:rPr>
                <w:b/>
                <w:color w:val="000000"/>
                <w:sz w:val="22"/>
                <w:szCs w:val="22"/>
              </w:rPr>
              <w:t>Alexander Vladimirovich Strelchenko</w:t>
            </w:r>
            <w:r w:rsidRPr="0059064E">
              <w:rPr>
                <w:color w:val="000000"/>
                <w:sz w:val="22"/>
                <w:szCs w:val="22"/>
              </w:rPr>
              <w:t xml:space="preserve"> </w:t>
            </w:r>
            <w:r w:rsidRPr="0059064E">
              <w:rPr>
                <w:b/>
                <w:color w:val="000000"/>
                <w:sz w:val="22"/>
                <w:szCs w:val="22"/>
              </w:rPr>
              <w:t>(</w:t>
            </w:r>
            <w:r w:rsidRPr="0059064E">
              <w:rPr>
                <w:color w:val="000000"/>
                <w:sz w:val="22"/>
                <w:szCs w:val="22"/>
              </w:rPr>
              <w:t>Александр Владимирович Стрельченко)</w:t>
            </w:r>
            <w:r w:rsidRPr="0059064E">
              <w:rPr>
                <w:b/>
                <w:bCs/>
                <w:sz w:val="22"/>
                <w:szCs w:val="22"/>
                <w:lang w:val="en-GB"/>
              </w:rPr>
              <w:t xml:space="preserve">, </w:t>
            </w:r>
            <w:r w:rsidRPr="00823528">
              <w:rPr>
                <w:bCs/>
                <w:sz w:val="22"/>
                <w:szCs w:val="22"/>
                <w:lang w:val="en-GB"/>
              </w:rPr>
              <w:t>a citizen of the Russian Federation, passport number:</w:t>
            </w:r>
            <w:r w:rsidR="00CD551B">
              <w:rPr>
                <w:bCs/>
                <w:sz w:val="22"/>
                <w:szCs w:val="22"/>
                <w:lang w:val="en-GB"/>
              </w:rPr>
              <w:t xml:space="preserve">                                       </w:t>
            </w:r>
            <w:r w:rsidRPr="00823528">
              <w:rPr>
                <w:bCs/>
                <w:sz w:val="22"/>
                <w:szCs w:val="22"/>
                <w:shd w:val="clear" w:color="auto" w:fill="FFFFFF"/>
                <w:lang w:val="en-GB"/>
              </w:rPr>
              <w:t>, date of birth:, r</w:t>
            </w:r>
            <w:r w:rsidRPr="00823528">
              <w:rPr>
                <w:bCs/>
                <w:sz w:val="22"/>
                <w:szCs w:val="22"/>
                <w:lang w:val="en-GB"/>
              </w:rPr>
              <w:t xml:space="preserve">esiding </w:t>
            </w:r>
            <w:r w:rsidRPr="00823528">
              <w:rPr>
                <w:bCs/>
                <w:color w:val="000000"/>
                <w:sz w:val="22"/>
                <w:szCs w:val="22"/>
              </w:rPr>
              <w:t xml:space="preserve">Moscow, </w:t>
            </w:r>
            <w:r w:rsidR="00CD551B">
              <w:rPr>
                <w:bCs/>
                <w:color w:val="000000"/>
                <w:sz w:val="22"/>
                <w:szCs w:val="22"/>
              </w:rPr>
              <w:t xml:space="preserve">                                                   </w:t>
            </w:r>
            <w:bookmarkStart w:id="0" w:name="_GoBack"/>
            <w:bookmarkEnd w:id="0"/>
            <w:r w:rsidRPr="00823528">
              <w:rPr>
                <w:sz w:val="22"/>
                <w:szCs w:val="22"/>
                <w:lang w:val="en-GB"/>
              </w:rPr>
              <w:t>(hereinafter the</w:t>
            </w:r>
            <w:r w:rsidRPr="0059064E">
              <w:rPr>
                <w:sz w:val="22"/>
                <w:szCs w:val="22"/>
                <w:lang w:val="en-GB"/>
              </w:rPr>
              <w:t xml:space="preserve"> </w:t>
            </w:r>
            <w:r w:rsidRPr="0059064E">
              <w:rPr>
                <w:b/>
                <w:sz w:val="22"/>
                <w:szCs w:val="22"/>
                <w:lang w:val="en-GB"/>
              </w:rPr>
              <w:t>Creator)</w:t>
            </w:r>
          </w:p>
          <w:p w:rsidR="00BA13E2" w:rsidRPr="0059064E" w:rsidRDefault="00BA13E2" w:rsidP="00662807">
            <w:pPr>
              <w:jc w:val="both"/>
              <w:rPr>
                <w:b/>
                <w:sz w:val="22"/>
                <w:szCs w:val="22"/>
              </w:rPr>
            </w:pPr>
          </w:p>
          <w:p w:rsidR="00BA13E2" w:rsidRPr="0059064E" w:rsidRDefault="00BA13E2" w:rsidP="00662807">
            <w:pPr>
              <w:jc w:val="both"/>
              <w:rPr>
                <w:bCs/>
                <w:sz w:val="22"/>
                <w:szCs w:val="22"/>
              </w:rPr>
            </w:pPr>
            <w:r w:rsidRPr="0059064E">
              <w:rPr>
                <w:sz w:val="22"/>
                <w:szCs w:val="22"/>
              </w:rPr>
              <w:t xml:space="preserve">hereinafter the </w:t>
            </w:r>
            <w:r w:rsidR="00B045DA" w:rsidRPr="0059064E">
              <w:rPr>
                <w:sz w:val="22"/>
                <w:szCs w:val="22"/>
              </w:rPr>
              <w:t>Client</w:t>
            </w:r>
            <w:r w:rsidRPr="0059064E">
              <w:rPr>
                <w:sz w:val="22"/>
                <w:szCs w:val="22"/>
              </w:rPr>
              <w:t xml:space="preserve"> and the </w:t>
            </w:r>
            <w:r w:rsidR="00B045DA" w:rsidRPr="0059064E">
              <w:rPr>
                <w:sz w:val="22"/>
                <w:szCs w:val="22"/>
              </w:rPr>
              <w:t>Creator</w:t>
            </w:r>
            <w:r w:rsidRPr="0059064E">
              <w:rPr>
                <w:sz w:val="22"/>
                <w:szCs w:val="22"/>
              </w:rPr>
              <w:t xml:space="preserve"> jointly may be referred to as the </w:t>
            </w:r>
            <w:r w:rsidRPr="0059064E">
              <w:rPr>
                <w:b/>
                <w:sz w:val="22"/>
                <w:szCs w:val="22"/>
              </w:rPr>
              <w:t>Parties</w:t>
            </w:r>
            <w:r w:rsidRPr="0059064E">
              <w:rPr>
                <w:sz w:val="22"/>
                <w:szCs w:val="22"/>
              </w:rPr>
              <w:t xml:space="preserve"> and each individually – as the </w:t>
            </w:r>
            <w:r w:rsidRPr="0059064E">
              <w:rPr>
                <w:b/>
                <w:sz w:val="22"/>
                <w:szCs w:val="22"/>
              </w:rPr>
              <w:t>Party</w:t>
            </w:r>
            <w:r w:rsidRPr="0059064E">
              <w:rPr>
                <w:sz w:val="22"/>
                <w:szCs w:val="22"/>
              </w:rPr>
              <w:t>,</w:t>
            </w:r>
          </w:p>
          <w:p w:rsidR="00BA13E2" w:rsidRPr="0059064E" w:rsidRDefault="00BA13E2" w:rsidP="00662807">
            <w:pPr>
              <w:jc w:val="both"/>
              <w:rPr>
                <w:sz w:val="22"/>
                <w:szCs w:val="22"/>
                <w:lang w:val="en-US"/>
              </w:rPr>
            </w:pPr>
          </w:p>
          <w:p w:rsidR="00BA13E2" w:rsidRPr="0059064E" w:rsidRDefault="00BA13E2" w:rsidP="00662807">
            <w:pPr>
              <w:jc w:val="both"/>
              <w:rPr>
                <w:sz w:val="22"/>
                <w:szCs w:val="22"/>
                <w:lang w:val="en-GB"/>
              </w:rPr>
            </w:pPr>
            <w:proofErr w:type="gramStart"/>
            <w:r w:rsidRPr="0059064E">
              <w:rPr>
                <w:sz w:val="22"/>
                <w:szCs w:val="22"/>
                <w:lang w:val="en-US"/>
              </w:rPr>
              <w:t>acting</w:t>
            </w:r>
            <w:proofErr w:type="gramEnd"/>
            <w:r w:rsidRPr="0059064E">
              <w:rPr>
                <w:sz w:val="22"/>
                <w:szCs w:val="22"/>
                <w:lang w:val="en-US"/>
              </w:rPr>
              <w:t xml:space="preserve"> in accordance with January 13</w:t>
            </w:r>
            <w:r w:rsidRPr="0059064E">
              <w:rPr>
                <w:sz w:val="22"/>
                <w:szCs w:val="22"/>
                <w:vertAlign w:val="superscript"/>
                <w:lang w:val="en-US"/>
              </w:rPr>
              <w:t>th</w:t>
            </w:r>
            <w:r w:rsidRPr="0059064E">
              <w:rPr>
                <w:sz w:val="22"/>
                <w:szCs w:val="22"/>
                <w:lang w:val="en-US"/>
              </w:rPr>
              <w:t>, 2021 Copyright contract No. F.1</w:t>
            </w:r>
            <w:r w:rsidR="00823528">
              <w:rPr>
                <w:sz w:val="22"/>
                <w:szCs w:val="22"/>
                <w:lang w:val="en-US"/>
              </w:rPr>
              <w:t>2</w:t>
            </w:r>
            <w:r w:rsidRPr="0059064E">
              <w:rPr>
                <w:sz w:val="22"/>
                <w:szCs w:val="22"/>
                <w:lang w:val="en-US"/>
              </w:rPr>
              <w:t>-</w:t>
            </w:r>
            <w:r w:rsidR="00823528">
              <w:rPr>
                <w:sz w:val="22"/>
                <w:szCs w:val="22"/>
                <w:lang w:val="en-US"/>
              </w:rPr>
              <w:t>1</w:t>
            </w:r>
            <w:r w:rsidRPr="0059064E">
              <w:rPr>
                <w:sz w:val="22"/>
                <w:szCs w:val="22"/>
                <w:lang w:val="en-US"/>
              </w:rPr>
              <w:t xml:space="preserve"> (</w:t>
            </w:r>
            <w:r w:rsidRPr="0059064E">
              <w:rPr>
                <w:sz w:val="22"/>
                <w:szCs w:val="22"/>
              </w:rPr>
              <w:t>hereinafter</w:t>
            </w:r>
            <w:r w:rsidRPr="0059064E">
              <w:rPr>
                <w:sz w:val="22"/>
                <w:szCs w:val="22"/>
                <w:lang w:val="en-US"/>
              </w:rPr>
              <w:t xml:space="preserve"> the Contract) </w:t>
            </w:r>
            <w:r w:rsidRPr="0059064E">
              <w:rPr>
                <w:sz w:val="22"/>
                <w:szCs w:val="22"/>
              </w:rPr>
              <w:t xml:space="preserve">Clause </w:t>
            </w:r>
            <w:r w:rsidR="00E7400A" w:rsidRPr="0059064E">
              <w:rPr>
                <w:sz w:val="22"/>
                <w:szCs w:val="22"/>
              </w:rPr>
              <w:t>5.</w:t>
            </w:r>
            <w:r w:rsidRPr="0059064E">
              <w:rPr>
                <w:sz w:val="22"/>
                <w:szCs w:val="22"/>
              </w:rPr>
              <w:t>2 of the Contract</w:t>
            </w:r>
            <w:r w:rsidR="00E7400A" w:rsidRPr="0059064E">
              <w:rPr>
                <w:bCs/>
                <w:sz w:val="22"/>
                <w:szCs w:val="22"/>
                <w:lang w:val="en-GB"/>
              </w:rPr>
              <w:t xml:space="preserve"> and considering that Government of Republic of Lithuania </w:t>
            </w:r>
            <w:r w:rsidR="00E7400A" w:rsidRPr="0059064E">
              <w:rPr>
                <w:sz w:val="22"/>
                <w:szCs w:val="22"/>
                <w:shd w:val="clear" w:color="auto" w:fill="FFFFFF"/>
              </w:rPr>
              <w:t>Resolution No 1226 declaring quarantine on the territory of the Republic of Lithuania</w:t>
            </w:r>
            <w:r w:rsidR="00E7400A" w:rsidRPr="0059064E">
              <w:rPr>
                <w:bCs/>
                <w:sz w:val="22"/>
                <w:szCs w:val="22"/>
                <w:lang w:val="en-GB"/>
              </w:rPr>
              <w:t xml:space="preserve"> un</w:t>
            </w:r>
            <w:r w:rsidR="0059064E" w:rsidRPr="0059064E">
              <w:rPr>
                <w:bCs/>
                <w:sz w:val="22"/>
                <w:szCs w:val="22"/>
                <w:lang w:val="en-GB"/>
              </w:rPr>
              <w:t xml:space="preserve">til </w:t>
            </w:r>
            <w:r w:rsidR="00E7400A" w:rsidRPr="0059064E">
              <w:rPr>
                <w:bCs/>
                <w:sz w:val="22"/>
                <w:szCs w:val="22"/>
                <w:lang w:val="en-GB"/>
              </w:rPr>
              <w:t>April 30</w:t>
            </w:r>
            <w:r w:rsidR="00E7400A" w:rsidRPr="0059064E">
              <w:rPr>
                <w:bCs/>
                <w:sz w:val="22"/>
                <w:szCs w:val="22"/>
                <w:vertAlign w:val="superscript"/>
                <w:lang w:val="en-GB"/>
              </w:rPr>
              <w:t>th,</w:t>
            </w:r>
            <w:r w:rsidR="00E7400A" w:rsidRPr="0059064E">
              <w:rPr>
                <w:bCs/>
                <w:sz w:val="22"/>
                <w:szCs w:val="22"/>
                <w:lang w:val="en-GB"/>
              </w:rPr>
              <w:t xml:space="preserve">, and </w:t>
            </w:r>
            <w:r w:rsidR="00E7400A" w:rsidRPr="0059064E">
              <w:rPr>
                <w:bCs/>
                <w:sz w:val="22"/>
                <w:szCs w:val="22"/>
                <w:lang w:val="en-US"/>
              </w:rPr>
              <w:t>the exhibition</w:t>
            </w:r>
            <w:r w:rsidR="003C71DB" w:rsidRPr="0059064E">
              <w:rPr>
                <w:bCs/>
                <w:sz w:val="22"/>
                <w:szCs w:val="22"/>
                <w:lang w:val="en-US"/>
              </w:rPr>
              <w:t xml:space="preserve"> ,,A nation skilled in war. The Lithuania military </w:t>
            </w:r>
            <w:r w:rsidR="0059064E" w:rsidRPr="0059064E">
              <w:rPr>
                <w:bCs/>
                <w:sz w:val="22"/>
                <w:szCs w:val="22"/>
                <w:lang w:val="en-US"/>
              </w:rPr>
              <w:t>elite in the 13</w:t>
            </w:r>
            <w:r w:rsidR="0059064E" w:rsidRPr="0059064E">
              <w:rPr>
                <w:bCs/>
                <w:sz w:val="22"/>
                <w:szCs w:val="22"/>
                <w:vertAlign w:val="superscript"/>
                <w:lang w:val="en-US"/>
              </w:rPr>
              <w:t>th</w:t>
            </w:r>
            <w:r w:rsidR="003C71DB" w:rsidRPr="0059064E">
              <w:rPr>
                <w:bCs/>
                <w:sz w:val="22"/>
                <w:szCs w:val="22"/>
                <w:vertAlign w:val="superscript"/>
                <w:lang w:val="en-US"/>
              </w:rPr>
              <w:t xml:space="preserve"> </w:t>
            </w:r>
            <w:r w:rsidR="003C71DB" w:rsidRPr="0059064E">
              <w:rPr>
                <w:bCs/>
                <w:sz w:val="22"/>
                <w:szCs w:val="22"/>
                <w:lang w:val="en-US"/>
              </w:rPr>
              <w:t>– 14</w:t>
            </w:r>
            <w:r w:rsidR="003C71DB" w:rsidRPr="0059064E">
              <w:rPr>
                <w:bCs/>
                <w:sz w:val="22"/>
                <w:szCs w:val="22"/>
                <w:vertAlign w:val="superscript"/>
                <w:lang w:val="en-US"/>
              </w:rPr>
              <w:t xml:space="preserve">th </w:t>
            </w:r>
            <w:r w:rsidR="003C71DB" w:rsidRPr="0059064E">
              <w:rPr>
                <w:bCs/>
                <w:sz w:val="22"/>
                <w:szCs w:val="22"/>
                <w:lang w:val="en-US"/>
              </w:rPr>
              <w:t>“</w:t>
            </w:r>
            <w:r w:rsidR="00E7400A" w:rsidRPr="0059064E">
              <w:rPr>
                <w:bCs/>
                <w:sz w:val="22"/>
                <w:szCs w:val="22"/>
                <w:lang w:val="en-US"/>
              </w:rPr>
              <w:t xml:space="preserve"> term</w:t>
            </w:r>
            <w:r w:rsidR="00E7400A" w:rsidRPr="0059064E">
              <w:rPr>
                <w:sz w:val="22"/>
                <w:szCs w:val="22"/>
                <w:lang w:val="en-US"/>
              </w:rPr>
              <w:t xml:space="preserve"> </w:t>
            </w:r>
            <w:r w:rsidR="00E7400A" w:rsidRPr="0059064E">
              <w:rPr>
                <w:bCs/>
                <w:sz w:val="22"/>
                <w:szCs w:val="22"/>
                <w:lang w:val="en-US"/>
              </w:rPr>
              <w:t xml:space="preserve">is moved </w:t>
            </w:r>
            <w:r w:rsidR="0059064E" w:rsidRPr="0059064E">
              <w:rPr>
                <w:bCs/>
                <w:sz w:val="22"/>
                <w:szCs w:val="22"/>
                <w:lang w:val="en-US"/>
              </w:rPr>
              <w:t>until</w:t>
            </w:r>
            <w:r w:rsidR="00E7400A" w:rsidRPr="0059064E">
              <w:rPr>
                <w:bCs/>
                <w:sz w:val="22"/>
                <w:szCs w:val="22"/>
                <w:lang w:val="en-US"/>
              </w:rPr>
              <w:t xml:space="preserve"> 20</w:t>
            </w:r>
            <w:r w:rsidR="00E7400A" w:rsidRPr="0059064E">
              <w:rPr>
                <w:bCs/>
                <w:sz w:val="22"/>
                <w:szCs w:val="22"/>
                <w:vertAlign w:val="superscript"/>
                <w:lang w:val="en-US"/>
              </w:rPr>
              <w:t>th</w:t>
            </w:r>
            <w:r w:rsidR="00E7400A" w:rsidRPr="0059064E">
              <w:rPr>
                <w:bCs/>
                <w:sz w:val="22"/>
                <w:szCs w:val="22"/>
                <w:lang w:val="en-US"/>
              </w:rPr>
              <w:t xml:space="preserve"> of June, 2021,</w:t>
            </w:r>
            <w:r w:rsidRPr="0059064E">
              <w:rPr>
                <w:bCs/>
                <w:sz w:val="22"/>
                <w:szCs w:val="22"/>
                <w:lang w:val="en-GB"/>
              </w:rPr>
              <w:t xml:space="preserve"> </w:t>
            </w:r>
            <w:r w:rsidRPr="0059064E">
              <w:rPr>
                <w:sz w:val="22"/>
                <w:szCs w:val="22"/>
                <w:lang w:val="en-GB"/>
              </w:rPr>
              <w:t>the Parties have agreed and concluded this additional agreement (</w:t>
            </w:r>
            <w:r w:rsidRPr="0059064E">
              <w:rPr>
                <w:sz w:val="22"/>
                <w:szCs w:val="22"/>
              </w:rPr>
              <w:t xml:space="preserve">hereinafter </w:t>
            </w:r>
            <w:r w:rsidRPr="0059064E">
              <w:rPr>
                <w:sz w:val="22"/>
                <w:szCs w:val="22"/>
                <w:lang w:val="en-GB"/>
              </w:rPr>
              <w:t xml:space="preserve">the </w:t>
            </w:r>
            <w:r w:rsidRPr="0059064E">
              <w:rPr>
                <w:b/>
                <w:sz w:val="22"/>
                <w:szCs w:val="22"/>
                <w:lang w:val="en-GB"/>
              </w:rPr>
              <w:t>Additional agreement</w:t>
            </w:r>
            <w:r w:rsidRPr="0059064E">
              <w:rPr>
                <w:sz w:val="22"/>
                <w:szCs w:val="22"/>
                <w:lang w:val="en-GB"/>
              </w:rPr>
              <w:t>):</w:t>
            </w:r>
          </w:p>
          <w:p w:rsidR="00BA13E2" w:rsidRPr="0059064E" w:rsidRDefault="00BA13E2" w:rsidP="00662807">
            <w:pPr>
              <w:jc w:val="both"/>
              <w:rPr>
                <w:bCs/>
                <w:sz w:val="22"/>
                <w:szCs w:val="22"/>
                <w:lang w:val="en-GB"/>
              </w:rPr>
            </w:pPr>
          </w:p>
        </w:tc>
      </w:tr>
      <w:tr w:rsidR="00BA13E2" w:rsidRPr="0059064E" w:rsidTr="00BA13E2">
        <w:tc>
          <w:tcPr>
            <w:tcW w:w="5266" w:type="dxa"/>
          </w:tcPr>
          <w:p w:rsidR="00BA13E2" w:rsidRPr="0059064E" w:rsidRDefault="00BA13E2" w:rsidP="00662807">
            <w:pPr>
              <w:jc w:val="both"/>
              <w:rPr>
                <w:bCs/>
                <w:sz w:val="22"/>
                <w:szCs w:val="22"/>
              </w:rPr>
            </w:pPr>
          </w:p>
        </w:tc>
        <w:tc>
          <w:tcPr>
            <w:tcW w:w="5085" w:type="dxa"/>
          </w:tcPr>
          <w:p w:rsidR="00BA13E2" w:rsidRPr="0059064E" w:rsidRDefault="00BA13E2" w:rsidP="00662807">
            <w:pPr>
              <w:jc w:val="right"/>
              <w:rPr>
                <w:bCs/>
                <w:sz w:val="22"/>
                <w:szCs w:val="22"/>
              </w:rPr>
            </w:pPr>
          </w:p>
        </w:tc>
      </w:tr>
      <w:tr w:rsidR="00BA13E2" w:rsidRPr="0059064E" w:rsidTr="00BA13E2">
        <w:tc>
          <w:tcPr>
            <w:tcW w:w="5266" w:type="dxa"/>
          </w:tcPr>
          <w:p w:rsidR="00BA13E2" w:rsidRPr="0059064E" w:rsidRDefault="00BD13B2" w:rsidP="0059064E">
            <w:pPr>
              <w:pStyle w:val="ListParagraph"/>
              <w:numPr>
                <w:ilvl w:val="0"/>
                <w:numId w:val="9"/>
              </w:numPr>
              <w:tabs>
                <w:tab w:val="left" w:pos="572"/>
              </w:tabs>
              <w:ind w:left="39" w:hanging="39"/>
              <w:jc w:val="both"/>
              <w:rPr>
                <w:bCs/>
                <w:sz w:val="22"/>
                <w:szCs w:val="22"/>
              </w:rPr>
            </w:pPr>
            <w:r w:rsidRPr="0059064E">
              <w:rPr>
                <w:bCs/>
                <w:sz w:val="22"/>
                <w:szCs w:val="22"/>
              </w:rPr>
              <w:t>Pakeisti Sutarties 1.1 punktą ir išdėstyti jį taip:</w:t>
            </w:r>
          </w:p>
          <w:p w:rsidR="00BD13B2" w:rsidRPr="0059064E" w:rsidRDefault="0059064E" w:rsidP="0059064E">
            <w:pPr>
              <w:pStyle w:val="ListParagraph"/>
              <w:tabs>
                <w:tab w:val="left" w:pos="572"/>
              </w:tabs>
              <w:ind w:left="39" w:hanging="39"/>
              <w:jc w:val="both"/>
              <w:rPr>
                <w:sz w:val="22"/>
                <w:szCs w:val="22"/>
              </w:rPr>
            </w:pPr>
            <w:r w:rsidRPr="0059064E">
              <w:rPr>
                <w:bCs/>
                <w:sz w:val="22"/>
                <w:szCs w:val="22"/>
              </w:rPr>
              <w:t>,,</w:t>
            </w:r>
            <w:r w:rsidR="00BD13B2" w:rsidRPr="0059064E">
              <w:rPr>
                <w:bCs/>
                <w:sz w:val="22"/>
                <w:szCs w:val="22"/>
              </w:rPr>
              <w:t xml:space="preserve">1.1. </w:t>
            </w:r>
            <w:r w:rsidR="00BD13B2" w:rsidRPr="0059064E">
              <w:rPr>
                <w:sz w:val="22"/>
                <w:szCs w:val="22"/>
              </w:rPr>
              <w:t>Šia Sutartimi Užsakovas užsako, o Autorius įsipareigoja sukurti ir perduoti Užsakovo nuosavybėn šiuos autorių teisių objektus (toliau – Kūriniai), įskaitant išimtinių turtinių teisių į Kūrinius perdavimą Užsakovui: Viešąją paskaitą virtualiai „Lietuvių karių kalavijai Lietuvos Didžiosios Kunigaikštystės kūrimosi laikotarpiu“  iki 2021 m. gegužės 5 d.“.</w:t>
            </w:r>
          </w:p>
          <w:p w:rsidR="0059064E" w:rsidRPr="0059064E" w:rsidRDefault="0059064E" w:rsidP="0059064E">
            <w:pPr>
              <w:pStyle w:val="ListParagraph"/>
              <w:tabs>
                <w:tab w:val="left" w:pos="572"/>
              </w:tabs>
              <w:ind w:left="39" w:hanging="39"/>
              <w:jc w:val="both"/>
              <w:rPr>
                <w:sz w:val="22"/>
                <w:szCs w:val="22"/>
              </w:rPr>
            </w:pPr>
          </w:p>
          <w:p w:rsidR="00D016E7" w:rsidRDefault="00D016E7" w:rsidP="00D016E7">
            <w:pPr>
              <w:tabs>
                <w:tab w:val="left" w:pos="572"/>
              </w:tabs>
              <w:jc w:val="both"/>
              <w:rPr>
                <w:sz w:val="22"/>
                <w:szCs w:val="22"/>
              </w:rPr>
            </w:pPr>
          </w:p>
          <w:p w:rsidR="00D016E7" w:rsidRPr="00D016E7" w:rsidRDefault="00D016E7" w:rsidP="00D016E7">
            <w:pPr>
              <w:tabs>
                <w:tab w:val="left" w:pos="572"/>
              </w:tabs>
              <w:jc w:val="both"/>
              <w:rPr>
                <w:sz w:val="22"/>
                <w:szCs w:val="22"/>
              </w:rPr>
            </w:pPr>
          </w:p>
          <w:p w:rsidR="00BD13B2" w:rsidRPr="0059064E" w:rsidRDefault="00BD13B2" w:rsidP="0059064E">
            <w:pPr>
              <w:pStyle w:val="ListParagraph"/>
              <w:numPr>
                <w:ilvl w:val="0"/>
                <w:numId w:val="9"/>
              </w:numPr>
              <w:tabs>
                <w:tab w:val="left" w:pos="572"/>
              </w:tabs>
              <w:ind w:left="39" w:hanging="39"/>
              <w:jc w:val="both"/>
              <w:rPr>
                <w:bCs/>
                <w:sz w:val="22"/>
                <w:szCs w:val="22"/>
              </w:rPr>
            </w:pPr>
            <w:r w:rsidRPr="0059064E">
              <w:rPr>
                <w:bCs/>
                <w:sz w:val="22"/>
                <w:szCs w:val="22"/>
              </w:rPr>
              <w:t>Pakeisti Sutarties 5.1 punktą ir išdėstyti jį taip:</w:t>
            </w:r>
          </w:p>
          <w:p w:rsidR="00BD13B2" w:rsidRPr="0059064E" w:rsidRDefault="0059064E" w:rsidP="0059064E">
            <w:pPr>
              <w:pStyle w:val="ListParagraph"/>
              <w:tabs>
                <w:tab w:val="left" w:pos="572"/>
              </w:tabs>
              <w:ind w:left="39" w:hanging="39"/>
              <w:jc w:val="both"/>
              <w:rPr>
                <w:sz w:val="22"/>
                <w:szCs w:val="22"/>
              </w:rPr>
            </w:pPr>
            <w:r w:rsidRPr="0059064E">
              <w:rPr>
                <w:sz w:val="22"/>
                <w:szCs w:val="22"/>
              </w:rPr>
              <w:t>,,</w:t>
            </w:r>
            <w:r w:rsidR="00BD13B2" w:rsidRPr="0059064E">
              <w:rPr>
                <w:sz w:val="22"/>
                <w:szCs w:val="22"/>
              </w:rPr>
              <w:t xml:space="preserve">5.1 Sutartis įsigalioja nuo jos pasirašymo momento ir galioja iki visiško Šalių įsipareigojimų pagal šią Sutartį įvykdymo arba iki tol, kol Sutartis bus nutraukta Šalių sutarimu ar teisės aktuose nurodyta tvarka, </w:t>
            </w:r>
            <w:r w:rsidR="00BD13B2" w:rsidRPr="0059064E">
              <w:rPr>
                <w:b/>
                <w:sz w:val="22"/>
                <w:szCs w:val="22"/>
              </w:rPr>
              <w:t>tačiau ne ilgiau kaip iki 2021 m. gegužės 20 d.“.</w:t>
            </w:r>
          </w:p>
          <w:p w:rsidR="00BD13B2" w:rsidRPr="0059064E" w:rsidRDefault="00BD13B2" w:rsidP="0059064E">
            <w:pPr>
              <w:pStyle w:val="ListParagraph"/>
              <w:tabs>
                <w:tab w:val="left" w:pos="572"/>
              </w:tabs>
              <w:ind w:left="39" w:hanging="39"/>
              <w:jc w:val="both"/>
              <w:rPr>
                <w:sz w:val="22"/>
                <w:szCs w:val="22"/>
              </w:rPr>
            </w:pPr>
          </w:p>
          <w:p w:rsidR="00BD13B2" w:rsidRPr="0059064E" w:rsidRDefault="00BD13B2" w:rsidP="0059064E">
            <w:pPr>
              <w:tabs>
                <w:tab w:val="left" w:pos="572"/>
              </w:tabs>
              <w:ind w:left="39" w:hanging="39"/>
              <w:jc w:val="both"/>
              <w:rPr>
                <w:bCs/>
                <w:sz w:val="22"/>
                <w:szCs w:val="22"/>
              </w:rPr>
            </w:pPr>
          </w:p>
        </w:tc>
        <w:tc>
          <w:tcPr>
            <w:tcW w:w="5085" w:type="dxa"/>
          </w:tcPr>
          <w:p w:rsidR="004B0ACF" w:rsidRPr="0059064E" w:rsidRDefault="004B0ACF" w:rsidP="00161975">
            <w:pPr>
              <w:pStyle w:val="ListParagraph"/>
              <w:numPr>
                <w:ilvl w:val="0"/>
                <w:numId w:val="8"/>
              </w:numPr>
              <w:tabs>
                <w:tab w:val="left" w:pos="585"/>
              </w:tabs>
              <w:ind w:left="0" w:firstLine="18"/>
              <w:jc w:val="both"/>
              <w:rPr>
                <w:sz w:val="22"/>
                <w:szCs w:val="22"/>
                <w:lang w:val="en-GB"/>
              </w:rPr>
            </w:pPr>
            <w:r w:rsidRPr="0059064E">
              <w:rPr>
                <w:sz w:val="22"/>
                <w:szCs w:val="22"/>
              </w:rPr>
              <w:t xml:space="preserve">Clause </w:t>
            </w:r>
            <w:r w:rsidR="00BD13B2" w:rsidRPr="0059064E">
              <w:rPr>
                <w:sz w:val="22"/>
                <w:szCs w:val="22"/>
              </w:rPr>
              <w:t>1.1</w:t>
            </w:r>
            <w:r w:rsidRPr="0059064E">
              <w:rPr>
                <w:sz w:val="22"/>
                <w:szCs w:val="22"/>
              </w:rPr>
              <w:t xml:space="preserve"> of the Contract</w:t>
            </w:r>
            <w:r w:rsidRPr="0059064E">
              <w:rPr>
                <w:sz w:val="22"/>
                <w:szCs w:val="22"/>
                <w:lang w:val="en-GB"/>
              </w:rPr>
              <w:t xml:space="preserve"> shall be amended and set forth to read as follows: </w:t>
            </w:r>
          </w:p>
          <w:p w:rsidR="00BD13B2" w:rsidRPr="0059064E" w:rsidRDefault="004B0ACF" w:rsidP="00161975">
            <w:pPr>
              <w:pStyle w:val="Heading2"/>
              <w:tabs>
                <w:tab w:val="left" w:pos="585"/>
              </w:tabs>
              <w:ind w:firstLine="18"/>
              <w:jc w:val="both"/>
              <w:rPr>
                <w:rFonts w:ascii="Times New Roman" w:hAnsi="Times New Roman" w:cs="Times New Roman"/>
                <w:color w:val="auto"/>
                <w:sz w:val="22"/>
                <w:szCs w:val="22"/>
              </w:rPr>
            </w:pPr>
            <w:r w:rsidRPr="0059064E">
              <w:rPr>
                <w:rFonts w:ascii="Times New Roman" w:hAnsi="Times New Roman" w:cs="Times New Roman"/>
                <w:bCs/>
                <w:color w:val="auto"/>
                <w:sz w:val="22"/>
                <w:szCs w:val="22"/>
                <w:lang w:val="en-GB"/>
              </w:rPr>
              <w:t>,</w:t>
            </w:r>
            <w:proofErr w:type="gramStart"/>
            <w:r w:rsidRPr="0059064E">
              <w:rPr>
                <w:rFonts w:ascii="Times New Roman" w:hAnsi="Times New Roman" w:cs="Times New Roman"/>
                <w:bCs/>
                <w:color w:val="auto"/>
                <w:sz w:val="22"/>
                <w:szCs w:val="22"/>
                <w:lang w:val="en-GB"/>
              </w:rPr>
              <w:t>,1.1</w:t>
            </w:r>
            <w:proofErr w:type="gramEnd"/>
            <w:r w:rsidRPr="0059064E">
              <w:rPr>
                <w:rFonts w:ascii="Times New Roman" w:hAnsi="Times New Roman" w:cs="Times New Roman"/>
                <w:bCs/>
                <w:color w:val="auto"/>
                <w:sz w:val="22"/>
                <w:szCs w:val="22"/>
                <w:lang w:val="en-GB"/>
              </w:rPr>
              <w:t xml:space="preserve">. </w:t>
            </w:r>
            <w:r w:rsidRPr="0059064E">
              <w:rPr>
                <w:rFonts w:ascii="Times New Roman" w:hAnsi="Times New Roman" w:cs="Times New Roman"/>
                <w:color w:val="auto"/>
                <w:sz w:val="22"/>
                <w:szCs w:val="22"/>
                <w:lang w:val="en-GB"/>
              </w:rPr>
              <w:t>By this Contract the Client orders and the Creator undertakes to create and transfer to the ownership of the Client these copyright objects (hereinafter the Creations), including the transfer of exclusive copyrights to the Client:</w:t>
            </w:r>
            <w:r w:rsidRPr="0059064E">
              <w:rPr>
                <w:rFonts w:ascii="Times New Roman" w:hAnsi="Times New Roman" w:cs="Times New Roman"/>
                <w:color w:val="auto"/>
                <w:sz w:val="22"/>
                <w:szCs w:val="22"/>
              </w:rPr>
              <w:t xml:space="preserve"> Public lecture virtually „Lietuvių karių kalavijai Lietuvos Didžiosios Kunigaikštystės kūrimosi laikotarpiu“ untill </w:t>
            </w:r>
            <w:r w:rsidR="00BD13B2" w:rsidRPr="0059064E">
              <w:rPr>
                <w:rFonts w:ascii="Times New Roman" w:hAnsi="Times New Roman" w:cs="Times New Roman"/>
                <w:color w:val="auto"/>
                <w:sz w:val="22"/>
                <w:szCs w:val="22"/>
              </w:rPr>
              <w:t>5</w:t>
            </w:r>
            <w:r w:rsidRPr="0059064E">
              <w:rPr>
                <w:rFonts w:ascii="Times New Roman" w:hAnsi="Times New Roman" w:cs="Times New Roman"/>
                <w:color w:val="auto"/>
                <w:sz w:val="22"/>
                <w:szCs w:val="22"/>
                <w:vertAlign w:val="superscript"/>
              </w:rPr>
              <w:t>th</w:t>
            </w:r>
            <w:r w:rsidRPr="0059064E">
              <w:rPr>
                <w:rFonts w:ascii="Times New Roman" w:hAnsi="Times New Roman" w:cs="Times New Roman"/>
                <w:color w:val="auto"/>
                <w:sz w:val="22"/>
                <w:szCs w:val="22"/>
              </w:rPr>
              <w:t xml:space="preserve"> May, 2021. ‘‘</w:t>
            </w:r>
            <w:r w:rsidR="00BD13B2" w:rsidRPr="0059064E">
              <w:rPr>
                <w:rFonts w:ascii="Times New Roman" w:hAnsi="Times New Roman" w:cs="Times New Roman"/>
                <w:color w:val="auto"/>
                <w:sz w:val="22"/>
                <w:szCs w:val="22"/>
              </w:rPr>
              <w:t>.</w:t>
            </w:r>
          </w:p>
          <w:p w:rsidR="004B0ACF" w:rsidRPr="0059064E" w:rsidRDefault="004B0ACF" w:rsidP="00161975">
            <w:pPr>
              <w:pStyle w:val="Heading2"/>
              <w:numPr>
                <w:ilvl w:val="0"/>
                <w:numId w:val="8"/>
              </w:numPr>
              <w:tabs>
                <w:tab w:val="left" w:pos="585"/>
              </w:tabs>
              <w:ind w:left="0" w:firstLine="18"/>
              <w:jc w:val="both"/>
              <w:rPr>
                <w:rFonts w:ascii="Times New Roman" w:hAnsi="Times New Roman" w:cs="Times New Roman"/>
                <w:color w:val="auto"/>
                <w:sz w:val="22"/>
                <w:szCs w:val="22"/>
              </w:rPr>
            </w:pPr>
            <w:r w:rsidRPr="0059064E">
              <w:rPr>
                <w:rFonts w:ascii="Times New Roman" w:hAnsi="Times New Roman" w:cs="Times New Roman"/>
                <w:color w:val="auto"/>
                <w:sz w:val="22"/>
                <w:szCs w:val="22"/>
              </w:rPr>
              <w:t xml:space="preserve">Clause </w:t>
            </w:r>
            <w:r w:rsidR="00BD13B2" w:rsidRPr="0059064E">
              <w:rPr>
                <w:rFonts w:ascii="Times New Roman" w:hAnsi="Times New Roman" w:cs="Times New Roman"/>
                <w:color w:val="auto"/>
                <w:sz w:val="22"/>
                <w:szCs w:val="22"/>
              </w:rPr>
              <w:t xml:space="preserve">5.1 </w:t>
            </w:r>
            <w:r w:rsidRPr="0059064E">
              <w:rPr>
                <w:rFonts w:ascii="Times New Roman" w:hAnsi="Times New Roman" w:cs="Times New Roman"/>
                <w:color w:val="auto"/>
                <w:sz w:val="22"/>
                <w:szCs w:val="22"/>
              </w:rPr>
              <w:t>of the Contract</w:t>
            </w:r>
            <w:r w:rsidRPr="0059064E">
              <w:rPr>
                <w:rFonts w:ascii="Times New Roman" w:hAnsi="Times New Roman" w:cs="Times New Roman"/>
                <w:color w:val="auto"/>
                <w:sz w:val="22"/>
                <w:szCs w:val="22"/>
                <w:lang w:val="en-GB"/>
              </w:rPr>
              <w:t xml:space="preserve"> shall be amended and set forth to read as follows: </w:t>
            </w:r>
          </w:p>
          <w:p w:rsidR="004B0ACF" w:rsidRPr="0059064E" w:rsidRDefault="004B0ACF" w:rsidP="00161975">
            <w:pPr>
              <w:pStyle w:val="ListParagraph"/>
              <w:tabs>
                <w:tab w:val="left" w:pos="585"/>
              </w:tabs>
              <w:ind w:left="0" w:firstLine="18"/>
              <w:jc w:val="both"/>
              <w:rPr>
                <w:sz w:val="22"/>
                <w:szCs w:val="22"/>
                <w:lang w:val="en-GB"/>
              </w:rPr>
            </w:pPr>
            <w:r w:rsidRPr="0059064E">
              <w:rPr>
                <w:b/>
                <w:sz w:val="22"/>
                <w:szCs w:val="22"/>
                <w:lang w:val="en-GB"/>
              </w:rPr>
              <w:t>,</w:t>
            </w:r>
            <w:proofErr w:type="gramStart"/>
            <w:r w:rsidRPr="0059064E">
              <w:rPr>
                <w:b/>
                <w:sz w:val="22"/>
                <w:szCs w:val="22"/>
                <w:lang w:val="en-GB"/>
              </w:rPr>
              <w:t>,</w:t>
            </w:r>
            <w:r w:rsidRPr="0059064E">
              <w:rPr>
                <w:sz w:val="22"/>
                <w:szCs w:val="22"/>
                <w:lang w:val="en-GB"/>
              </w:rPr>
              <w:t>5.1</w:t>
            </w:r>
            <w:proofErr w:type="gramEnd"/>
            <w:r w:rsidRPr="0059064E">
              <w:rPr>
                <w:sz w:val="22"/>
                <w:szCs w:val="22"/>
                <w:lang w:val="en-GB"/>
              </w:rPr>
              <w:t>. The Contract enters into force from the moment of its signing and is valid until the full fulfilment of the obligations of the Parties under this Contract or before the termination of this Contract in accordance with the procedures indicated in the agreement of the Parties or legal acts,</w:t>
            </w:r>
            <w:r w:rsidRPr="0059064E">
              <w:rPr>
                <w:b/>
                <w:sz w:val="22"/>
                <w:szCs w:val="22"/>
                <w:lang w:val="en-GB"/>
              </w:rPr>
              <w:t xml:space="preserve"> but no longer than 20 </w:t>
            </w:r>
            <w:proofErr w:type="spellStart"/>
            <w:r w:rsidRPr="0059064E">
              <w:rPr>
                <w:b/>
                <w:sz w:val="22"/>
                <w:szCs w:val="22"/>
                <w:vertAlign w:val="superscript"/>
                <w:lang w:val="en-GB"/>
              </w:rPr>
              <w:t>th</w:t>
            </w:r>
            <w:proofErr w:type="spellEnd"/>
            <w:r w:rsidRPr="0059064E">
              <w:rPr>
                <w:b/>
                <w:sz w:val="22"/>
                <w:szCs w:val="22"/>
              </w:rPr>
              <w:t xml:space="preserve"> May, 2021.“</w:t>
            </w:r>
          </w:p>
          <w:p w:rsidR="004B0ACF" w:rsidRPr="0059064E" w:rsidRDefault="004B0ACF" w:rsidP="0059064E">
            <w:pPr>
              <w:ind w:firstLine="18"/>
              <w:jc w:val="both"/>
              <w:rPr>
                <w:sz w:val="22"/>
                <w:szCs w:val="22"/>
                <w:lang w:val="en-GB"/>
              </w:rPr>
            </w:pPr>
          </w:p>
        </w:tc>
      </w:tr>
      <w:tr w:rsidR="00BA13E2" w:rsidRPr="0059064E" w:rsidTr="0059064E">
        <w:trPr>
          <w:trHeight w:val="3677"/>
        </w:trPr>
        <w:tc>
          <w:tcPr>
            <w:tcW w:w="5266" w:type="dxa"/>
          </w:tcPr>
          <w:p w:rsidR="00BA13E2" w:rsidRPr="0059064E" w:rsidRDefault="00BA13E2" w:rsidP="0059064E">
            <w:pPr>
              <w:pStyle w:val="ListParagraph"/>
              <w:numPr>
                <w:ilvl w:val="0"/>
                <w:numId w:val="9"/>
              </w:numPr>
              <w:tabs>
                <w:tab w:val="left" w:pos="572"/>
              </w:tabs>
              <w:ind w:left="39" w:hanging="39"/>
              <w:jc w:val="both"/>
              <w:rPr>
                <w:sz w:val="22"/>
                <w:szCs w:val="22"/>
              </w:rPr>
            </w:pPr>
            <w:r w:rsidRPr="0059064E">
              <w:rPr>
                <w:sz w:val="22"/>
                <w:szCs w:val="22"/>
              </w:rPr>
              <w:lastRenderedPageBreak/>
              <w:t>Papildomas susitarimas įsigalioja nuo jo pasirašymo momento ir yra laikomas neatskiriama Sutarties dalimi. Sutarties nuostatos, nepakeistos šiuo Papildomu susitarimu, ir toliau lieka galioti ir Šalims yra privalomos.</w:t>
            </w:r>
          </w:p>
          <w:p w:rsidR="00BA13E2" w:rsidRPr="0059064E" w:rsidRDefault="00BA13E2" w:rsidP="0059064E">
            <w:pPr>
              <w:pStyle w:val="ListParagraph"/>
              <w:numPr>
                <w:ilvl w:val="0"/>
                <w:numId w:val="9"/>
              </w:numPr>
              <w:tabs>
                <w:tab w:val="left" w:pos="572"/>
              </w:tabs>
              <w:ind w:left="39" w:hanging="39"/>
              <w:jc w:val="both"/>
              <w:rPr>
                <w:sz w:val="22"/>
                <w:szCs w:val="22"/>
              </w:rPr>
            </w:pPr>
            <w:r w:rsidRPr="0059064E">
              <w:rPr>
                <w:sz w:val="22"/>
                <w:szCs w:val="22"/>
              </w:rPr>
              <w:t>Visi ginčai ir nesutarimai, kylantys tarp Šalių, yra sprendžiami derybų būdu. Šalims nepavykus susitarti, ginčas ar nesutarimas sprendžiamas Sutartyje nurodyta tvarka.</w:t>
            </w:r>
          </w:p>
          <w:p w:rsidR="00BA13E2" w:rsidRPr="0059064E" w:rsidRDefault="00BA13E2" w:rsidP="0059064E">
            <w:pPr>
              <w:pStyle w:val="ListParagraph"/>
              <w:tabs>
                <w:tab w:val="left" w:pos="572"/>
              </w:tabs>
              <w:ind w:left="39" w:hanging="39"/>
              <w:jc w:val="both"/>
              <w:rPr>
                <w:sz w:val="22"/>
                <w:szCs w:val="22"/>
              </w:rPr>
            </w:pPr>
          </w:p>
          <w:p w:rsidR="00BA13E2" w:rsidRPr="0059064E" w:rsidRDefault="00BA13E2" w:rsidP="0059064E">
            <w:pPr>
              <w:pStyle w:val="ListParagraph"/>
              <w:numPr>
                <w:ilvl w:val="0"/>
                <w:numId w:val="9"/>
              </w:numPr>
              <w:tabs>
                <w:tab w:val="left" w:pos="572"/>
              </w:tabs>
              <w:ind w:left="39" w:hanging="39"/>
              <w:jc w:val="both"/>
              <w:rPr>
                <w:sz w:val="22"/>
                <w:szCs w:val="22"/>
              </w:rPr>
            </w:pPr>
            <w:r w:rsidRPr="0059064E">
              <w:rPr>
                <w:sz w:val="22"/>
                <w:szCs w:val="22"/>
              </w:rPr>
              <w:t>Šis Papildomas susitarimas sudarytas 2 (dviem) egzemplioriais lietuvių ir anglų kalbomis – po vieną kiekvienai Šaliai. Abu tekstai laikomi originalūs ir turi vienodą teisinę galią. Jeigu yra neatitikimų tarp lietuviško ir angliško Papildomo susitarimo teksto, pirmenybę turi tekstas lietuvių kalba.</w:t>
            </w:r>
          </w:p>
        </w:tc>
        <w:tc>
          <w:tcPr>
            <w:tcW w:w="5085" w:type="dxa"/>
          </w:tcPr>
          <w:p w:rsidR="00BA13E2" w:rsidRPr="0059064E" w:rsidRDefault="00BA13E2" w:rsidP="00161975">
            <w:pPr>
              <w:pStyle w:val="ListParagraph"/>
              <w:numPr>
                <w:ilvl w:val="0"/>
                <w:numId w:val="8"/>
              </w:numPr>
              <w:tabs>
                <w:tab w:val="left" w:pos="585"/>
              </w:tabs>
              <w:ind w:left="0" w:firstLine="18"/>
              <w:jc w:val="both"/>
              <w:rPr>
                <w:sz w:val="22"/>
                <w:szCs w:val="22"/>
                <w:lang w:val="en-GB"/>
              </w:rPr>
            </w:pPr>
            <w:r w:rsidRPr="0059064E">
              <w:rPr>
                <w:sz w:val="22"/>
                <w:szCs w:val="22"/>
                <w:lang w:val="en-GB"/>
              </w:rPr>
              <w:t>The Additional agreement shall come into force from the moment of its signing and shall be regarded as an integral part of the Contract. The provisions of the Contract, not modified by this Additional agreement, remain valid and binding on the Parties.</w:t>
            </w:r>
          </w:p>
          <w:p w:rsidR="00BA13E2" w:rsidRPr="0059064E" w:rsidRDefault="00BA13E2" w:rsidP="0059064E">
            <w:pPr>
              <w:pStyle w:val="ListParagraph"/>
              <w:numPr>
                <w:ilvl w:val="0"/>
                <w:numId w:val="8"/>
              </w:numPr>
              <w:tabs>
                <w:tab w:val="left" w:pos="584"/>
              </w:tabs>
              <w:ind w:left="0" w:firstLine="18"/>
              <w:jc w:val="both"/>
              <w:rPr>
                <w:sz w:val="22"/>
                <w:szCs w:val="22"/>
                <w:lang w:val="en-GB"/>
              </w:rPr>
            </w:pPr>
            <w:r w:rsidRPr="0059064E">
              <w:rPr>
                <w:sz w:val="22"/>
                <w:szCs w:val="22"/>
                <w:lang w:val="en-GB"/>
              </w:rPr>
              <w:t>All disputes and disagreements arising between the Parties shall be settled by negotiations. If the Parties fail to agree, the dispute or disagreement shall be settled in accordance with the procedure specified in the Contract.</w:t>
            </w:r>
          </w:p>
          <w:p w:rsidR="00BA13E2" w:rsidRPr="0059064E" w:rsidRDefault="00BA13E2" w:rsidP="0059064E">
            <w:pPr>
              <w:pStyle w:val="ListParagraph"/>
              <w:numPr>
                <w:ilvl w:val="0"/>
                <w:numId w:val="8"/>
              </w:numPr>
              <w:tabs>
                <w:tab w:val="left" w:pos="584"/>
              </w:tabs>
              <w:ind w:left="0" w:firstLine="18"/>
              <w:jc w:val="both"/>
              <w:rPr>
                <w:bCs/>
                <w:sz w:val="22"/>
                <w:szCs w:val="22"/>
              </w:rPr>
            </w:pPr>
            <w:r w:rsidRPr="0059064E">
              <w:rPr>
                <w:sz w:val="22"/>
                <w:szCs w:val="22"/>
                <w:lang w:val="en-GB"/>
              </w:rPr>
              <w:t>The Additional agreement is concluded in 2 (two) copies in both Lithuanian and English languages – one copy for each of the parties. Both texts shall be deemed an original and have equal legal effect. In case of discrepancy between the Lithuanian and English texts of this Additional agreement, the Lithuanian text shall prevail.</w:t>
            </w:r>
          </w:p>
        </w:tc>
      </w:tr>
      <w:tr w:rsidR="00BA13E2" w:rsidRPr="0059064E" w:rsidTr="00BA13E2">
        <w:tc>
          <w:tcPr>
            <w:tcW w:w="5266" w:type="dxa"/>
          </w:tcPr>
          <w:p w:rsidR="00BA13E2" w:rsidRPr="0059064E" w:rsidRDefault="00BA13E2" w:rsidP="00662807">
            <w:pPr>
              <w:jc w:val="right"/>
              <w:rPr>
                <w:bCs/>
                <w:sz w:val="22"/>
                <w:szCs w:val="22"/>
              </w:rPr>
            </w:pPr>
          </w:p>
        </w:tc>
        <w:tc>
          <w:tcPr>
            <w:tcW w:w="5085" w:type="dxa"/>
          </w:tcPr>
          <w:p w:rsidR="00BA13E2" w:rsidRPr="0059064E" w:rsidRDefault="00BA13E2" w:rsidP="00662807">
            <w:pPr>
              <w:jc w:val="both"/>
              <w:rPr>
                <w:bCs/>
                <w:sz w:val="22"/>
                <w:szCs w:val="22"/>
              </w:rPr>
            </w:pPr>
          </w:p>
        </w:tc>
      </w:tr>
      <w:tr w:rsidR="00BA13E2" w:rsidRPr="0059064E" w:rsidTr="00BA13E2">
        <w:tc>
          <w:tcPr>
            <w:tcW w:w="5266" w:type="dxa"/>
          </w:tcPr>
          <w:p w:rsidR="00BA13E2" w:rsidRPr="0059064E" w:rsidRDefault="00BA13E2" w:rsidP="00662807">
            <w:pPr>
              <w:jc w:val="right"/>
              <w:rPr>
                <w:bCs/>
                <w:sz w:val="22"/>
                <w:szCs w:val="22"/>
              </w:rPr>
            </w:pPr>
          </w:p>
        </w:tc>
        <w:tc>
          <w:tcPr>
            <w:tcW w:w="5085" w:type="dxa"/>
          </w:tcPr>
          <w:p w:rsidR="00BA13E2" w:rsidRPr="0059064E" w:rsidRDefault="00BA13E2" w:rsidP="00662807">
            <w:pPr>
              <w:jc w:val="right"/>
              <w:rPr>
                <w:bCs/>
                <w:sz w:val="22"/>
                <w:szCs w:val="22"/>
              </w:rPr>
            </w:pPr>
          </w:p>
        </w:tc>
      </w:tr>
      <w:tr w:rsidR="00BA13E2" w:rsidRPr="0059064E" w:rsidTr="00BA13E2">
        <w:tc>
          <w:tcPr>
            <w:tcW w:w="5266" w:type="dxa"/>
          </w:tcPr>
          <w:p w:rsidR="00BA13E2" w:rsidRPr="0059064E" w:rsidRDefault="00BA13E2" w:rsidP="00B045DA">
            <w:pPr>
              <w:rPr>
                <w:bCs/>
                <w:sz w:val="22"/>
                <w:szCs w:val="22"/>
              </w:rPr>
            </w:pPr>
          </w:p>
        </w:tc>
        <w:tc>
          <w:tcPr>
            <w:tcW w:w="5085" w:type="dxa"/>
          </w:tcPr>
          <w:p w:rsidR="00BA13E2" w:rsidRPr="0059064E" w:rsidRDefault="00BA13E2" w:rsidP="00662807">
            <w:pPr>
              <w:jc w:val="right"/>
              <w:rPr>
                <w:bCs/>
                <w:sz w:val="22"/>
                <w:szCs w:val="22"/>
              </w:rPr>
            </w:pPr>
          </w:p>
        </w:tc>
      </w:tr>
      <w:tr w:rsidR="00B045DA" w:rsidRPr="0059064E" w:rsidTr="00BA13E2">
        <w:tc>
          <w:tcPr>
            <w:tcW w:w="5266" w:type="dxa"/>
          </w:tcPr>
          <w:p w:rsidR="00B045DA" w:rsidRPr="0059064E" w:rsidRDefault="00B045DA" w:rsidP="00B045DA">
            <w:pPr>
              <w:tabs>
                <w:tab w:val="num" w:pos="846"/>
              </w:tabs>
              <w:rPr>
                <w:b/>
                <w:sz w:val="21"/>
                <w:szCs w:val="21"/>
              </w:rPr>
            </w:pPr>
            <w:r w:rsidRPr="0059064E">
              <w:rPr>
                <w:b/>
                <w:sz w:val="21"/>
                <w:szCs w:val="21"/>
              </w:rPr>
              <w:t>Užsakovo vardu/On behalf of the Client:</w:t>
            </w:r>
          </w:p>
        </w:tc>
        <w:tc>
          <w:tcPr>
            <w:tcW w:w="5085" w:type="dxa"/>
          </w:tcPr>
          <w:p w:rsidR="00B045DA" w:rsidRPr="0059064E" w:rsidRDefault="00B045DA" w:rsidP="00B045DA">
            <w:pPr>
              <w:jc w:val="right"/>
              <w:rPr>
                <w:b/>
                <w:sz w:val="21"/>
                <w:szCs w:val="21"/>
              </w:rPr>
            </w:pPr>
            <w:r w:rsidRPr="0059064E">
              <w:rPr>
                <w:b/>
                <w:sz w:val="21"/>
                <w:szCs w:val="21"/>
              </w:rPr>
              <w:t>Autoriaus vardu/On behalf of the Creator:</w:t>
            </w:r>
          </w:p>
        </w:tc>
      </w:tr>
      <w:tr w:rsidR="00BA13E2" w:rsidRPr="0059064E" w:rsidTr="00BA13E2">
        <w:tc>
          <w:tcPr>
            <w:tcW w:w="5266" w:type="dxa"/>
          </w:tcPr>
          <w:p w:rsidR="00BA13E2" w:rsidRPr="0059064E" w:rsidRDefault="00BA13E2" w:rsidP="00662807">
            <w:pPr>
              <w:rPr>
                <w:b/>
                <w:sz w:val="22"/>
                <w:szCs w:val="22"/>
              </w:rPr>
            </w:pPr>
            <w:r w:rsidRPr="0059064E">
              <w:rPr>
                <w:b/>
                <w:sz w:val="22"/>
                <w:szCs w:val="22"/>
              </w:rPr>
              <w:t>Nacionalinis muziejus Lietuvos Didžiosios Kunigaikštystės valdovų rūmai</w:t>
            </w:r>
            <w:r w:rsidR="00B045DA" w:rsidRPr="0059064E">
              <w:rPr>
                <w:b/>
                <w:sz w:val="22"/>
                <w:szCs w:val="22"/>
              </w:rPr>
              <w:t xml:space="preserve">/ </w:t>
            </w:r>
            <w:r w:rsidR="00B045DA" w:rsidRPr="0059064E">
              <w:rPr>
                <w:b/>
                <w:sz w:val="21"/>
                <w:szCs w:val="21"/>
              </w:rPr>
              <w:t>National museum – Palace of the Grand Dukes of Lithuania</w:t>
            </w:r>
          </w:p>
        </w:tc>
        <w:tc>
          <w:tcPr>
            <w:tcW w:w="5085" w:type="dxa"/>
          </w:tcPr>
          <w:p w:rsidR="00BA13E2" w:rsidRPr="0059064E" w:rsidRDefault="00B045DA" w:rsidP="00662807">
            <w:pPr>
              <w:jc w:val="right"/>
              <w:rPr>
                <w:b/>
                <w:sz w:val="22"/>
                <w:szCs w:val="22"/>
                <w:highlight w:val="yellow"/>
              </w:rPr>
            </w:pPr>
            <w:r w:rsidRPr="0059064E">
              <w:rPr>
                <w:b/>
                <w:color w:val="000000"/>
                <w:sz w:val="21"/>
                <w:szCs w:val="21"/>
              </w:rPr>
              <w:t>Aleksandr Vladimirovič Strelčenko / Alexander Vladimirovich Strelchenko</w:t>
            </w:r>
            <w:r w:rsidRPr="0059064E" w:rsidDel="0080137C">
              <w:rPr>
                <w:b/>
                <w:sz w:val="21"/>
                <w:szCs w:val="21"/>
              </w:rPr>
              <w:t xml:space="preserve"> </w:t>
            </w:r>
            <w:r w:rsidRPr="0059064E">
              <w:rPr>
                <w:b/>
                <w:sz w:val="21"/>
                <w:szCs w:val="21"/>
              </w:rPr>
              <w:t>(</w:t>
            </w:r>
            <w:r w:rsidRPr="0059064E">
              <w:rPr>
                <w:color w:val="000000"/>
                <w:sz w:val="21"/>
                <w:szCs w:val="21"/>
              </w:rPr>
              <w:t>Александр Владимирович Стрельченко)</w:t>
            </w:r>
          </w:p>
        </w:tc>
      </w:tr>
      <w:tr w:rsidR="00BA13E2" w:rsidRPr="0059064E" w:rsidTr="00BA13E2">
        <w:tc>
          <w:tcPr>
            <w:tcW w:w="5266" w:type="dxa"/>
          </w:tcPr>
          <w:p w:rsidR="00BA13E2" w:rsidRPr="0059064E" w:rsidRDefault="00BA13E2" w:rsidP="00662807">
            <w:pPr>
              <w:rPr>
                <w:sz w:val="22"/>
                <w:szCs w:val="22"/>
              </w:rPr>
            </w:pPr>
          </w:p>
        </w:tc>
        <w:tc>
          <w:tcPr>
            <w:tcW w:w="5085" w:type="dxa"/>
          </w:tcPr>
          <w:p w:rsidR="00BA13E2" w:rsidRPr="0059064E" w:rsidRDefault="00BA13E2" w:rsidP="00662807">
            <w:pPr>
              <w:jc w:val="right"/>
              <w:rPr>
                <w:sz w:val="22"/>
                <w:szCs w:val="22"/>
              </w:rPr>
            </w:pPr>
          </w:p>
        </w:tc>
      </w:tr>
      <w:tr w:rsidR="00BA13E2" w:rsidRPr="0059064E" w:rsidTr="00BA13E2">
        <w:tc>
          <w:tcPr>
            <w:tcW w:w="5266" w:type="dxa"/>
          </w:tcPr>
          <w:p w:rsidR="00BA13E2" w:rsidRPr="0059064E" w:rsidRDefault="00BA13E2" w:rsidP="00662807">
            <w:pPr>
              <w:rPr>
                <w:sz w:val="22"/>
                <w:szCs w:val="22"/>
              </w:rPr>
            </w:pPr>
          </w:p>
        </w:tc>
        <w:tc>
          <w:tcPr>
            <w:tcW w:w="5085" w:type="dxa"/>
          </w:tcPr>
          <w:p w:rsidR="00BA13E2" w:rsidRPr="0059064E" w:rsidRDefault="00BA13E2" w:rsidP="00662807">
            <w:pPr>
              <w:jc w:val="right"/>
              <w:rPr>
                <w:sz w:val="22"/>
                <w:szCs w:val="22"/>
              </w:rPr>
            </w:pPr>
          </w:p>
        </w:tc>
      </w:tr>
      <w:tr w:rsidR="00BA13E2" w:rsidRPr="0059064E" w:rsidTr="00BA13E2">
        <w:tc>
          <w:tcPr>
            <w:tcW w:w="5266" w:type="dxa"/>
          </w:tcPr>
          <w:p w:rsidR="00BA13E2" w:rsidRPr="0059064E" w:rsidRDefault="00BA13E2" w:rsidP="00662807">
            <w:pPr>
              <w:rPr>
                <w:sz w:val="22"/>
                <w:szCs w:val="22"/>
              </w:rPr>
            </w:pPr>
            <w:r w:rsidRPr="0059064E">
              <w:rPr>
                <w:sz w:val="22"/>
                <w:szCs w:val="22"/>
              </w:rPr>
              <w:t>_____________________________</w:t>
            </w:r>
          </w:p>
        </w:tc>
        <w:tc>
          <w:tcPr>
            <w:tcW w:w="5085" w:type="dxa"/>
          </w:tcPr>
          <w:p w:rsidR="00BA13E2" w:rsidRPr="0059064E" w:rsidRDefault="00BA13E2" w:rsidP="00662807">
            <w:pPr>
              <w:jc w:val="right"/>
              <w:rPr>
                <w:sz w:val="22"/>
                <w:szCs w:val="22"/>
              </w:rPr>
            </w:pPr>
            <w:r w:rsidRPr="0059064E">
              <w:rPr>
                <w:sz w:val="22"/>
                <w:szCs w:val="22"/>
              </w:rPr>
              <w:t>_____________________________</w:t>
            </w:r>
          </w:p>
        </w:tc>
      </w:tr>
      <w:tr w:rsidR="00B045DA" w:rsidRPr="0059064E" w:rsidTr="00BA13E2">
        <w:tc>
          <w:tcPr>
            <w:tcW w:w="5266" w:type="dxa"/>
          </w:tcPr>
          <w:p w:rsidR="00B045DA" w:rsidRPr="0059064E" w:rsidRDefault="00B045DA" w:rsidP="00B045DA">
            <w:pPr>
              <w:rPr>
                <w:sz w:val="22"/>
                <w:szCs w:val="22"/>
              </w:rPr>
            </w:pPr>
            <w:r w:rsidRPr="0059064E">
              <w:rPr>
                <w:sz w:val="22"/>
                <w:szCs w:val="22"/>
              </w:rPr>
              <w:t>Vydas Dolinskas</w:t>
            </w:r>
          </w:p>
        </w:tc>
        <w:tc>
          <w:tcPr>
            <w:tcW w:w="5085" w:type="dxa"/>
          </w:tcPr>
          <w:p w:rsidR="00B045DA" w:rsidRPr="0059064E" w:rsidRDefault="00B045DA" w:rsidP="00B045DA">
            <w:pPr>
              <w:jc w:val="right"/>
            </w:pPr>
            <w:r w:rsidRPr="0059064E">
              <w:rPr>
                <w:color w:val="000000"/>
                <w:sz w:val="21"/>
                <w:szCs w:val="21"/>
              </w:rPr>
              <w:t>Alexander Vladimirovich Strelchenko</w:t>
            </w:r>
          </w:p>
        </w:tc>
      </w:tr>
      <w:tr w:rsidR="00B045DA" w:rsidRPr="0059064E" w:rsidTr="00BA13E2">
        <w:trPr>
          <w:trHeight w:val="92"/>
        </w:trPr>
        <w:tc>
          <w:tcPr>
            <w:tcW w:w="5266" w:type="dxa"/>
          </w:tcPr>
          <w:p w:rsidR="00B045DA" w:rsidRPr="0059064E" w:rsidRDefault="00B045DA" w:rsidP="00B045DA">
            <w:pPr>
              <w:rPr>
                <w:sz w:val="22"/>
                <w:szCs w:val="22"/>
              </w:rPr>
            </w:pPr>
            <w:r w:rsidRPr="0059064E">
              <w:rPr>
                <w:sz w:val="22"/>
                <w:szCs w:val="22"/>
              </w:rPr>
              <w:t>Direktorius/Director</w:t>
            </w:r>
          </w:p>
        </w:tc>
        <w:tc>
          <w:tcPr>
            <w:tcW w:w="5085" w:type="dxa"/>
          </w:tcPr>
          <w:p w:rsidR="00B045DA" w:rsidRPr="0059064E" w:rsidRDefault="00B045DA" w:rsidP="00B045DA"/>
        </w:tc>
      </w:tr>
    </w:tbl>
    <w:p w:rsidR="00BA13E2" w:rsidRPr="0059064E" w:rsidRDefault="00BA13E2" w:rsidP="00BA13E2">
      <w:pPr>
        <w:rPr>
          <w:bCs/>
          <w:sz w:val="22"/>
          <w:szCs w:val="22"/>
          <w:lang w:val="en-GB"/>
        </w:rPr>
      </w:pPr>
    </w:p>
    <w:p w:rsidR="00BA13E2" w:rsidRPr="0059064E" w:rsidRDefault="00BA13E2" w:rsidP="00BA13E2">
      <w:pPr>
        <w:rPr>
          <w:bCs/>
          <w:sz w:val="22"/>
          <w:szCs w:val="22"/>
          <w:lang w:val="en-GB"/>
        </w:rPr>
      </w:pPr>
    </w:p>
    <w:p w:rsidR="00085728" w:rsidRPr="0059064E" w:rsidRDefault="00E6600A"/>
    <w:sectPr w:rsidR="00085728" w:rsidRPr="0059064E" w:rsidSect="00A12BE0">
      <w:footerReference w:type="default" r:id="rId8"/>
      <w:pgSz w:w="11906" w:h="16838"/>
      <w:pgMar w:top="680" w:right="851"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00A" w:rsidRDefault="00E6600A" w:rsidP="00161975">
      <w:r>
        <w:separator/>
      </w:r>
    </w:p>
  </w:endnote>
  <w:endnote w:type="continuationSeparator" w:id="0">
    <w:p w:rsidR="00E6600A" w:rsidRDefault="00E6600A" w:rsidP="0016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60955"/>
      <w:docPartObj>
        <w:docPartGallery w:val="Page Numbers (Bottom of Page)"/>
        <w:docPartUnique/>
      </w:docPartObj>
    </w:sdtPr>
    <w:sdtEndPr>
      <w:rPr>
        <w:noProof/>
      </w:rPr>
    </w:sdtEndPr>
    <w:sdtContent>
      <w:p w:rsidR="00161975" w:rsidRDefault="00161975">
        <w:pPr>
          <w:pStyle w:val="Footer"/>
          <w:jc w:val="center"/>
        </w:pPr>
        <w:r>
          <w:fldChar w:fldCharType="begin"/>
        </w:r>
        <w:r>
          <w:instrText xml:space="preserve"> PAGE   \* MERGEFORMAT </w:instrText>
        </w:r>
        <w:r>
          <w:fldChar w:fldCharType="separate"/>
        </w:r>
        <w:r w:rsidR="00CD551B">
          <w:rPr>
            <w:noProof/>
          </w:rPr>
          <w:t>2</w:t>
        </w:r>
        <w:r>
          <w:rPr>
            <w:noProof/>
          </w:rPr>
          <w:fldChar w:fldCharType="end"/>
        </w:r>
      </w:p>
    </w:sdtContent>
  </w:sdt>
  <w:p w:rsidR="00161975" w:rsidRDefault="00161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00A" w:rsidRDefault="00E6600A" w:rsidP="00161975">
      <w:r>
        <w:separator/>
      </w:r>
    </w:p>
  </w:footnote>
  <w:footnote w:type="continuationSeparator" w:id="0">
    <w:p w:rsidR="00E6600A" w:rsidRDefault="00E6600A" w:rsidP="00161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9A3"/>
    <w:multiLevelType w:val="hybridMultilevel"/>
    <w:tmpl w:val="705851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D3669A6E">
      <w:start w:val="1"/>
      <w:numFmt w:val="decimal"/>
      <w:lvlText w:val="%3."/>
      <w:lvlJc w:val="left"/>
      <w:pPr>
        <w:ind w:left="2160" w:hanging="360"/>
      </w:pPr>
      <w:rPr>
        <w:rFonts w:ascii="Times New Roman" w:eastAsia="Times New Roman" w:hAnsi="Times New Roman" w:cs="Times New Roman"/>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30E4E"/>
    <w:multiLevelType w:val="hybridMultilevel"/>
    <w:tmpl w:val="8F8097C4"/>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2F6100"/>
    <w:multiLevelType w:val="hybridMultilevel"/>
    <w:tmpl w:val="09E275FE"/>
    <w:lvl w:ilvl="0" w:tplc="D3669A6E">
      <w:start w:val="1"/>
      <w:numFmt w:val="decimal"/>
      <w:lvlText w:val="%1."/>
      <w:lvlJc w:val="left"/>
      <w:pPr>
        <w:ind w:left="216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BF1EF7"/>
    <w:multiLevelType w:val="hybridMultilevel"/>
    <w:tmpl w:val="65AAA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5E71AC"/>
    <w:multiLevelType w:val="hybridMultilevel"/>
    <w:tmpl w:val="60F63F96"/>
    <w:lvl w:ilvl="0" w:tplc="C09E1914">
      <w:start w:val="1"/>
      <w:numFmt w:val="decimal"/>
      <w:lvlText w:val="%1."/>
      <w:lvlJc w:val="left"/>
      <w:pPr>
        <w:ind w:left="803"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4148E2"/>
    <w:multiLevelType w:val="hybridMultilevel"/>
    <w:tmpl w:val="63644B98"/>
    <w:lvl w:ilvl="0" w:tplc="C09E1914">
      <w:start w:val="1"/>
      <w:numFmt w:val="decimal"/>
      <w:lvlText w:val="%1."/>
      <w:lvlJc w:val="left"/>
      <w:pPr>
        <w:ind w:left="803" w:hanging="360"/>
      </w:pPr>
      <w:rPr>
        <w:rFonts w:hint="default"/>
        <w:sz w:val="22"/>
      </w:rPr>
    </w:lvl>
    <w:lvl w:ilvl="1" w:tplc="04270019" w:tentative="1">
      <w:start w:val="1"/>
      <w:numFmt w:val="lowerLetter"/>
      <w:lvlText w:val="%2."/>
      <w:lvlJc w:val="left"/>
      <w:pPr>
        <w:ind w:left="1240" w:hanging="360"/>
      </w:pPr>
    </w:lvl>
    <w:lvl w:ilvl="2" w:tplc="0427001B">
      <w:start w:val="1"/>
      <w:numFmt w:val="lowerRoman"/>
      <w:lvlText w:val="%3."/>
      <w:lvlJc w:val="right"/>
      <w:pPr>
        <w:ind w:left="1960" w:hanging="180"/>
      </w:pPr>
    </w:lvl>
    <w:lvl w:ilvl="3" w:tplc="0427000F" w:tentative="1">
      <w:start w:val="1"/>
      <w:numFmt w:val="decimal"/>
      <w:lvlText w:val="%4."/>
      <w:lvlJc w:val="left"/>
      <w:pPr>
        <w:ind w:left="2680" w:hanging="360"/>
      </w:pPr>
    </w:lvl>
    <w:lvl w:ilvl="4" w:tplc="04270019" w:tentative="1">
      <w:start w:val="1"/>
      <w:numFmt w:val="lowerLetter"/>
      <w:lvlText w:val="%5."/>
      <w:lvlJc w:val="left"/>
      <w:pPr>
        <w:ind w:left="3400" w:hanging="360"/>
      </w:pPr>
    </w:lvl>
    <w:lvl w:ilvl="5" w:tplc="0427001B" w:tentative="1">
      <w:start w:val="1"/>
      <w:numFmt w:val="lowerRoman"/>
      <w:lvlText w:val="%6."/>
      <w:lvlJc w:val="right"/>
      <w:pPr>
        <w:ind w:left="4120" w:hanging="180"/>
      </w:pPr>
    </w:lvl>
    <w:lvl w:ilvl="6" w:tplc="0427000F" w:tentative="1">
      <w:start w:val="1"/>
      <w:numFmt w:val="decimal"/>
      <w:lvlText w:val="%7."/>
      <w:lvlJc w:val="left"/>
      <w:pPr>
        <w:ind w:left="4840" w:hanging="360"/>
      </w:pPr>
    </w:lvl>
    <w:lvl w:ilvl="7" w:tplc="04270019" w:tentative="1">
      <w:start w:val="1"/>
      <w:numFmt w:val="lowerLetter"/>
      <w:lvlText w:val="%8."/>
      <w:lvlJc w:val="left"/>
      <w:pPr>
        <w:ind w:left="5560" w:hanging="360"/>
      </w:pPr>
    </w:lvl>
    <w:lvl w:ilvl="8" w:tplc="0427001B" w:tentative="1">
      <w:start w:val="1"/>
      <w:numFmt w:val="lowerRoman"/>
      <w:lvlText w:val="%9."/>
      <w:lvlJc w:val="right"/>
      <w:pPr>
        <w:ind w:left="6280" w:hanging="180"/>
      </w:pPr>
    </w:lvl>
  </w:abstractNum>
  <w:abstractNum w:abstractNumId="6" w15:restartNumberingAfterBreak="0">
    <w:nsid w:val="54AC10A2"/>
    <w:multiLevelType w:val="hybridMultilevel"/>
    <w:tmpl w:val="65AAAF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EE3C82"/>
    <w:multiLevelType w:val="hybridMultilevel"/>
    <w:tmpl w:val="F93875BA"/>
    <w:lvl w:ilvl="0" w:tplc="C09E1914">
      <w:start w:val="1"/>
      <w:numFmt w:val="decimal"/>
      <w:lvlText w:val="%1."/>
      <w:lvlJc w:val="left"/>
      <w:pPr>
        <w:ind w:left="803" w:hanging="360"/>
      </w:pPr>
      <w:rPr>
        <w:rFonts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C4D5D52"/>
    <w:multiLevelType w:val="multilevel"/>
    <w:tmpl w:val="0AF2304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b w:val="0"/>
        <w:sz w:val="22"/>
        <w:szCs w:val="22"/>
        <w:lang w:val="lt-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6"/>
  </w:num>
  <w:num w:numId="5">
    <w:abstractNumId w:val="8"/>
  </w:num>
  <w:num w:numId="6">
    <w:abstractNumId w:val="3"/>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EC"/>
    <w:rsid w:val="0012665E"/>
    <w:rsid w:val="00157EED"/>
    <w:rsid w:val="00161975"/>
    <w:rsid w:val="001D54FC"/>
    <w:rsid w:val="002442F5"/>
    <w:rsid w:val="003C71DB"/>
    <w:rsid w:val="004B0ACF"/>
    <w:rsid w:val="0059064E"/>
    <w:rsid w:val="006D6529"/>
    <w:rsid w:val="00743233"/>
    <w:rsid w:val="00772D37"/>
    <w:rsid w:val="007A7F50"/>
    <w:rsid w:val="00823528"/>
    <w:rsid w:val="008B1A7E"/>
    <w:rsid w:val="008B5A5F"/>
    <w:rsid w:val="00AC50EC"/>
    <w:rsid w:val="00B045DA"/>
    <w:rsid w:val="00B740A8"/>
    <w:rsid w:val="00BA13E2"/>
    <w:rsid w:val="00BD13B2"/>
    <w:rsid w:val="00C75481"/>
    <w:rsid w:val="00CD551B"/>
    <w:rsid w:val="00CE385E"/>
    <w:rsid w:val="00D016E7"/>
    <w:rsid w:val="00E6600A"/>
    <w:rsid w:val="00E74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583FA-E277-42B8-9C6B-27FD6028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3E2"/>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4B0AC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3E2"/>
    <w:pPr>
      <w:ind w:left="720"/>
      <w:contextualSpacing/>
    </w:pPr>
  </w:style>
  <w:style w:type="table" w:styleId="TableGrid">
    <w:name w:val="Table Grid"/>
    <w:basedOn w:val="TableNormal"/>
    <w:uiPriority w:val="59"/>
    <w:rsid w:val="00BA1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BA13E2"/>
    <w:pPr>
      <w:suppressAutoHyphens/>
      <w:jc w:val="center"/>
    </w:pPr>
    <w:rPr>
      <w:rFonts w:ascii="TimesLT" w:hAnsi="TimesLT"/>
      <w:b/>
      <w:szCs w:val="20"/>
      <w:lang w:eastAsia="ar-SA"/>
    </w:rPr>
  </w:style>
  <w:style w:type="character" w:customStyle="1" w:styleId="TitleChar">
    <w:name w:val="Title Char"/>
    <w:basedOn w:val="DefaultParagraphFont"/>
    <w:link w:val="Title"/>
    <w:rsid w:val="00BA13E2"/>
    <w:rPr>
      <w:rFonts w:ascii="TimesLT" w:eastAsia="Times New Roman" w:hAnsi="TimesLT" w:cs="Times New Roman"/>
      <w:b/>
      <w:sz w:val="24"/>
      <w:szCs w:val="20"/>
      <w:lang w:eastAsia="ar-SA"/>
    </w:rPr>
  </w:style>
  <w:style w:type="paragraph" w:styleId="Subtitle">
    <w:name w:val="Subtitle"/>
    <w:basedOn w:val="Normal"/>
    <w:next w:val="Normal"/>
    <w:link w:val="SubtitleChar"/>
    <w:uiPriority w:val="11"/>
    <w:qFormat/>
    <w:rsid w:val="00BA13E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A13E2"/>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B0AC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61975"/>
    <w:pPr>
      <w:tabs>
        <w:tab w:val="center" w:pos="4819"/>
        <w:tab w:val="right" w:pos="9638"/>
      </w:tabs>
    </w:pPr>
  </w:style>
  <w:style w:type="character" w:customStyle="1" w:styleId="HeaderChar">
    <w:name w:val="Header Char"/>
    <w:basedOn w:val="DefaultParagraphFont"/>
    <w:link w:val="Header"/>
    <w:uiPriority w:val="99"/>
    <w:rsid w:val="001619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1975"/>
    <w:pPr>
      <w:tabs>
        <w:tab w:val="center" w:pos="4819"/>
        <w:tab w:val="right" w:pos="9638"/>
      </w:tabs>
    </w:pPr>
  </w:style>
  <w:style w:type="character" w:customStyle="1" w:styleId="FooterChar">
    <w:name w:val="Footer Char"/>
    <w:basedOn w:val="DefaultParagraphFont"/>
    <w:link w:val="Footer"/>
    <w:uiPriority w:val="99"/>
    <w:rsid w:val="001619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A4581-D2C0-464B-ACDF-5CA5F95E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Matuiza</dc:creator>
  <cp:keywords/>
  <dc:description/>
  <cp:lastModifiedBy>Ramunė Gudenė</cp:lastModifiedBy>
  <cp:revision>3</cp:revision>
  <dcterms:created xsi:type="dcterms:W3CDTF">2021-04-14T05:40:00Z</dcterms:created>
  <dcterms:modified xsi:type="dcterms:W3CDTF">2021-04-14T05:41:00Z</dcterms:modified>
</cp:coreProperties>
</file>