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F2A49" w14:textId="77777777" w:rsidR="00E33A12" w:rsidRDefault="00E33A12" w:rsidP="001C3AF0">
      <w:pPr>
        <w:widowControl w:val="0"/>
        <w:suppressAutoHyphens/>
        <w:spacing w:after="0" w:line="240" w:lineRule="auto"/>
        <w:rPr>
          <w:rFonts w:ascii="Times New Roman" w:eastAsia="Times New Roman" w:hAnsi="Times New Roman" w:cs="Times New Roman"/>
          <w:caps/>
          <w:sz w:val="24"/>
          <w:szCs w:val="24"/>
          <w:lang w:eastAsia="zh-CN"/>
        </w:rPr>
      </w:pPr>
    </w:p>
    <w:p w14:paraId="22D1C3F9" w14:textId="77777777" w:rsidR="006B72C7" w:rsidRDefault="006B72C7" w:rsidP="00D02523">
      <w:pPr>
        <w:widowControl w:val="0"/>
        <w:suppressAutoHyphens/>
        <w:spacing w:after="0" w:line="240" w:lineRule="auto"/>
        <w:rPr>
          <w:rFonts w:ascii="Times New Roman" w:eastAsia="Times New Roman" w:hAnsi="Times New Roman" w:cs="Times New Roman"/>
          <w:b/>
          <w:caps/>
          <w:sz w:val="24"/>
          <w:szCs w:val="24"/>
          <w:lang w:eastAsia="zh-CN"/>
        </w:rPr>
      </w:pPr>
    </w:p>
    <w:p w14:paraId="6457E173" w14:textId="77777777" w:rsidR="006B72C7" w:rsidRDefault="00EE7AF2" w:rsidP="006B72C7">
      <w:pPr>
        <w:widowControl w:val="0"/>
        <w:suppressAutoHyphens/>
        <w:spacing w:after="0" w:line="240" w:lineRule="auto"/>
        <w:jc w:val="center"/>
        <w:rPr>
          <w:rFonts w:ascii="Times New Roman" w:eastAsia="Times New Roman" w:hAnsi="Times New Roman" w:cs="Times New Roman"/>
          <w:b/>
          <w:caps/>
          <w:sz w:val="24"/>
          <w:szCs w:val="24"/>
          <w:lang w:eastAsia="zh-CN"/>
        </w:rPr>
      </w:pPr>
      <w:r w:rsidRPr="00EE7AF2">
        <w:rPr>
          <w:rFonts w:ascii="Calibri" w:eastAsia="Calibri" w:hAnsi="Calibri" w:cs="Times New Roman"/>
          <w:noProof/>
          <w:lang w:eastAsia="lt-LT"/>
        </w:rPr>
        <w:drawing>
          <wp:inline distT="0" distB="0" distL="0" distR="0" wp14:anchorId="3CBAFDE3" wp14:editId="6CAAC1D5">
            <wp:extent cx="2257425" cy="1128713"/>
            <wp:effectExtent l="0" t="0" r="0" b="0"/>
            <wp:docPr id="1" name="Paveikslėlis 1" descr="C:\Users\toma\Desktop\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Desktop\ESFIVP-I-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9301" cy="1129651"/>
                    </a:xfrm>
                    <a:prstGeom prst="rect">
                      <a:avLst/>
                    </a:prstGeom>
                    <a:noFill/>
                    <a:ln>
                      <a:noFill/>
                    </a:ln>
                  </pic:spPr>
                </pic:pic>
              </a:graphicData>
            </a:graphic>
          </wp:inline>
        </w:drawing>
      </w:r>
    </w:p>
    <w:p w14:paraId="57F95444" w14:textId="110A6132" w:rsidR="001E24CD" w:rsidRDefault="00E50E50" w:rsidP="001E24CD">
      <w:pPr>
        <w:spacing w:after="0"/>
        <w:jc w:val="center"/>
        <w:rPr>
          <w:rFonts w:ascii="Times New Roman" w:eastAsia="Times New Roman" w:hAnsi="Times New Roman" w:cs="Times New Roman"/>
          <w:b/>
          <w:bCs/>
          <w:sz w:val="24"/>
          <w:szCs w:val="24"/>
          <w:lang w:eastAsia="ar-SA"/>
        </w:rPr>
      </w:pPr>
      <w:bookmarkStart w:id="0" w:name="_GoBack"/>
      <w:r w:rsidRPr="00846EFC">
        <w:rPr>
          <w:rFonts w:ascii="Times New Roman" w:eastAsia="Times New Roman" w:hAnsi="Times New Roman" w:cs="Times New Roman"/>
          <w:b/>
          <w:sz w:val="24"/>
          <w:szCs w:val="24"/>
        </w:rPr>
        <w:t>DOKUMENTŲ, REIKALINGŲ PARENGTI TREČIUOSIUS NEMUNO, LIELUPĖS, VENTOS IR DAUGUVOS UPIŲ BASEINŲ RAJONŲ VALDYMO PLANUS/ PRIEMONIŲ PROGRAMAS IR AT</w:t>
      </w:r>
      <w:r w:rsidR="001B006A" w:rsidRPr="00846EFC">
        <w:rPr>
          <w:rFonts w:ascii="Times New Roman" w:eastAsia="Times New Roman" w:hAnsi="Times New Roman" w:cs="Times New Roman"/>
          <w:b/>
          <w:sz w:val="24"/>
          <w:szCs w:val="24"/>
        </w:rPr>
        <w:t>ASKAITAS</w:t>
      </w:r>
      <w:r w:rsidRPr="00846EFC">
        <w:rPr>
          <w:rFonts w:ascii="Times New Roman" w:eastAsia="Times New Roman" w:hAnsi="Times New Roman" w:cs="Times New Roman"/>
          <w:b/>
          <w:sz w:val="24"/>
          <w:szCs w:val="24"/>
        </w:rPr>
        <w:t xml:space="preserve"> EUROPOS KOMISIJAI, ĮSIGIJIM</w:t>
      </w:r>
      <w:r w:rsidR="001E24CD" w:rsidRPr="00846EFC">
        <w:rPr>
          <w:rFonts w:ascii="Times New Roman" w:eastAsia="Times New Roman" w:hAnsi="Times New Roman" w:cs="Times New Roman"/>
          <w:b/>
          <w:sz w:val="24"/>
          <w:szCs w:val="24"/>
        </w:rPr>
        <w:t>O PASLAUGŲ</w:t>
      </w:r>
      <w:r w:rsidR="002940D9">
        <w:rPr>
          <w:rFonts w:ascii="Times New Roman" w:eastAsia="Lucida Sans Unicode" w:hAnsi="Times New Roman"/>
          <w:b/>
          <w:bCs/>
          <w:iCs/>
          <w:kern w:val="1"/>
          <w:sz w:val="24"/>
          <w:szCs w:val="24"/>
        </w:rPr>
        <w:t xml:space="preserve"> </w:t>
      </w:r>
      <w:bookmarkEnd w:id="0"/>
      <w:r w:rsidR="002940D9">
        <w:rPr>
          <w:rFonts w:ascii="Times New Roman" w:eastAsia="Lucida Sans Unicode" w:hAnsi="Times New Roman"/>
          <w:b/>
          <w:bCs/>
          <w:iCs/>
          <w:kern w:val="1"/>
          <w:sz w:val="24"/>
          <w:szCs w:val="24"/>
        </w:rPr>
        <w:t>VIEŠOJO</w:t>
      </w:r>
      <w:r w:rsidR="001E24CD">
        <w:rPr>
          <w:rFonts w:ascii="Times New Roman" w:eastAsia="Times New Roman" w:hAnsi="Times New Roman" w:cs="Times New Roman"/>
          <w:b/>
          <w:sz w:val="24"/>
          <w:szCs w:val="24"/>
        </w:rPr>
        <w:t xml:space="preserve"> </w:t>
      </w:r>
      <w:r w:rsidR="006B72C7" w:rsidRPr="005153DD">
        <w:rPr>
          <w:rFonts w:ascii="Times New Roman" w:eastAsia="Times New Roman" w:hAnsi="Times New Roman" w:cs="Times New Roman"/>
          <w:b/>
          <w:bCs/>
          <w:kern w:val="2"/>
          <w:sz w:val="24"/>
          <w:szCs w:val="24"/>
          <w:lang w:eastAsia="zh-CN"/>
        </w:rPr>
        <w:t xml:space="preserve">PIRKIMO </w:t>
      </w:r>
      <w:r w:rsidR="006B72C7" w:rsidRPr="005153DD">
        <w:rPr>
          <w:rFonts w:ascii="Times New Roman" w:eastAsia="Times New Roman" w:hAnsi="Times New Roman" w:cs="Times New Roman"/>
          <w:b/>
          <w:bCs/>
          <w:sz w:val="24"/>
          <w:szCs w:val="24"/>
          <w:lang w:eastAsia="ar-SA"/>
        </w:rPr>
        <w:t xml:space="preserve">– PARDAVIMO </w:t>
      </w:r>
    </w:p>
    <w:p w14:paraId="34DB7BE9" w14:textId="15E39C8C" w:rsidR="006B72C7" w:rsidRDefault="006B72C7" w:rsidP="001E24CD">
      <w:pPr>
        <w:spacing w:after="0"/>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 xml:space="preserve">SUTARTIS NR. </w:t>
      </w:r>
    </w:p>
    <w:p w14:paraId="632D65FF" w14:textId="77777777" w:rsidR="005153DD" w:rsidRPr="005153DD" w:rsidRDefault="005153DD" w:rsidP="005153DD">
      <w:pPr>
        <w:widowControl w:val="0"/>
        <w:suppressAutoHyphens/>
        <w:spacing w:after="0" w:line="240" w:lineRule="auto"/>
        <w:rPr>
          <w:rFonts w:ascii="Times New Roman" w:eastAsia="Times New Roman" w:hAnsi="Times New Roman" w:cs="Times New Roman"/>
          <w:bCs/>
          <w:sz w:val="24"/>
          <w:szCs w:val="24"/>
          <w:lang w:eastAsia="ar-SA"/>
        </w:rPr>
      </w:pPr>
    </w:p>
    <w:p w14:paraId="5FAEC4FF" w14:textId="5C47AE9E" w:rsidR="005153DD" w:rsidRPr="005153DD" w:rsidRDefault="00967B87" w:rsidP="005153DD">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D02523">
        <w:rPr>
          <w:rFonts w:ascii="Times New Roman" w:eastAsia="Times New Roman" w:hAnsi="Times New Roman" w:cs="Times New Roman"/>
          <w:sz w:val="24"/>
          <w:szCs w:val="24"/>
          <w:lang w:eastAsia="ar-SA"/>
        </w:rPr>
        <w:t>21</w:t>
      </w:r>
      <w:r w:rsidR="00A1245E">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lang w:eastAsia="ar-SA"/>
        </w:rPr>
        <w:t>m.                                               d.</w:t>
      </w:r>
    </w:p>
    <w:p w14:paraId="4EC850EA"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Vilnius</w:t>
      </w:r>
    </w:p>
    <w:p w14:paraId="75D4F885" w14:textId="77777777" w:rsidR="00E82CE7" w:rsidRDefault="00E82CE7" w:rsidP="005153DD">
      <w:pPr>
        <w:suppressAutoHyphens/>
        <w:spacing w:after="0" w:line="240" w:lineRule="auto"/>
        <w:rPr>
          <w:rFonts w:ascii="Times New Roman" w:eastAsia="Times New Roman" w:hAnsi="Times New Roman" w:cs="Times New Roman"/>
          <w:sz w:val="24"/>
          <w:szCs w:val="24"/>
          <w:lang w:eastAsia="ar-SA"/>
        </w:rPr>
      </w:pPr>
    </w:p>
    <w:p w14:paraId="064F0C84" w14:textId="77777777" w:rsidR="00E82CE7" w:rsidRPr="002940D9" w:rsidRDefault="00E82CE7" w:rsidP="00E82CE7">
      <w:pPr>
        <w:pStyle w:val="Betarp"/>
        <w:rPr>
          <w:rFonts w:ascii="Times New Roman" w:hAnsi="Times New Roman" w:cs="Times New Roman"/>
          <w:sz w:val="24"/>
          <w:szCs w:val="24"/>
          <w:shd w:val="clear" w:color="auto" w:fill="FFFFFF"/>
          <w:lang w:eastAsia="ar-SA"/>
        </w:rPr>
      </w:pPr>
    </w:p>
    <w:p w14:paraId="219FE3B8" w14:textId="59A43CBB" w:rsidR="0002478E" w:rsidRPr="00E50E50" w:rsidRDefault="00B845B6" w:rsidP="001B31FC">
      <w:pPr>
        <w:spacing w:line="240" w:lineRule="auto"/>
        <w:ind w:firstLine="567"/>
        <w:jc w:val="both"/>
        <w:rPr>
          <w:iCs/>
          <w:lang w:eastAsia="lt-LT"/>
        </w:rPr>
      </w:pPr>
      <w:r>
        <w:rPr>
          <w:rFonts w:ascii="Times New Roman" w:hAnsi="Times New Roman" w:cs="Times New Roman"/>
          <w:sz w:val="24"/>
          <w:szCs w:val="24"/>
          <w:shd w:val="clear" w:color="auto" w:fill="FFFFFF"/>
          <w:lang w:eastAsia="ar-SA"/>
        </w:rPr>
        <w:t>Pirkimas vykdomas įgyvendina</w:t>
      </w:r>
      <w:r w:rsidR="00DD5114">
        <w:rPr>
          <w:rFonts w:ascii="Times New Roman" w:hAnsi="Times New Roman" w:cs="Times New Roman"/>
          <w:sz w:val="24"/>
          <w:szCs w:val="24"/>
          <w:shd w:val="clear" w:color="auto" w:fill="FFFFFF"/>
          <w:lang w:eastAsia="ar-SA"/>
        </w:rPr>
        <w:t>n</w:t>
      </w:r>
      <w:r>
        <w:rPr>
          <w:rFonts w:ascii="Times New Roman" w:hAnsi="Times New Roman" w:cs="Times New Roman"/>
          <w:sz w:val="24"/>
          <w:szCs w:val="24"/>
          <w:shd w:val="clear" w:color="auto" w:fill="FFFFFF"/>
          <w:lang w:eastAsia="ar-SA"/>
        </w:rPr>
        <w:t>t projektą</w:t>
      </w:r>
      <w:r w:rsidR="00E82CE7" w:rsidRPr="00F01A83">
        <w:rPr>
          <w:rFonts w:ascii="Times New Roman" w:hAnsi="Times New Roman" w:cs="Times New Roman"/>
          <w:sz w:val="24"/>
          <w:szCs w:val="24"/>
          <w:shd w:val="clear" w:color="auto" w:fill="FFFFFF"/>
          <w:lang w:eastAsia="ar-SA"/>
        </w:rPr>
        <w:t xml:space="preserve"> </w:t>
      </w:r>
      <w:r w:rsidR="00E86ABF">
        <w:rPr>
          <w:rFonts w:ascii="Times New Roman" w:eastAsia="Times New Roman" w:hAnsi="Times New Roman" w:cs="Times New Roman"/>
          <w:sz w:val="24"/>
          <w:szCs w:val="24"/>
          <w:shd w:val="clear" w:color="auto" w:fill="FFFFFF"/>
          <w:lang w:eastAsia="ar-SA"/>
        </w:rPr>
        <w:t>Nr. 05.3.1-APVA-V-011-01-0012</w:t>
      </w:r>
      <w:r w:rsidR="00E86ABF" w:rsidRPr="003C653E">
        <w:rPr>
          <w:rFonts w:ascii="Times New Roman" w:eastAsia="Times New Roman" w:hAnsi="Times New Roman" w:cs="Times New Roman"/>
          <w:sz w:val="24"/>
          <w:szCs w:val="24"/>
          <w:shd w:val="clear" w:color="auto" w:fill="FFFFFF"/>
          <w:lang w:eastAsia="ar-SA"/>
        </w:rPr>
        <w:t xml:space="preserve"> </w:t>
      </w:r>
      <w:r w:rsidRPr="00846EFC">
        <w:rPr>
          <w:rFonts w:ascii="Times New Roman" w:eastAsia="Times New Roman" w:hAnsi="Times New Roman" w:cs="Times New Roman"/>
          <w:sz w:val="24"/>
          <w:szCs w:val="24"/>
          <w:shd w:val="clear" w:color="auto" w:fill="FFFFFF"/>
          <w:lang w:eastAsia="ar-SA"/>
        </w:rPr>
        <w:t>„</w:t>
      </w:r>
      <w:r w:rsidR="00E50E50" w:rsidRPr="00846EFC">
        <w:rPr>
          <w:rFonts w:ascii="Times New Roman" w:hAnsi="Times New Roman" w:cs="Times New Roman"/>
          <w:iCs/>
          <w:sz w:val="24"/>
          <w:szCs w:val="24"/>
          <w:lang w:eastAsia="lt-LT"/>
        </w:rPr>
        <w:t>Dokumentų, reikalingų parengti trečiuosius Nemuno, Lielupės, Ventos ir Dauguvos upių baseinų rajonų valdymo planus/priemonių programas ir antrąją priemonių programą gerai Baltijos jūros būklei pasiekti, įsigijimas“</w:t>
      </w:r>
      <w:r w:rsidRPr="00846EFC">
        <w:rPr>
          <w:rFonts w:ascii="Times New Roman" w:eastAsia="Times New Roman" w:hAnsi="Times New Roman" w:cs="Times New Roman"/>
          <w:sz w:val="24"/>
          <w:szCs w:val="24"/>
          <w:shd w:val="clear" w:color="auto" w:fill="FFFFFF"/>
          <w:lang w:eastAsia="ar-SA"/>
        </w:rPr>
        <w:t xml:space="preserve"> (toliau – Projektas)</w:t>
      </w:r>
      <w:r w:rsidR="005575AD" w:rsidRPr="00846EFC">
        <w:rPr>
          <w:rFonts w:ascii="Times New Roman" w:eastAsia="Times New Roman" w:hAnsi="Times New Roman" w:cs="Times New Roman"/>
          <w:sz w:val="24"/>
          <w:szCs w:val="24"/>
          <w:shd w:val="clear" w:color="auto" w:fill="FFFFFF"/>
          <w:lang w:eastAsia="ar-SA"/>
        </w:rPr>
        <w:t>,</w:t>
      </w:r>
      <w:r w:rsidR="005575AD" w:rsidRPr="005575AD">
        <w:rPr>
          <w:rFonts w:ascii="Times New Roman" w:eastAsia="Times New Roman" w:hAnsi="Times New Roman" w:cs="Times New Roman"/>
          <w:sz w:val="24"/>
          <w:szCs w:val="24"/>
          <w:shd w:val="clear" w:color="auto" w:fill="FFFFFF"/>
          <w:lang w:eastAsia="ar-SA"/>
        </w:rPr>
        <w:t xml:space="preserve"> </w:t>
      </w:r>
      <w:r w:rsidR="005575AD" w:rsidRPr="003C653E">
        <w:rPr>
          <w:rFonts w:ascii="Times New Roman" w:eastAsia="Times New Roman" w:hAnsi="Times New Roman" w:cs="Times New Roman"/>
          <w:sz w:val="24"/>
          <w:szCs w:val="24"/>
          <w:shd w:val="clear" w:color="auto" w:fill="FFFFFF"/>
          <w:lang w:eastAsia="ar-SA"/>
        </w:rPr>
        <w:t>kuris finansuojamas pagal 2014-2020 metų Europos Sąjungos fondų investicijų veiksmų programos 5 prioriteto „Aplinkosauga, gamtos išteklių darnus naudojimas ir prisitaikymas prie klimato kaitos“ įgyvendinim</w:t>
      </w:r>
      <w:r w:rsidR="005575AD">
        <w:rPr>
          <w:rFonts w:ascii="Times New Roman" w:eastAsia="Times New Roman" w:hAnsi="Times New Roman" w:cs="Times New Roman"/>
          <w:sz w:val="24"/>
          <w:szCs w:val="24"/>
          <w:shd w:val="clear" w:color="auto" w:fill="FFFFFF"/>
          <w:lang w:eastAsia="ar-SA"/>
        </w:rPr>
        <w:t>o priemonę Nr. 05.3.1-APVA-V-011</w:t>
      </w:r>
      <w:r w:rsidR="00E86ABF">
        <w:rPr>
          <w:rFonts w:ascii="Times New Roman" w:eastAsia="Times New Roman" w:hAnsi="Times New Roman" w:cs="Times New Roman"/>
          <w:sz w:val="24"/>
          <w:szCs w:val="24"/>
          <w:shd w:val="clear" w:color="auto" w:fill="FFFFFF"/>
          <w:lang w:eastAsia="ar-SA"/>
        </w:rPr>
        <w:t xml:space="preserve"> </w:t>
      </w:r>
      <w:r w:rsidR="005575AD" w:rsidRPr="003C653E">
        <w:rPr>
          <w:rFonts w:ascii="Times New Roman" w:eastAsia="Times New Roman" w:hAnsi="Times New Roman" w:cs="Times New Roman"/>
          <w:sz w:val="24"/>
          <w:szCs w:val="24"/>
          <w:shd w:val="clear" w:color="auto" w:fill="FFFFFF"/>
          <w:lang w:eastAsia="ar-SA"/>
        </w:rPr>
        <w:t xml:space="preserve">„Vandens </w:t>
      </w:r>
      <w:r w:rsidR="005575AD">
        <w:rPr>
          <w:rFonts w:ascii="Times New Roman" w:eastAsia="Times New Roman" w:hAnsi="Times New Roman" w:cs="Times New Roman"/>
          <w:sz w:val="24"/>
          <w:szCs w:val="24"/>
          <w:shd w:val="clear" w:color="auto" w:fill="FFFFFF"/>
          <w:lang w:eastAsia="ar-SA"/>
        </w:rPr>
        <w:t>išteklių valdymas ir apsauga</w:t>
      </w:r>
      <w:r w:rsidR="005575AD" w:rsidRPr="003C653E">
        <w:rPr>
          <w:rFonts w:ascii="Times New Roman" w:eastAsia="Times New Roman" w:hAnsi="Times New Roman" w:cs="Times New Roman"/>
          <w:sz w:val="24"/>
          <w:szCs w:val="24"/>
          <w:shd w:val="clear" w:color="auto" w:fill="FFFFFF"/>
          <w:lang w:eastAsia="ar-SA"/>
        </w:rPr>
        <w:t>“</w:t>
      </w:r>
      <w:r w:rsidR="00C5782C">
        <w:rPr>
          <w:rFonts w:ascii="Times New Roman" w:eastAsia="Times New Roman" w:hAnsi="Times New Roman" w:cs="Times New Roman"/>
          <w:sz w:val="24"/>
          <w:szCs w:val="24"/>
          <w:shd w:val="clear" w:color="auto" w:fill="FFFFFF"/>
          <w:lang w:eastAsia="ar-SA"/>
        </w:rPr>
        <w:t xml:space="preserve">. </w:t>
      </w:r>
    </w:p>
    <w:p w14:paraId="3327C201" w14:textId="3C9773C7" w:rsidR="004036BB" w:rsidRPr="001B31FC" w:rsidRDefault="00C5782C" w:rsidP="001B31FC">
      <w:pPr>
        <w:pStyle w:val="Betarp"/>
        <w:ind w:firstLine="567"/>
        <w:jc w:val="both"/>
        <w:rPr>
          <w:rFonts w:ascii="Times New Roman" w:hAnsi="Times New Roman" w:cs="Times New Roman"/>
          <w:sz w:val="20"/>
          <w:szCs w:val="20"/>
          <w:shd w:val="clear" w:color="auto" w:fill="FFFFFF"/>
          <w:lang w:eastAsia="ar-SA"/>
        </w:rPr>
      </w:pPr>
      <w:r>
        <w:rPr>
          <w:rFonts w:ascii="Times New Roman" w:eastAsia="Times New Roman" w:hAnsi="Times New Roman" w:cs="Times New Roman"/>
          <w:sz w:val="24"/>
          <w:szCs w:val="24"/>
          <w:shd w:val="clear" w:color="auto" w:fill="FFFFFF"/>
          <w:lang w:eastAsia="ar-SA"/>
        </w:rPr>
        <w:t>Sutartis sudaroma</w:t>
      </w:r>
      <w:r w:rsidR="00B845B6">
        <w:rPr>
          <w:rFonts w:ascii="Times New Roman" w:eastAsia="Times New Roman" w:hAnsi="Times New Roman" w:cs="Times New Roman"/>
          <w:sz w:val="24"/>
          <w:szCs w:val="24"/>
          <w:shd w:val="clear" w:color="auto" w:fill="FFFFFF"/>
          <w:lang w:eastAsia="ar-SA"/>
        </w:rPr>
        <w:t xml:space="preserve"> </w:t>
      </w:r>
      <w:r w:rsidR="00E82CE7" w:rsidRPr="00F01A83">
        <w:rPr>
          <w:rFonts w:ascii="Times New Roman" w:hAnsi="Times New Roman" w:cs="Times New Roman"/>
          <w:sz w:val="24"/>
          <w:szCs w:val="24"/>
          <w:shd w:val="clear" w:color="auto" w:fill="FFFFFF"/>
          <w:lang w:eastAsia="ar-SA"/>
        </w:rPr>
        <w:t xml:space="preserve">vadovaujantis </w:t>
      </w:r>
      <w:r w:rsidR="00941070" w:rsidRPr="00846EFC">
        <w:rPr>
          <w:rFonts w:ascii="Times New Roman" w:eastAsia="Times New Roman" w:hAnsi="Times New Roman" w:cs="Times New Roman"/>
          <w:sz w:val="24"/>
          <w:szCs w:val="24"/>
        </w:rPr>
        <w:t xml:space="preserve">dokumentų, reikalingų parengti trečiuosius Nemuno, Lielupės, Ventos ir Dauguvos upių baseinų rajonų valdymo planus/priemonių ir </w:t>
      </w:r>
      <w:r w:rsidR="001B006A" w:rsidRPr="00846EFC">
        <w:rPr>
          <w:rFonts w:ascii="Times New Roman" w:eastAsia="Times New Roman" w:hAnsi="Times New Roman" w:cs="Times New Roman"/>
          <w:sz w:val="24"/>
          <w:szCs w:val="24"/>
        </w:rPr>
        <w:t>ataskaitas</w:t>
      </w:r>
      <w:r w:rsidR="00941070" w:rsidRPr="00846EFC">
        <w:rPr>
          <w:rFonts w:ascii="Times New Roman" w:eastAsia="Times New Roman" w:hAnsi="Times New Roman" w:cs="Times New Roman"/>
          <w:sz w:val="24"/>
          <w:szCs w:val="24"/>
        </w:rPr>
        <w:t xml:space="preserve"> Europos Komisijai, įsigijimo </w:t>
      </w:r>
      <w:r w:rsidR="00491700" w:rsidRPr="00846EFC">
        <w:rPr>
          <w:rFonts w:ascii="Times New Roman" w:eastAsia="Calibri" w:hAnsi="Times New Roman" w:cs="Times New Roman"/>
          <w:bCs/>
          <w:iCs/>
          <w:sz w:val="24"/>
          <w:szCs w:val="24"/>
        </w:rPr>
        <w:t>paslaugų</w:t>
      </w:r>
      <w:r w:rsidR="00491700" w:rsidRPr="00846EFC">
        <w:rPr>
          <w:rFonts w:ascii="Times New Roman" w:hAnsi="Times New Roman" w:cs="Times New Roman"/>
          <w:sz w:val="24"/>
          <w:szCs w:val="24"/>
          <w:shd w:val="clear" w:color="auto" w:fill="FFFFFF"/>
          <w:lang w:eastAsia="ar-SA"/>
        </w:rPr>
        <w:t xml:space="preserve"> </w:t>
      </w:r>
      <w:r w:rsidR="00A47237" w:rsidRPr="00846EFC">
        <w:rPr>
          <w:rFonts w:ascii="Times New Roman" w:hAnsi="Times New Roman" w:cs="Times New Roman"/>
          <w:sz w:val="24"/>
          <w:szCs w:val="24"/>
          <w:shd w:val="clear" w:color="auto" w:fill="FFFFFF"/>
          <w:lang w:eastAsia="ar-SA"/>
        </w:rPr>
        <w:t xml:space="preserve">atviro konkurso </w:t>
      </w:r>
      <w:r w:rsidR="00ED4FC5" w:rsidRPr="00846EFC">
        <w:rPr>
          <w:rFonts w:ascii="Times New Roman" w:hAnsi="Times New Roman" w:cs="Times New Roman"/>
          <w:sz w:val="24"/>
          <w:szCs w:val="24"/>
          <w:shd w:val="clear" w:color="auto" w:fill="FFFFFF"/>
          <w:lang w:eastAsia="ar-SA"/>
        </w:rPr>
        <w:t>būdu CVP</w:t>
      </w:r>
      <w:r w:rsidR="00ED4FC5">
        <w:rPr>
          <w:rFonts w:ascii="Times New Roman" w:hAnsi="Times New Roman" w:cs="Times New Roman"/>
          <w:sz w:val="24"/>
          <w:szCs w:val="24"/>
          <w:shd w:val="clear" w:color="auto" w:fill="FFFFFF"/>
          <w:lang w:eastAsia="ar-SA"/>
        </w:rPr>
        <w:t xml:space="preserve"> IS elektroninėmis priemonėmis </w:t>
      </w:r>
      <w:r w:rsidR="00121B4A">
        <w:rPr>
          <w:rFonts w:ascii="Times New Roman" w:hAnsi="Times New Roman" w:cs="Times New Roman"/>
          <w:sz w:val="24"/>
          <w:szCs w:val="24"/>
          <w:shd w:val="clear" w:color="auto" w:fill="FFFFFF"/>
          <w:lang w:eastAsia="ar-SA"/>
        </w:rPr>
        <w:t xml:space="preserve">pirkimo Nr. </w:t>
      </w:r>
      <w:r w:rsidR="008838BD">
        <w:rPr>
          <w:rFonts w:ascii="Times New Roman" w:hAnsi="Times New Roman" w:cs="Times New Roman"/>
          <w:sz w:val="24"/>
          <w:szCs w:val="24"/>
          <w:shd w:val="clear" w:color="auto" w:fill="FFFFFF"/>
          <w:lang w:eastAsia="ar-SA"/>
        </w:rPr>
        <w:t xml:space="preserve">517736 </w:t>
      </w:r>
      <w:r w:rsidR="00121B4A">
        <w:rPr>
          <w:rFonts w:ascii="Times New Roman" w:hAnsi="Times New Roman" w:cs="Times New Roman"/>
          <w:sz w:val="24"/>
          <w:szCs w:val="24"/>
          <w:shd w:val="clear" w:color="auto" w:fill="FFFFFF"/>
          <w:lang w:eastAsia="ar-SA"/>
        </w:rPr>
        <w:t>rezultatais</w:t>
      </w:r>
      <w:r w:rsidR="008838BD">
        <w:rPr>
          <w:rFonts w:ascii="Times New Roman" w:hAnsi="Times New Roman" w:cs="Times New Roman"/>
          <w:sz w:val="24"/>
          <w:szCs w:val="24"/>
          <w:shd w:val="clear" w:color="auto" w:fill="FFFFFF"/>
          <w:lang w:eastAsia="ar-SA"/>
        </w:rPr>
        <w:t>.</w:t>
      </w:r>
    </w:p>
    <w:p w14:paraId="1CD20A80" w14:textId="515C1829" w:rsidR="00CE2F1F" w:rsidRDefault="003D5F31" w:rsidP="00FF4685">
      <w:pPr>
        <w:suppressAutoHyphens/>
        <w:spacing w:after="0" w:line="240" w:lineRule="auto"/>
        <w:ind w:firstLine="567"/>
        <w:jc w:val="both"/>
        <w:rPr>
          <w:rFonts w:ascii="Times New Roman" w:eastAsia="Times New Roman" w:hAnsi="Times New Roman" w:cs="Times New Roman"/>
          <w:sz w:val="24"/>
          <w:szCs w:val="24"/>
          <w:lang w:eastAsia="ar-SA"/>
        </w:rPr>
      </w:pPr>
      <w:r w:rsidRPr="000A74FD">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09311 Vilnius, duomenys apie įstaigą kaupiami ir saugomi Lietuvos Respublikos juridinių asmenų registre, atstovaujama direktoriaus Rimgaudo </w:t>
      </w:r>
      <w:proofErr w:type="spellStart"/>
      <w:r w:rsidRPr="000A74FD">
        <w:rPr>
          <w:rFonts w:ascii="Times New Roman" w:eastAsia="Times New Roman" w:hAnsi="Times New Roman" w:cs="Times New Roman"/>
          <w:sz w:val="24"/>
          <w:szCs w:val="24"/>
          <w:lang w:eastAsia="ar-SA"/>
        </w:rPr>
        <w:t>Špoko</w:t>
      </w:r>
      <w:proofErr w:type="spellEnd"/>
      <w:r w:rsidRPr="000A74FD">
        <w:rPr>
          <w:rFonts w:ascii="Times New Roman" w:eastAsia="Times New Roman" w:hAnsi="Times New Roman" w:cs="Times New Roman"/>
          <w:sz w:val="24"/>
          <w:szCs w:val="24"/>
          <w:lang w:eastAsia="ar-SA"/>
        </w:rPr>
        <w:t xml:space="preserve">, veikiančio pagal Aplinkos apsaugos agentūros nuostatus, patvirtintus Lietuvos Respublikos aplinkos ministro 2004 m. liepos 14 d. įsakymu Nr. D1-385 „Dėl Aplinkos apsaugos agentūros nuostatų patvirtinimo“, (toliau – </w:t>
      </w:r>
      <w:r>
        <w:rPr>
          <w:rFonts w:ascii="Times New Roman" w:eastAsia="Times New Roman" w:hAnsi="Times New Roman" w:cs="Times New Roman"/>
          <w:sz w:val="24"/>
          <w:szCs w:val="24"/>
          <w:lang w:eastAsia="ar-SA"/>
        </w:rPr>
        <w:t>Užsakovas),</w:t>
      </w:r>
      <w:r w:rsidR="00A82195">
        <w:rPr>
          <w:rFonts w:ascii="Times New Roman" w:eastAsia="Times New Roman" w:hAnsi="Times New Roman" w:cs="Times New Roman"/>
          <w:sz w:val="24"/>
          <w:szCs w:val="24"/>
          <w:lang w:eastAsia="ar-SA"/>
        </w:rPr>
        <w:t xml:space="preserve"> </w:t>
      </w:r>
    </w:p>
    <w:p w14:paraId="40E98B52" w14:textId="77777777" w:rsidR="00CE2F1F" w:rsidRDefault="00CE2F1F" w:rsidP="00CE2F1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005153DD" w:rsidRPr="005153DD">
        <w:rPr>
          <w:rFonts w:ascii="Times New Roman" w:eastAsia="Times New Roman" w:hAnsi="Times New Roman" w:cs="Times New Roman"/>
          <w:sz w:val="24"/>
          <w:szCs w:val="24"/>
          <w:lang w:eastAsia="ar-SA"/>
        </w:rPr>
        <w:t>r</w:t>
      </w:r>
    </w:p>
    <w:p w14:paraId="44174773" w14:textId="0497A058" w:rsidR="005153DD" w:rsidRPr="005153DD" w:rsidRDefault="00FF4685" w:rsidP="005153DD">
      <w:pPr>
        <w:suppressAutoHyphens/>
        <w:spacing w:after="0" w:line="240" w:lineRule="auto"/>
        <w:jc w:val="both"/>
        <w:rPr>
          <w:rFonts w:ascii="Times New Roman" w:eastAsia="Times New Roman" w:hAnsi="Times New Roman" w:cs="Times New Roman"/>
          <w:sz w:val="24"/>
          <w:szCs w:val="24"/>
          <w:lang w:eastAsia="ar-SA"/>
        </w:rPr>
      </w:pPr>
      <w:r w:rsidRPr="00956894">
        <w:rPr>
          <w:rFonts w:ascii="Times New Roman" w:eastAsia="Times New Roman" w:hAnsi="Times New Roman" w:cs="Times New Roman"/>
          <w:sz w:val="24"/>
          <w:szCs w:val="24"/>
          <w:lang w:eastAsia="lt-LT"/>
        </w:rPr>
        <w:t>VšĮ Ap</w:t>
      </w:r>
      <w:r>
        <w:rPr>
          <w:rFonts w:ascii="Times New Roman" w:eastAsia="Times New Roman" w:hAnsi="Times New Roman" w:cs="Times New Roman"/>
          <w:sz w:val="24"/>
          <w:szCs w:val="24"/>
          <w:lang w:eastAsia="lt-LT"/>
        </w:rPr>
        <w:t xml:space="preserve">linkos apsaugos politikos centras, </w:t>
      </w:r>
      <w:r w:rsidRPr="00956894">
        <w:rPr>
          <w:rFonts w:ascii="Times New Roman" w:eastAsia="Times New Roman" w:hAnsi="Times New Roman" w:cs="Times New Roman"/>
          <w:sz w:val="24"/>
          <w:szCs w:val="24"/>
          <w:lang w:eastAsia="ar-SA"/>
        </w:rPr>
        <w:t xml:space="preserve"> juridinio asmens kodas </w:t>
      </w:r>
      <w:r>
        <w:rPr>
          <w:rFonts w:ascii="Times New Roman" w:eastAsia="Times New Roman" w:hAnsi="Times New Roman" w:cs="Times New Roman"/>
          <w:sz w:val="24"/>
          <w:szCs w:val="24"/>
          <w:lang w:eastAsia="ar-SA"/>
        </w:rPr>
        <w:t>223823870,</w:t>
      </w:r>
      <w:r w:rsidRPr="00956894">
        <w:rPr>
          <w:rFonts w:ascii="Times New Roman" w:eastAsia="Times New Roman" w:hAnsi="Times New Roman" w:cs="Times New Roman"/>
          <w:sz w:val="24"/>
          <w:szCs w:val="24"/>
          <w:lang w:eastAsia="ar-SA"/>
        </w:rPr>
        <w:t xml:space="preserve"> kurio registruota buveinė yra </w:t>
      </w:r>
      <w:r w:rsidR="00A43055" w:rsidRPr="00A43055">
        <w:rPr>
          <w:rFonts w:ascii="Times New Roman" w:eastAsia="Times New Roman" w:hAnsi="Times New Roman" w:cs="Times New Roman"/>
          <w:sz w:val="24"/>
          <w:szCs w:val="24"/>
          <w:lang w:eastAsia="ar-SA"/>
        </w:rPr>
        <w:t xml:space="preserve">A. Juozapavičiaus g. 9-409, LT-09311 </w:t>
      </w:r>
      <w:r w:rsidRPr="0095689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09310</w:t>
      </w:r>
      <w:r w:rsidRPr="00956894">
        <w:rPr>
          <w:rFonts w:ascii="Times New Roman" w:eastAsia="Times New Roman" w:hAnsi="Times New Roman" w:cs="Times New Roman"/>
          <w:sz w:val="24"/>
          <w:szCs w:val="24"/>
          <w:lang w:eastAsia="ar-SA"/>
        </w:rPr>
        <w:t xml:space="preserve"> Vilnius, duomenys apie įstaigą kaupiami ir saugomi Lietuvos Respublikos juridinių asmenų registre, </w:t>
      </w:r>
      <w:r>
        <w:rPr>
          <w:rFonts w:ascii="Times New Roman" w:eastAsia="Times New Roman" w:hAnsi="Times New Roman" w:cs="Times New Roman"/>
          <w:sz w:val="24"/>
          <w:szCs w:val="24"/>
          <w:lang w:eastAsia="ar-SA"/>
        </w:rPr>
        <w:t>atstovaujama direktorės Daivos Semėnienės,</w:t>
      </w:r>
      <w:r w:rsidR="00125B16">
        <w:rPr>
          <w:rFonts w:ascii="Times New Roman" w:eastAsia="Times New Roman" w:hAnsi="Times New Roman" w:cs="Times New Roman"/>
          <w:sz w:val="24"/>
          <w:szCs w:val="24"/>
          <w:lang w:eastAsia="ar-SA"/>
        </w:rPr>
        <w:t xml:space="preserve"> </w:t>
      </w:r>
      <w:r w:rsidRPr="000A74FD">
        <w:rPr>
          <w:rFonts w:ascii="Times New Roman" w:eastAsia="Times New Roman" w:hAnsi="Times New Roman" w:cs="Times New Roman"/>
          <w:sz w:val="24"/>
          <w:szCs w:val="24"/>
          <w:lang w:eastAsia="ar-SA"/>
        </w:rPr>
        <w:t>VšĮ Klaipėdos universitetas,</w:t>
      </w:r>
      <w:r w:rsidRPr="005153DD">
        <w:rPr>
          <w:rFonts w:ascii="Times New Roman" w:eastAsia="Times New Roman" w:hAnsi="Times New Roman" w:cs="Times New Roman"/>
          <w:sz w:val="24"/>
          <w:szCs w:val="24"/>
          <w:lang w:eastAsia="ar-SA"/>
        </w:rPr>
        <w:t xml:space="preserve"> juridinio asmens kodas</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en-US" w:eastAsia="ar-SA"/>
        </w:rPr>
        <w:t>211951150,</w:t>
      </w:r>
      <w:r w:rsidRPr="005153DD">
        <w:rPr>
          <w:rFonts w:ascii="Times New Roman" w:eastAsia="Times New Roman" w:hAnsi="Times New Roman" w:cs="Times New Roman"/>
          <w:sz w:val="24"/>
          <w:szCs w:val="24"/>
          <w:lang w:eastAsia="ar-SA"/>
        </w:rPr>
        <w:t xml:space="preserve"> kurio registruota buveinė yra</w:t>
      </w:r>
      <w:r>
        <w:rPr>
          <w:rFonts w:ascii="Times New Roman" w:eastAsia="Times New Roman" w:hAnsi="Times New Roman" w:cs="Times New Roman"/>
          <w:sz w:val="24"/>
          <w:szCs w:val="24"/>
          <w:lang w:eastAsia="ar-SA"/>
        </w:rPr>
        <w:t xml:space="preserve"> H.Manto 84, 9</w:t>
      </w:r>
      <w:r>
        <w:rPr>
          <w:rFonts w:ascii="Times New Roman" w:eastAsia="Times New Roman" w:hAnsi="Times New Roman" w:cs="Times New Roman"/>
          <w:sz w:val="24"/>
          <w:szCs w:val="24"/>
          <w:lang w:val="en-US" w:eastAsia="ar-SA"/>
        </w:rPr>
        <w:t xml:space="preserve">2294 </w:t>
      </w:r>
      <w:r>
        <w:rPr>
          <w:rFonts w:ascii="Times New Roman" w:eastAsia="Times New Roman" w:hAnsi="Times New Roman" w:cs="Times New Roman"/>
          <w:sz w:val="24"/>
          <w:szCs w:val="24"/>
          <w:lang w:eastAsia="ar-SA"/>
        </w:rPr>
        <w:t>Klaipėda,</w:t>
      </w:r>
      <w:r w:rsidRPr="005153DD">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Pr>
          <w:rFonts w:ascii="Times New Roman" w:eastAsia="Times New Roman" w:hAnsi="Times New Roman" w:cs="Times New Roman"/>
          <w:sz w:val="24"/>
          <w:szCs w:val="24"/>
          <w:lang w:eastAsia="ar-SA"/>
        </w:rPr>
        <w:t xml:space="preserve">rektoriaus Artūro </w:t>
      </w:r>
      <w:proofErr w:type="spellStart"/>
      <w:r>
        <w:rPr>
          <w:rFonts w:ascii="Times New Roman" w:eastAsia="Times New Roman" w:hAnsi="Times New Roman" w:cs="Times New Roman"/>
          <w:sz w:val="24"/>
          <w:szCs w:val="24"/>
          <w:lang w:eastAsia="ar-SA"/>
        </w:rPr>
        <w:t>Razbadausko</w:t>
      </w:r>
      <w:proofErr w:type="spellEnd"/>
      <w:r w:rsidRPr="005153DD">
        <w:rPr>
          <w:rFonts w:ascii="Times New Roman" w:eastAsia="Times New Roman" w:hAnsi="Times New Roman" w:cs="Times New Roman"/>
          <w:sz w:val="24"/>
          <w:szCs w:val="24"/>
          <w:lang w:eastAsia="ar-SA"/>
        </w:rPr>
        <w:t xml:space="preserve">, veikiančio pagal </w:t>
      </w:r>
      <w:r>
        <w:rPr>
          <w:rFonts w:ascii="Times New Roman" w:eastAsia="Times New Roman" w:hAnsi="Times New Roman" w:cs="Times New Roman"/>
          <w:sz w:val="24"/>
          <w:szCs w:val="24"/>
          <w:lang w:eastAsia="ar-SA"/>
        </w:rPr>
        <w:t>įstaigo</w:t>
      </w:r>
      <w:r w:rsidRPr="00956894">
        <w:rPr>
          <w:rFonts w:ascii="Times New Roman" w:eastAsia="Times New Roman" w:hAnsi="Times New Roman" w:cs="Times New Roman"/>
          <w:sz w:val="24"/>
          <w:szCs w:val="24"/>
          <w:lang w:eastAsia="ar-SA"/>
        </w:rPr>
        <w:t>s įstatus</w:t>
      </w:r>
      <w:r>
        <w:rPr>
          <w:rFonts w:ascii="Times New Roman" w:eastAsia="Times New Roman" w:hAnsi="Times New Roman" w:cs="Times New Roman"/>
          <w:sz w:val="24"/>
          <w:szCs w:val="24"/>
          <w:lang w:eastAsia="ar-SA"/>
        </w:rPr>
        <w:t xml:space="preserve">, veikiantys pagal </w:t>
      </w:r>
      <w:r w:rsidR="00125B16">
        <w:rPr>
          <w:rFonts w:ascii="Times New Roman" w:eastAsia="Times New Roman" w:hAnsi="Times New Roman" w:cs="Times New Roman"/>
          <w:sz w:val="24"/>
          <w:szCs w:val="24"/>
          <w:lang w:val="en-US" w:eastAsia="ar-SA"/>
        </w:rPr>
        <w:t>2020-11</w:t>
      </w:r>
      <w:r>
        <w:rPr>
          <w:rFonts w:ascii="Times New Roman" w:eastAsia="Times New Roman" w:hAnsi="Times New Roman" w:cs="Times New Roman"/>
          <w:sz w:val="24"/>
          <w:szCs w:val="24"/>
          <w:lang w:val="en-US" w:eastAsia="ar-SA"/>
        </w:rPr>
        <w:t>-18</w:t>
      </w:r>
      <w:r w:rsidRPr="00A3656E">
        <w:rPr>
          <w:rFonts w:ascii="Times New Roman" w:eastAsia="Times New Roman" w:hAnsi="Times New Roman" w:cs="Times New Roman"/>
          <w:i/>
          <w:sz w:val="24"/>
          <w:szCs w:val="24"/>
          <w:lang w:eastAsia="ar-SA"/>
        </w:rPr>
        <w:t xml:space="preserve"> </w:t>
      </w:r>
      <w:r w:rsidR="00401257">
        <w:rPr>
          <w:rFonts w:ascii="Times New Roman" w:eastAsia="Times New Roman" w:hAnsi="Times New Roman" w:cs="Times New Roman"/>
          <w:sz w:val="24"/>
          <w:szCs w:val="24"/>
          <w:lang w:eastAsia="ar-SA"/>
        </w:rPr>
        <w:t>J</w:t>
      </w:r>
      <w:r>
        <w:rPr>
          <w:rFonts w:ascii="Times New Roman" w:eastAsia="Times New Roman" w:hAnsi="Times New Roman" w:cs="Times New Roman"/>
          <w:sz w:val="24"/>
          <w:szCs w:val="24"/>
          <w:lang w:eastAsia="ar-SA"/>
        </w:rPr>
        <w:t>ungt</w:t>
      </w:r>
      <w:r w:rsidRPr="00D04FB4">
        <w:rPr>
          <w:rFonts w:ascii="Times New Roman" w:eastAsia="Times New Roman" w:hAnsi="Times New Roman" w:cs="Times New Roman"/>
          <w:sz w:val="24"/>
          <w:szCs w:val="24"/>
          <w:lang w:eastAsia="ar-SA"/>
        </w:rPr>
        <w:t>inė</w:t>
      </w:r>
      <w:r>
        <w:rPr>
          <w:rFonts w:ascii="Times New Roman" w:eastAsia="Times New Roman" w:hAnsi="Times New Roman" w:cs="Times New Roman"/>
          <w:sz w:val="24"/>
          <w:szCs w:val="24"/>
          <w:lang w:eastAsia="ar-SA"/>
        </w:rPr>
        <w:t xml:space="preserve">s veiklos sutartį, atstovaujami pirmojo partnerio </w:t>
      </w:r>
      <w:r w:rsidR="00FF6386">
        <w:rPr>
          <w:rFonts w:ascii="Times New Roman" w:eastAsia="Times New Roman" w:hAnsi="Times New Roman" w:cs="Times New Roman"/>
          <w:sz w:val="24"/>
          <w:szCs w:val="24"/>
          <w:lang w:eastAsia="ar-SA"/>
        </w:rPr>
        <w:t>direktorės</w:t>
      </w:r>
      <w:r w:rsidRPr="00C34B1F">
        <w:rPr>
          <w:rFonts w:ascii="Times New Roman" w:eastAsia="Times New Roman" w:hAnsi="Times New Roman" w:cs="Times New Roman"/>
          <w:sz w:val="24"/>
          <w:szCs w:val="24"/>
          <w:lang w:eastAsia="ar-SA"/>
        </w:rPr>
        <w:t xml:space="preserve"> </w:t>
      </w:r>
      <w:r w:rsidR="007D16E7">
        <w:rPr>
          <w:rFonts w:ascii="Times New Roman" w:eastAsia="Times New Roman" w:hAnsi="Times New Roman" w:cs="Times New Roman"/>
          <w:sz w:val="24"/>
          <w:szCs w:val="24"/>
          <w:lang w:eastAsia="ar-SA"/>
        </w:rPr>
        <w:t>Daivos Semė</w:t>
      </w:r>
      <w:r w:rsidR="00FF6386">
        <w:rPr>
          <w:rFonts w:ascii="Times New Roman" w:eastAsia="Times New Roman" w:hAnsi="Times New Roman" w:cs="Times New Roman"/>
          <w:sz w:val="24"/>
          <w:szCs w:val="24"/>
          <w:lang w:eastAsia="ar-SA"/>
        </w:rPr>
        <w:t>nienės</w:t>
      </w:r>
      <w:r>
        <w:rPr>
          <w:rFonts w:ascii="Times New Roman" w:eastAsia="Times New Roman" w:hAnsi="Times New Roman" w:cs="Times New Roman"/>
          <w:sz w:val="24"/>
          <w:szCs w:val="24"/>
          <w:lang w:eastAsia="ar-SA"/>
        </w:rPr>
        <w:t>, veikiančio</w:t>
      </w:r>
      <w:r w:rsidR="00FF6386">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w:t>
      </w:r>
      <w:r w:rsidR="00FF6386">
        <w:rPr>
          <w:rFonts w:ascii="Times New Roman" w:eastAsia="Times New Roman" w:hAnsi="Times New Roman" w:cs="Times New Roman"/>
          <w:sz w:val="24"/>
          <w:szCs w:val="24"/>
          <w:lang w:val="en-US" w:eastAsia="ar-SA"/>
        </w:rPr>
        <w:t>2020-11</w:t>
      </w:r>
      <w:r w:rsidRPr="00C34B1F">
        <w:rPr>
          <w:rFonts w:ascii="Times New Roman" w:eastAsia="Times New Roman" w:hAnsi="Times New Roman" w:cs="Times New Roman"/>
          <w:sz w:val="24"/>
          <w:szCs w:val="24"/>
          <w:lang w:val="en-US" w:eastAsia="ar-SA"/>
        </w:rPr>
        <w:t>-18</w:t>
      </w:r>
      <w:r w:rsidRPr="00C34B1F">
        <w:rPr>
          <w:rFonts w:ascii="Times New Roman" w:eastAsia="Times New Roman" w:hAnsi="Times New Roman" w:cs="Times New Roman"/>
          <w:i/>
          <w:sz w:val="24"/>
          <w:szCs w:val="24"/>
          <w:lang w:eastAsia="ar-SA"/>
        </w:rPr>
        <w:t xml:space="preserve"> </w:t>
      </w:r>
      <w:r w:rsidR="00FF6386">
        <w:rPr>
          <w:rFonts w:ascii="Times New Roman" w:eastAsia="Times New Roman" w:hAnsi="Times New Roman" w:cs="Times New Roman"/>
          <w:sz w:val="24"/>
          <w:szCs w:val="24"/>
          <w:lang w:eastAsia="ar-SA"/>
        </w:rPr>
        <w:t>J</w:t>
      </w:r>
      <w:r w:rsidRPr="00C34B1F">
        <w:rPr>
          <w:rFonts w:ascii="Times New Roman" w:eastAsia="Times New Roman" w:hAnsi="Times New Roman" w:cs="Times New Roman"/>
          <w:sz w:val="24"/>
          <w:szCs w:val="24"/>
          <w:lang w:eastAsia="ar-SA"/>
        </w:rPr>
        <w:t>ungtinė</w:t>
      </w:r>
      <w:r>
        <w:rPr>
          <w:rFonts w:ascii="Times New Roman" w:eastAsia="Times New Roman" w:hAnsi="Times New Roman" w:cs="Times New Roman"/>
          <w:sz w:val="24"/>
          <w:szCs w:val="24"/>
          <w:lang w:eastAsia="ar-SA"/>
        </w:rPr>
        <w:t>s veiklos sutarties pagrindu</w:t>
      </w:r>
      <w:r w:rsidRPr="005153DD">
        <w:rPr>
          <w:rFonts w:ascii="Times New Roman" w:eastAsia="Times New Roman" w:hAnsi="Times New Roman" w:cs="Times New Roman"/>
          <w:i/>
          <w:sz w:val="24"/>
          <w:szCs w:val="24"/>
          <w:lang w:eastAsia="ar-SA"/>
        </w:rPr>
        <w:t xml:space="preserve"> </w:t>
      </w:r>
      <w:r>
        <w:rPr>
          <w:rFonts w:ascii="Times New Roman" w:eastAsia="Times New Roman" w:hAnsi="Times New Roman" w:cs="Times New Roman"/>
          <w:sz w:val="24"/>
          <w:szCs w:val="24"/>
          <w:lang w:eastAsia="ar-SA"/>
        </w:rPr>
        <w:t>(toliau – Teikėjas),</w:t>
      </w:r>
    </w:p>
    <w:p w14:paraId="4C1CD35B" w14:textId="77777777" w:rsidR="005153DD" w:rsidRPr="005153DD"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08E515F7"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57885848" w14:textId="77777777" w:rsidR="005153DD"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lastRenderedPageBreak/>
        <w:t>sudarė šią paslaugų teikimo viešojo pirkimo–pardavimo sutartį (toliau – Sutartis):</w:t>
      </w:r>
    </w:p>
    <w:p w14:paraId="24AF9ACC"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7FD25960" w14:textId="77777777" w:rsidR="005153DD" w:rsidRPr="005153DD" w:rsidRDefault="00E82CE7" w:rsidP="00E82CE7">
      <w:pPr>
        <w:suppressAutoHyphens/>
        <w:spacing w:after="0" w:line="240" w:lineRule="auto"/>
        <w:ind w:left="928"/>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7B2172">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DALYKAS</w:t>
      </w:r>
    </w:p>
    <w:p w14:paraId="43BBACD7" w14:textId="77777777" w:rsidR="005575AD" w:rsidRDefault="005575AD" w:rsidP="005575AD">
      <w:pPr>
        <w:tabs>
          <w:tab w:val="left" w:pos="567"/>
          <w:tab w:val="left" w:pos="709"/>
        </w:tabs>
        <w:spacing w:after="0" w:line="240" w:lineRule="auto"/>
        <w:jc w:val="both"/>
        <w:rPr>
          <w:rFonts w:ascii="Times New Roman" w:eastAsia="Times New Roman" w:hAnsi="Times New Roman" w:cs="Times New Roman"/>
          <w:bCs/>
          <w:sz w:val="24"/>
          <w:szCs w:val="24"/>
          <w:lang w:eastAsia="ar-SA"/>
        </w:rPr>
      </w:pPr>
    </w:p>
    <w:p w14:paraId="11E27C6A" w14:textId="4AD75D34" w:rsidR="005E5846" w:rsidRPr="00431A6F" w:rsidRDefault="003C653E" w:rsidP="00B60867">
      <w:pPr>
        <w:pStyle w:val="Sraopastraipa"/>
        <w:numPr>
          <w:ilvl w:val="1"/>
          <w:numId w:val="10"/>
        </w:numPr>
        <w:tabs>
          <w:tab w:val="left" w:pos="0"/>
          <w:tab w:val="left" w:pos="1134"/>
        </w:tabs>
        <w:spacing w:after="0" w:line="240" w:lineRule="auto"/>
        <w:ind w:left="0" w:firstLine="567"/>
        <w:jc w:val="both"/>
        <w:rPr>
          <w:rFonts w:ascii="Times New Roman" w:eastAsia="Calibri" w:hAnsi="Times New Roman" w:cs="Times New Roman"/>
          <w:sz w:val="24"/>
          <w:szCs w:val="24"/>
        </w:rPr>
      </w:pPr>
      <w:r w:rsidRPr="005575AD">
        <w:rPr>
          <w:rFonts w:ascii="Times New Roman" w:eastAsia="Times New Roman" w:hAnsi="Times New Roman" w:cs="Times New Roman"/>
          <w:sz w:val="24"/>
          <w:szCs w:val="24"/>
          <w:shd w:val="clear" w:color="auto" w:fill="FFFFFF"/>
          <w:lang w:eastAsia="ar-SA"/>
        </w:rPr>
        <w:t xml:space="preserve">Šia Sutartimi perkamos </w:t>
      </w:r>
      <w:r w:rsidR="00941070" w:rsidRPr="00846EFC">
        <w:rPr>
          <w:rFonts w:ascii="Times New Roman" w:eastAsia="Times New Roman" w:hAnsi="Times New Roman" w:cs="Times New Roman"/>
          <w:sz w:val="24"/>
          <w:szCs w:val="24"/>
        </w:rPr>
        <w:t xml:space="preserve">dokumentų, reikalingų parengti trečiuosius Nemuno, Lielupės, Ventos ir Dauguvos upių baseinų rajonų valdymo planus/priemonių ir </w:t>
      </w:r>
      <w:r w:rsidR="001B006A" w:rsidRPr="00846EFC">
        <w:rPr>
          <w:rFonts w:ascii="Times New Roman" w:eastAsia="Times New Roman" w:hAnsi="Times New Roman" w:cs="Times New Roman"/>
          <w:sz w:val="24"/>
          <w:szCs w:val="24"/>
        </w:rPr>
        <w:t>ataskaitas</w:t>
      </w:r>
      <w:r w:rsidR="00941070" w:rsidRPr="00846EFC">
        <w:rPr>
          <w:rFonts w:ascii="Times New Roman" w:eastAsia="Times New Roman" w:hAnsi="Times New Roman" w:cs="Times New Roman"/>
          <w:sz w:val="24"/>
          <w:szCs w:val="24"/>
        </w:rPr>
        <w:t xml:space="preserve"> Europos Komisijai, </w:t>
      </w:r>
      <w:r w:rsidR="00E50E50" w:rsidRPr="00846EFC">
        <w:rPr>
          <w:rFonts w:ascii="Times New Roman" w:eastAsia="Times New Roman" w:hAnsi="Times New Roman" w:cs="Times New Roman"/>
          <w:sz w:val="24"/>
          <w:szCs w:val="24"/>
        </w:rPr>
        <w:t>atnaujinimo</w:t>
      </w:r>
      <w:r w:rsidR="00941070" w:rsidRPr="00846EFC">
        <w:rPr>
          <w:rFonts w:ascii="Times New Roman" w:eastAsia="Times New Roman" w:hAnsi="Times New Roman" w:cs="Times New Roman"/>
          <w:sz w:val="24"/>
          <w:szCs w:val="24"/>
        </w:rPr>
        <w:t xml:space="preserve"> paslaugos</w:t>
      </w:r>
      <w:r w:rsidR="00941070" w:rsidRPr="00846EFC">
        <w:rPr>
          <w:rFonts w:ascii="Times New Roman" w:eastAsia="Calibri" w:hAnsi="Times New Roman" w:cs="Times New Roman"/>
          <w:sz w:val="24"/>
          <w:szCs w:val="24"/>
          <w:lang w:eastAsia="lt-LT"/>
        </w:rPr>
        <w:t xml:space="preserve"> </w:t>
      </w:r>
      <w:r w:rsidR="00131140" w:rsidRPr="00846EFC">
        <w:rPr>
          <w:rFonts w:ascii="Times New Roman" w:eastAsia="Times New Roman" w:hAnsi="Times New Roman" w:cs="Times New Roman"/>
          <w:sz w:val="24"/>
          <w:szCs w:val="24"/>
          <w:shd w:val="clear" w:color="auto" w:fill="FFFFFF"/>
          <w:lang w:eastAsia="ar-SA"/>
        </w:rPr>
        <w:t>(toliau –</w:t>
      </w:r>
      <w:r w:rsidR="00131140" w:rsidRPr="00431A6F">
        <w:rPr>
          <w:rFonts w:ascii="Times New Roman" w:eastAsia="Times New Roman" w:hAnsi="Times New Roman" w:cs="Times New Roman"/>
          <w:sz w:val="24"/>
          <w:szCs w:val="24"/>
          <w:shd w:val="clear" w:color="auto" w:fill="FFFFFF"/>
          <w:lang w:eastAsia="ar-SA"/>
        </w:rPr>
        <w:t xml:space="preserve"> Paslaugos)</w:t>
      </w:r>
      <w:r w:rsidR="006057E0" w:rsidRPr="00431A6F">
        <w:rPr>
          <w:rFonts w:ascii="Times New Roman" w:eastAsia="Times New Roman" w:hAnsi="Times New Roman" w:cs="Times New Roman"/>
          <w:sz w:val="24"/>
          <w:szCs w:val="24"/>
          <w:shd w:val="clear" w:color="auto" w:fill="FFFFFF"/>
          <w:lang w:eastAsia="ar-SA"/>
        </w:rPr>
        <w:t>.</w:t>
      </w:r>
    </w:p>
    <w:p w14:paraId="38CBACD9" w14:textId="0A03753A" w:rsidR="005153DD" w:rsidRPr="005E5846" w:rsidRDefault="00E82CE7" w:rsidP="006057E0">
      <w:pPr>
        <w:pStyle w:val="Sraopastraipa"/>
        <w:tabs>
          <w:tab w:val="left" w:pos="567"/>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1</w:t>
      </w:r>
      <w:r w:rsidR="005153DD" w:rsidRPr="005153DD">
        <w:rPr>
          <w:rFonts w:ascii="Times New Roman" w:eastAsia="Times New Roman" w:hAnsi="Times New Roman" w:cs="Times New Roman"/>
          <w:sz w:val="24"/>
          <w:szCs w:val="24"/>
          <w:lang w:eastAsia="ar-SA"/>
        </w:rPr>
        <w:t>.</w:t>
      </w:r>
      <w:r w:rsidR="005575AD">
        <w:rPr>
          <w:rFonts w:ascii="Times New Roman" w:eastAsia="Times New Roman" w:hAnsi="Times New Roman" w:cs="Times New Roman"/>
          <w:sz w:val="24"/>
          <w:szCs w:val="24"/>
          <w:lang w:eastAsia="ar-SA"/>
        </w:rPr>
        <w:t>2</w:t>
      </w:r>
      <w:r w:rsidR="005153DD" w:rsidRPr="005153DD">
        <w:rPr>
          <w:rFonts w:ascii="Times New Roman" w:eastAsia="Times New Roman" w:hAnsi="Times New Roman" w:cs="Times New Roman"/>
          <w:sz w:val="24"/>
          <w:szCs w:val="24"/>
          <w:lang w:eastAsia="ar-SA"/>
        </w:rPr>
        <w:t>.</w:t>
      </w:r>
      <w:r w:rsidR="005153DD" w:rsidRPr="005153DD">
        <w:rPr>
          <w:rFonts w:ascii="Times New Roman" w:eastAsia="Times New Roman" w:hAnsi="Times New Roman" w:cs="Times New Roman"/>
          <w:sz w:val="24"/>
          <w:szCs w:val="24"/>
          <w:shd w:val="clear" w:color="auto" w:fill="FFFFFF"/>
          <w:lang w:eastAsia="ar-SA"/>
        </w:rPr>
        <w:t xml:space="preserve"> Perkamų Paslaugų apimtys, reikalavimai, Paslaugų teikimo terminai nurodyti </w:t>
      </w:r>
      <w:r w:rsidR="00E63377">
        <w:rPr>
          <w:rFonts w:ascii="Times New Roman" w:eastAsia="Times New Roman" w:hAnsi="Times New Roman" w:cs="Times New Roman"/>
          <w:sz w:val="24"/>
          <w:szCs w:val="24"/>
          <w:shd w:val="clear" w:color="auto" w:fill="FFFFFF"/>
          <w:lang w:eastAsia="ar-SA"/>
        </w:rPr>
        <w:t>P</w:t>
      </w:r>
      <w:r w:rsidR="005153DD" w:rsidRPr="005153DD">
        <w:rPr>
          <w:rFonts w:ascii="Times New Roman" w:eastAsia="Times New Roman" w:hAnsi="Times New Roman" w:cs="Times New Roman"/>
          <w:sz w:val="24"/>
          <w:szCs w:val="24"/>
          <w:shd w:val="clear" w:color="auto" w:fill="FFFFFF"/>
          <w:lang w:eastAsia="ar-SA"/>
        </w:rPr>
        <w:t xml:space="preserve">aslaugų </w:t>
      </w:r>
      <w:r w:rsidR="005153DD" w:rsidRPr="00607420">
        <w:rPr>
          <w:rFonts w:ascii="Times New Roman" w:eastAsia="Times New Roman" w:hAnsi="Times New Roman" w:cs="Times New Roman"/>
          <w:i/>
          <w:sz w:val="24"/>
          <w:szCs w:val="24"/>
          <w:shd w:val="clear" w:color="auto" w:fill="FFFFFF"/>
          <w:lang w:eastAsia="ar-SA"/>
        </w:rPr>
        <w:t>Techninėje specifikacijoje</w:t>
      </w:r>
      <w:r w:rsidR="00607420">
        <w:rPr>
          <w:rFonts w:ascii="Times New Roman" w:eastAsia="Times New Roman" w:hAnsi="Times New Roman" w:cs="Times New Roman"/>
          <w:sz w:val="24"/>
          <w:szCs w:val="24"/>
          <w:shd w:val="clear" w:color="auto" w:fill="FFFFFF"/>
          <w:lang w:eastAsia="ar-SA"/>
        </w:rPr>
        <w:t>, pateiktoje</w:t>
      </w:r>
      <w:r w:rsidR="005153DD" w:rsidRPr="00607420">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sutarties 1 priede.</w:t>
      </w:r>
    </w:p>
    <w:p w14:paraId="78B2DF77"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0133C1E2" w14:textId="77777777" w:rsidR="005153DD" w:rsidRPr="005153DD" w:rsidRDefault="00E82CE7" w:rsidP="00E82CE7">
      <w:pPr>
        <w:suppressAutoHyphens/>
        <w:spacing w:after="0" w:line="240" w:lineRule="auto"/>
        <w:ind w:left="928"/>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2. </w:t>
      </w:r>
      <w:r w:rsidR="005153DD" w:rsidRPr="005153DD">
        <w:rPr>
          <w:rFonts w:ascii="Times New Roman" w:eastAsia="Times New Roman" w:hAnsi="Times New Roman" w:cs="Times New Roman"/>
          <w:b/>
          <w:bCs/>
          <w:sz w:val="24"/>
          <w:szCs w:val="24"/>
          <w:lang w:eastAsia="ar-SA"/>
        </w:rPr>
        <w:t>SUTARTIES GALIOJIMAS, VYKDYMO PRADŽIA, TRUKMĖ IR TERMINAI</w:t>
      </w:r>
    </w:p>
    <w:p w14:paraId="39A1B313"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0B5FADAF" w14:textId="6FFBE580" w:rsidR="00754427" w:rsidRPr="00461B56" w:rsidRDefault="00E82CE7"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61B56">
        <w:rPr>
          <w:rFonts w:ascii="Times New Roman" w:eastAsia="Times New Roman" w:hAnsi="Times New Roman" w:cs="Times New Roman"/>
          <w:sz w:val="24"/>
          <w:szCs w:val="24"/>
          <w:shd w:val="clear" w:color="auto" w:fill="FFFFFF"/>
          <w:lang w:eastAsia="ar-SA"/>
        </w:rPr>
        <w:t>2</w:t>
      </w:r>
      <w:r w:rsidR="005153DD" w:rsidRPr="00461B56">
        <w:rPr>
          <w:rFonts w:ascii="Times New Roman" w:eastAsia="Times New Roman" w:hAnsi="Times New Roman" w:cs="Times New Roman"/>
          <w:sz w:val="24"/>
          <w:szCs w:val="24"/>
          <w:shd w:val="clear" w:color="auto" w:fill="FFFFFF"/>
          <w:lang w:eastAsia="ar-SA"/>
        </w:rPr>
        <w:t xml:space="preserve">.1. </w:t>
      </w:r>
      <w:r w:rsidR="00B4381E" w:rsidRPr="00461B56">
        <w:rPr>
          <w:rFonts w:ascii="Times New Roman" w:eastAsia="Times New Roman" w:hAnsi="Times New Roman" w:cs="Times New Roman"/>
          <w:sz w:val="24"/>
          <w:szCs w:val="24"/>
          <w:shd w:val="clear" w:color="auto" w:fill="FFFFFF"/>
          <w:lang w:eastAsia="ar-SA"/>
        </w:rPr>
        <w:t>Sutartis</w:t>
      </w:r>
      <w:r w:rsidR="00EF7427" w:rsidRPr="00461B56">
        <w:rPr>
          <w:rFonts w:ascii="Times New Roman" w:eastAsia="Times New Roman" w:hAnsi="Times New Roman" w:cs="Times New Roman"/>
          <w:sz w:val="24"/>
          <w:szCs w:val="24"/>
          <w:shd w:val="clear" w:color="auto" w:fill="FFFFFF"/>
          <w:lang w:eastAsia="ar-SA"/>
        </w:rPr>
        <w:t>,</w:t>
      </w:r>
      <w:r w:rsidR="00B4381E" w:rsidRPr="00461B56">
        <w:rPr>
          <w:rFonts w:ascii="Times New Roman" w:eastAsia="Times New Roman" w:hAnsi="Times New Roman" w:cs="Times New Roman"/>
          <w:sz w:val="24"/>
          <w:szCs w:val="24"/>
          <w:shd w:val="clear" w:color="auto" w:fill="FFFFFF"/>
          <w:lang w:eastAsia="ar-SA"/>
        </w:rPr>
        <w:t xml:space="preserve"> </w:t>
      </w:r>
      <w:r w:rsidR="00EF7427" w:rsidRPr="00461B56">
        <w:rPr>
          <w:rFonts w:ascii="Times New Roman" w:eastAsia="Times New Roman" w:hAnsi="Times New Roman" w:cs="Times New Roman"/>
          <w:sz w:val="24"/>
          <w:szCs w:val="24"/>
          <w:shd w:val="clear" w:color="auto" w:fill="FFFFFF"/>
          <w:lang w:eastAsia="ar-SA"/>
        </w:rPr>
        <w:t xml:space="preserve">abiem </w:t>
      </w:r>
      <w:r w:rsidR="00754427" w:rsidRPr="00461B56">
        <w:rPr>
          <w:rFonts w:ascii="Times New Roman" w:eastAsia="Times New Roman" w:hAnsi="Times New Roman" w:cs="Times New Roman"/>
          <w:sz w:val="24"/>
          <w:szCs w:val="24"/>
          <w:shd w:val="clear" w:color="auto" w:fill="FFFFFF"/>
          <w:lang w:eastAsia="ar-SA"/>
        </w:rPr>
        <w:t xml:space="preserve">Šalims ją pasirašius, </w:t>
      </w:r>
      <w:r w:rsidR="00B4381E" w:rsidRPr="00461B56">
        <w:rPr>
          <w:rFonts w:ascii="Times New Roman" w:eastAsia="Times New Roman" w:hAnsi="Times New Roman" w:cs="Times New Roman"/>
          <w:sz w:val="24"/>
          <w:szCs w:val="24"/>
          <w:shd w:val="clear" w:color="auto" w:fill="FFFFFF"/>
          <w:lang w:eastAsia="ar-SA"/>
        </w:rPr>
        <w:t xml:space="preserve">įsigalioja </w:t>
      </w:r>
      <w:r w:rsidR="00754427" w:rsidRPr="00461B56">
        <w:rPr>
          <w:rFonts w:ascii="Times New Roman" w:eastAsia="Times New Roman" w:hAnsi="Times New Roman" w:cs="Times New Roman"/>
          <w:sz w:val="24"/>
          <w:szCs w:val="24"/>
          <w:shd w:val="clear" w:color="auto" w:fill="FFFFFF"/>
          <w:lang w:eastAsia="ar-SA"/>
        </w:rPr>
        <w:t xml:space="preserve">tik tada, kai bus išpildytos šios sąlygos: </w:t>
      </w:r>
    </w:p>
    <w:p w14:paraId="7096BFFA" w14:textId="2488677C" w:rsidR="002042FE" w:rsidRPr="00207544" w:rsidRDefault="00754427" w:rsidP="002042FE">
      <w:pPr>
        <w:tabs>
          <w:tab w:val="left" w:pos="1418"/>
        </w:tabs>
        <w:suppressAutoHyphens/>
        <w:spacing w:after="0" w:line="240" w:lineRule="auto"/>
        <w:ind w:firstLine="567"/>
        <w:jc w:val="both"/>
        <w:rPr>
          <w:rFonts w:ascii="Times New Roman" w:eastAsia="Times New Roman" w:hAnsi="Times New Roman" w:cs="Times New Roman"/>
          <w:sz w:val="24"/>
          <w:szCs w:val="24"/>
          <w:highlight w:val="yellow"/>
          <w:shd w:val="clear" w:color="auto" w:fill="FFFFFF"/>
          <w:lang w:eastAsia="ar-SA"/>
        </w:rPr>
      </w:pPr>
      <w:r w:rsidRPr="00461B56">
        <w:rPr>
          <w:rFonts w:ascii="Times New Roman" w:eastAsia="Times New Roman" w:hAnsi="Times New Roman" w:cs="Times New Roman"/>
          <w:sz w:val="24"/>
          <w:szCs w:val="24"/>
          <w:shd w:val="clear" w:color="auto" w:fill="FFFFFF"/>
          <w:lang w:eastAsia="ar-SA"/>
        </w:rPr>
        <w:t xml:space="preserve">2.1.1.  </w:t>
      </w:r>
      <w:r w:rsidR="00710E89" w:rsidRPr="00461B56">
        <w:rPr>
          <w:rFonts w:ascii="Times New Roman" w:eastAsia="Times New Roman" w:hAnsi="Times New Roman" w:cs="Times New Roman"/>
          <w:sz w:val="24"/>
          <w:szCs w:val="24"/>
          <w:shd w:val="clear" w:color="auto" w:fill="FFFFFF"/>
          <w:lang w:eastAsia="ar-SA"/>
        </w:rPr>
        <w:t>Į</w:t>
      </w:r>
      <w:r w:rsidR="002042FE" w:rsidRPr="00461B56">
        <w:rPr>
          <w:rFonts w:ascii="Times New Roman" w:eastAsia="Times New Roman" w:hAnsi="Times New Roman" w:cs="Times New Roman"/>
          <w:sz w:val="24"/>
          <w:szCs w:val="24"/>
          <w:shd w:val="clear" w:color="auto" w:fill="FFFFFF"/>
          <w:lang w:eastAsia="ar-SA"/>
        </w:rPr>
        <w:t xml:space="preserve">sigaliojus Lietuvos Respublikos aplinkos ministro įsakymui dėl finansavimo skyrimo Projektui pagal 2014-2020 metų Europos Sąjungos fondų investicijų veiksmų programos 5 prioriteto „Aplinkosauga, gamtos išteklių darnus naudojimas ir prisitaikymas prie klimato kaitos“ </w:t>
      </w:r>
      <w:r w:rsidR="00121F48" w:rsidRPr="00461B56">
        <w:rPr>
          <w:rFonts w:ascii="Times New Roman" w:eastAsia="Times New Roman" w:hAnsi="Times New Roman" w:cs="Times New Roman"/>
          <w:sz w:val="24"/>
          <w:szCs w:val="24"/>
          <w:shd w:val="clear" w:color="auto" w:fill="FFFFFF"/>
          <w:lang w:eastAsia="ar-SA"/>
        </w:rPr>
        <w:t>įgyvendinimo priemonę Nr. 05.3.1-APVA-V-011 „Vandens išteklių valdymas ir apsauga“</w:t>
      </w:r>
      <w:r w:rsidR="002042FE" w:rsidRPr="00461B56">
        <w:rPr>
          <w:rFonts w:ascii="Times New Roman" w:eastAsia="Times New Roman" w:hAnsi="Times New Roman" w:cs="Times New Roman"/>
          <w:sz w:val="24"/>
          <w:szCs w:val="24"/>
          <w:shd w:val="clear" w:color="auto" w:fill="FFFFFF"/>
          <w:lang w:eastAsia="ar-SA"/>
        </w:rPr>
        <w:t>.</w:t>
      </w:r>
    </w:p>
    <w:p w14:paraId="624FDCDE" w14:textId="643B6371" w:rsidR="00786638" w:rsidRPr="00763446" w:rsidRDefault="00AE1A7B"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63446">
        <w:rPr>
          <w:rFonts w:ascii="Times New Roman" w:eastAsia="Times New Roman" w:hAnsi="Times New Roman" w:cs="Times New Roman"/>
          <w:sz w:val="24"/>
          <w:szCs w:val="24"/>
          <w:shd w:val="clear" w:color="auto" w:fill="FFFFFF"/>
          <w:lang w:eastAsia="ar-SA"/>
        </w:rPr>
        <w:t xml:space="preserve">2.1.2. </w:t>
      </w:r>
      <w:r w:rsidR="0019528A" w:rsidRPr="00763446">
        <w:rPr>
          <w:rFonts w:ascii="Times New Roman" w:eastAsia="Times New Roman" w:hAnsi="Times New Roman" w:cs="Times New Roman"/>
          <w:sz w:val="24"/>
          <w:szCs w:val="24"/>
          <w:shd w:val="clear" w:color="auto" w:fill="FFFFFF"/>
          <w:lang w:eastAsia="ar-SA"/>
        </w:rPr>
        <w:t>Teikėjui pateikus</w:t>
      </w:r>
      <w:r w:rsidR="00786638" w:rsidRPr="00763446">
        <w:rPr>
          <w:rFonts w:ascii="Times New Roman" w:eastAsia="Times New Roman" w:hAnsi="Times New Roman" w:cs="Times New Roman"/>
          <w:sz w:val="24"/>
          <w:szCs w:val="24"/>
          <w:shd w:val="clear" w:color="auto" w:fill="FFFFFF"/>
          <w:lang w:eastAsia="ar-SA"/>
        </w:rPr>
        <w:t xml:space="preserve"> </w:t>
      </w:r>
      <w:r w:rsidR="002B14AA" w:rsidRPr="00763446">
        <w:rPr>
          <w:rFonts w:ascii="Times New Roman" w:eastAsia="Times New Roman" w:hAnsi="Times New Roman" w:cs="Times New Roman"/>
          <w:sz w:val="24"/>
          <w:szCs w:val="24"/>
          <w:shd w:val="clear" w:color="auto" w:fill="FFFFFF"/>
          <w:lang w:eastAsia="ar-SA"/>
        </w:rPr>
        <w:t>Užsakovui</w:t>
      </w:r>
      <w:r w:rsidR="00786638" w:rsidRPr="00763446">
        <w:rPr>
          <w:rFonts w:ascii="Times New Roman" w:eastAsia="Times New Roman" w:hAnsi="Times New Roman" w:cs="Times New Roman"/>
          <w:sz w:val="24"/>
          <w:szCs w:val="24"/>
          <w:shd w:val="clear" w:color="auto" w:fill="FFFFFF"/>
          <w:lang w:eastAsia="ar-SA"/>
        </w:rPr>
        <w:t xml:space="preserve"> galiojantį Suta</w:t>
      </w:r>
      <w:r w:rsidR="00102368" w:rsidRPr="00763446">
        <w:rPr>
          <w:rFonts w:ascii="Times New Roman" w:eastAsia="Times New Roman" w:hAnsi="Times New Roman" w:cs="Times New Roman"/>
          <w:sz w:val="24"/>
          <w:szCs w:val="24"/>
          <w:shd w:val="clear" w:color="auto" w:fill="FFFFFF"/>
          <w:lang w:eastAsia="ar-SA"/>
        </w:rPr>
        <w:t>rties įvykdymo užtikrinimą per 10 darbo dienų</w:t>
      </w:r>
      <w:r w:rsidR="00786638" w:rsidRPr="00763446">
        <w:rPr>
          <w:rFonts w:ascii="Times New Roman" w:eastAsia="Times New Roman" w:hAnsi="Times New Roman" w:cs="Times New Roman"/>
          <w:sz w:val="24"/>
          <w:szCs w:val="24"/>
          <w:shd w:val="clear" w:color="auto" w:fill="FFFFFF"/>
          <w:lang w:eastAsia="ar-SA"/>
        </w:rPr>
        <w:t xml:space="preserve"> nuo </w:t>
      </w:r>
      <w:r w:rsidR="001C1901" w:rsidRPr="00763446">
        <w:rPr>
          <w:rFonts w:ascii="Times New Roman" w:eastAsia="Times New Roman" w:hAnsi="Times New Roman" w:cs="Times New Roman"/>
          <w:sz w:val="24"/>
          <w:szCs w:val="24"/>
          <w:shd w:val="clear" w:color="auto" w:fill="FFFFFF"/>
          <w:lang w:eastAsia="ar-SA"/>
        </w:rPr>
        <w:t>rašytinio U</w:t>
      </w:r>
      <w:r w:rsidR="008022A0" w:rsidRPr="00763446">
        <w:rPr>
          <w:rFonts w:ascii="Times New Roman" w:eastAsia="Times New Roman" w:hAnsi="Times New Roman" w:cs="Times New Roman"/>
          <w:sz w:val="24"/>
          <w:szCs w:val="24"/>
          <w:shd w:val="clear" w:color="auto" w:fill="FFFFFF"/>
          <w:lang w:eastAsia="ar-SA"/>
        </w:rPr>
        <w:t>žsakovo pranešimo apie 2.1.1 papunktyje nurodyto sprend</w:t>
      </w:r>
      <w:r w:rsidR="001C1901" w:rsidRPr="00763446">
        <w:rPr>
          <w:rFonts w:ascii="Times New Roman" w:eastAsia="Times New Roman" w:hAnsi="Times New Roman" w:cs="Times New Roman"/>
          <w:sz w:val="24"/>
          <w:szCs w:val="24"/>
          <w:shd w:val="clear" w:color="auto" w:fill="FFFFFF"/>
          <w:lang w:eastAsia="ar-SA"/>
        </w:rPr>
        <w:t xml:space="preserve">imo įsigaliojimą gavimo dienos ir galioja, kol Sutarties galiojimas pasibaigia </w:t>
      </w:r>
      <w:r w:rsidR="0075344E" w:rsidRPr="00763446">
        <w:rPr>
          <w:rFonts w:ascii="Times New Roman" w:eastAsia="Times New Roman" w:hAnsi="Times New Roman" w:cs="Times New Roman"/>
          <w:sz w:val="24"/>
          <w:szCs w:val="24"/>
          <w:lang w:eastAsia="zh-CN"/>
        </w:rPr>
        <w:t>(visiškai įvykdomi įsipareigojimai) arba kol Šalys susitaria ją nutraukti, arba nutraukiama įstatymų nustatytais pagrindais ar šioje Sutartyje nustatytais atvejais.</w:t>
      </w:r>
    </w:p>
    <w:p w14:paraId="2CD92503" w14:textId="3A6FE557" w:rsidR="000A5BA5" w:rsidRDefault="000A5BA5"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63446">
        <w:rPr>
          <w:rFonts w:ascii="Times New Roman" w:eastAsia="Times New Roman" w:hAnsi="Times New Roman" w:cs="Times New Roman"/>
          <w:sz w:val="24"/>
          <w:szCs w:val="24"/>
          <w:shd w:val="clear" w:color="auto" w:fill="FFFFFF"/>
          <w:lang w:eastAsia="ar-SA"/>
        </w:rPr>
        <w:t xml:space="preserve">2.1.3. Jeigu 2.1.1 ir 2.1.2 papunkčiuose nurodytos </w:t>
      </w:r>
      <w:r w:rsidR="002C6193">
        <w:rPr>
          <w:rFonts w:ascii="Times New Roman" w:eastAsia="Times New Roman" w:hAnsi="Times New Roman" w:cs="Times New Roman"/>
          <w:sz w:val="24"/>
          <w:szCs w:val="24"/>
          <w:shd w:val="clear" w:color="auto" w:fill="FFFFFF"/>
          <w:lang w:eastAsia="ar-SA"/>
        </w:rPr>
        <w:t xml:space="preserve">sąlygos </w:t>
      </w:r>
      <w:r w:rsidR="00901218" w:rsidRPr="00763446">
        <w:rPr>
          <w:rFonts w:ascii="Times New Roman" w:eastAsia="Times New Roman" w:hAnsi="Times New Roman" w:cs="Times New Roman"/>
          <w:sz w:val="24"/>
          <w:szCs w:val="24"/>
          <w:shd w:val="clear" w:color="auto" w:fill="FFFFFF"/>
          <w:lang w:eastAsia="ar-SA"/>
        </w:rPr>
        <w:t xml:space="preserve"> nebus išpildytos, ši viešojo pirkimo Sutartis neįsigalios ir viešojo pirkimo laimėtojas dėl to negali turėti jokių pretenzijų.</w:t>
      </w:r>
    </w:p>
    <w:p w14:paraId="216DC14E" w14:textId="77777777" w:rsidR="00001A4A" w:rsidRDefault="00001A4A"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2.2. Sutarties vykdymo pradžia laikoma Sutarties įsigaliojimo diena.</w:t>
      </w:r>
    </w:p>
    <w:p w14:paraId="0A9D7F51"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64631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Teikėjas Paslaugas </w:t>
      </w:r>
      <w:r w:rsidR="0032494E">
        <w:rPr>
          <w:rFonts w:ascii="Times New Roman" w:eastAsia="Times New Roman" w:hAnsi="Times New Roman" w:cs="Times New Roman"/>
          <w:sz w:val="24"/>
          <w:szCs w:val="24"/>
          <w:shd w:val="clear" w:color="auto" w:fill="FFFFFF"/>
          <w:lang w:eastAsia="ar-SA"/>
        </w:rPr>
        <w:t xml:space="preserve">turi suteikti </w:t>
      </w:r>
      <w:r w:rsidR="005153DD" w:rsidRPr="005153DD">
        <w:rPr>
          <w:rFonts w:ascii="Times New Roman" w:eastAsia="Times New Roman" w:hAnsi="Times New Roman" w:cs="Times New Roman"/>
          <w:sz w:val="24"/>
          <w:szCs w:val="24"/>
          <w:shd w:val="clear" w:color="auto" w:fill="FFFFFF"/>
          <w:lang w:eastAsia="ar-SA"/>
        </w:rPr>
        <w:t>Techninėje specifikacijoje</w:t>
      </w:r>
      <w:r w:rsidR="00691ABB" w:rsidRPr="00691ABB">
        <w:rPr>
          <w:rFonts w:ascii="Times New Roman" w:eastAsia="Times New Roman" w:hAnsi="Times New Roman" w:cs="Times New Roman"/>
          <w:i/>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nurodyt</w:t>
      </w:r>
      <w:r w:rsidR="006A4023">
        <w:rPr>
          <w:rFonts w:ascii="Times New Roman" w:eastAsia="Times New Roman" w:hAnsi="Times New Roman" w:cs="Times New Roman"/>
          <w:sz w:val="24"/>
          <w:szCs w:val="24"/>
          <w:shd w:val="clear" w:color="auto" w:fill="FFFFFF"/>
          <w:lang w:eastAsia="ar-SA"/>
        </w:rPr>
        <w:t>ais</w:t>
      </w:r>
      <w:r w:rsidR="005153DD" w:rsidRPr="005153DD">
        <w:rPr>
          <w:rFonts w:ascii="Times New Roman" w:eastAsia="Times New Roman" w:hAnsi="Times New Roman" w:cs="Times New Roman"/>
          <w:sz w:val="24"/>
          <w:szCs w:val="24"/>
          <w:shd w:val="clear" w:color="auto" w:fill="FFFFFF"/>
          <w:lang w:eastAsia="ar-SA"/>
        </w:rPr>
        <w:t xml:space="preserve"> termin</w:t>
      </w:r>
      <w:r w:rsidR="006A4023">
        <w:rPr>
          <w:rFonts w:ascii="Times New Roman" w:eastAsia="Times New Roman" w:hAnsi="Times New Roman" w:cs="Times New Roman"/>
          <w:sz w:val="24"/>
          <w:szCs w:val="24"/>
          <w:shd w:val="clear" w:color="auto" w:fill="FFFFFF"/>
          <w:lang w:eastAsia="ar-SA"/>
        </w:rPr>
        <w:t>ai</w:t>
      </w:r>
      <w:r w:rsidR="005153DD" w:rsidRPr="005153DD">
        <w:rPr>
          <w:rFonts w:ascii="Times New Roman" w:eastAsia="Times New Roman" w:hAnsi="Times New Roman" w:cs="Times New Roman"/>
          <w:sz w:val="24"/>
          <w:szCs w:val="24"/>
          <w:shd w:val="clear" w:color="auto" w:fill="FFFFFF"/>
          <w:lang w:eastAsia="ar-SA"/>
        </w:rPr>
        <w:t>s</w:t>
      </w:r>
      <w:r w:rsidR="00B4381E">
        <w:rPr>
          <w:rFonts w:ascii="Times New Roman" w:eastAsia="Times New Roman" w:hAnsi="Times New Roman" w:cs="Times New Roman"/>
          <w:sz w:val="24"/>
          <w:szCs w:val="24"/>
          <w:shd w:val="clear" w:color="auto" w:fill="FFFFFF"/>
          <w:lang w:eastAsia="ar-SA"/>
        </w:rPr>
        <w:t xml:space="preserve"> ir apimtimis</w:t>
      </w:r>
      <w:r w:rsidR="005153DD" w:rsidRPr="005153DD">
        <w:rPr>
          <w:rFonts w:ascii="Times New Roman" w:eastAsia="Times New Roman" w:hAnsi="Times New Roman" w:cs="Times New Roman"/>
          <w:sz w:val="24"/>
          <w:szCs w:val="24"/>
          <w:shd w:val="clear" w:color="auto" w:fill="FFFFFF"/>
          <w:lang w:eastAsia="ar-SA"/>
        </w:rPr>
        <w:t>.</w:t>
      </w:r>
    </w:p>
    <w:p w14:paraId="5729FFD2" w14:textId="77777777" w:rsidR="005153DD" w:rsidRPr="00B22AC6"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64631F">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sidR="0032494E">
        <w:rPr>
          <w:rFonts w:ascii="Times New Roman" w:eastAsia="Times New Roman" w:hAnsi="Times New Roman" w:cs="Times New Roman"/>
          <w:sz w:val="24"/>
          <w:szCs w:val="24"/>
          <w:shd w:val="clear" w:color="auto" w:fill="FFFFFF"/>
          <w:lang w:eastAsia="ar-SA"/>
        </w:rPr>
        <w:t xml:space="preserve">(įskaitant atsakomybę </w:t>
      </w:r>
      <w:r w:rsidR="002A0EF4">
        <w:rPr>
          <w:rFonts w:ascii="Times New Roman" w:eastAsia="Times New Roman" w:hAnsi="Times New Roman" w:cs="Times New Roman"/>
          <w:sz w:val="24"/>
          <w:szCs w:val="24"/>
          <w:shd w:val="clear" w:color="auto" w:fill="FFFFFF"/>
          <w:lang w:eastAsia="ar-SA"/>
        </w:rPr>
        <w:t xml:space="preserve">dėl padarytos žalos (nuostolių)) </w:t>
      </w:r>
      <w:r w:rsidR="005153DD"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0147FA61" w14:textId="534CDBC8" w:rsidR="001A08DC" w:rsidRPr="0078718C" w:rsidRDefault="001A08DC" w:rsidP="001A08D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64631F">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 </w:t>
      </w:r>
      <w:r w:rsidRPr="00795777">
        <w:rPr>
          <w:rFonts w:ascii="Times New Roman" w:eastAsia="Times New Roman" w:hAnsi="Times New Roman" w:cs="Times New Roman"/>
          <w:sz w:val="24"/>
          <w:szCs w:val="24"/>
          <w:shd w:val="clear" w:color="auto" w:fill="FFFFFF"/>
          <w:lang w:eastAsia="ar-SA"/>
        </w:rPr>
        <w:t>Sutarti</w:t>
      </w:r>
      <w:r w:rsidR="008655BF" w:rsidRPr="00795777">
        <w:rPr>
          <w:rFonts w:ascii="Times New Roman" w:eastAsia="Times New Roman" w:hAnsi="Times New Roman" w:cs="Times New Roman"/>
          <w:sz w:val="24"/>
          <w:szCs w:val="24"/>
          <w:shd w:val="clear" w:color="auto" w:fill="FFFFFF"/>
          <w:lang w:eastAsia="ar-SA"/>
        </w:rPr>
        <w:t>e</w:t>
      </w:r>
      <w:r w:rsidRPr="00795777">
        <w:rPr>
          <w:rFonts w:ascii="Times New Roman" w:eastAsia="Times New Roman" w:hAnsi="Times New Roman" w:cs="Times New Roman"/>
          <w:sz w:val="24"/>
          <w:szCs w:val="24"/>
          <w:shd w:val="clear" w:color="auto" w:fill="FFFFFF"/>
          <w:lang w:eastAsia="ar-SA"/>
        </w:rPr>
        <w:t xml:space="preserve">s </w:t>
      </w:r>
      <w:r w:rsidR="002A0EF4" w:rsidRPr="00795777">
        <w:rPr>
          <w:rFonts w:ascii="Times New Roman" w:eastAsia="Times New Roman" w:hAnsi="Times New Roman" w:cs="Times New Roman"/>
          <w:sz w:val="24"/>
          <w:szCs w:val="24"/>
          <w:shd w:val="clear" w:color="auto" w:fill="FFFFFF"/>
          <w:lang w:eastAsia="ar-SA"/>
        </w:rPr>
        <w:t>trukmė</w:t>
      </w:r>
      <w:r w:rsidRPr="00795777">
        <w:rPr>
          <w:rFonts w:ascii="Times New Roman" w:eastAsia="Times New Roman" w:hAnsi="Times New Roman" w:cs="Times New Roman"/>
          <w:sz w:val="24"/>
          <w:szCs w:val="24"/>
          <w:shd w:val="clear" w:color="auto" w:fill="FFFFFF"/>
          <w:lang w:eastAsia="ar-SA"/>
        </w:rPr>
        <w:t xml:space="preserve"> </w:t>
      </w:r>
      <w:r w:rsidR="009E5C9C" w:rsidRPr="00795777">
        <w:rPr>
          <w:rFonts w:ascii="Times New Roman" w:eastAsia="Times New Roman" w:hAnsi="Times New Roman" w:cs="Times New Roman"/>
          <w:b/>
          <w:bCs/>
          <w:sz w:val="24"/>
          <w:szCs w:val="24"/>
          <w:shd w:val="clear" w:color="auto" w:fill="FFFFFF"/>
          <w:lang w:eastAsia="ar-SA"/>
        </w:rPr>
        <w:t>2</w:t>
      </w:r>
      <w:r w:rsidR="00976001" w:rsidRPr="00795777">
        <w:rPr>
          <w:rFonts w:ascii="Times New Roman" w:eastAsia="Times New Roman" w:hAnsi="Times New Roman" w:cs="Times New Roman"/>
          <w:b/>
          <w:bCs/>
          <w:sz w:val="24"/>
          <w:szCs w:val="24"/>
          <w:shd w:val="clear" w:color="auto" w:fill="FFFFFF"/>
          <w:lang w:eastAsia="ar-SA"/>
        </w:rPr>
        <w:t>0</w:t>
      </w:r>
      <w:r w:rsidR="009E5C9C" w:rsidRPr="00795777">
        <w:rPr>
          <w:rFonts w:ascii="Times New Roman" w:eastAsia="Times New Roman" w:hAnsi="Times New Roman" w:cs="Times New Roman"/>
          <w:b/>
          <w:bCs/>
          <w:sz w:val="24"/>
          <w:szCs w:val="24"/>
          <w:shd w:val="clear" w:color="auto" w:fill="FFFFFF"/>
          <w:lang w:eastAsia="ar-SA"/>
        </w:rPr>
        <w:t xml:space="preserve"> mėn</w:t>
      </w:r>
      <w:r w:rsidR="00976001" w:rsidRPr="00795777">
        <w:rPr>
          <w:rFonts w:ascii="Times New Roman" w:eastAsia="Times New Roman" w:hAnsi="Times New Roman" w:cs="Times New Roman"/>
          <w:b/>
          <w:bCs/>
          <w:sz w:val="24"/>
          <w:szCs w:val="24"/>
          <w:shd w:val="clear" w:color="auto" w:fill="FFFFFF"/>
          <w:lang w:eastAsia="ar-SA"/>
        </w:rPr>
        <w:t>esių</w:t>
      </w:r>
      <w:r w:rsidR="00A94E31">
        <w:rPr>
          <w:rFonts w:ascii="Times New Roman" w:eastAsia="Times New Roman" w:hAnsi="Times New Roman" w:cs="Times New Roman"/>
          <w:b/>
          <w:bCs/>
          <w:sz w:val="24"/>
          <w:szCs w:val="24"/>
          <w:shd w:val="clear" w:color="auto" w:fill="FFFFFF"/>
          <w:lang w:eastAsia="ar-SA"/>
        </w:rPr>
        <w:t xml:space="preserve"> </w:t>
      </w:r>
      <w:r w:rsidR="00A94E31" w:rsidRPr="00A94E31">
        <w:rPr>
          <w:rFonts w:ascii="Times New Roman" w:eastAsia="Times New Roman" w:hAnsi="Times New Roman" w:cs="Times New Roman"/>
          <w:bCs/>
          <w:iCs/>
          <w:sz w:val="24"/>
          <w:szCs w:val="24"/>
          <w:shd w:val="clear" w:color="auto" w:fill="FFFFFF"/>
          <w:lang w:eastAsia="ar-SA"/>
        </w:rPr>
        <w:t>nuo sutarties įsigaliojimo dienos</w:t>
      </w:r>
      <w:r w:rsidR="002B0E36" w:rsidRPr="00A94E31">
        <w:rPr>
          <w:rFonts w:ascii="Times New Roman" w:eastAsia="Times New Roman" w:hAnsi="Times New Roman" w:cs="Times New Roman"/>
          <w:sz w:val="24"/>
          <w:szCs w:val="24"/>
          <w:shd w:val="clear" w:color="auto" w:fill="FFFFFF"/>
          <w:lang w:eastAsia="ar-SA"/>
        </w:rPr>
        <w:t>.</w:t>
      </w:r>
      <w:r w:rsidRPr="00795777">
        <w:rPr>
          <w:rFonts w:ascii="Times New Roman" w:eastAsia="Times New Roman" w:hAnsi="Times New Roman" w:cs="Times New Roman"/>
          <w:sz w:val="24"/>
          <w:szCs w:val="24"/>
          <w:shd w:val="clear" w:color="auto" w:fill="FFFFFF"/>
          <w:lang w:eastAsia="ar-SA"/>
        </w:rPr>
        <w:t xml:space="preserve"> Sutartis gali būti pratęsta tomis pačiomis sąlygomis</w:t>
      </w:r>
      <w:r w:rsidR="00391810" w:rsidRPr="00795777">
        <w:rPr>
          <w:rFonts w:ascii="Times New Roman" w:eastAsia="Times New Roman" w:hAnsi="Times New Roman" w:cs="Times New Roman"/>
          <w:sz w:val="24"/>
          <w:szCs w:val="24"/>
          <w:shd w:val="clear" w:color="auto" w:fill="FFFFFF"/>
          <w:lang w:eastAsia="ar-SA"/>
        </w:rPr>
        <w:t xml:space="preserve"> esant objektyvioms priežastims ir pateikus Teikėjui prašymą dėl paslaugų suteikimo termino pratęsimo</w:t>
      </w:r>
      <w:r w:rsidRPr="00795777">
        <w:rPr>
          <w:rFonts w:ascii="Times New Roman" w:eastAsia="Times New Roman" w:hAnsi="Times New Roman" w:cs="Times New Roman"/>
          <w:sz w:val="24"/>
          <w:szCs w:val="24"/>
          <w:shd w:val="clear" w:color="auto" w:fill="FFFFFF"/>
          <w:lang w:eastAsia="ar-SA"/>
        </w:rPr>
        <w:t>.</w:t>
      </w:r>
      <w:r w:rsidR="00315C00" w:rsidRPr="00795777">
        <w:rPr>
          <w:rFonts w:ascii="Times New Roman" w:eastAsia="Times New Roman" w:hAnsi="Times New Roman" w:cs="Times New Roman"/>
          <w:sz w:val="24"/>
          <w:szCs w:val="24"/>
          <w:shd w:val="clear" w:color="auto" w:fill="FFFFFF"/>
          <w:lang w:eastAsia="ar-SA"/>
        </w:rPr>
        <w:t xml:space="preserve"> Sutarties trukmė </w:t>
      </w:r>
      <w:r w:rsidR="0028331C" w:rsidRPr="00795777">
        <w:rPr>
          <w:rFonts w:ascii="Times New Roman" w:eastAsia="Times New Roman" w:hAnsi="Times New Roman" w:cs="Times New Roman"/>
          <w:sz w:val="24"/>
          <w:szCs w:val="24"/>
          <w:shd w:val="clear" w:color="auto" w:fill="FFFFFF"/>
          <w:lang w:eastAsia="ar-SA"/>
        </w:rPr>
        <w:t xml:space="preserve">su </w:t>
      </w:r>
      <w:r w:rsidR="00FB6C33" w:rsidRPr="00795777">
        <w:rPr>
          <w:rFonts w:ascii="Times New Roman" w:eastAsia="Times New Roman" w:hAnsi="Times New Roman" w:cs="Times New Roman"/>
          <w:sz w:val="24"/>
          <w:szCs w:val="24"/>
          <w:shd w:val="clear" w:color="auto" w:fill="FFFFFF"/>
          <w:lang w:eastAsia="ar-SA"/>
        </w:rPr>
        <w:t xml:space="preserve">galimais </w:t>
      </w:r>
      <w:r w:rsidR="007E4E9D" w:rsidRPr="00795777">
        <w:rPr>
          <w:rFonts w:ascii="Times New Roman" w:eastAsia="Times New Roman" w:hAnsi="Times New Roman" w:cs="Times New Roman"/>
          <w:sz w:val="24"/>
          <w:szCs w:val="24"/>
          <w:shd w:val="clear" w:color="auto" w:fill="FFFFFF"/>
          <w:lang w:eastAsia="ar-SA"/>
        </w:rPr>
        <w:t xml:space="preserve">pratęsimais </w:t>
      </w:r>
      <w:r w:rsidR="00B23855" w:rsidRPr="00795777">
        <w:rPr>
          <w:rFonts w:ascii="Times New Roman" w:eastAsia="Times New Roman" w:hAnsi="Times New Roman" w:cs="Times New Roman"/>
          <w:sz w:val="24"/>
          <w:szCs w:val="24"/>
          <w:shd w:val="clear" w:color="auto" w:fill="FFFFFF"/>
          <w:lang w:eastAsia="ar-SA"/>
        </w:rPr>
        <w:t xml:space="preserve">negali būti ilgesnė </w:t>
      </w:r>
      <w:r w:rsidR="009C26F2" w:rsidRPr="00795777">
        <w:rPr>
          <w:rFonts w:ascii="Times New Roman" w:eastAsia="Times New Roman" w:hAnsi="Times New Roman" w:cs="Times New Roman"/>
          <w:sz w:val="24"/>
          <w:szCs w:val="24"/>
          <w:shd w:val="clear" w:color="auto" w:fill="FFFFFF"/>
          <w:lang w:eastAsia="ar-SA"/>
        </w:rPr>
        <w:t xml:space="preserve">negu </w:t>
      </w:r>
      <w:r w:rsidR="006B18A7">
        <w:rPr>
          <w:rFonts w:ascii="Times New Roman" w:eastAsia="Times New Roman" w:hAnsi="Times New Roman" w:cs="Times New Roman"/>
          <w:sz w:val="24"/>
          <w:szCs w:val="24"/>
          <w:shd w:val="clear" w:color="auto" w:fill="FFFFFF"/>
          <w:lang w:eastAsia="ar-SA"/>
        </w:rPr>
        <w:t>3</w:t>
      </w:r>
      <w:r w:rsidR="0073772D">
        <w:rPr>
          <w:rFonts w:ascii="Times New Roman" w:eastAsia="Times New Roman" w:hAnsi="Times New Roman" w:cs="Times New Roman"/>
          <w:sz w:val="24"/>
          <w:szCs w:val="24"/>
          <w:shd w:val="clear" w:color="auto" w:fill="FFFFFF"/>
          <w:lang w:eastAsia="ar-SA"/>
        </w:rPr>
        <w:t>2</w:t>
      </w:r>
      <w:r w:rsidR="006B18A7">
        <w:rPr>
          <w:rFonts w:ascii="Times New Roman" w:eastAsia="Times New Roman" w:hAnsi="Times New Roman" w:cs="Times New Roman"/>
          <w:sz w:val="24"/>
          <w:szCs w:val="24"/>
          <w:shd w:val="clear" w:color="auto" w:fill="FFFFFF"/>
          <w:lang w:eastAsia="ar-SA"/>
        </w:rPr>
        <w:t xml:space="preserve"> mėnesiai.</w:t>
      </w:r>
      <w:r w:rsidR="00A94E31" w:rsidRPr="00A94E31">
        <w:rPr>
          <w:i/>
          <w:iCs/>
        </w:rPr>
        <w:t xml:space="preserve"> </w:t>
      </w:r>
    </w:p>
    <w:p w14:paraId="415CFB9C"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272D5522" w14:textId="77777777" w:rsidR="005153DD" w:rsidRPr="005153DD" w:rsidRDefault="00E82CE7" w:rsidP="00E82CE7">
      <w:pPr>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3</w:t>
      </w:r>
      <w:r w:rsidR="007B2172">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KAINA IR MOKĖJIMO SĄLYGOS</w:t>
      </w:r>
    </w:p>
    <w:p w14:paraId="1127C6E8"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3E0665AF" w14:textId="2D1425B2" w:rsidR="00031623" w:rsidRDefault="00E82CE7" w:rsidP="00927A75">
      <w:pPr>
        <w:widowControl w:val="0"/>
        <w:suppressAutoHyphens/>
        <w:spacing w:after="0" w:line="240" w:lineRule="auto"/>
        <w:ind w:firstLine="567"/>
        <w:jc w:val="both"/>
        <w:rPr>
          <w:rFonts w:ascii="Times New Roman" w:hAnsi="Times New Roman" w:cs="Times New Roman"/>
          <w:bCs/>
          <w:sz w:val="24"/>
          <w:szCs w:val="24"/>
        </w:rPr>
      </w:pPr>
      <w:r>
        <w:rPr>
          <w:rFonts w:ascii="Times New Roman" w:eastAsia="Times New Roman" w:hAnsi="Times New Roman" w:cs="Times New Roman"/>
          <w:kern w:val="2"/>
          <w:sz w:val="24"/>
          <w:szCs w:val="24"/>
          <w:lang w:eastAsia="ar-SA"/>
        </w:rPr>
        <w:t>3</w:t>
      </w:r>
      <w:r w:rsidR="007B2172">
        <w:rPr>
          <w:rFonts w:ascii="Times New Roman" w:eastAsia="Times New Roman" w:hAnsi="Times New Roman" w:cs="Times New Roman"/>
          <w:kern w:val="2"/>
          <w:sz w:val="24"/>
          <w:szCs w:val="24"/>
          <w:lang w:eastAsia="ar-SA"/>
        </w:rPr>
        <w:t>.1.</w:t>
      </w:r>
      <w:r>
        <w:rPr>
          <w:rFonts w:ascii="Times New Roman" w:eastAsia="Times New Roman" w:hAnsi="Times New Roman" w:cs="Times New Roman"/>
          <w:kern w:val="2"/>
          <w:sz w:val="24"/>
          <w:szCs w:val="24"/>
          <w:lang w:eastAsia="ar-SA"/>
        </w:rPr>
        <w:t xml:space="preserve"> </w:t>
      </w:r>
      <w:r w:rsidR="0041025E">
        <w:rPr>
          <w:rFonts w:ascii="Times New Roman" w:eastAsia="Times New Roman" w:hAnsi="Times New Roman" w:cs="Times New Roman"/>
          <w:kern w:val="2"/>
          <w:sz w:val="24"/>
          <w:szCs w:val="24"/>
          <w:lang w:eastAsia="ar-SA"/>
        </w:rPr>
        <w:t xml:space="preserve">Sutarčiai taikoma fiksuotos kainos kainodara. </w:t>
      </w:r>
      <w:r w:rsidR="007B2172">
        <w:rPr>
          <w:rFonts w:ascii="Times New Roman" w:eastAsia="Times New Roman" w:hAnsi="Times New Roman" w:cs="Times New Roman"/>
          <w:kern w:val="2"/>
          <w:sz w:val="24"/>
          <w:szCs w:val="24"/>
          <w:lang w:eastAsia="ar-SA"/>
        </w:rPr>
        <w:t xml:space="preserve">Į Sutarties kainą įskaičiuota Paslaugų kaina, darbuotojų darbo užmokestis, </w:t>
      </w:r>
      <w:r w:rsidR="000E38CC">
        <w:rPr>
          <w:rFonts w:ascii="Times New Roman" w:eastAsia="Times New Roman" w:hAnsi="Times New Roman" w:cs="Times New Roman"/>
          <w:kern w:val="2"/>
          <w:sz w:val="24"/>
          <w:szCs w:val="24"/>
          <w:lang w:eastAsia="ar-SA"/>
        </w:rPr>
        <w:t xml:space="preserve">su Paslaugų teikimu susijusios </w:t>
      </w:r>
      <w:r w:rsidR="007B2172">
        <w:rPr>
          <w:rFonts w:ascii="Times New Roman" w:eastAsia="Times New Roman" w:hAnsi="Times New Roman" w:cs="Times New Roman"/>
          <w:kern w:val="2"/>
          <w:sz w:val="24"/>
          <w:szCs w:val="24"/>
          <w:lang w:eastAsia="ar-SA"/>
        </w:rPr>
        <w:t xml:space="preserve">visos išlaidos ir mokesčiai, taip pat pridėtinės vertės mokestis (toliau – PVM). Sutarties kaina apima visas Paslaugas, nurodytas Techninėje specifikacijoje. </w:t>
      </w:r>
      <w:r w:rsidR="00B229EA">
        <w:rPr>
          <w:rFonts w:ascii="Times New Roman" w:eastAsia="Times New Roman" w:hAnsi="Times New Roman" w:cs="Times New Roman"/>
          <w:kern w:val="2"/>
          <w:sz w:val="24"/>
          <w:szCs w:val="24"/>
          <w:lang w:eastAsia="ar-SA"/>
        </w:rPr>
        <w:t xml:space="preserve">Teikėjas sudarydamas Sutartį įvertina visas paslaugų apimtis bei priima riziką dėl išlaidų dydžio svyravimo. </w:t>
      </w:r>
    </w:p>
    <w:p w14:paraId="543EE811" w14:textId="528D195E" w:rsidR="00E97394" w:rsidRDefault="00E97394" w:rsidP="00E97394">
      <w:pPr>
        <w:widowControl w:val="0"/>
        <w:suppressAutoHyphens/>
        <w:spacing w:after="0" w:line="240" w:lineRule="auto"/>
        <w:ind w:firstLine="567"/>
        <w:jc w:val="both"/>
        <w:rPr>
          <w:rFonts w:ascii="Times New Roman" w:eastAsia="Times New Roman" w:hAnsi="Times New Roman" w:cs="Times New Roman"/>
          <w:kern w:val="2"/>
          <w:sz w:val="24"/>
          <w:szCs w:val="24"/>
        </w:rPr>
      </w:pPr>
      <w:bookmarkStart w:id="1" w:name="_Hlk61433472"/>
      <w:r>
        <w:rPr>
          <w:rFonts w:ascii="Times New Roman" w:eastAsia="Times New Roman" w:hAnsi="Times New Roman" w:cs="Times New Roman"/>
          <w:kern w:val="2"/>
          <w:sz w:val="24"/>
          <w:szCs w:val="24"/>
          <w:lang w:val="en-US" w:eastAsia="ar-SA"/>
        </w:rPr>
        <w:t xml:space="preserve">3.2. </w:t>
      </w:r>
      <w:r>
        <w:rPr>
          <w:rFonts w:ascii="Times New Roman" w:hAnsi="Times New Roman" w:cs="Times New Roman"/>
          <w:color w:val="000000"/>
          <w:sz w:val="24"/>
          <w:szCs w:val="24"/>
        </w:rPr>
        <w:t xml:space="preserve">Pradinės sutarties vertė yra lygi laimėjusio </w:t>
      </w:r>
      <w:r w:rsidR="008F4F70">
        <w:rPr>
          <w:rFonts w:ascii="Times New Roman" w:hAnsi="Times New Roman" w:cs="Times New Roman"/>
          <w:color w:val="000000"/>
          <w:sz w:val="24"/>
          <w:szCs w:val="24"/>
        </w:rPr>
        <w:t>Teikėjo</w:t>
      </w:r>
      <w:r>
        <w:rPr>
          <w:rFonts w:ascii="Times New Roman" w:hAnsi="Times New Roman" w:cs="Times New Roman"/>
          <w:color w:val="000000"/>
          <w:sz w:val="24"/>
          <w:szCs w:val="24"/>
        </w:rPr>
        <w:t xml:space="preserve"> pasiūlymo kainai be pridėtinės vertės mokesčio (toliau – PVM), nurodytai už visą pirkimo dokumentuose ir sutartyje nurodytą perkamų prekių ir (ar) paslaugų kiekį ir (ar) apimtį.</w:t>
      </w:r>
    </w:p>
    <w:bookmarkEnd w:id="1"/>
    <w:p w14:paraId="78F6EB23" w14:textId="77777777" w:rsidR="00E97394" w:rsidRDefault="00E97394" w:rsidP="00927A7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1677B548" w14:textId="6ACC647F" w:rsidR="0078718C" w:rsidRPr="00431A6F" w:rsidRDefault="00E82CE7"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w:t>
      </w:r>
      <w:r w:rsidR="00E97394">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 </w:t>
      </w:r>
      <w:r w:rsidR="008950D6" w:rsidRPr="00CB2C39">
        <w:rPr>
          <w:rFonts w:ascii="Times New Roman" w:eastAsia="Calibri" w:hAnsi="Times New Roman" w:cs="Times New Roman"/>
          <w:sz w:val="24"/>
          <w:szCs w:val="24"/>
        </w:rPr>
        <w:t>Maksimali Sutarties kaina</w:t>
      </w:r>
      <w:r w:rsidR="0078718C" w:rsidRPr="00431A6F">
        <w:rPr>
          <w:rFonts w:ascii="Times New Roman" w:eastAsia="Times New Roman" w:hAnsi="Times New Roman" w:cs="Times New Roman"/>
          <w:kern w:val="2"/>
          <w:sz w:val="24"/>
          <w:szCs w:val="24"/>
          <w:lang w:eastAsia="ar-SA"/>
        </w:rPr>
        <w:t>:</w:t>
      </w:r>
    </w:p>
    <w:tbl>
      <w:tblPr>
        <w:tblW w:w="5000" w:type="pct"/>
        <w:tblCellSpacing w:w="7"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025"/>
        <w:gridCol w:w="6681"/>
      </w:tblGrid>
      <w:tr w:rsidR="0078718C" w:rsidRPr="00431A6F" w14:paraId="67DB97C7" w14:textId="77777777" w:rsidTr="001A49AA">
        <w:trPr>
          <w:trHeight w:val="1009"/>
          <w:tblCellSpacing w:w="7" w:type="dxa"/>
        </w:trPr>
        <w:tc>
          <w:tcPr>
            <w:tcW w:w="1547" w:type="pct"/>
            <w:tcMar>
              <w:top w:w="15" w:type="dxa"/>
              <w:left w:w="15" w:type="dxa"/>
              <w:bottom w:w="15" w:type="dxa"/>
              <w:right w:w="15" w:type="dxa"/>
            </w:tcMar>
            <w:vAlign w:val="center"/>
          </w:tcPr>
          <w:p w14:paraId="0972424F" w14:textId="77777777" w:rsidR="0078718C" w:rsidRPr="00431A6F" w:rsidRDefault="0078718C" w:rsidP="001A49AA">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lastRenderedPageBreak/>
              <w:t>Sutarties kaina be PVM</w:t>
            </w:r>
          </w:p>
        </w:tc>
        <w:tc>
          <w:tcPr>
            <w:tcW w:w="3432" w:type="pct"/>
            <w:tcMar>
              <w:top w:w="15" w:type="dxa"/>
              <w:left w:w="15" w:type="dxa"/>
              <w:bottom w:w="15" w:type="dxa"/>
              <w:right w:w="15" w:type="dxa"/>
            </w:tcMar>
            <w:vAlign w:val="center"/>
          </w:tcPr>
          <w:p w14:paraId="2774D91A" w14:textId="2DDBAD63" w:rsidR="00A94FAA" w:rsidRPr="009246D5" w:rsidRDefault="00ED6348" w:rsidP="00ED6348">
            <w:pPr>
              <w:suppressAutoHyphens/>
              <w:spacing w:after="0" w:line="240" w:lineRule="auto"/>
              <w:jc w:val="center"/>
              <w:rPr>
                <w:rFonts w:ascii="Times New Roman" w:eastAsia="Times New Roman" w:hAnsi="Times New Roman" w:cs="Times New Roman"/>
                <w:sz w:val="24"/>
                <w:szCs w:val="24"/>
                <w:lang w:eastAsia="zh-CN"/>
              </w:rPr>
            </w:pPr>
            <w:r w:rsidRPr="009246D5">
              <w:rPr>
                <w:rFonts w:ascii="Times New Roman" w:eastAsia="Times New Roman" w:hAnsi="Times New Roman" w:cs="Times New Roman"/>
                <w:sz w:val="24"/>
                <w:szCs w:val="24"/>
                <w:lang w:eastAsia="zh-CN"/>
              </w:rPr>
              <w:t>318100,00 Eur</w:t>
            </w:r>
          </w:p>
          <w:p w14:paraId="1F785EDA" w14:textId="1D5F69BC" w:rsidR="0078718C" w:rsidRPr="009246D5" w:rsidRDefault="00C818A7" w:rsidP="00C818A7">
            <w:pPr>
              <w:suppressAutoHyphens/>
              <w:spacing w:after="0" w:line="240" w:lineRule="auto"/>
              <w:jc w:val="center"/>
              <w:rPr>
                <w:rFonts w:ascii="Times New Roman" w:eastAsia="Times New Roman" w:hAnsi="Times New Roman" w:cs="Times New Roman"/>
                <w:sz w:val="24"/>
                <w:szCs w:val="24"/>
                <w:lang w:eastAsia="zh-CN"/>
              </w:rPr>
            </w:pPr>
            <w:r w:rsidRPr="009246D5">
              <w:rPr>
                <w:rStyle w:val="towords"/>
                <w:rFonts w:ascii="Times New Roman" w:hAnsi="Times New Roman" w:cs="Times New Roman"/>
                <w:sz w:val="24"/>
                <w:szCs w:val="24"/>
              </w:rPr>
              <w:t>Trys šimtai aštuoniolika tūkstančių vienas šimtas eurų</w:t>
            </w:r>
          </w:p>
        </w:tc>
      </w:tr>
      <w:tr w:rsidR="0078718C" w:rsidRPr="00431A6F" w14:paraId="2FC8BD62" w14:textId="77777777" w:rsidTr="001A49AA">
        <w:trPr>
          <w:tblCellSpacing w:w="7" w:type="dxa"/>
        </w:trPr>
        <w:tc>
          <w:tcPr>
            <w:tcW w:w="1547" w:type="pct"/>
            <w:tcMar>
              <w:top w:w="15" w:type="dxa"/>
              <w:left w:w="15" w:type="dxa"/>
              <w:bottom w:w="15" w:type="dxa"/>
              <w:right w:w="15" w:type="dxa"/>
            </w:tcMar>
            <w:vAlign w:val="center"/>
          </w:tcPr>
          <w:p w14:paraId="6E5A8B2D" w14:textId="77777777" w:rsidR="0078718C" w:rsidRPr="00431A6F" w:rsidRDefault="0078718C" w:rsidP="001A49AA">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t xml:space="preserve">PVM </w:t>
            </w:r>
          </w:p>
        </w:tc>
        <w:tc>
          <w:tcPr>
            <w:tcW w:w="3432" w:type="pct"/>
            <w:tcMar>
              <w:top w:w="15" w:type="dxa"/>
              <w:left w:w="15" w:type="dxa"/>
              <w:bottom w:w="15" w:type="dxa"/>
              <w:right w:w="15" w:type="dxa"/>
            </w:tcMar>
            <w:vAlign w:val="center"/>
          </w:tcPr>
          <w:p w14:paraId="3F55F6EF" w14:textId="693BA82B" w:rsidR="00A94FAA" w:rsidRPr="009246D5" w:rsidRDefault="00ED6348" w:rsidP="003C7121">
            <w:pPr>
              <w:suppressAutoHyphens/>
              <w:spacing w:after="0" w:line="240" w:lineRule="auto"/>
              <w:jc w:val="center"/>
              <w:rPr>
                <w:rFonts w:ascii="Times New Roman" w:eastAsia="Times New Roman" w:hAnsi="Times New Roman" w:cs="Times New Roman"/>
                <w:color w:val="000000" w:themeColor="text1"/>
                <w:sz w:val="24"/>
                <w:szCs w:val="24"/>
                <w:lang w:val="en-GB" w:eastAsia="zh-CN"/>
              </w:rPr>
            </w:pPr>
            <w:r w:rsidRPr="009246D5">
              <w:rPr>
                <w:rFonts w:ascii="Times New Roman" w:eastAsia="Times New Roman" w:hAnsi="Times New Roman" w:cs="Times New Roman"/>
                <w:color w:val="000000" w:themeColor="text1"/>
                <w:sz w:val="24"/>
                <w:szCs w:val="24"/>
                <w:lang w:eastAsia="zh-CN"/>
              </w:rPr>
              <w:t>21</w:t>
            </w:r>
            <w:r w:rsidRPr="009246D5">
              <w:rPr>
                <w:rFonts w:ascii="Times New Roman" w:eastAsia="Times New Roman" w:hAnsi="Times New Roman" w:cs="Times New Roman"/>
                <w:color w:val="000000" w:themeColor="text1"/>
                <w:sz w:val="24"/>
                <w:szCs w:val="24"/>
                <w:lang w:val="en-GB" w:eastAsia="zh-CN"/>
              </w:rPr>
              <w:t>%</w:t>
            </w:r>
          </w:p>
          <w:p w14:paraId="64AF60AF" w14:textId="06F98248" w:rsidR="00426BBC" w:rsidRPr="009246D5" w:rsidRDefault="00426BBC" w:rsidP="003C7121">
            <w:pPr>
              <w:suppressAutoHyphens/>
              <w:spacing w:after="0" w:line="240" w:lineRule="auto"/>
              <w:jc w:val="center"/>
              <w:rPr>
                <w:rFonts w:ascii="Times New Roman" w:eastAsia="Times New Roman" w:hAnsi="Times New Roman" w:cs="Times New Roman"/>
                <w:color w:val="000000" w:themeColor="text1"/>
                <w:sz w:val="24"/>
                <w:szCs w:val="24"/>
                <w:lang w:eastAsia="zh-CN"/>
              </w:rPr>
            </w:pPr>
            <w:r w:rsidRPr="009246D5">
              <w:rPr>
                <w:rFonts w:ascii="Times New Roman" w:eastAsia="Times New Roman" w:hAnsi="Times New Roman" w:cs="Times New Roman"/>
                <w:color w:val="000000" w:themeColor="text1"/>
                <w:sz w:val="24"/>
                <w:szCs w:val="24"/>
                <w:lang w:val="en-GB" w:eastAsia="zh-CN"/>
              </w:rPr>
              <w:t>66801,00 Eur</w:t>
            </w:r>
          </w:p>
          <w:p w14:paraId="59A04595" w14:textId="4BD38090" w:rsidR="0078718C" w:rsidRPr="009246D5" w:rsidRDefault="009246D5" w:rsidP="003C7121">
            <w:pPr>
              <w:suppressAutoHyphens/>
              <w:spacing w:after="0" w:line="240" w:lineRule="auto"/>
              <w:jc w:val="center"/>
              <w:rPr>
                <w:rFonts w:ascii="Times New Roman" w:eastAsia="Times New Roman" w:hAnsi="Times New Roman" w:cs="Times New Roman"/>
                <w:sz w:val="24"/>
                <w:szCs w:val="24"/>
                <w:lang w:eastAsia="zh-CN"/>
              </w:rPr>
            </w:pPr>
            <w:r w:rsidRPr="009246D5">
              <w:rPr>
                <w:rStyle w:val="towords"/>
                <w:rFonts w:ascii="Times New Roman" w:hAnsi="Times New Roman" w:cs="Times New Roman"/>
                <w:sz w:val="24"/>
                <w:szCs w:val="24"/>
              </w:rPr>
              <w:t>Šešiasdešimt šeši tūkstančiai aštuoni šimtai vienas euras</w:t>
            </w:r>
          </w:p>
          <w:p w14:paraId="62A35A36" w14:textId="77777777" w:rsidR="00C66487" w:rsidRPr="009246D5" w:rsidRDefault="00C66487" w:rsidP="003C7121">
            <w:pPr>
              <w:suppressAutoHyphens/>
              <w:spacing w:after="0" w:line="240" w:lineRule="auto"/>
              <w:jc w:val="center"/>
              <w:rPr>
                <w:rFonts w:ascii="Times New Roman" w:eastAsia="Times New Roman" w:hAnsi="Times New Roman" w:cs="Times New Roman"/>
                <w:sz w:val="24"/>
                <w:szCs w:val="24"/>
                <w:lang w:eastAsia="zh-CN"/>
              </w:rPr>
            </w:pPr>
          </w:p>
        </w:tc>
      </w:tr>
      <w:tr w:rsidR="0078718C" w:rsidRPr="00431A6F" w14:paraId="5D0EC41D" w14:textId="77777777" w:rsidTr="001A49AA">
        <w:trPr>
          <w:tblCellSpacing w:w="7" w:type="dxa"/>
        </w:trPr>
        <w:tc>
          <w:tcPr>
            <w:tcW w:w="1547" w:type="pct"/>
            <w:tcMar>
              <w:top w:w="15" w:type="dxa"/>
              <w:left w:w="15" w:type="dxa"/>
              <w:bottom w:w="15" w:type="dxa"/>
              <w:right w:w="15" w:type="dxa"/>
            </w:tcMar>
            <w:vAlign w:val="center"/>
          </w:tcPr>
          <w:p w14:paraId="4316246E" w14:textId="77777777" w:rsidR="0078718C" w:rsidRPr="00431A6F" w:rsidRDefault="0078718C" w:rsidP="001A49AA">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t xml:space="preserve">Bendra Sutarties kaina </w:t>
            </w:r>
          </w:p>
          <w:p w14:paraId="438062E8" w14:textId="77777777" w:rsidR="0078718C" w:rsidRPr="00431A6F" w:rsidRDefault="0078718C" w:rsidP="001A49AA">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t>(Sutarties kaina su PVM)</w:t>
            </w:r>
          </w:p>
        </w:tc>
        <w:tc>
          <w:tcPr>
            <w:tcW w:w="3432" w:type="pct"/>
            <w:tcMar>
              <w:top w:w="15" w:type="dxa"/>
              <w:left w:w="15" w:type="dxa"/>
              <w:bottom w:w="15" w:type="dxa"/>
              <w:right w:w="15" w:type="dxa"/>
            </w:tcMar>
            <w:vAlign w:val="center"/>
          </w:tcPr>
          <w:p w14:paraId="6207ACA5" w14:textId="1A37C8DB" w:rsidR="00A94FAA" w:rsidRPr="009246D5" w:rsidRDefault="007D2785" w:rsidP="003C7121">
            <w:pPr>
              <w:suppressAutoHyphens/>
              <w:spacing w:after="0" w:line="240" w:lineRule="auto"/>
              <w:jc w:val="center"/>
              <w:rPr>
                <w:rFonts w:ascii="Times New Roman" w:eastAsia="Times New Roman" w:hAnsi="Times New Roman" w:cs="Times New Roman"/>
                <w:sz w:val="24"/>
                <w:szCs w:val="24"/>
                <w:lang w:eastAsia="zh-CN"/>
              </w:rPr>
            </w:pPr>
            <w:r w:rsidRPr="009246D5">
              <w:rPr>
                <w:rFonts w:ascii="Times New Roman" w:eastAsia="Times New Roman" w:hAnsi="Times New Roman" w:cs="Times New Roman"/>
                <w:sz w:val="24"/>
                <w:szCs w:val="24"/>
                <w:lang w:eastAsia="zh-CN"/>
              </w:rPr>
              <w:t>384901,00 Eur</w:t>
            </w:r>
          </w:p>
          <w:p w14:paraId="1AE1A1F4" w14:textId="031A6CDF" w:rsidR="0078718C" w:rsidRPr="009246D5" w:rsidRDefault="009246D5" w:rsidP="003C7121">
            <w:pPr>
              <w:suppressAutoHyphens/>
              <w:spacing w:after="0" w:line="240" w:lineRule="auto"/>
              <w:jc w:val="center"/>
              <w:rPr>
                <w:rFonts w:ascii="Times New Roman" w:eastAsia="Times New Roman" w:hAnsi="Times New Roman" w:cs="Times New Roman"/>
                <w:i/>
                <w:sz w:val="24"/>
                <w:szCs w:val="24"/>
                <w:lang w:eastAsia="zh-CN"/>
              </w:rPr>
            </w:pPr>
            <w:r w:rsidRPr="009246D5">
              <w:rPr>
                <w:rStyle w:val="towords"/>
                <w:rFonts w:ascii="Times New Roman" w:hAnsi="Times New Roman" w:cs="Times New Roman"/>
                <w:sz w:val="24"/>
                <w:szCs w:val="24"/>
              </w:rPr>
              <w:t>Trys šimtai aštuoniasdešimt keturi tūkstančiai devyni šimtai vienas euras</w:t>
            </w:r>
          </w:p>
        </w:tc>
      </w:tr>
    </w:tbl>
    <w:p w14:paraId="1A866866" w14:textId="77777777" w:rsidR="0078718C" w:rsidRPr="00431A6F"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315FDF0E" w14:textId="10EE01F1" w:rsidR="00193F45" w:rsidRPr="00431A6F" w:rsidRDefault="00E82CE7" w:rsidP="00193F4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31A6F">
        <w:rPr>
          <w:rFonts w:ascii="Times New Roman" w:eastAsia="Times New Roman" w:hAnsi="Times New Roman" w:cs="Times New Roman"/>
          <w:kern w:val="2"/>
          <w:sz w:val="24"/>
          <w:szCs w:val="24"/>
          <w:lang w:eastAsia="ar-SA"/>
        </w:rPr>
        <w:t>3</w:t>
      </w:r>
      <w:r w:rsidR="0078718C" w:rsidRPr="00431A6F">
        <w:rPr>
          <w:rFonts w:ascii="Times New Roman" w:eastAsia="Times New Roman" w:hAnsi="Times New Roman" w:cs="Times New Roman"/>
          <w:kern w:val="2"/>
          <w:sz w:val="24"/>
          <w:szCs w:val="24"/>
          <w:lang w:eastAsia="ar-SA"/>
        </w:rPr>
        <w:t>.</w:t>
      </w:r>
      <w:r w:rsidR="00E97394">
        <w:rPr>
          <w:rFonts w:ascii="Times New Roman" w:eastAsia="Times New Roman" w:hAnsi="Times New Roman" w:cs="Times New Roman"/>
          <w:kern w:val="2"/>
          <w:sz w:val="24"/>
          <w:szCs w:val="24"/>
          <w:lang w:eastAsia="ar-SA"/>
        </w:rPr>
        <w:t>3</w:t>
      </w:r>
      <w:r w:rsidR="0078718C" w:rsidRPr="00431A6F">
        <w:rPr>
          <w:rFonts w:ascii="Times New Roman" w:eastAsia="Times New Roman" w:hAnsi="Times New Roman" w:cs="Times New Roman"/>
          <w:kern w:val="2"/>
          <w:sz w:val="24"/>
          <w:szCs w:val="24"/>
          <w:lang w:eastAsia="ar-SA"/>
        </w:rPr>
        <w:t>.1. Už Sutartyje numatytas Paslaugas mokama etapais:</w:t>
      </w:r>
      <w:r w:rsidR="00120587" w:rsidRPr="00431A6F">
        <w:rPr>
          <w:rFonts w:ascii="Times New Roman" w:eastAsia="Times New Roman" w:hAnsi="Times New Roman" w:cs="Times New Roman"/>
          <w:kern w:val="2"/>
          <w:sz w:val="24"/>
          <w:szCs w:val="24"/>
          <w:lang w:eastAsia="ar-SA"/>
        </w:rPr>
        <w:t xml:space="preserve"> </w:t>
      </w:r>
      <w:r w:rsidR="009179F9">
        <w:rPr>
          <w:rFonts w:ascii="Times New Roman" w:eastAsia="Times New Roman" w:hAnsi="Times New Roman" w:cs="Times New Roman"/>
          <w:kern w:val="2"/>
          <w:sz w:val="24"/>
          <w:szCs w:val="24"/>
          <w:lang w:eastAsia="ar-SA"/>
        </w:rPr>
        <w:t xml:space="preserve">avansinis, </w:t>
      </w:r>
      <w:r w:rsidR="00120587" w:rsidRPr="00431A6F">
        <w:rPr>
          <w:rFonts w:ascii="Times New Roman" w:eastAsia="Times New Roman" w:hAnsi="Times New Roman" w:cs="Times New Roman"/>
          <w:kern w:val="2"/>
          <w:sz w:val="24"/>
          <w:szCs w:val="24"/>
          <w:lang w:eastAsia="ar-SA"/>
        </w:rPr>
        <w:t>pirmas</w:t>
      </w:r>
      <w:r w:rsidR="006A1C98" w:rsidRPr="00431A6F">
        <w:rPr>
          <w:rFonts w:ascii="Times New Roman" w:eastAsia="Times New Roman" w:hAnsi="Times New Roman" w:cs="Times New Roman"/>
          <w:kern w:val="2"/>
          <w:sz w:val="24"/>
          <w:szCs w:val="24"/>
          <w:lang w:eastAsia="ar-SA"/>
        </w:rPr>
        <w:t>is</w:t>
      </w:r>
      <w:r w:rsidR="00120587" w:rsidRPr="00431A6F">
        <w:rPr>
          <w:rFonts w:ascii="Times New Roman" w:eastAsia="Times New Roman" w:hAnsi="Times New Roman" w:cs="Times New Roman"/>
          <w:kern w:val="2"/>
          <w:sz w:val="24"/>
          <w:szCs w:val="24"/>
          <w:lang w:eastAsia="ar-SA"/>
        </w:rPr>
        <w:t xml:space="preserve"> tarpinis, antras</w:t>
      </w:r>
      <w:r w:rsidR="006A1C98" w:rsidRPr="00431A6F">
        <w:rPr>
          <w:rFonts w:ascii="Times New Roman" w:eastAsia="Times New Roman" w:hAnsi="Times New Roman" w:cs="Times New Roman"/>
          <w:kern w:val="2"/>
          <w:sz w:val="24"/>
          <w:szCs w:val="24"/>
          <w:lang w:eastAsia="ar-SA"/>
        </w:rPr>
        <w:t>is</w:t>
      </w:r>
      <w:r w:rsidR="00120587" w:rsidRPr="00431A6F">
        <w:rPr>
          <w:rFonts w:ascii="Times New Roman" w:eastAsia="Times New Roman" w:hAnsi="Times New Roman" w:cs="Times New Roman"/>
          <w:kern w:val="2"/>
          <w:sz w:val="24"/>
          <w:szCs w:val="24"/>
          <w:lang w:eastAsia="ar-SA"/>
        </w:rPr>
        <w:t xml:space="preserve"> tarpinis</w:t>
      </w:r>
      <w:r w:rsidR="00193F45" w:rsidRPr="00431A6F">
        <w:rPr>
          <w:rFonts w:ascii="Times New Roman" w:eastAsia="Times New Roman" w:hAnsi="Times New Roman" w:cs="Times New Roman"/>
          <w:kern w:val="2"/>
          <w:sz w:val="24"/>
          <w:szCs w:val="24"/>
          <w:lang w:eastAsia="ar-SA"/>
        </w:rPr>
        <w:t xml:space="preserve"> ir galutinis mokėjimas:</w:t>
      </w:r>
    </w:p>
    <w:p w14:paraId="45FCF94C" w14:textId="392A42FC" w:rsidR="006B6258" w:rsidRDefault="00193F45" w:rsidP="006B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val="sv-SE" w:eastAsia="ar-SA"/>
        </w:rPr>
      </w:pPr>
      <w:r w:rsidRPr="00431A6F">
        <w:rPr>
          <w:rFonts w:ascii="Times New Roman" w:eastAsia="Times New Roman" w:hAnsi="Times New Roman" w:cs="Times New Roman"/>
          <w:kern w:val="2"/>
          <w:sz w:val="24"/>
          <w:szCs w:val="24"/>
          <w:lang w:eastAsia="ar-SA"/>
        </w:rPr>
        <w:t>3.</w:t>
      </w:r>
      <w:r w:rsidR="00E97394">
        <w:rPr>
          <w:rFonts w:ascii="Times New Roman" w:eastAsia="Times New Roman" w:hAnsi="Times New Roman" w:cs="Times New Roman"/>
          <w:kern w:val="2"/>
          <w:sz w:val="24"/>
          <w:szCs w:val="24"/>
          <w:lang w:eastAsia="ar-SA"/>
        </w:rPr>
        <w:t>3</w:t>
      </w:r>
      <w:r w:rsidRPr="00431A6F">
        <w:rPr>
          <w:rFonts w:ascii="Times New Roman" w:eastAsia="Times New Roman" w:hAnsi="Times New Roman" w:cs="Times New Roman"/>
          <w:kern w:val="2"/>
          <w:sz w:val="24"/>
          <w:szCs w:val="24"/>
          <w:lang w:eastAsia="ar-SA"/>
        </w:rPr>
        <w:t xml:space="preserve">.1.1. </w:t>
      </w:r>
      <w:r w:rsidR="007F02A2">
        <w:rPr>
          <w:rFonts w:ascii="Times New Roman" w:eastAsia="Times New Roman" w:hAnsi="Times New Roman" w:cs="Times New Roman"/>
          <w:kern w:val="2"/>
          <w:sz w:val="24"/>
          <w:szCs w:val="24"/>
          <w:lang w:eastAsia="ar-SA"/>
        </w:rPr>
        <w:t>avansinis</w:t>
      </w:r>
      <w:r w:rsidRPr="00431A6F">
        <w:rPr>
          <w:rFonts w:ascii="Times New Roman" w:eastAsia="Times New Roman" w:hAnsi="Times New Roman" w:cs="Times New Roman"/>
          <w:kern w:val="2"/>
          <w:sz w:val="24"/>
          <w:szCs w:val="24"/>
          <w:lang w:eastAsia="ar-SA"/>
        </w:rPr>
        <w:t xml:space="preserve"> mokėjimas – </w:t>
      </w:r>
      <w:r w:rsidR="00E4530B">
        <w:rPr>
          <w:rFonts w:ascii="Times New Roman" w:eastAsia="Times New Roman" w:hAnsi="Times New Roman" w:cs="Times New Roman"/>
          <w:kern w:val="2"/>
          <w:sz w:val="24"/>
          <w:szCs w:val="24"/>
          <w:lang w:eastAsia="ar-SA"/>
        </w:rPr>
        <w:t>1</w:t>
      </w:r>
      <w:r w:rsidR="0073772D">
        <w:rPr>
          <w:rFonts w:ascii="Times New Roman" w:eastAsia="Times New Roman" w:hAnsi="Times New Roman" w:cs="Times New Roman"/>
          <w:kern w:val="2"/>
          <w:sz w:val="24"/>
          <w:szCs w:val="24"/>
          <w:lang w:eastAsia="ar-SA"/>
        </w:rPr>
        <w:t>0</w:t>
      </w:r>
      <w:r w:rsidRPr="00431A6F">
        <w:rPr>
          <w:rFonts w:ascii="Times New Roman" w:eastAsia="Times New Roman" w:hAnsi="Times New Roman" w:cs="Times New Roman"/>
          <w:kern w:val="2"/>
          <w:sz w:val="24"/>
          <w:szCs w:val="24"/>
          <w:lang w:eastAsia="ar-SA"/>
        </w:rPr>
        <w:t xml:space="preserve"> procent</w:t>
      </w:r>
      <w:r w:rsidR="00E4530B">
        <w:rPr>
          <w:rFonts w:ascii="Times New Roman" w:eastAsia="Times New Roman" w:hAnsi="Times New Roman" w:cs="Times New Roman"/>
          <w:kern w:val="2"/>
          <w:sz w:val="24"/>
          <w:szCs w:val="24"/>
          <w:lang w:eastAsia="ar-SA"/>
        </w:rPr>
        <w:t>ų</w:t>
      </w:r>
      <w:r w:rsidRPr="00431A6F">
        <w:rPr>
          <w:rFonts w:ascii="Times New Roman" w:eastAsia="Times New Roman" w:hAnsi="Times New Roman" w:cs="Times New Roman"/>
          <w:kern w:val="2"/>
          <w:sz w:val="24"/>
          <w:szCs w:val="24"/>
          <w:lang w:eastAsia="ar-SA"/>
        </w:rPr>
        <w:t xml:space="preserve"> </w:t>
      </w:r>
      <w:r w:rsidR="002E47AE">
        <w:rPr>
          <w:rFonts w:ascii="Times New Roman" w:eastAsia="Times New Roman" w:hAnsi="Times New Roman" w:cs="Times New Roman"/>
          <w:kern w:val="2"/>
          <w:sz w:val="24"/>
          <w:szCs w:val="24"/>
          <w:lang w:eastAsia="ar-SA"/>
        </w:rPr>
        <w:t xml:space="preserve">nuo visos </w:t>
      </w:r>
      <w:r w:rsidRPr="00431A6F">
        <w:rPr>
          <w:rFonts w:ascii="Times New Roman" w:eastAsia="Times New Roman" w:hAnsi="Times New Roman" w:cs="Times New Roman"/>
          <w:kern w:val="2"/>
          <w:sz w:val="24"/>
          <w:szCs w:val="24"/>
          <w:lang w:eastAsia="ar-SA"/>
        </w:rPr>
        <w:t>Sutarties kainos</w:t>
      </w:r>
      <w:r w:rsidR="00D56BF0">
        <w:rPr>
          <w:rFonts w:ascii="Times New Roman" w:eastAsia="Times New Roman" w:hAnsi="Times New Roman" w:cs="Times New Roman"/>
          <w:kern w:val="2"/>
          <w:sz w:val="24"/>
          <w:szCs w:val="24"/>
          <w:lang w:eastAsia="ar-SA"/>
        </w:rPr>
        <w:t xml:space="preserve"> </w:t>
      </w:r>
      <w:r w:rsidR="00D56BF0" w:rsidRPr="00431A6F">
        <w:rPr>
          <w:rFonts w:ascii="Times New Roman" w:eastAsia="Times New Roman" w:hAnsi="Times New Roman" w:cs="Times New Roman"/>
          <w:kern w:val="2"/>
          <w:sz w:val="24"/>
          <w:szCs w:val="24"/>
          <w:lang w:eastAsia="ar-SA"/>
        </w:rPr>
        <w:t>atliekamas</w:t>
      </w:r>
      <w:r w:rsidRPr="00431A6F">
        <w:rPr>
          <w:rFonts w:ascii="Times New Roman" w:eastAsia="Times New Roman" w:hAnsi="Times New Roman" w:cs="Times New Roman"/>
          <w:kern w:val="2"/>
          <w:sz w:val="24"/>
          <w:szCs w:val="24"/>
          <w:lang w:eastAsia="ar-SA"/>
        </w:rPr>
        <w:t xml:space="preserve">, </w:t>
      </w:r>
      <w:r w:rsidR="00D56BF0">
        <w:rPr>
          <w:rFonts w:ascii="Times New Roman" w:eastAsia="Times New Roman" w:hAnsi="Times New Roman" w:cs="Times New Roman"/>
          <w:kern w:val="2"/>
          <w:sz w:val="24"/>
          <w:szCs w:val="24"/>
          <w:lang w:eastAsia="ar-SA"/>
        </w:rPr>
        <w:t xml:space="preserve">Teikėjui pateikus </w:t>
      </w:r>
      <w:r w:rsidR="00E4530B">
        <w:rPr>
          <w:rFonts w:ascii="Times New Roman" w:eastAsia="Times New Roman" w:hAnsi="Times New Roman" w:cs="Times New Roman"/>
          <w:kern w:val="2"/>
          <w:sz w:val="24"/>
          <w:szCs w:val="24"/>
          <w:lang w:eastAsia="ar-SA"/>
        </w:rPr>
        <w:t xml:space="preserve">įvadinę ataskaitą </w:t>
      </w:r>
      <w:r w:rsidR="00D56BF0">
        <w:rPr>
          <w:rFonts w:ascii="Times New Roman" w:eastAsia="Times New Roman" w:hAnsi="Times New Roman" w:cs="Times New Roman"/>
          <w:kern w:val="2"/>
          <w:sz w:val="24"/>
          <w:szCs w:val="24"/>
          <w:lang w:eastAsia="ar-SA"/>
        </w:rPr>
        <w:t xml:space="preserve">ir </w:t>
      </w:r>
      <w:r w:rsidR="00431A6F" w:rsidRPr="00431A6F">
        <w:rPr>
          <w:rFonts w:ascii="Times New Roman" w:eastAsia="Times New Roman" w:hAnsi="Times New Roman" w:cs="Times New Roman"/>
          <w:kern w:val="2"/>
          <w:sz w:val="24"/>
          <w:szCs w:val="24"/>
          <w:lang w:eastAsia="ar-SA"/>
        </w:rPr>
        <w:t xml:space="preserve">Užsakovui priėmus </w:t>
      </w:r>
      <w:r w:rsidR="00B3388F" w:rsidRPr="00296ACE">
        <w:rPr>
          <w:rFonts w:ascii="Times New Roman" w:hAnsi="Times New Roman" w:cs="Times New Roman"/>
          <w:bCs/>
          <w:kern w:val="2"/>
          <w:sz w:val="24"/>
          <w:szCs w:val="24"/>
          <w:lang w:eastAsia="ar-SA"/>
        </w:rPr>
        <w:t>lėšų, reikalingų pradėti vykdyti viešojo pirkimo paslaugų sutartį, pagrindimą, kuriame būtų nurodomas reikalingų lėšų dydis ir lėšų panaudojimo tikslas, Teikėjui pateikus avansinio apmokėjimo sąskaitą faktūrą kartu su avansinio mokėjimo grąžinimo užtikrinimu. Avansas įskaitomas už Teikėjo suteiktas paslaugas, Užsakovui priėmus Teikėjo galutinę ataskaitą pagal paslaugų perdavimo priėmimo aktą ir jį pasirašius</w:t>
      </w:r>
      <w:r w:rsidR="00B3388F" w:rsidRPr="00296ACE">
        <w:rPr>
          <w:bCs/>
          <w:kern w:val="2"/>
          <w:lang w:eastAsia="ar-SA"/>
        </w:rPr>
        <w:t>;</w:t>
      </w:r>
    </w:p>
    <w:p w14:paraId="14F4B0F4" w14:textId="60932347" w:rsidR="006A1C98" w:rsidRDefault="006A1C98" w:rsidP="006A1C98">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31A6F">
        <w:rPr>
          <w:rFonts w:ascii="Times New Roman" w:eastAsia="Times New Roman" w:hAnsi="Times New Roman" w:cs="Times New Roman"/>
          <w:kern w:val="2"/>
          <w:sz w:val="24"/>
          <w:szCs w:val="24"/>
          <w:lang w:eastAsia="ar-SA"/>
        </w:rPr>
        <w:t>3.</w:t>
      </w:r>
      <w:r w:rsidR="00E97394">
        <w:rPr>
          <w:rFonts w:ascii="Times New Roman" w:eastAsia="Times New Roman" w:hAnsi="Times New Roman" w:cs="Times New Roman"/>
          <w:kern w:val="2"/>
          <w:sz w:val="24"/>
          <w:szCs w:val="24"/>
          <w:lang w:eastAsia="ar-SA"/>
        </w:rPr>
        <w:t>3</w:t>
      </w:r>
      <w:r w:rsidRPr="00431A6F">
        <w:rPr>
          <w:rFonts w:ascii="Times New Roman" w:eastAsia="Times New Roman" w:hAnsi="Times New Roman" w:cs="Times New Roman"/>
          <w:kern w:val="2"/>
          <w:sz w:val="24"/>
          <w:szCs w:val="24"/>
          <w:lang w:eastAsia="ar-SA"/>
        </w:rPr>
        <w:t>.1.2</w:t>
      </w:r>
      <w:r w:rsidR="009179F9">
        <w:rPr>
          <w:rFonts w:ascii="Times New Roman" w:eastAsia="Times New Roman" w:hAnsi="Times New Roman" w:cs="Times New Roman"/>
          <w:kern w:val="2"/>
          <w:sz w:val="24"/>
          <w:szCs w:val="24"/>
          <w:lang w:eastAsia="ar-SA"/>
        </w:rPr>
        <w:t>. pirmasis</w:t>
      </w:r>
      <w:r w:rsidRPr="00431A6F">
        <w:rPr>
          <w:rFonts w:ascii="Times New Roman" w:eastAsia="Times New Roman" w:hAnsi="Times New Roman" w:cs="Times New Roman"/>
          <w:kern w:val="2"/>
          <w:sz w:val="24"/>
          <w:szCs w:val="24"/>
          <w:lang w:eastAsia="ar-SA"/>
        </w:rPr>
        <w:t xml:space="preserve"> tarpinis mokėjimas – </w:t>
      </w:r>
      <w:r w:rsidR="0073772D">
        <w:rPr>
          <w:rFonts w:ascii="Times New Roman" w:eastAsia="Times New Roman" w:hAnsi="Times New Roman" w:cs="Times New Roman"/>
          <w:kern w:val="2"/>
          <w:sz w:val="24"/>
          <w:szCs w:val="24"/>
          <w:lang w:eastAsia="ar-SA"/>
        </w:rPr>
        <w:t>5</w:t>
      </w:r>
      <w:r w:rsidR="00E4530B">
        <w:rPr>
          <w:rFonts w:ascii="Times New Roman" w:eastAsia="Times New Roman" w:hAnsi="Times New Roman" w:cs="Times New Roman"/>
          <w:kern w:val="2"/>
          <w:sz w:val="24"/>
          <w:szCs w:val="24"/>
          <w:lang w:eastAsia="ar-SA"/>
        </w:rPr>
        <w:t>0</w:t>
      </w:r>
      <w:r w:rsidRPr="00431A6F">
        <w:rPr>
          <w:rFonts w:ascii="Times New Roman" w:eastAsia="Times New Roman" w:hAnsi="Times New Roman" w:cs="Times New Roman"/>
          <w:kern w:val="2"/>
          <w:sz w:val="24"/>
          <w:szCs w:val="24"/>
          <w:lang w:eastAsia="ar-SA"/>
        </w:rPr>
        <w:t xml:space="preserve"> procent</w:t>
      </w:r>
      <w:r w:rsidR="00E4530B">
        <w:rPr>
          <w:rFonts w:ascii="Times New Roman" w:eastAsia="Times New Roman" w:hAnsi="Times New Roman" w:cs="Times New Roman"/>
          <w:kern w:val="2"/>
          <w:sz w:val="24"/>
          <w:szCs w:val="24"/>
          <w:lang w:eastAsia="ar-SA"/>
        </w:rPr>
        <w:t>ų</w:t>
      </w:r>
      <w:r w:rsidRPr="00431A6F">
        <w:rPr>
          <w:rFonts w:ascii="Times New Roman" w:eastAsia="Times New Roman" w:hAnsi="Times New Roman" w:cs="Times New Roman"/>
          <w:kern w:val="2"/>
          <w:sz w:val="24"/>
          <w:szCs w:val="24"/>
          <w:lang w:eastAsia="ar-SA"/>
        </w:rPr>
        <w:t xml:space="preserve"> </w:t>
      </w:r>
      <w:r w:rsidR="002E47AE">
        <w:rPr>
          <w:rFonts w:ascii="Times New Roman" w:eastAsia="Times New Roman" w:hAnsi="Times New Roman" w:cs="Times New Roman"/>
          <w:kern w:val="2"/>
          <w:sz w:val="24"/>
          <w:szCs w:val="24"/>
          <w:lang w:eastAsia="ar-SA"/>
        </w:rPr>
        <w:t xml:space="preserve">nuo visos </w:t>
      </w:r>
      <w:r w:rsidRPr="00431A6F">
        <w:rPr>
          <w:rFonts w:ascii="Times New Roman" w:eastAsia="Times New Roman" w:hAnsi="Times New Roman" w:cs="Times New Roman"/>
          <w:kern w:val="2"/>
          <w:sz w:val="24"/>
          <w:szCs w:val="24"/>
          <w:lang w:eastAsia="ar-SA"/>
        </w:rPr>
        <w:t>Sutarties kainos</w:t>
      </w:r>
      <w:r w:rsidR="002B0E36">
        <w:rPr>
          <w:rFonts w:ascii="Times New Roman" w:eastAsia="Times New Roman" w:hAnsi="Times New Roman" w:cs="Times New Roman"/>
          <w:kern w:val="2"/>
          <w:sz w:val="24"/>
          <w:szCs w:val="24"/>
          <w:lang w:eastAsia="ar-SA"/>
        </w:rPr>
        <w:t xml:space="preserve"> atliekamas</w:t>
      </w:r>
      <w:r w:rsidRPr="00431A6F">
        <w:rPr>
          <w:rFonts w:ascii="Times New Roman" w:eastAsia="Times New Roman" w:hAnsi="Times New Roman" w:cs="Times New Roman"/>
          <w:kern w:val="2"/>
          <w:sz w:val="24"/>
          <w:szCs w:val="24"/>
          <w:lang w:eastAsia="ar-SA"/>
        </w:rPr>
        <w:t>, Teikėjui pateikus pirmąją tarpinę ataskaitą ir Užsakovui priėmus nurodytą ataskaitą pagal paslaugų perdavimo-priėmimo aktą</w:t>
      </w:r>
      <w:r w:rsidR="00DE2B8D" w:rsidRPr="00431A6F">
        <w:rPr>
          <w:rFonts w:ascii="Times New Roman" w:eastAsia="Times New Roman" w:hAnsi="Times New Roman" w:cs="Times New Roman"/>
          <w:kern w:val="2"/>
          <w:sz w:val="24"/>
          <w:szCs w:val="24"/>
          <w:lang w:eastAsia="ar-SA"/>
        </w:rPr>
        <w:t>;</w:t>
      </w:r>
    </w:p>
    <w:p w14:paraId="0A353A0A" w14:textId="2056FBBE" w:rsidR="006A1C98" w:rsidRPr="00431A6F" w:rsidRDefault="006A1C98" w:rsidP="006A1C98">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31A6F">
        <w:rPr>
          <w:rFonts w:ascii="Times New Roman" w:eastAsia="Times New Roman" w:hAnsi="Times New Roman" w:cs="Times New Roman"/>
          <w:kern w:val="2"/>
          <w:sz w:val="24"/>
          <w:szCs w:val="24"/>
          <w:lang w:eastAsia="ar-SA"/>
        </w:rPr>
        <w:t>3.</w:t>
      </w:r>
      <w:r w:rsidR="00E97394">
        <w:rPr>
          <w:rFonts w:ascii="Times New Roman" w:eastAsia="Times New Roman" w:hAnsi="Times New Roman" w:cs="Times New Roman"/>
          <w:kern w:val="2"/>
          <w:sz w:val="24"/>
          <w:szCs w:val="24"/>
          <w:lang w:eastAsia="ar-SA"/>
        </w:rPr>
        <w:t>3</w:t>
      </w:r>
      <w:r w:rsidRPr="00431A6F">
        <w:rPr>
          <w:rFonts w:ascii="Times New Roman" w:eastAsia="Times New Roman" w:hAnsi="Times New Roman" w:cs="Times New Roman"/>
          <w:kern w:val="2"/>
          <w:sz w:val="24"/>
          <w:szCs w:val="24"/>
          <w:lang w:eastAsia="ar-SA"/>
        </w:rPr>
        <w:t xml:space="preserve">.1.3. </w:t>
      </w:r>
      <w:r w:rsidR="009179F9">
        <w:rPr>
          <w:rFonts w:ascii="Times New Roman" w:eastAsia="Times New Roman" w:hAnsi="Times New Roman" w:cs="Times New Roman"/>
          <w:kern w:val="2"/>
          <w:sz w:val="24"/>
          <w:szCs w:val="24"/>
          <w:lang w:eastAsia="ar-SA"/>
        </w:rPr>
        <w:t>antrasis</w:t>
      </w:r>
      <w:r w:rsidR="00AA0437" w:rsidRPr="00431A6F">
        <w:rPr>
          <w:rFonts w:ascii="Times New Roman" w:eastAsia="Times New Roman" w:hAnsi="Times New Roman" w:cs="Times New Roman"/>
          <w:kern w:val="2"/>
          <w:sz w:val="24"/>
          <w:szCs w:val="24"/>
          <w:lang w:eastAsia="ar-SA"/>
        </w:rPr>
        <w:t xml:space="preserve"> tarpinis</w:t>
      </w:r>
      <w:r w:rsidRPr="00431A6F">
        <w:rPr>
          <w:rFonts w:ascii="Times New Roman" w:eastAsia="Times New Roman" w:hAnsi="Times New Roman" w:cs="Times New Roman"/>
          <w:kern w:val="2"/>
          <w:sz w:val="24"/>
          <w:szCs w:val="24"/>
          <w:lang w:eastAsia="ar-SA"/>
        </w:rPr>
        <w:t xml:space="preserve"> mokėjimas – </w:t>
      </w:r>
      <w:r w:rsidR="0073772D">
        <w:rPr>
          <w:rFonts w:ascii="Times New Roman" w:eastAsia="Times New Roman" w:hAnsi="Times New Roman" w:cs="Times New Roman"/>
          <w:kern w:val="2"/>
          <w:sz w:val="24"/>
          <w:szCs w:val="24"/>
          <w:lang w:eastAsia="ar-SA"/>
        </w:rPr>
        <w:t>2</w:t>
      </w:r>
      <w:r w:rsidR="00E4530B">
        <w:rPr>
          <w:rFonts w:ascii="Times New Roman" w:eastAsia="Times New Roman" w:hAnsi="Times New Roman" w:cs="Times New Roman"/>
          <w:kern w:val="2"/>
          <w:sz w:val="24"/>
          <w:szCs w:val="24"/>
          <w:lang w:eastAsia="ar-SA"/>
        </w:rPr>
        <w:t>5</w:t>
      </w:r>
      <w:r w:rsidRPr="00431A6F">
        <w:rPr>
          <w:rFonts w:ascii="Times New Roman" w:eastAsia="Times New Roman" w:hAnsi="Times New Roman" w:cs="Times New Roman"/>
          <w:kern w:val="2"/>
          <w:sz w:val="24"/>
          <w:szCs w:val="24"/>
          <w:lang w:eastAsia="ar-SA"/>
        </w:rPr>
        <w:t xml:space="preserve"> procent</w:t>
      </w:r>
      <w:r w:rsidR="00E4530B">
        <w:rPr>
          <w:rFonts w:ascii="Times New Roman" w:eastAsia="Times New Roman" w:hAnsi="Times New Roman" w:cs="Times New Roman"/>
          <w:kern w:val="2"/>
          <w:sz w:val="24"/>
          <w:szCs w:val="24"/>
          <w:lang w:eastAsia="ar-SA"/>
        </w:rPr>
        <w:t>ų</w:t>
      </w:r>
      <w:r w:rsidRPr="00431A6F">
        <w:rPr>
          <w:rFonts w:ascii="Times New Roman" w:eastAsia="Times New Roman" w:hAnsi="Times New Roman" w:cs="Times New Roman"/>
          <w:kern w:val="2"/>
          <w:sz w:val="24"/>
          <w:szCs w:val="24"/>
          <w:lang w:eastAsia="ar-SA"/>
        </w:rPr>
        <w:t xml:space="preserve"> </w:t>
      </w:r>
      <w:r w:rsidR="002E47AE">
        <w:rPr>
          <w:rFonts w:ascii="Times New Roman" w:eastAsia="Times New Roman" w:hAnsi="Times New Roman" w:cs="Times New Roman"/>
          <w:kern w:val="2"/>
          <w:sz w:val="24"/>
          <w:szCs w:val="24"/>
          <w:lang w:eastAsia="ar-SA"/>
        </w:rPr>
        <w:t xml:space="preserve">nuo viso </w:t>
      </w:r>
      <w:r w:rsidRPr="00431A6F">
        <w:rPr>
          <w:rFonts w:ascii="Times New Roman" w:eastAsia="Times New Roman" w:hAnsi="Times New Roman" w:cs="Times New Roman"/>
          <w:kern w:val="2"/>
          <w:sz w:val="24"/>
          <w:szCs w:val="24"/>
          <w:lang w:eastAsia="ar-SA"/>
        </w:rPr>
        <w:t>Sutarties kainos</w:t>
      </w:r>
      <w:r w:rsidR="002B0E36">
        <w:rPr>
          <w:rFonts w:ascii="Times New Roman" w:eastAsia="Times New Roman" w:hAnsi="Times New Roman" w:cs="Times New Roman"/>
          <w:kern w:val="2"/>
          <w:sz w:val="24"/>
          <w:szCs w:val="24"/>
          <w:lang w:eastAsia="ar-SA"/>
        </w:rPr>
        <w:t xml:space="preserve"> atliekamas</w:t>
      </w:r>
      <w:r w:rsidRPr="00431A6F">
        <w:rPr>
          <w:rFonts w:ascii="Times New Roman" w:eastAsia="Times New Roman" w:hAnsi="Times New Roman" w:cs="Times New Roman"/>
          <w:kern w:val="2"/>
          <w:sz w:val="24"/>
          <w:szCs w:val="24"/>
          <w:lang w:eastAsia="ar-SA"/>
        </w:rPr>
        <w:t>, Teikėjui pateikus</w:t>
      </w:r>
      <w:r w:rsidR="00563A6F" w:rsidRPr="00431A6F">
        <w:rPr>
          <w:rFonts w:ascii="Times New Roman" w:eastAsia="Times New Roman" w:hAnsi="Times New Roman" w:cs="Times New Roman"/>
          <w:kern w:val="2"/>
          <w:sz w:val="24"/>
          <w:szCs w:val="24"/>
          <w:lang w:eastAsia="ar-SA"/>
        </w:rPr>
        <w:t xml:space="preserve"> </w:t>
      </w:r>
      <w:r w:rsidR="0073772D">
        <w:rPr>
          <w:rFonts w:ascii="Times New Roman" w:eastAsia="Times New Roman" w:hAnsi="Times New Roman" w:cs="Times New Roman"/>
          <w:kern w:val="2"/>
          <w:sz w:val="24"/>
          <w:szCs w:val="24"/>
          <w:lang w:eastAsia="ar-SA"/>
        </w:rPr>
        <w:t>antrąją</w:t>
      </w:r>
      <w:r w:rsidR="00E4530B">
        <w:rPr>
          <w:rFonts w:ascii="Times New Roman" w:eastAsia="Times New Roman" w:hAnsi="Times New Roman" w:cs="Times New Roman"/>
          <w:kern w:val="2"/>
          <w:sz w:val="24"/>
          <w:szCs w:val="24"/>
          <w:lang w:eastAsia="ar-SA"/>
        </w:rPr>
        <w:t xml:space="preserve"> </w:t>
      </w:r>
      <w:r w:rsidR="00563A6F" w:rsidRPr="00431A6F">
        <w:rPr>
          <w:rFonts w:ascii="Times New Roman" w:eastAsia="Times New Roman" w:hAnsi="Times New Roman" w:cs="Times New Roman"/>
          <w:kern w:val="2"/>
          <w:sz w:val="24"/>
          <w:szCs w:val="24"/>
          <w:lang w:eastAsia="ar-SA"/>
        </w:rPr>
        <w:t xml:space="preserve">tarpinę </w:t>
      </w:r>
      <w:r w:rsidRPr="00431A6F">
        <w:rPr>
          <w:rFonts w:ascii="Times New Roman" w:eastAsia="Times New Roman" w:hAnsi="Times New Roman" w:cs="Times New Roman"/>
          <w:kern w:val="2"/>
          <w:sz w:val="24"/>
          <w:szCs w:val="24"/>
          <w:lang w:eastAsia="ar-SA"/>
        </w:rPr>
        <w:t>ataskaitą</w:t>
      </w:r>
      <w:r w:rsidR="002E47AE">
        <w:rPr>
          <w:rFonts w:ascii="Times New Roman" w:eastAsia="Times New Roman" w:hAnsi="Times New Roman" w:cs="Times New Roman"/>
          <w:kern w:val="2"/>
          <w:sz w:val="24"/>
          <w:szCs w:val="24"/>
          <w:lang w:eastAsia="ar-SA"/>
        </w:rPr>
        <w:t xml:space="preserve"> </w:t>
      </w:r>
      <w:r w:rsidRPr="00431A6F">
        <w:rPr>
          <w:rFonts w:ascii="Times New Roman" w:eastAsia="Times New Roman" w:hAnsi="Times New Roman" w:cs="Times New Roman"/>
          <w:kern w:val="2"/>
          <w:sz w:val="24"/>
          <w:szCs w:val="24"/>
          <w:lang w:eastAsia="ar-SA"/>
        </w:rPr>
        <w:t>ir Užsakovui priėmus nurodytą ataskaitą pagal paslaugų perdavimo-priėmimo aktą</w:t>
      </w:r>
      <w:r w:rsidR="00DE2B8D" w:rsidRPr="00431A6F">
        <w:rPr>
          <w:rFonts w:ascii="Times New Roman" w:eastAsia="Times New Roman" w:hAnsi="Times New Roman" w:cs="Times New Roman"/>
          <w:kern w:val="2"/>
          <w:sz w:val="24"/>
          <w:szCs w:val="24"/>
          <w:lang w:eastAsia="ar-SA"/>
        </w:rPr>
        <w:t>;</w:t>
      </w:r>
    </w:p>
    <w:p w14:paraId="3E072CCD" w14:textId="0E9D3DEA" w:rsidR="00D112D6" w:rsidRDefault="00B72BFC"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31A6F">
        <w:rPr>
          <w:rFonts w:ascii="Times New Roman" w:eastAsia="Times New Roman" w:hAnsi="Times New Roman" w:cs="Times New Roman"/>
          <w:kern w:val="2"/>
          <w:sz w:val="24"/>
          <w:szCs w:val="24"/>
          <w:lang w:eastAsia="ar-SA"/>
        </w:rPr>
        <w:t>3.</w:t>
      </w:r>
      <w:r w:rsidR="00E97394">
        <w:rPr>
          <w:rFonts w:ascii="Times New Roman" w:eastAsia="Times New Roman" w:hAnsi="Times New Roman" w:cs="Times New Roman"/>
          <w:kern w:val="2"/>
          <w:sz w:val="24"/>
          <w:szCs w:val="24"/>
          <w:lang w:eastAsia="ar-SA"/>
        </w:rPr>
        <w:t>3</w:t>
      </w:r>
      <w:r w:rsidRPr="00431A6F">
        <w:rPr>
          <w:rFonts w:ascii="Times New Roman" w:eastAsia="Times New Roman" w:hAnsi="Times New Roman" w:cs="Times New Roman"/>
          <w:kern w:val="2"/>
          <w:sz w:val="24"/>
          <w:szCs w:val="24"/>
          <w:lang w:eastAsia="ar-SA"/>
        </w:rPr>
        <w:t>.1.</w:t>
      </w:r>
      <w:r w:rsidR="006A1C98" w:rsidRPr="00431A6F">
        <w:rPr>
          <w:rFonts w:ascii="Times New Roman" w:eastAsia="Times New Roman" w:hAnsi="Times New Roman" w:cs="Times New Roman"/>
          <w:kern w:val="2"/>
          <w:sz w:val="24"/>
          <w:szCs w:val="24"/>
          <w:lang w:eastAsia="ar-SA"/>
        </w:rPr>
        <w:t>4</w:t>
      </w:r>
      <w:r w:rsidR="00193F45" w:rsidRPr="00431A6F">
        <w:rPr>
          <w:rFonts w:ascii="Times New Roman" w:eastAsia="Times New Roman" w:hAnsi="Times New Roman" w:cs="Times New Roman"/>
          <w:kern w:val="2"/>
          <w:sz w:val="24"/>
          <w:szCs w:val="24"/>
          <w:lang w:eastAsia="ar-SA"/>
        </w:rPr>
        <w:t xml:space="preserve">. galutinis mokėjimas – </w:t>
      </w:r>
      <w:r w:rsidR="0073772D">
        <w:rPr>
          <w:rFonts w:ascii="Times New Roman" w:eastAsia="Times New Roman" w:hAnsi="Times New Roman" w:cs="Times New Roman"/>
          <w:kern w:val="2"/>
          <w:sz w:val="24"/>
          <w:szCs w:val="24"/>
          <w:lang w:eastAsia="ar-SA"/>
        </w:rPr>
        <w:t>15</w:t>
      </w:r>
      <w:r w:rsidR="00193F45" w:rsidRPr="00431A6F">
        <w:rPr>
          <w:rFonts w:ascii="Times New Roman" w:eastAsia="Times New Roman" w:hAnsi="Times New Roman" w:cs="Times New Roman"/>
          <w:kern w:val="2"/>
          <w:sz w:val="24"/>
          <w:szCs w:val="24"/>
          <w:lang w:eastAsia="ar-SA"/>
        </w:rPr>
        <w:t xml:space="preserve"> procent</w:t>
      </w:r>
      <w:r w:rsidR="00E4530B">
        <w:rPr>
          <w:rFonts w:ascii="Times New Roman" w:eastAsia="Times New Roman" w:hAnsi="Times New Roman" w:cs="Times New Roman"/>
          <w:kern w:val="2"/>
          <w:sz w:val="24"/>
          <w:szCs w:val="24"/>
          <w:lang w:eastAsia="ar-SA"/>
        </w:rPr>
        <w:t>ų</w:t>
      </w:r>
      <w:r w:rsidR="00193F45" w:rsidRPr="00431A6F">
        <w:rPr>
          <w:rFonts w:ascii="Times New Roman" w:eastAsia="Times New Roman" w:hAnsi="Times New Roman" w:cs="Times New Roman"/>
          <w:kern w:val="2"/>
          <w:sz w:val="24"/>
          <w:szCs w:val="24"/>
          <w:lang w:eastAsia="ar-SA"/>
        </w:rPr>
        <w:t xml:space="preserve"> </w:t>
      </w:r>
      <w:r w:rsidR="002E47AE">
        <w:rPr>
          <w:rFonts w:ascii="Times New Roman" w:eastAsia="Times New Roman" w:hAnsi="Times New Roman" w:cs="Times New Roman"/>
          <w:kern w:val="2"/>
          <w:sz w:val="24"/>
          <w:szCs w:val="24"/>
          <w:lang w:eastAsia="ar-SA"/>
        </w:rPr>
        <w:t xml:space="preserve">nuo visos </w:t>
      </w:r>
      <w:r w:rsidR="00193F45" w:rsidRPr="00431A6F">
        <w:rPr>
          <w:rFonts w:ascii="Times New Roman" w:eastAsia="Times New Roman" w:hAnsi="Times New Roman" w:cs="Times New Roman"/>
          <w:kern w:val="2"/>
          <w:sz w:val="24"/>
          <w:szCs w:val="24"/>
          <w:lang w:eastAsia="ar-SA"/>
        </w:rPr>
        <w:t>Sutarties kainos</w:t>
      </w:r>
      <w:r w:rsidR="002B0E36">
        <w:rPr>
          <w:rFonts w:ascii="Times New Roman" w:eastAsia="Times New Roman" w:hAnsi="Times New Roman" w:cs="Times New Roman"/>
          <w:kern w:val="2"/>
          <w:sz w:val="24"/>
          <w:szCs w:val="24"/>
          <w:lang w:eastAsia="ar-SA"/>
        </w:rPr>
        <w:t xml:space="preserve"> atliekamas</w:t>
      </w:r>
      <w:r w:rsidR="00193F45" w:rsidRPr="00431A6F">
        <w:rPr>
          <w:rFonts w:ascii="Times New Roman" w:eastAsia="Times New Roman" w:hAnsi="Times New Roman" w:cs="Times New Roman"/>
          <w:kern w:val="2"/>
          <w:sz w:val="24"/>
          <w:szCs w:val="24"/>
          <w:lang w:eastAsia="ar-SA"/>
        </w:rPr>
        <w:t>, Teikėjui pateikus galutinę ataskaitą</w:t>
      </w:r>
      <w:r w:rsidR="00D112D6">
        <w:rPr>
          <w:rFonts w:ascii="Times New Roman" w:eastAsia="Times New Roman" w:hAnsi="Times New Roman" w:cs="Times New Roman"/>
          <w:kern w:val="2"/>
          <w:sz w:val="24"/>
          <w:szCs w:val="24"/>
          <w:lang w:eastAsia="ar-SA"/>
        </w:rPr>
        <w:t xml:space="preserve"> </w:t>
      </w:r>
      <w:r w:rsidR="00193F45" w:rsidRPr="00431A6F">
        <w:rPr>
          <w:rFonts w:ascii="Times New Roman" w:eastAsia="Times New Roman" w:hAnsi="Times New Roman" w:cs="Times New Roman"/>
          <w:kern w:val="2"/>
          <w:sz w:val="24"/>
          <w:szCs w:val="24"/>
          <w:lang w:eastAsia="ar-SA"/>
        </w:rPr>
        <w:t xml:space="preserve">ir </w:t>
      </w:r>
      <w:r w:rsidR="00921D97" w:rsidRPr="00431A6F">
        <w:rPr>
          <w:rFonts w:ascii="Times New Roman" w:eastAsia="Times New Roman" w:hAnsi="Times New Roman" w:cs="Times New Roman"/>
          <w:kern w:val="2"/>
          <w:sz w:val="24"/>
          <w:szCs w:val="24"/>
          <w:lang w:eastAsia="ar-SA"/>
        </w:rPr>
        <w:t xml:space="preserve">Užsakovui </w:t>
      </w:r>
      <w:r w:rsidR="00193F45" w:rsidRPr="00431A6F">
        <w:rPr>
          <w:rFonts w:ascii="Times New Roman" w:eastAsia="Times New Roman" w:hAnsi="Times New Roman" w:cs="Times New Roman"/>
          <w:kern w:val="2"/>
          <w:sz w:val="24"/>
          <w:szCs w:val="24"/>
          <w:lang w:eastAsia="ar-SA"/>
        </w:rPr>
        <w:t>priėmus nurodytą ataskaitą</w:t>
      </w:r>
      <w:r w:rsidR="00193F45" w:rsidRPr="00193F45">
        <w:rPr>
          <w:rFonts w:ascii="Times New Roman" w:eastAsia="Times New Roman" w:hAnsi="Times New Roman" w:cs="Times New Roman"/>
          <w:kern w:val="2"/>
          <w:sz w:val="24"/>
          <w:szCs w:val="24"/>
          <w:lang w:eastAsia="ar-SA"/>
        </w:rPr>
        <w:t xml:space="preserve"> pagal paslaugų perdavimo-priėmimo aktą</w:t>
      </w:r>
      <w:r w:rsidR="00CB317E">
        <w:rPr>
          <w:rFonts w:ascii="Times New Roman" w:eastAsia="Times New Roman" w:hAnsi="Times New Roman" w:cs="Times New Roman"/>
          <w:kern w:val="2"/>
          <w:sz w:val="24"/>
          <w:szCs w:val="24"/>
          <w:lang w:eastAsia="ar-SA"/>
        </w:rPr>
        <w:t>.</w:t>
      </w:r>
      <w:r w:rsidR="00193F45" w:rsidRPr="00193F45">
        <w:rPr>
          <w:rFonts w:ascii="Times New Roman" w:eastAsia="Times New Roman" w:hAnsi="Times New Roman" w:cs="Times New Roman"/>
          <w:kern w:val="2"/>
          <w:sz w:val="24"/>
          <w:szCs w:val="24"/>
          <w:lang w:eastAsia="ar-SA"/>
        </w:rPr>
        <w:t xml:space="preserve"> </w:t>
      </w:r>
    </w:p>
    <w:p w14:paraId="21314BCB" w14:textId="762C84E5" w:rsidR="0078718C" w:rsidRPr="005153DD" w:rsidRDefault="00E82CE7"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w:t>
      </w:r>
      <w:r w:rsidR="00E97394">
        <w:rPr>
          <w:rFonts w:ascii="Times New Roman" w:eastAsia="Times New Roman" w:hAnsi="Times New Roman" w:cs="Times New Roman"/>
          <w:kern w:val="2"/>
          <w:sz w:val="24"/>
          <w:szCs w:val="24"/>
          <w:lang w:eastAsia="ar-SA"/>
        </w:rPr>
        <w:t>4</w:t>
      </w:r>
      <w:r w:rsidR="0078718C" w:rsidRPr="005153DD">
        <w:rPr>
          <w:rFonts w:ascii="Times New Roman" w:eastAsia="Times New Roman" w:hAnsi="Times New Roman" w:cs="Times New Roman"/>
          <w:kern w:val="2"/>
          <w:sz w:val="24"/>
          <w:szCs w:val="24"/>
          <w:lang w:eastAsia="ar-SA"/>
        </w:rPr>
        <w:t xml:space="preserve">. Jei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w:t>
      </w:r>
      <w:r w:rsidR="0078718C">
        <w:rPr>
          <w:rFonts w:ascii="Times New Roman" w:eastAsia="Times New Roman" w:hAnsi="Times New Roman" w:cs="Times New Roman"/>
          <w:kern w:val="2"/>
          <w:sz w:val="24"/>
          <w:szCs w:val="24"/>
          <w:lang w:eastAsia="ar-SA"/>
        </w:rPr>
        <w:t xml:space="preserve">Sutarties </w:t>
      </w:r>
      <w:r w:rsidR="0078718C" w:rsidRPr="005153DD">
        <w:rPr>
          <w:rFonts w:ascii="Times New Roman" w:eastAsia="Times New Roman" w:hAnsi="Times New Roman" w:cs="Times New Roman"/>
          <w:kern w:val="2"/>
          <w:sz w:val="24"/>
          <w:szCs w:val="24"/>
          <w:lang w:eastAsia="ar-SA"/>
        </w:rPr>
        <w:t xml:space="preserve">suma skaičiais neatitinka sumos žodžiais, teisinga laikoma suma žodžiais. </w:t>
      </w:r>
    </w:p>
    <w:p w14:paraId="7B357034" w14:textId="21D9FAF6" w:rsidR="002D458B" w:rsidRPr="005153DD" w:rsidRDefault="00E82CE7" w:rsidP="00E52AA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w:t>
      </w:r>
      <w:r w:rsidR="00E97394">
        <w:rPr>
          <w:rFonts w:ascii="Times New Roman" w:eastAsia="Times New Roman" w:hAnsi="Times New Roman" w:cs="Times New Roman"/>
          <w:kern w:val="2"/>
          <w:sz w:val="24"/>
          <w:szCs w:val="24"/>
          <w:lang w:eastAsia="ar-SA"/>
        </w:rPr>
        <w:t>5</w:t>
      </w:r>
      <w:r w:rsidR="0078718C" w:rsidRPr="005153DD">
        <w:rPr>
          <w:rFonts w:ascii="Times New Roman" w:eastAsia="Times New Roman" w:hAnsi="Times New Roman" w:cs="Times New Roman"/>
          <w:kern w:val="2"/>
          <w:sz w:val="24"/>
          <w:szCs w:val="24"/>
          <w:lang w:eastAsia="ar-SA"/>
        </w:rPr>
        <w:t xml:space="preserve">. Šios Sutarties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bendra Sutarties kaina yra vienintelis </w:t>
      </w:r>
      <w:r w:rsidR="00BE7CA4">
        <w:rPr>
          <w:rFonts w:ascii="Times New Roman" w:eastAsia="Times New Roman" w:hAnsi="Times New Roman" w:cs="Times New Roman"/>
          <w:kern w:val="2"/>
          <w:sz w:val="24"/>
          <w:szCs w:val="24"/>
          <w:lang w:eastAsia="ar-SA"/>
        </w:rPr>
        <w:t>Užsakovo</w:t>
      </w:r>
      <w:r w:rsidR="0078718C" w:rsidRPr="005153DD">
        <w:rPr>
          <w:rFonts w:ascii="Times New Roman" w:eastAsia="Times New Roman" w:hAnsi="Times New Roman" w:cs="Times New Roman"/>
          <w:kern w:val="2"/>
          <w:sz w:val="24"/>
          <w:szCs w:val="24"/>
          <w:lang w:eastAsia="ar-SA"/>
        </w:rPr>
        <w:t xml:space="preserve"> mokėtinas maksimalus atlyginimas T</w:t>
      </w:r>
      <w:r w:rsidR="004F1E62">
        <w:rPr>
          <w:rFonts w:ascii="Times New Roman" w:eastAsia="Times New Roman" w:hAnsi="Times New Roman" w:cs="Times New Roman"/>
          <w:kern w:val="2"/>
          <w:sz w:val="24"/>
          <w:szCs w:val="24"/>
          <w:lang w:eastAsia="ar-SA"/>
        </w:rPr>
        <w:t>ei</w:t>
      </w:r>
      <w:r w:rsidR="0078718C" w:rsidRPr="005153DD">
        <w:rPr>
          <w:rFonts w:ascii="Times New Roman" w:eastAsia="Times New Roman" w:hAnsi="Times New Roman" w:cs="Times New Roman"/>
          <w:kern w:val="2"/>
          <w:sz w:val="24"/>
          <w:szCs w:val="24"/>
          <w:lang w:eastAsia="ar-SA"/>
        </w:rPr>
        <w:t>kėjui pagal Sutartį.</w:t>
      </w:r>
    </w:p>
    <w:p w14:paraId="4C1E6357" w14:textId="649B2CB5" w:rsidR="0078718C" w:rsidRPr="005153DD" w:rsidRDefault="00E82CE7" w:rsidP="0078718C">
      <w:pPr>
        <w:suppressAutoHyphens/>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w:t>
      </w:r>
      <w:r w:rsidR="00E97394">
        <w:rPr>
          <w:rFonts w:ascii="Times New Roman" w:eastAsia="Times New Roman" w:hAnsi="Times New Roman" w:cs="Times New Roman"/>
          <w:kern w:val="2"/>
          <w:sz w:val="24"/>
          <w:szCs w:val="24"/>
          <w:lang w:eastAsia="ar-SA"/>
        </w:rPr>
        <w:t>6</w:t>
      </w:r>
      <w:r w:rsidR="0078718C" w:rsidRPr="005153DD">
        <w:rPr>
          <w:rFonts w:ascii="Times New Roman" w:eastAsia="Times New Roman" w:hAnsi="Times New Roman" w:cs="Times New Roman"/>
          <w:kern w:val="2"/>
          <w:sz w:val="24"/>
          <w:szCs w:val="24"/>
          <w:lang w:eastAsia="ar-SA"/>
        </w:rPr>
        <w:t>. Mokėjimo tvarka:</w:t>
      </w:r>
    </w:p>
    <w:p w14:paraId="44D5E289" w14:textId="4E79BA22" w:rsidR="006D71A2" w:rsidRPr="00F05F9D" w:rsidRDefault="00E82CE7" w:rsidP="006D71A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05F9D">
        <w:rPr>
          <w:rFonts w:ascii="Times New Roman" w:eastAsia="Times New Roman" w:hAnsi="Times New Roman" w:cs="Times New Roman"/>
          <w:sz w:val="24"/>
          <w:szCs w:val="24"/>
          <w:shd w:val="clear" w:color="auto" w:fill="FFFFFF"/>
          <w:lang w:eastAsia="ar-SA"/>
        </w:rPr>
        <w:t>3</w:t>
      </w:r>
      <w:r w:rsidR="0078718C" w:rsidRPr="00F05F9D">
        <w:rPr>
          <w:rFonts w:ascii="Times New Roman" w:eastAsia="Times New Roman" w:hAnsi="Times New Roman" w:cs="Times New Roman"/>
          <w:sz w:val="24"/>
          <w:szCs w:val="24"/>
          <w:shd w:val="clear" w:color="auto" w:fill="FFFFFF"/>
          <w:lang w:eastAsia="ar-SA"/>
        </w:rPr>
        <w:t>.</w:t>
      </w:r>
      <w:r w:rsidR="00E97394">
        <w:rPr>
          <w:rFonts w:ascii="Times New Roman" w:eastAsia="Times New Roman" w:hAnsi="Times New Roman" w:cs="Times New Roman"/>
          <w:sz w:val="24"/>
          <w:szCs w:val="24"/>
          <w:shd w:val="clear" w:color="auto" w:fill="FFFFFF"/>
          <w:lang w:eastAsia="ar-SA"/>
        </w:rPr>
        <w:t>6</w:t>
      </w:r>
      <w:r w:rsidR="0078718C" w:rsidRPr="00F05F9D">
        <w:rPr>
          <w:rFonts w:ascii="Times New Roman" w:eastAsia="Times New Roman" w:hAnsi="Times New Roman" w:cs="Times New Roman"/>
          <w:sz w:val="24"/>
          <w:szCs w:val="24"/>
          <w:shd w:val="clear" w:color="auto" w:fill="FFFFFF"/>
          <w:lang w:eastAsia="ar-SA"/>
        </w:rPr>
        <w:t>.1. T</w:t>
      </w:r>
      <w:r w:rsidR="004F1E62" w:rsidRPr="00F05F9D">
        <w:rPr>
          <w:rFonts w:ascii="Times New Roman" w:eastAsia="Times New Roman" w:hAnsi="Times New Roman" w:cs="Times New Roman"/>
          <w:sz w:val="24"/>
          <w:szCs w:val="24"/>
          <w:shd w:val="clear" w:color="auto" w:fill="FFFFFF"/>
          <w:lang w:eastAsia="ar-SA"/>
        </w:rPr>
        <w:t>ei</w:t>
      </w:r>
      <w:r w:rsidR="0078718C" w:rsidRPr="00F05F9D">
        <w:rPr>
          <w:rFonts w:ascii="Times New Roman" w:eastAsia="Times New Roman" w:hAnsi="Times New Roman" w:cs="Times New Roman"/>
          <w:sz w:val="24"/>
          <w:szCs w:val="24"/>
          <w:shd w:val="clear" w:color="auto" w:fill="FFFFFF"/>
          <w:lang w:eastAsia="ar-SA"/>
        </w:rPr>
        <w:t>kėjas, suteikęs Techninėje specifikacijoje nurodytas Paslaugas</w:t>
      </w:r>
      <w:r w:rsidR="00E52AA6" w:rsidRPr="00F05F9D">
        <w:rPr>
          <w:rFonts w:ascii="Times New Roman" w:eastAsia="Times New Roman" w:hAnsi="Times New Roman" w:cs="Times New Roman"/>
          <w:sz w:val="24"/>
          <w:szCs w:val="24"/>
          <w:shd w:val="clear" w:color="auto" w:fill="FFFFFF"/>
          <w:lang w:eastAsia="ar-SA"/>
        </w:rPr>
        <w:t xml:space="preserve"> ar jų dalį</w:t>
      </w:r>
      <w:r w:rsidR="0078718C" w:rsidRPr="00F05F9D">
        <w:rPr>
          <w:rFonts w:ascii="Times New Roman" w:eastAsia="Times New Roman" w:hAnsi="Times New Roman" w:cs="Times New Roman"/>
          <w:sz w:val="24"/>
          <w:szCs w:val="24"/>
          <w:shd w:val="clear" w:color="auto" w:fill="FFFFFF"/>
          <w:lang w:eastAsia="ar-SA"/>
        </w:rPr>
        <w:t xml:space="preserve">, pateikia </w:t>
      </w:r>
      <w:r w:rsidR="00BE7CA4" w:rsidRPr="00F05F9D">
        <w:rPr>
          <w:rFonts w:ascii="Times New Roman" w:eastAsia="Times New Roman" w:hAnsi="Times New Roman" w:cs="Times New Roman"/>
          <w:sz w:val="24"/>
          <w:szCs w:val="24"/>
          <w:shd w:val="clear" w:color="auto" w:fill="FFFFFF"/>
          <w:lang w:eastAsia="ar-SA"/>
        </w:rPr>
        <w:t>Užsakovui</w:t>
      </w:r>
      <w:r w:rsidR="0078718C" w:rsidRPr="00F05F9D">
        <w:rPr>
          <w:rFonts w:ascii="Times New Roman" w:eastAsia="Times New Roman" w:hAnsi="Times New Roman" w:cs="Times New Roman"/>
          <w:sz w:val="24"/>
          <w:szCs w:val="24"/>
          <w:shd w:val="clear" w:color="auto" w:fill="FFFFFF"/>
          <w:lang w:eastAsia="ar-SA"/>
        </w:rPr>
        <w:t xml:space="preserve"> pasirašytą (-</w:t>
      </w:r>
      <w:proofErr w:type="spellStart"/>
      <w:r w:rsidR="0078718C" w:rsidRPr="00F05F9D">
        <w:rPr>
          <w:rFonts w:ascii="Times New Roman" w:eastAsia="Times New Roman" w:hAnsi="Times New Roman" w:cs="Times New Roman"/>
          <w:sz w:val="24"/>
          <w:szCs w:val="24"/>
          <w:shd w:val="clear" w:color="auto" w:fill="FFFFFF"/>
          <w:lang w:eastAsia="ar-SA"/>
        </w:rPr>
        <w:t>us</w:t>
      </w:r>
      <w:proofErr w:type="spellEnd"/>
      <w:r w:rsidR="0078718C" w:rsidRPr="00F05F9D">
        <w:rPr>
          <w:rFonts w:ascii="Times New Roman" w:eastAsia="Times New Roman" w:hAnsi="Times New Roman" w:cs="Times New Roman"/>
          <w:sz w:val="24"/>
          <w:szCs w:val="24"/>
          <w:shd w:val="clear" w:color="auto" w:fill="FFFFFF"/>
          <w:lang w:eastAsia="ar-SA"/>
        </w:rPr>
        <w:t xml:space="preserve">) </w:t>
      </w:r>
      <w:r w:rsidR="004F1E62" w:rsidRPr="00F05F9D">
        <w:rPr>
          <w:rFonts w:ascii="Times New Roman" w:eastAsia="Times New Roman" w:hAnsi="Times New Roman" w:cs="Times New Roman"/>
          <w:sz w:val="24"/>
          <w:szCs w:val="24"/>
          <w:shd w:val="clear" w:color="auto" w:fill="FFFFFF"/>
          <w:lang w:eastAsia="ar-SA"/>
        </w:rPr>
        <w:t xml:space="preserve">paslaugų </w:t>
      </w:r>
      <w:r w:rsidR="0078718C" w:rsidRPr="00F05F9D">
        <w:rPr>
          <w:rFonts w:ascii="Times New Roman" w:eastAsia="Times New Roman" w:hAnsi="Times New Roman" w:cs="Times New Roman"/>
          <w:sz w:val="24"/>
          <w:szCs w:val="24"/>
          <w:shd w:val="clear" w:color="auto" w:fill="FFFFFF"/>
          <w:lang w:eastAsia="ar-SA"/>
        </w:rPr>
        <w:t>perdavimo–priėmimo aktą (-</w:t>
      </w:r>
      <w:proofErr w:type="spellStart"/>
      <w:r w:rsidR="0078718C" w:rsidRPr="00F05F9D">
        <w:rPr>
          <w:rFonts w:ascii="Times New Roman" w:eastAsia="Times New Roman" w:hAnsi="Times New Roman" w:cs="Times New Roman"/>
          <w:sz w:val="24"/>
          <w:szCs w:val="24"/>
          <w:shd w:val="clear" w:color="auto" w:fill="FFFFFF"/>
          <w:lang w:eastAsia="ar-SA"/>
        </w:rPr>
        <w:t>us</w:t>
      </w:r>
      <w:proofErr w:type="spellEnd"/>
      <w:r w:rsidR="0078718C" w:rsidRPr="00F05F9D">
        <w:rPr>
          <w:rFonts w:ascii="Times New Roman" w:eastAsia="Times New Roman" w:hAnsi="Times New Roman" w:cs="Times New Roman"/>
          <w:sz w:val="24"/>
          <w:szCs w:val="24"/>
          <w:shd w:val="clear" w:color="auto" w:fill="FFFFFF"/>
          <w:lang w:eastAsia="ar-SA"/>
        </w:rPr>
        <w:t>)</w:t>
      </w:r>
      <w:r w:rsidR="00D905D8" w:rsidRPr="00F05F9D">
        <w:rPr>
          <w:rFonts w:ascii="Times New Roman" w:eastAsia="Times New Roman" w:hAnsi="Times New Roman" w:cs="Times New Roman"/>
          <w:sz w:val="24"/>
          <w:szCs w:val="24"/>
          <w:shd w:val="clear" w:color="auto" w:fill="FFFFFF"/>
          <w:lang w:eastAsia="ar-SA"/>
        </w:rPr>
        <w:t xml:space="preserve"> </w:t>
      </w:r>
      <w:r w:rsidR="004D444F">
        <w:rPr>
          <w:rFonts w:ascii="Times New Roman" w:eastAsia="Times New Roman" w:hAnsi="Times New Roman" w:cs="Times New Roman"/>
          <w:sz w:val="24"/>
          <w:szCs w:val="24"/>
          <w:shd w:val="clear" w:color="auto" w:fill="FFFFFF"/>
          <w:lang w:eastAsia="ar-SA"/>
        </w:rPr>
        <w:t>už</w:t>
      </w:r>
      <w:r w:rsidR="00107865">
        <w:rPr>
          <w:rFonts w:ascii="Times New Roman" w:eastAsia="Times New Roman" w:hAnsi="Times New Roman" w:cs="Times New Roman"/>
          <w:sz w:val="24"/>
          <w:szCs w:val="24"/>
          <w:shd w:val="clear" w:color="auto" w:fill="FFFFFF"/>
          <w:lang w:eastAsia="ar-SA"/>
        </w:rPr>
        <w:t xml:space="preserve"> </w:t>
      </w:r>
      <w:r w:rsidR="00FB6C33">
        <w:rPr>
          <w:rFonts w:ascii="Times New Roman" w:eastAsia="Times New Roman" w:hAnsi="Times New Roman" w:cs="Times New Roman"/>
          <w:sz w:val="24"/>
          <w:szCs w:val="24"/>
          <w:shd w:val="clear" w:color="auto" w:fill="FFFFFF"/>
          <w:lang w:eastAsia="ar-SA"/>
        </w:rPr>
        <w:t xml:space="preserve">suteiktas </w:t>
      </w:r>
      <w:r w:rsidR="00107865" w:rsidRPr="009179F9">
        <w:rPr>
          <w:rFonts w:ascii="Times New Roman" w:eastAsia="Times New Roman" w:hAnsi="Times New Roman" w:cs="Times New Roman"/>
          <w:sz w:val="24"/>
          <w:szCs w:val="24"/>
          <w:shd w:val="clear" w:color="auto" w:fill="FFFFFF"/>
          <w:lang w:eastAsia="ar-SA"/>
        </w:rPr>
        <w:t>Techninės</w:t>
      </w:r>
      <w:r w:rsidR="00702D00" w:rsidRPr="009179F9">
        <w:rPr>
          <w:rFonts w:ascii="Times New Roman" w:eastAsia="Times New Roman" w:hAnsi="Times New Roman" w:cs="Times New Roman"/>
          <w:sz w:val="24"/>
          <w:szCs w:val="24"/>
          <w:shd w:val="clear" w:color="auto" w:fill="FFFFFF"/>
          <w:lang w:eastAsia="ar-SA"/>
        </w:rPr>
        <w:t xml:space="preserve"> </w:t>
      </w:r>
      <w:r w:rsidR="00702D00" w:rsidRPr="00795777">
        <w:rPr>
          <w:rFonts w:ascii="Times New Roman" w:eastAsia="Times New Roman" w:hAnsi="Times New Roman" w:cs="Times New Roman"/>
          <w:sz w:val="24"/>
          <w:szCs w:val="24"/>
          <w:shd w:val="clear" w:color="auto" w:fill="FFFFFF"/>
          <w:lang w:eastAsia="ar-SA"/>
        </w:rPr>
        <w:t>specifikacijos</w:t>
      </w:r>
      <w:r w:rsidR="009179F9" w:rsidRPr="00795777">
        <w:rPr>
          <w:rFonts w:ascii="Times New Roman" w:eastAsia="Times New Roman" w:hAnsi="Times New Roman" w:cs="Times New Roman"/>
          <w:sz w:val="24"/>
          <w:szCs w:val="24"/>
        </w:rPr>
        <w:t xml:space="preserve"> 13.2.4.2,</w:t>
      </w:r>
      <w:r w:rsidR="0012520D" w:rsidRPr="00795777">
        <w:rPr>
          <w:rFonts w:ascii="Times New Roman" w:eastAsia="Times New Roman" w:hAnsi="Times New Roman" w:cs="Times New Roman"/>
          <w:sz w:val="24"/>
          <w:szCs w:val="24"/>
        </w:rPr>
        <w:t xml:space="preserve"> </w:t>
      </w:r>
      <w:r w:rsidR="009179F9" w:rsidRPr="00795777">
        <w:rPr>
          <w:rFonts w:ascii="Times New Roman" w:eastAsia="Times New Roman" w:hAnsi="Times New Roman" w:cs="Times New Roman"/>
          <w:sz w:val="24"/>
          <w:szCs w:val="24"/>
        </w:rPr>
        <w:t xml:space="preserve">13.2.4.4; </w:t>
      </w:r>
      <w:r w:rsidR="00817DDE" w:rsidRPr="00795777">
        <w:rPr>
          <w:rFonts w:ascii="Times New Roman" w:eastAsia="Times New Roman" w:hAnsi="Times New Roman" w:cs="Times New Roman"/>
          <w:sz w:val="24"/>
          <w:szCs w:val="24"/>
        </w:rPr>
        <w:t xml:space="preserve">13.2.4.5 </w:t>
      </w:r>
      <w:r w:rsidR="009A3C90" w:rsidRPr="00795777">
        <w:rPr>
          <w:rFonts w:ascii="Times New Roman" w:eastAsia="Times New Roman" w:hAnsi="Times New Roman" w:cs="Times New Roman"/>
          <w:sz w:val="24"/>
          <w:szCs w:val="24"/>
          <w:shd w:val="clear" w:color="auto" w:fill="FFFFFF"/>
          <w:lang w:eastAsia="ar-SA"/>
        </w:rPr>
        <w:t>papunk</w:t>
      </w:r>
      <w:r w:rsidR="00FB6C33" w:rsidRPr="00795777">
        <w:rPr>
          <w:rFonts w:ascii="Times New Roman" w:eastAsia="Times New Roman" w:hAnsi="Times New Roman" w:cs="Times New Roman"/>
          <w:sz w:val="24"/>
          <w:szCs w:val="24"/>
          <w:shd w:val="clear" w:color="auto" w:fill="FFFFFF"/>
          <w:lang w:eastAsia="ar-SA"/>
        </w:rPr>
        <w:t xml:space="preserve">čiuose nurodytas </w:t>
      </w:r>
      <w:r w:rsidR="00B477F5" w:rsidRPr="00795777">
        <w:rPr>
          <w:rFonts w:ascii="Times New Roman" w:eastAsia="Times New Roman" w:hAnsi="Times New Roman" w:cs="Times New Roman"/>
          <w:sz w:val="24"/>
          <w:szCs w:val="24"/>
          <w:shd w:val="clear" w:color="auto" w:fill="FFFFFF"/>
          <w:lang w:eastAsia="ar-SA"/>
        </w:rPr>
        <w:t xml:space="preserve"> </w:t>
      </w:r>
      <w:r w:rsidR="00063F19" w:rsidRPr="00795777">
        <w:rPr>
          <w:rFonts w:ascii="Times New Roman" w:eastAsia="Times New Roman" w:hAnsi="Times New Roman" w:cs="Times New Roman"/>
          <w:sz w:val="24"/>
          <w:szCs w:val="24"/>
          <w:shd w:val="clear" w:color="auto" w:fill="FFFFFF"/>
          <w:lang w:eastAsia="ar-SA"/>
        </w:rPr>
        <w:t>Paslaugas</w:t>
      </w:r>
      <w:r w:rsidR="009A3C90">
        <w:rPr>
          <w:rFonts w:ascii="Times New Roman" w:eastAsia="Times New Roman" w:hAnsi="Times New Roman" w:cs="Times New Roman"/>
          <w:sz w:val="24"/>
          <w:szCs w:val="24"/>
          <w:shd w:val="clear" w:color="auto" w:fill="FFFFFF"/>
          <w:lang w:eastAsia="ar-SA"/>
        </w:rPr>
        <w:t>;</w:t>
      </w:r>
    </w:p>
    <w:p w14:paraId="5C608B1E" w14:textId="5C953B88" w:rsidR="0078718C"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3</w:t>
      </w:r>
      <w:r w:rsidR="0078718C" w:rsidRPr="005153DD">
        <w:rPr>
          <w:rFonts w:ascii="Times New Roman" w:eastAsia="Times New Roman" w:hAnsi="Times New Roman" w:cs="Times New Roman"/>
          <w:sz w:val="24"/>
          <w:szCs w:val="24"/>
          <w:shd w:val="clear" w:color="auto" w:fill="FFFFFF"/>
          <w:lang w:eastAsia="ar-SA"/>
        </w:rPr>
        <w:t>.</w:t>
      </w:r>
      <w:r w:rsidR="00E97394">
        <w:rPr>
          <w:rFonts w:ascii="Times New Roman" w:eastAsia="Times New Roman" w:hAnsi="Times New Roman" w:cs="Times New Roman"/>
          <w:sz w:val="24"/>
          <w:szCs w:val="24"/>
          <w:shd w:val="clear" w:color="auto" w:fill="FFFFFF"/>
          <w:lang w:eastAsia="ar-SA"/>
        </w:rPr>
        <w:t>6</w:t>
      </w:r>
      <w:r w:rsidR="0078718C" w:rsidRPr="005153DD">
        <w:rPr>
          <w:rFonts w:ascii="Times New Roman" w:eastAsia="Times New Roman" w:hAnsi="Times New Roman" w:cs="Times New Roman"/>
          <w:sz w:val="24"/>
          <w:szCs w:val="24"/>
          <w:shd w:val="clear" w:color="auto" w:fill="FFFFFF"/>
          <w:lang w:eastAsia="ar-SA"/>
        </w:rPr>
        <w:t>.</w:t>
      </w:r>
      <w:r w:rsidR="0078718C">
        <w:rPr>
          <w:rFonts w:ascii="Times New Roman" w:eastAsia="Times New Roman" w:hAnsi="Times New Roman" w:cs="Times New Roman"/>
          <w:sz w:val="24"/>
          <w:szCs w:val="24"/>
          <w:shd w:val="clear" w:color="auto" w:fill="FFFFFF"/>
          <w:lang w:eastAsia="ar-SA"/>
        </w:rPr>
        <w:t>2</w:t>
      </w:r>
      <w:r w:rsidR="0078718C" w:rsidRPr="005153DD">
        <w:rPr>
          <w:rFonts w:ascii="Times New Roman" w:eastAsia="Times New Roman" w:hAnsi="Times New Roman" w:cs="Times New Roman"/>
          <w:sz w:val="24"/>
          <w:szCs w:val="24"/>
          <w:shd w:val="clear" w:color="auto" w:fill="FFFFFF"/>
          <w:lang w:eastAsia="ar-SA"/>
        </w:rPr>
        <w:t xml:space="preserve">. </w:t>
      </w:r>
      <w:r w:rsidR="00BE7CA4">
        <w:rPr>
          <w:rFonts w:ascii="Times New Roman" w:eastAsia="Times New Roman" w:hAnsi="Times New Roman" w:cs="Times New Roman"/>
          <w:sz w:val="24"/>
          <w:szCs w:val="24"/>
          <w:shd w:val="clear" w:color="auto" w:fill="FFFFFF"/>
          <w:lang w:eastAsia="ar-SA"/>
        </w:rPr>
        <w:t>Užsakovas</w:t>
      </w:r>
      <w:r w:rsidR="0078718C" w:rsidRPr="005153DD">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lang w:eastAsia="ar-SA"/>
        </w:rPr>
        <w:t xml:space="preserve">per 15 (penkiolika) darbo dienų pasirašo </w:t>
      </w:r>
      <w:r w:rsidR="00B53B4B">
        <w:rPr>
          <w:rFonts w:ascii="Times New Roman" w:eastAsia="Times New Roman" w:hAnsi="Times New Roman" w:cs="Times New Roman"/>
          <w:iCs/>
          <w:sz w:val="24"/>
          <w:szCs w:val="24"/>
          <w:shd w:val="clear" w:color="auto" w:fill="FFFFFF"/>
          <w:lang w:eastAsia="ar-SA"/>
        </w:rPr>
        <w:t>paslaugų</w:t>
      </w:r>
      <w:r w:rsidR="0078718C" w:rsidRPr="005153DD">
        <w:rPr>
          <w:rFonts w:ascii="Times New Roman" w:eastAsia="Times New Roman" w:hAnsi="Times New Roman" w:cs="Times New Roman"/>
          <w:iCs/>
          <w:sz w:val="24"/>
          <w:szCs w:val="24"/>
          <w:shd w:val="clear" w:color="auto" w:fill="FFFFFF"/>
          <w:lang w:eastAsia="ar-SA"/>
        </w:rPr>
        <w:t xml:space="preserve"> </w:t>
      </w:r>
      <w:r w:rsidR="0078718C" w:rsidRPr="005153DD">
        <w:rPr>
          <w:rFonts w:ascii="Times New Roman" w:eastAsia="Times New Roman" w:hAnsi="Times New Roman" w:cs="Times New Roman"/>
          <w:sz w:val="24"/>
          <w:szCs w:val="24"/>
          <w:lang w:eastAsia="ar-SA"/>
        </w:rPr>
        <w:t>perdavimo</w:t>
      </w:r>
      <w:r w:rsidR="00B3449B">
        <w:rPr>
          <w:rFonts w:ascii="Times New Roman" w:eastAsia="Times New Roman" w:hAnsi="Times New Roman" w:cs="Times New Roman"/>
          <w:sz w:val="24"/>
          <w:szCs w:val="24"/>
          <w:lang w:eastAsia="ar-SA"/>
        </w:rPr>
        <w:t>-</w:t>
      </w:r>
      <w:r w:rsidR="0078718C" w:rsidRPr="005153DD">
        <w:rPr>
          <w:rFonts w:ascii="Times New Roman" w:eastAsia="Times New Roman" w:hAnsi="Times New Roman" w:cs="Times New Roman"/>
          <w:sz w:val="24"/>
          <w:szCs w:val="24"/>
          <w:lang w:eastAsia="ar-SA"/>
        </w:rPr>
        <w:t>priėmimo aktą</w:t>
      </w:r>
      <w:r w:rsidR="0078718C">
        <w:rPr>
          <w:rFonts w:ascii="Times New Roman" w:eastAsia="Times New Roman" w:hAnsi="Times New Roman" w:cs="Times New Roman"/>
          <w:sz w:val="24"/>
          <w:szCs w:val="24"/>
          <w:lang w:eastAsia="ar-SA"/>
        </w:rPr>
        <w:t xml:space="preserve"> (-</w:t>
      </w:r>
      <w:proofErr w:type="spellStart"/>
      <w:r w:rsidR="0078718C">
        <w:rPr>
          <w:rFonts w:ascii="Times New Roman" w:eastAsia="Times New Roman" w:hAnsi="Times New Roman" w:cs="Times New Roman"/>
          <w:sz w:val="24"/>
          <w:szCs w:val="24"/>
          <w:lang w:eastAsia="ar-SA"/>
        </w:rPr>
        <w:t>us</w:t>
      </w:r>
      <w:proofErr w:type="spellEnd"/>
      <w:r w:rsidR="0078718C">
        <w:rPr>
          <w:rFonts w:ascii="Times New Roman" w:eastAsia="Times New Roman" w:hAnsi="Times New Roman" w:cs="Times New Roman"/>
          <w:sz w:val="24"/>
          <w:szCs w:val="24"/>
          <w:lang w:eastAsia="ar-SA"/>
        </w:rPr>
        <w:t>)</w:t>
      </w:r>
      <w:r w:rsidR="0078718C" w:rsidRPr="005153DD">
        <w:rPr>
          <w:rFonts w:ascii="Times New Roman" w:eastAsia="Times New Roman" w:hAnsi="Times New Roman" w:cs="Times New Roman"/>
          <w:sz w:val="24"/>
          <w:szCs w:val="24"/>
          <w:lang w:eastAsia="ar-SA"/>
        </w:rPr>
        <w:t xml:space="preserve"> arba mo</w:t>
      </w:r>
      <w:r w:rsidR="0078718C">
        <w:rPr>
          <w:rFonts w:ascii="Times New Roman" w:eastAsia="Times New Roman" w:hAnsi="Times New Roman" w:cs="Times New Roman"/>
          <w:sz w:val="24"/>
          <w:szCs w:val="24"/>
          <w:lang w:eastAsia="ar-SA"/>
        </w:rPr>
        <w:t xml:space="preserve">tyvuotai atsisako jį (juos) pasirašyti. Tuo atveju, jeigu </w:t>
      </w:r>
      <w:r w:rsidR="00BE7CA4">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atsisako pasirašyti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perdavimo–priėmimo aktą (-</w:t>
      </w:r>
      <w:proofErr w:type="spellStart"/>
      <w:r w:rsidR="0078718C">
        <w:rPr>
          <w:rFonts w:ascii="Times New Roman" w:eastAsia="Times New Roman" w:hAnsi="Times New Roman" w:cs="Times New Roman"/>
          <w:sz w:val="24"/>
          <w:szCs w:val="24"/>
          <w:lang w:eastAsia="ar-SA"/>
        </w:rPr>
        <w:t>us</w:t>
      </w:r>
      <w:proofErr w:type="spellEnd"/>
      <w:r w:rsidR="0078718C">
        <w:rPr>
          <w:rFonts w:ascii="Times New Roman" w:eastAsia="Times New Roman" w:hAnsi="Times New Roman" w:cs="Times New Roman"/>
          <w:sz w:val="24"/>
          <w:szCs w:val="24"/>
          <w:lang w:eastAsia="ar-SA"/>
        </w:rPr>
        <w:t xml:space="preserve">), </w:t>
      </w:r>
      <w:r w:rsidR="00BE7CA4">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parengia raštą T</w:t>
      </w:r>
      <w:r w:rsidR="004F1E62">
        <w:rPr>
          <w:rFonts w:ascii="Times New Roman" w:eastAsia="Times New Roman" w:hAnsi="Times New Roman" w:cs="Times New Roman"/>
          <w:sz w:val="24"/>
          <w:szCs w:val="24"/>
          <w:lang w:eastAsia="ar-SA"/>
        </w:rPr>
        <w:t>ei</w:t>
      </w:r>
      <w:r w:rsidR="0078718C">
        <w:rPr>
          <w:rFonts w:ascii="Times New Roman" w:eastAsia="Times New Roman" w:hAnsi="Times New Roman" w:cs="Times New Roman"/>
          <w:sz w:val="24"/>
          <w:szCs w:val="24"/>
          <w:lang w:eastAsia="ar-SA"/>
        </w:rPr>
        <w:t>kėjui, nurodydama</w:t>
      </w:r>
      <w:r w:rsidR="00DF1BAC">
        <w:rPr>
          <w:rFonts w:ascii="Times New Roman" w:eastAsia="Times New Roman" w:hAnsi="Times New Roman" w:cs="Times New Roman"/>
          <w:sz w:val="24"/>
          <w:szCs w:val="24"/>
          <w:lang w:eastAsia="ar-SA"/>
        </w:rPr>
        <w:t>s</w:t>
      </w:r>
      <w:r w:rsidR="0078718C">
        <w:rPr>
          <w:rFonts w:ascii="Times New Roman" w:eastAsia="Times New Roman" w:hAnsi="Times New Roman" w:cs="Times New Roman"/>
          <w:sz w:val="24"/>
          <w:szCs w:val="24"/>
          <w:lang w:eastAsia="ar-SA"/>
        </w:rPr>
        <w:t xml:space="preserve"> konkrečius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trūkumus ir </w:t>
      </w:r>
      <w:r w:rsidR="00626510">
        <w:rPr>
          <w:rFonts w:ascii="Times New Roman" w:eastAsia="Times New Roman" w:hAnsi="Times New Roman" w:cs="Times New Roman"/>
          <w:sz w:val="24"/>
          <w:szCs w:val="24"/>
          <w:lang w:eastAsia="ar-SA"/>
        </w:rPr>
        <w:t>priežastis dėl ko ats</w:t>
      </w:r>
      <w:r w:rsidR="00861C9F">
        <w:rPr>
          <w:rFonts w:ascii="Times New Roman" w:eastAsia="Times New Roman" w:hAnsi="Times New Roman" w:cs="Times New Roman"/>
          <w:sz w:val="24"/>
          <w:szCs w:val="24"/>
          <w:lang w:eastAsia="ar-SA"/>
        </w:rPr>
        <w:t>i</w:t>
      </w:r>
      <w:r w:rsidR="00A31BC5">
        <w:rPr>
          <w:rFonts w:ascii="Times New Roman" w:eastAsia="Times New Roman" w:hAnsi="Times New Roman" w:cs="Times New Roman"/>
          <w:sz w:val="24"/>
          <w:szCs w:val="24"/>
          <w:lang w:eastAsia="ar-SA"/>
        </w:rPr>
        <w:t>sa</w:t>
      </w:r>
      <w:r w:rsidR="00626510">
        <w:rPr>
          <w:rFonts w:ascii="Times New Roman" w:eastAsia="Times New Roman" w:hAnsi="Times New Roman" w:cs="Times New Roman"/>
          <w:sz w:val="24"/>
          <w:szCs w:val="24"/>
          <w:lang w:eastAsia="ar-SA"/>
        </w:rPr>
        <w:t>koma pasirašyti perdavimo</w:t>
      </w:r>
      <w:r w:rsidR="00B3449B">
        <w:rPr>
          <w:rFonts w:ascii="Times New Roman" w:eastAsia="Times New Roman" w:hAnsi="Times New Roman" w:cs="Times New Roman"/>
          <w:sz w:val="24"/>
          <w:szCs w:val="24"/>
          <w:lang w:eastAsia="ar-SA"/>
        </w:rPr>
        <w:t>-</w:t>
      </w:r>
      <w:r w:rsidR="00626510">
        <w:rPr>
          <w:rFonts w:ascii="Times New Roman" w:eastAsia="Times New Roman" w:hAnsi="Times New Roman" w:cs="Times New Roman"/>
          <w:sz w:val="24"/>
          <w:szCs w:val="24"/>
          <w:lang w:eastAsia="ar-SA"/>
        </w:rPr>
        <w:t>priėmimo aktą (-</w:t>
      </w:r>
      <w:proofErr w:type="spellStart"/>
      <w:r w:rsidR="00626510">
        <w:rPr>
          <w:rFonts w:ascii="Times New Roman" w:eastAsia="Times New Roman" w:hAnsi="Times New Roman" w:cs="Times New Roman"/>
          <w:sz w:val="24"/>
          <w:szCs w:val="24"/>
          <w:lang w:eastAsia="ar-SA"/>
        </w:rPr>
        <w:t>us</w:t>
      </w:r>
      <w:proofErr w:type="spellEnd"/>
      <w:r w:rsidR="00626510">
        <w:rPr>
          <w:rFonts w:ascii="Times New Roman" w:eastAsia="Times New Roman" w:hAnsi="Times New Roman" w:cs="Times New Roman"/>
          <w:sz w:val="24"/>
          <w:szCs w:val="24"/>
          <w:lang w:eastAsia="ar-SA"/>
        </w:rPr>
        <w:t xml:space="preserve">) ir </w:t>
      </w:r>
      <w:r w:rsidR="0078718C">
        <w:rPr>
          <w:rFonts w:ascii="Times New Roman" w:eastAsia="Times New Roman" w:hAnsi="Times New Roman" w:cs="Times New Roman"/>
          <w:sz w:val="24"/>
          <w:szCs w:val="24"/>
          <w:lang w:eastAsia="ar-SA"/>
        </w:rPr>
        <w:t xml:space="preserve">nustatydamas terminus jų ištaisymui. Parengtą raštą kartu su pridėtais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perdavimo-priėmimo akto (-ų) egzemplioriais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grąžina T</w:t>
      </w:r>
      <w:r w:rsidR="004F1E62">
        <w:rPr>
          <w:rFonts w:ascii="Times New Roman" w:eastAsia="Times New Roman" w:hAnsi="Times New Roman" w:cs="Times New Roman"/>
          <w:sz w:val="24"/>
          <w:szCs w:val="24"/>
          <w:lang w:eastAsia="ar-SA"/>
        </w:rPr>
        <w:t>ei</w:t>
      </w:r>
      <w:r w:rsidR="0078718C">
        <w:rPr>
          <w:rFonts w:ascii="Times New Roman" w:eastAsia="Times New Roman" w:hAnsi="Times New Roman" w:cs="Times New Roman"/>
          <w:sz w:val="24"/>
          <w:szCs w:val="24"/>
          <w:lang w:eastAsia="ar-SA"/>
        </w:rPr>
        <w:t>kėjui. Tuo atveju, jeigu T</w:t>
      </w:r>
      <w:r w:rsidR="004F1E62">
        <w:rPr>
          <w:rFonts w:ascii="Times New Roman" w:eastAsia="Times New Roman" w:hAnsi="Times New Roman" w:cs="Times New Roman"/>
          <w:sz w:val="24"/>
          <w:szCs w:val="24"/>
          <w:lang w:eastAsia="ar-SA"/>
        </w:rPr>
        <w:t>ei</w:t>
      </w:r>
      <w:r w:rsidR="0078718C">
        <w:rPr>
          <w:rFonts w:ascii="Times New Roman" w:eastAsia="Times New Roman" w:hAnsi="Times New Roman" w:cs="Times New Roman"/>
          <w:sz w:val="24"/>
          <w:szCs w:val="24"/>
          <w:lang w:eastAsia="ar-SA"/>
        </w:rPr>
        <w:t xml:space="preserve">kėjas neištaiso Paslaugų trūkumų,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turi teisę teikti siūlymą dėl Sutarties nutraukimo Sutarties </w:t>
      </w:r>
      <w:r w:rsidR="0078718C" w:rsidRPr="00B22AC6">
        <w:rPr>
          <w:rFonts w:ascii="Times New Roman" w:eastAsia="Times New Roman" w:hAnsi="Times New Roman" w:cs="Times New Roman"/>
          <w:sz w:val="24"/>
          <w:szCs w:val="24"/>
          <w:lang w:eastAsia="ar-SA"/>
        </w:rPr>
        <w:t>9.</w:t>
      </w:r>
      <w:r w:rsidR="007D06F7">
        <w:rPr>
          <w:rFonts w:ascii="Times New Roman" w:eastAsia="Times New Roman" w:hAnsi="Times New Roman" w:cs="Times New Roman"/>
          <w:sz w:val="24"/>
          <w:szCs w:val="24"/>
          <w:lang w:eastAsia="ar-SA"/>
        </w:rPr>
        <w:t>6</w:t>
      </w:r>
      <w:r w:rsidR="0078718C" w:rsidRPr="00B22AC6">
        <w:rPr>
          <w:rFonts w:ascii="Times New Roman" w:eastAsia="Times New Roman" w:hAnsi="Times New Roman" w:cs="Times New Roman"/>
          <w:sz w:val="24"/>
          <w:szCs w:val="24"/>
          <w:lang w:eastAsia="ar-SA"/>
        </w:rPr>
        <w:t xml:space="preserve"> </w:t>
      </w:r>
      <w:r w:rsidR="0078718C">
        <w:rPr>
          <w:rFonts w:ascii="Times New Roman" w:eastAsia="Times New Roman" w:hAnsi="Times New Roman" w:cs="Times New Roman"/>
          <w:sz w:val="24"/>
          <w:szCs w:val="24"/>
          <w:lang w:eastAsia="ar-SA"/>
        </w:rPr>
        <w:t>papunktyje nurodyta tvarka</w:t>
      </w:r>
      <w:r w:rsidR="00D57FE6">
        <w:rPr>
          <w:rFonts w:ascii="Times New Roman" w:eastAsia="Times New Roman" w:hAnsi="Times New Roman" w:cs="Times New Roman"/>
          <w:sz w:val="24"/>
          <w:szCs w:val="24"/>
          <w:lang w:eastAsia="ar-SA"/>
        </w:rPr>
        <w:t>;</w:t>
      </w:r>
    </w:p>
    <w:p w14:paraId="7EC5E692" w14:textId="49CFCB99" w:rsidR="0078718C" w:rsidRPr="00FA6243"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w:t>
      </w:r>
      <w:r w:rsidR="0078718C">
        <w:rPr>
          <w:rFonts w:ascii="Times New Roman" w:eastAsia="Times New Roman" w:hAnsi="Times New Roman" w:cs="Times New Roman"/>
          <w:sz w:val="24"/>
          <w:szCs w:val="24"/>
          <w:lang w:eastAsia="ar-SA"/>
        </w:rPr>
        <w:t>.</w:t>
      </w:r>
      <w:r w:rsidR="00E97394">
        <w:rPr>
          <w:rFonts w:ascii="Times New Roman" w:eastAsia="Times New Roman" w:hAnsi="Times New Roman" w:cs="Times New Roman"/>
          <w:sz w:val="24"/>
          <w:szCs w:val="24"/>
          <w:lang w:eastAsia="ar-SA"/>
        </w:rPr>
        <w:t>6</w:t>
      </w:r>
      <w:r w:rsidR="0078718C">
        <w:rPr>
          <w:rFonts w:ascii="Times New Roman" w:eastAsia="Times New Roman" w:hAnsi="Times New Roman" w:cs="Times New Roman"/>
          <w:sz w:val="24"/>
          <w:szCs w:val="24"/>
          <w:lang w:eastAsia="ar-SA"/>
        </w:rPr>
        <w:t>.</w:t>
      </w:r>
      <w:r w:rsidR="00BE7CA4">
        <w:rPr>
          <w:rFonts w:ascii="Times New Roman" w:eastAsia="Times New Roman" w:hAnsi="Times New Roman" w:cs="Times New Roman"/>
          <w:sz w:val="24"/>
          <w:szCs w:val="24"/>
          <w:lang w:eastAsia="ar-SA"/>
        </w:rPr>
        <w:t>3</w:t>
      </w:r>
      <w:r w:rsidR="0078718C">
        <w:rPr>
          <w:rFonts w:ascii="Times New Roman" w:eastAsia="Times New Roman" w:hAnsi="Times New Roman" w:cs="Times New Roman"/>
          <w:sz w:val="24"/>
          <w:szCs w:val="24"/>
          <w:lang w:eastAsia="ar-SA"/>
        </w:rPr>
        <w:t>. Tuo atveju, jeigu Sutartis yra nutraukiama Sutarties 9.</w:t>
      </w:r>
      <w:r w:rsidR="007D06F7">
        <w:rPr>
          <w:rFonts w:ascii="Times New Roman" w:eastAsia="Times New Roman" w:hAnsi="Times New Roman" w:cs="Times New Roman"/>
          <w:sz w:val="24"/>
          <w:szCs w:val="24"/>
          <w:lang w:eastAsia="ar-SA"/>
        </w:rPr>
        <w:t>6</w:t>
      </w:r>
      <w:r w:rsidR="0078718C">
        <w:rPr>
          <w:rFonts w:ascii="Times New Roman" w:eastAsia="Times New Roman" w:hAnsi="Times New Roman" w:cs="Times New Roman"/>
          <w:sz w:val="24"/>
          <w:szCs w:val="24"/>
          <w:lang w:eastAsia="ar-SA"/>
        </w:rPr>
        <w:t xml:space="preserve"> papunktyje nurodyta tvarka, tačiau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priima dalį tinkamai perduotų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gali atsiskaityti T</w:t>
      </w:r>
      <w:r w:rsidR="004F1E62">
        <w:rPr>
          <w:rFonts w:ascii="Times New Roman" w:eastAsia="Times New Roman" w:hAnsi="Times New Roman" w:cs="Times New Roman"/>
          <w:sz w:val="24"/>
          <w:szCs w:val="24"/>
          <w:lang w:eastAsia="ar-SA"/>
        </w:rPr>
        <w:t>ei</w:t>
      </w:r>
      <w:r w:rsidR="0078718C">
        <w:rPr>
          <w:rFonts w:ascii="Times New Roman" w:eastAsia="Times New Roman" w:hAnsi="Times New Roman" w:cs="Times New Roman"/>
          <w:sz w:val="24"/>
          <w:szCs w:val="24"/>
          <w:lang w:eastAsia="ar-SA"/>
        </w:rPr>
        <w:t xml:space="preserve">kėjui už faktiškai perduotas tinkamas ir kokybiškas </w:t>
      </w:r>
      <w:r w:rsidR="00B53B4B">
        <w:rPr>
          <w:rFonts w:ascii="Times New Roman" w:eastAsia="Times New Roman" w:hAnsi="Times New Roman" w:cs="Times New Roman"/>
          <w:sz w:val="24"/>
          <w:szCs w:val="24"/>
          <w:lang w:eastAsia="ar-SA"/>
        </w:rPr>
        <w:t>Paslaugas</w:t>
      </w:r>
      <w:r w:rsidR="00D57FE6">
        <w:rPr>
          <w:rFonts w:ascii="Times New Roman" w:eastAsia="Times New Roman" w:hAnsi="Times New Roman" w:cs="Times New Roman"/>
          <w:sz w:val="24"/>
          <w:szCs w:val="24"/>
          <w:lang w:eastAsia="ar-SA"/>
        </w:rPr>
        <w:t>;</w:t>
      </w:r>
    </w:p>
    <w:p w14:paraId="092B65BB" w14:textId="1A243DF8" w:rsidR="0078718C" w:rsidRPr="005153DD"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3</w:t>
      </w:r>
      <w:r w:rsidR="0078718C" w:rsidRPr="005153DD">
        <w:rPr>
          <w:rFonts w:ascii="Times New Roman" w:eastAsia="Times New Roman" w:hAnsi="Times New Roman" w:cs="Times New Roman"/>
          <w:sz w:val="24"/>
          <w:szCs w:val="24"/>
          <w:shd w:val="clear" w:color="auto" w:fill="FFFFFF"/>
          <w:lang w:eastAsia="ar-SA"/>
        </w:rPr>
        <w:t>.</w:t>
      </w:r>
      <w:r w:rsidR="00E97394">
        <w:rPr>
          <w:rFonts w:ascii="Times New Roman" w:eastAsia="Times New Roman" w:hAnsi="Times New Roman" w:cs="Times New Roman"/>
          <w:sz w:val="24"/>
          <w:szCs w:val="24"/>
          <w:shd w:val="clear" w:color="auto" w:fill="FFFFFF"/>
          <w:lang w:eastAsia="ar-SA"/>
        </w:rPr>
        <w:t>6</w:t>
      </w:r>
      <w:r w:rsidR="0078718C" w:rsidRPr="005153DD">
        <w:rPr>
          <w:rFonts w:ascii="Times New Roman" w:eastAsia="Times New Roman" w:hAnsi="Times New Roman" w:cs="Times New Roman"/>
          <w:sz w:val="24"/>
          <w:szCs w:val="24"/>
          <w:shd w:val="clear" w:color="auto" w:fill="FFFFFF"/>
          <w:lang w:eastAsia="ar-SA"/>
        </w:rPr>
        <w:t>.</w:t>
      </w:r>
      <w:r w:rsidR="00BE7CA4">
        <w:rPr>
          <w:rFonts w:ascii="Times New Roman" w:eastAsia="Times New Roman" w:hAnsi="Times New Roman" w:cs="Times New Roman"/>
          <w:sz w:val="24"/>
          <w:szCs w:val="24"/>
          <w:shd w:val="clear" w:color="auto" w:fill="FFFFFF"/>
          <w:lang w:eastAsia="ar-SA"/>
        </w:rPr>
        <w:t>4</w:t>
      </w:r>
      <w:r w:rsidR="0078718C" w:rsidRPr="005153DD">
        <w:rPr>
          <w:rFonts w:ascii="Times New Roman" w:eastAsia="Times New Roman" w:hAnsi="Times New Roman" w:cs="Times New Roman"/>
          <w:sz w:val="24"/>
          <w:szCs w:val="24"/>
          <w:shd w:val="clear" w:color="auto" w:fill="FFFFFF"/>
          <w:lang w:eastAsia="ar-SA"/>
        </w:rPr>
        <w:t>. Abiem</w:t>
      </w:r>
      <w:r w:rsidR="00F6690B">
        <w:rPr>
          <w:rFonts w:ascii="Times New Roman" w:eastAsia="Times New Roman" w:hAnsi="Times New Roman" w:cs="Times New Roman"/>
          <w:sz w:val="24"/>
          <w:szCs w:val="24"/>
          <w:shd w:val="clear" w:color="auto" w:fill="FFFFFF"/>
          <w:lang w:eastAsia="ar-SA"/>
        </w:rPr>
        <w:t>s</w:t>
      </w:r>
      <w:r w:rsidR="0078718C" w:rsidRPr="005153DD">
        <w:rPr>
          <w:rFonts w:ascii="Times New Roman" w:eastAsia="Times New Roman" w:hAnsi="Times New Roman" w:cs="Times New Roman"/>
          <w:sz w:val="24"/>
          <w:szCs w:val="24"/>
          <w:shd w:val="clear" w:color="auto" w:fill="FFFFFF"/>
          <w:lang w:eastAsia="ar-SA"/>
        </w:rPr>
        <w:t xml:space="preserve"> Šalims pasirašius </w:t>
      </w:r>
      <w:r w:rsidR="004F1E62">
        <w:rPr>
          <w:rFonts w:ascii="Times New Roman" w:eastAsia="Times New Roman" w:hAnsi="Times New Roman" w:cs="Times New Roman"/>
          <w:sz w:val="24"/>
          <w:szCs w:val="24"/>
          <w:shd w:val="clear" w:color="auto" w:fill="FFFFFF"/>
          <w:lang w:eastAsia="ar-SA"/>
        </w:rPr>
        <w:t>paslaugų</w:t>
      </w:r>
      <w:r w:rsidR="004F1E62" w:rsidRPr="005153DD">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shd w:val="clear" w:color="auto" w:fill="FFFFFF"/>
          <w:lang w:eastAsia="ar-SA"/>
        </w:rPr>
        <w:t>perdavimo-priėmimo aktą</w:t>
      </w:r>
      <w:r w:rsidR="0078718C">
        <w:rPr>
          <w:rFonts w:ascii="Times New Roman" w:eastAsia="Times New Roman" w:hAnsi="Times New Roman" w:cs="Times New Roman"/>
          <w:sz w:val="24"/>
          <w:szCs w:val="24"/>
          <w:shd w:val="clear" w:color="auto" w:fill="FFFFFF"/>
          <w:lang w:eastAsia="ar-SA"/>
        </w:rPr>
        <w:t xml:space="preserve"> (-</w:t>
      </w:r>
      <w:proofErr w:type="spellStart"/>
      <w:r w:rsidR="0078718C">
        <w:rPr>
          <w:rFonts w:ascii="Times New Roman" w:eastAsia="Times New Roman" w:hAnsi="Times New Roman" w:cs="Times New Roman"/>
          <w:sz w:val="24"/>
          <w:szCs w:val="24"/>
          <w:shd w:val="clear" w:color="auto" w:fill="FFFFFF"/>
          <w:lang w:eastAsia="ar-SA"/>
        </w:rPr>
        <w:t>us</w:t>
      </w:r>
      <w:proofErr w:type="spellEnd"/>
      <w:r w:rsidR="0078718C">
        <w:rPr>
          <w:rFonts w:ascii="Times New Roman" w:eastAsia="Times New Roman" w:hAnsi="Times New Roman" w:cs="Times New Roman"/>
          <w:sz w:val="24"/>
          <w:szCs w:val="24"/>
          <w:shd w:val="clear" w:color="auto" w:fill="FFFFFF"/>
          <w:lang w:eastAsia="ar-SA"/>
        </w:rPr>
        <w:t>)</w:t>
      </w:r>
      <w:r w:rsidR="0078718C" w:rsidRPr="005153DD">
        <w:rPr>
          <w:rFonts w:ascii="Times New Roman" w:eastAsia="Times New Roman" w:hAnsi="Times New Roman" w:cs="Times New Roman"/>
          <w:sz w:val="24"/>
          <w:szCs w:val="24"/>
          <w:shd w:val="clear" w:color="auto" w:fill="FFFFFF"/>
          <w:lang w:eastAsia="ar-SA"/>
        </w:rPr>
        <w:t>, T</w:t>
      </w:r>
      <w:r w:rsidR="004F1E62">
        <w:rPr>
          <w:rFonts w:ascii="Times New Roman" w:eastAsia="Times New Roman" w:hAnsi="Times New Roman" w:cs="Times New Roman"/>
          <w:sz w:val="24"/>
          <w:szCs w:val="24"/>
          <w:shd w:val="clear" w:color="auto" w:fill="FFFFFF"/>
          <w:lang w:eastAsia="ar-SA"/>
        </w:rPr>
        <w:t>ei</w:t>
      </w:r>
      <w:r w:rsidR="0078718C" w:rsidRPr="005153DD">
        <w:rPr>
          <w:rFonts w:ascii="Times New Roman" w:eastAsia="Times New Roman" w:hAnsi="Times New Roman" w:cs="Times New Roman"/>
          <w:sz w:val="24"/>
          <w:szCs w:val="24"/>
          <w:shd w:val="clear" w:color="auto" w:fill="FFFFFF"/>
          <w:lang w:eastAsia="ar-SA"/>
        </w:rPr>
        <w:t xml:space="preserve">kėjas per 7 (septynias) kalendorines dienas </w:t>
      </w:r>
      <w:r w:rsidR="00B53B4B">
        <w:rPr>
          <w:rFonts w:ascii="Times New Roman" w:eastAsia="Times New Roman" w:hAnsi="Times New Roman" w:cs="Times New Roman"/>
          <w:sz w:val="24"/>
          <w:szCs w:val="24"/>
          <w:shd w:val="clear" w:color="auto" w:fill="FFFFFF"/>
          <w:lang w:eastAsia="ar-SA"/>
        </w:rPr>
        <w:t>Užsakov</w:t>
      </w:r>
      <w:r w:rsidR="00DF1BAC">
        <w:rPr>
          <w:rFonts w:ascii="Times New Roman" w:eastAsia="Times New Roman" w:hAnsi="Times New Roman" w:cs="Times New Roman"/>
          <w:sz w:val="24"/>
          <w:szCs w:val="24"/>
          <w:shd w:val="clear" w:color="auto" w:fill="FFFFFF"/>
          <w:lang w:eastAsia="ar-SA"/>
        </w:rPr>
        <w:t>ui</w:t>
      </w:r>
      <w:r w:rsidR="0078718C" w:rsidRPr="005153DD">
        <w:rPr>
          <w:rFonts w:ascii="Times New Roman" w:eastAsia="Times New Roman" w:hAnsi="Times New Roman" w:cs="Times New Roman"/>
          <w:sz w:val="24"/>
          <w:szCs w:val="24"/>
          <w:shd w:val="clear" w:color="auto" w:fill="FFFFFF"/>
          <w:lang w:eastAsia="ar-SA"/>
        </w:rPr>
        <w:t xml:space="preserve"> pateikia sąskaitą</w:t>
      </w:r>
      <w:r w:rsidR="0078718C">
        <w:rPr>
          <w:rFonts w:ascii="Times New Roman" w:eastAsia="Times New Roman" w:hAnsi="Times New Roman" w:cs="Times New Roman"/>
          <w:sz w:val="24"/>
          <w:szCs w:val="24"/>
          <w:shd w:val="clear" w:color="auto" w:fill="FFFFFF"/>
          <w:lang w:eastAsia="ar-SA"/>
        </w:rPr>
        <w:t xml:space="preserve"> (-</w:t>
      </w:r>
      <w:proofErr w:type="spellStart"/>
      <w:r w:rsidR="0078718C">
        <w:rPr>
          <w:rFonts w:ascii="Times New Roman" w:eastAsia="Times New Roman" w:hAnsi="Times New Roman" w:cs="Times New Roman"/>
          <w:sz w:val="24"/>
          <w:szCs w:val="24"/>
          <w:shd w:val="clear" w:color="auto" w:fill="FFFFFF"/>
          <w:lang w:eastAsia="ar-SA"/>
        </w:rPr>
        <w:t>as</w:t>
      </w:r>
      <w:proofErr w:type="spellEnd"/>
      <w:r w:rsidR="0078718C">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shd w:val="clear" w:color="auto" w:fill="FFFFFF"/>
          <w:lang w:eastAsia="ar-SA"/>
        </w:rPr>
        <w:t xml:space="preserve">faktūrą </w:t>
      </w:r>
      <w:r w:rsidR="0078718C">
        <w:rPr>
          <w:rFonts w:ascii="Times New Roman" w:eastAsia="Times New Roman" w:hAnsi="Times New Roman" w:cs="Times New Roman"/>
          <w:sz w:val="24"/>
          <w:szCs w:val="24"/>
          <w:shd w:val="clear" w:color="auto" w:fill="FFFFFF"/>
          <w:lang w:eastAsia="ar-SA"/>
        </w:rPr>
        <w:t>(-</w:t>
      </w:r>
      <w:proofErr w:type="spellStart"/>
      <w:r w:rsidR="0078718C">
        <w:rPr>
          <w:rFonts w:ascii="Times New Roman" w:eastAsia="Times New Roman" w:hAnsi="Times New Roman" w:cs="Times New Roman"/>
          <w:sz w:val="24"/>
          <w:szCs w:val="24"/>
          <w:shd w:val="clear" w:color="auto" w:fill="FFFFFF"/>
          <w:lang w:eastAsia="ar-SA"/>
        </w:rPr>
        <w:t>as</w:t>
      </w:r>
      <w:proofErr w:type="spellEnd"/>
      <w:r w:rsidR="0078718C">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shd w:val="clear" w:color="auto" w:fill="FFFFFF"/>
          <w:lang w:eastAsia="ar-SA"/>
        </w:rPr>
        <w:t xml:space="preserve">už </w:t>
      </w:r>
      <w:r w:rsidR="0078718C">
        <w:rPr>
          <w:rFonts w:ascii="Times New Roman" w:eastAsia="Times New Roman" w:hAnsi="Times New Roman" w:cs="Times New Roman"/>
          <w:sz w:val="24"/>
          <w:szCs w:val="24"/>
          <w:shd w:val="clear" w:color="auto" w:fill="FFFFFF"/>
          <w:lang w:eastAsia="ar-SA"/>
        </w:rPr>
        <w:t>perduotas</w:t>
      </w:r>
      <w:r w:rsidR="0078718C" w:rsidRPr="005153DD">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Paslaugas</w:t>
      </w:r>
      <w:r w:rsidR="0078718C">
        <w:rPr>
          <w:rFonts w:ascii="Times New Roman" w:eastAsia="Times New Roman" w:hAnsi="Times New Roman" w:cs="Times New Roman"/>
          <w:sz w:val="24"/>
          <w:szCs w:val="24"/>
          <w:lang w:eastAsia="ar-SA"/>
        </w:rPr>
        <w:t xml:space="preserve"> ar jų dalį</w:t>
      </w:r>
      <w:r w:rsidR="0078718C" w:rsidRPr="005153DD">
        <w:rPr>
          <w:rFonts w:ascii="Times New Roman" w:eastAsia="Times New Roman" w:hAnsi="Times New Roman" w:cs="Times New Roman"/>
          <w:sz w:val="24"/>
          <w:szCs w:val="24"/>
          <w:shd w:val="clear" w:color="auto" w:fill="FFFFFF"/>
          <w:lang w:eastAsia="ar-SA"/>
        </w:rPr>
        <w:t>;</w:t>
      </w:r>
    </w:p>
    <w:p w14:paraId="60EA5F9E" w14:textId="2D0F4646" w:rsidR="0078718C" w:rsidRDefault="00B323C7"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5153DD">
        <w:rPr>
          <w:rFonts w:ascii="Times New Roman" w:eastAsia="Times New Roman" w:hAnsi="Times New Roman" w:cs="Times New Roman"/>
          <w:sz w:val="24"/>
          <w:szCs w:val="24"/>
          <w:lang w:eastAsia="ar-SA"/>
        </w:rPr>
        <w:t>.</w:t>
      </w:r>
      <w:r w:rsidR="00E97394">
        <w:rPr>
          <w:rFonts w:ascii="Times New Roman" w:eastAsia="Times New Roman" w:hAnsi="Times New Roman" w:cs="Times New Roman"/>
          <w:sz w:val="24"/>
          <w:szCs w:val="24"/>
          <w:lang w:eastAsia="ar-SA"/>
        </w:rPr>
        <w:t>6</w:t>
      </w:r>
      <w:r w:rsidRPr="005153D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5</w:t>
      </w:r>
      <w:r w:rsidRPr="005153D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Užsakovas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Pr>
          <w:rFonts w:ascii="Times New Roman" w:eastAsia="Times New Roman" w:hAnsi="Times New Roman" w:cs="Times New Roman"/>
          <w:sz w:val="24"/>
          <w:szCs w:val="24"/>
          <w:shd w:val="clear" w:color="auto" w:fill="FFFFFF"/>
          <w:lang w:eastAsia="ar-SA"/>
        </w:rPr>
        <w:t xml:space="preserve">(-ų) </w:t>
      </w:r>
      <w:r w:rsidRPr="005153DD">
        <w:rPr>
          <w:rFonts w:ascii="Times New Roman" w:eastAsia="Times New Roman" w:hAnsi="Times New Roman" w:cs="Times New Roman"/>
          <w:sz w:val="24"/>
          <w:szCs w:val="24"/>
          <w:shd w:val="clear" w:color="auto" w:fill="FFFFFF"/>
          <w:lang w:eastAsia="ar-SA"/>
        </w:rPr>
        <w:t xml:space="preserve">faktūros </w:t>
      </w:r>
      <w:r>
        <w:rPr>
          <w:rFonts w:ascii="Times New Roman" w:eastAsia="Times New Roman" w:hAnsi="Times New Roman" w:cs="Times New Roman"/>
          <w:sz w:val="24"/>
          <w:szCs w:val="24"/>
          <w:shd w:val="clear" w:color="auto" w:fill="FFFFFF"/>
          <w:lang w:eastAsia="ar-SA"/>
        </w:rPr>
        <w:t xml:space="preserve">(-ų) </w:t>
      </w:r>
      <w:r w:rsidRPr="005153DD">
        <w:rPr>
          <w:rFonts w:ascii="Times New Roman" w:eastAsia="Times New Roman" w:hAnsi="Times New Roman" w:cs="Times New Roman"/>
          <w:sz w:val="24"/>
          <w:szCs w:val="24"/>
          <w:shd w:val="clear" w:color="auto" w:fill="FFFFFF"/>
          <w:lang w:eastAsia="ar-SA"/>
        </w:rPr>
        <w:t>gavimo dienos</w:t>
      </w:r>
      <w:r w:rsidRPr="005153DD">
        <w:rPr>
          <w:rFonts w:ascii="Times New Roman" w:eastAsia="Times New Roman" w:hAnsi="Times New Roman" w:cs="Times New Roman"/>
          <w:sz w:val="24"/>
          <w:szCs w:val="24"/>
          <w:lang w:eastAsia="ar-SA"/>
        </w:rPr>
        <w:t xml:space="preserve"> už </w:t>
      </w:r>
      <w:r>
        <w:rPr>
          <w:rFonts w:ascii="Times New Roman" w:eastAsia="Times New Roman" w:hAnsi="Times New Roman" w:cs="Times New Roman"/>
          <w:sz w:val="24"/>
          <w:szCs w:val="24"/>
          <w:lang w:eastAsia="ar-SA"/>
        </w:rPr>
        <w:t>Paslaugas</w:t>
      </w:r>
      <w:r w:rsidRPr="005153DD">
        <w:rPr>
          <w:rFonts w:ascii="Times New Roman" w:eastAsia="Times New Roman" w:hAnsi="Times New Roman" w:cs="Times New Roman"/>
          <w:sz w:val="24"/>
          <w:szCs w:val="24"/>
          <w:lang w:eastAsia="ar-SA"/>
        </w:rPr>
        <w:t xml:space="preserve"> T</w:t>
      </w:r>
      <w:r>
        <w:rPr>
          <w:rFonts w:ascii="Times New Roman" w:eastAsia="Times New Roman" w:hAnsi="Times New Roman" w:cs="Times New Roman"/>
          <w:sz w:val="24"/>
          <w:szCs w:val="24"/>
          <w:lang w:eastAsia="ar-SA"/>
        </w:rPr>
        <w:t>ei</w:t>
      </w:r>
      <w:r w:rsidRPr="005153DD">
        <w:rPr>
          <w:rFonts w:ascii="Times New Roman" w:eastAsia="Times New Roman" w:hAnsi="Times New Roman" w:cs="Times New Roman"/>
          <w:sz w:val="24"/>
          <w:szCs w:val="24"/>
          <w:lang w:eastAsia="ar-SA"/>
        </w:rPr>
        <w:t>kėjui atsiskaito mokėjimo pavedimu į T</w:t>
      </w:r>
      <w:r>
        <w:rPr>
          <w:rFonts w:ascii="Times New Roman" w:eastAsia="Times New Roman" w:hAnsi="Times New Roman" w:cs="Times New Roman"/>
          <w:sz w:val="24"/>
          <w:szCs w:val="24"/>
          <w:lang w:eastAsia="ar-SA"/>
        </w:rPr>
        <w:t>ei</w:t>
      </w:r>
      <w:r w:rsidRPr="005153DD">
        <w:rPr>
          <w:rFonts w:ascii="Times New Roman" w:eastAsia="Times New Roman" w:hAnsi="Times New Roman" w:cs="Times New Roman"/>
          <w:sz w:val="24"/>
          <w:szCs w:val="24"/>
          <w:lang w:eastAsia="ar-SA"/>
        </w:rPr>
        <w:t xml:space="preserve">kėjo </w:t>
      </w:r>
      <w:r w:rsidRPr="005153DD">
        <w:rPr>
          <w:rFonts w:ascii="Times New Roman" w:eastAsia="Times New Roman" w:hAnsi="Times New Roman" w:cs="Times New Roman"/>
          <w:sz w:val="24"/>
          <w:szCs w:val="24"/>
          <w:shd w:val="clear" w:color="auto" w:fill="FFFFFF"/>
          <w:lang w:eastAsia="ar-SA"/>
        </w:rPr>
        <w:t xml:space="preserve">sąskaitoje faktūroje </w:t>
      </w:r>
      <w:r>
        <w:rPr>
          <w:rFonts w:ascii="Times New Roman" w:eastAsia="Times New Roman" w:hAnsi="Times New Roman" w:cs="Times New Roman"/>
          <w:sz w:val="24"/>
          <w:szCs w:val="24"/>
          <w:lang w:eastAsia="ar-SA"/>
        </w:rPr>
        <w:t xml:space="preserve">nurodytą banko sąskaitą, </w:t>
      </w:r>
      <w:r w:rsidRPr="005153DD">
        <w:rPr>
          <w:rFonts w:ascii="Times New Roman" w:eastAsia="Times New Roman" w:hAnsi="Times New Roman" w:cs="Times New Roman"/>
          <w:sz w:val="24"/>
          <w:szCs w:val="24"/>
          <w:lang w:eastAsia="ar-SA"/>
        </w:rPr>
        <w:t xml:space="preserve">Apmokėjimas laikomas įvykdytu, kai </w:t>
      </w:r>
      <w:r w:rsidRPr="005153DD">
        <w:rPr>
          <w:rFonts w:ascii="Times New Roman" w:eastAsia="Times New Roman" w:hAnsi="Times New Roman" w:cs="Times New Roman"/>
          <w:sz w:val="24"/>
          <w:szCs w:val="24"/>
          <w:shd w:val="clear" w:color="auto" w:fill="FFFFFF"/>
          <w:lang w:eastAsia="ar-SA"/>
        </w:rPr>
        <w:t xml:space="preserve">lėšos nurašomos nuo </w:t>
      </w:r>
      <w:r>
        <w:rPr>
          <w:rFonts w:ascii="Times New Roman" w:eastAsia="Times New Roman" w:hAnsi="Times New Roman" w:cs="Times New Roman"/>
          <w:sz w:val="24"/>
          <w:szCs w:val="24"/>
          <w:shd w:val="clear" w:color="auto" w:fill="FFFFFF"/>
          <w:lang w:eastAsia="ar-SA"/>
        </w:rPr>
        <w:t>Užsakovo</w:t>
      </w:r>
      <w:r w:rsidRPr="005153DD">
        <w:rPr>
          <w:rFonts w:ascii="Times New Roman" w:eastAsia="Times New Roman" w:hAnsi="Times New Roman" w:cs="Times New Roman"/>
          <w:sz w:val="24"/>
          <w:szCs w:val="24"/>
          <w:shd w:val="clear" w:color="auto" w:fill="FFFFFF"/>
          <w:lang w:eastAsia="ar-SA"/>
        </w:rPr>
        <w:t xml:space="preserve"> sąskaitos</w:t>
      </w:r>
      <w:r w:rsidRPr="005153DD">
        <w:rPr>
          <w:rFonts w:ascii="Times New Roman" w:eastAsia="Times New Roman" w:hAnsi="Times New Roman" w:cs="Times New Roman"/>
          <w:sz w:val="24"/>
          <w:szCs w:val="24"/>
          <w:lang w:eastAsia="ar-SA"/>
        </w:rPr>
        <w:t>.</w:t>
      </w:r>
    </w:p>
    <w:p w14:paraId="1A632271" w14:textId="48E8D39A" w:rsidR="000871EA" w:rsidRPr="000871EA" w:rsidRDefault="000871EA" w:rsidP="000871EA">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0871EA">
        <w:rPr>
          <w:rFonts w:ascii="Times New Roman" w:eastAsia="Times New Roman" w:hAnsi="Times New Roman" w:cs="Times New Roman"/>
          <w:kern w:val="2"/>
          <w:sz w:val="24"/>
          <w:szCs w:val="24"/>
          <w:lang w:eastAsia="ar-SA"/>
        </w:rPr>
        <w:t>3.</w:t>
      </w:r>
      <w:r w:rsidR="00E97394">
        <w:rPr>
          <w:rFonts w:ascii="Times New Roman" w:eastAsia="Times New Roman" w:hAnsi="Times New Roman" w:cs="Times New Roman"/>
          <w:kern w:val="2"/>
          <w:sz w:val="24"/>
          <w:szCs w:val="24"/>
          <w:lang w:eastAsia="ar-SA"/>
        </w:rPr>
        <w:t>6</w:t>
      </w:r>
      <w:r w:rsidRPr="000871EA">
        <w:rPr>
          <w:rFonts w:ascii="Times New Roman" w:eastAsia="Times New Roman" w:hAnsi="Times New Roman" w:cs="Times New Roman"/>
          <w:kern w:val="2"/>
          <w:sz w:val="24"/>
          <w:szCs w:val="24"/>
          <w:lang w:eastAsia="ar-SA"/>
        </w:rPr>
        <w:t xml:space="preserve">.6. Vykdant </w:t>
      </w:r>
      <w:r w:rsidR="00C301CF">
        <w:rPr>
          <w:rFonts w:ascii="Times New Roman" w:eastAsia="Times New Roman" w:hAnsi="Times New Roman" w:cs="Times New Roman"/>
          <w:kern w:val="2"/>
          <w:sz w:val="24"/>
          <w:szCs w:val="24"/>
          <w:lang w:eastAsia="ar-SA"/>
        </w:rPr>
        <w:t>Sutartį</w:t>
      </w:r>
      <w:r w:rsidRPr="000871EA">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p>
    <w:p w14:paraId="682D0E0F" w14:textId="5EB25565" w:rsidR="0078718C" w:rsidRPr="005153DD" w:rsidRDefault="00E82CE7"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78718C" w:rsidRPr="005153DD">
        <w:rPr>
          <w:rFonts w:ascii="Times New Roman" w:eastAsia="Times New Roman" w:hAnsi="Times New Roman" w:cs="Times New Roman"/>
          <w:sz w:val="24"/>
          <w:szCs w:val="24"/>
          <w:lang w:eastAsia="ar-SA"/>
        </w:rPr>
        <w:t>.</w:t>
      </w:r>
      <w:r w:rsidR="00E97394">
        <w:rPr>
          <w:rFonts w:ascii="Times New Roman" w:eastAsia="Times New Roman" w:hAnsi="Times New Roman" w:cs="Times New Roman"/>
          <w:sz w:val="24"/>
          <w:szCs w:val="24"/>
          <w:lang w:eastAsia="ar-SA"/>
        </w:rPr>
        <w:t>7</w:t>
      </w:r>
      <w:r w:rsidR="0078718C" w:rsidRPr="005153DD">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Užsakovas</w:t>
      </w:r>
      <w:r w:rsidR="0078718C" w:rsidRPr="005153DD">
        <w:rPr>
          <w:rFonts w:ascii="Times New Roman" w:eastAsia="Times New Roman" w:hAnsi="Times New Roman" w:cs="Times New Roman"/>
          <w:sz w:val="24"/>
          <w:szCs w:val="24"/>
          <w:lang w:eastAsia="ar-SA"/>
        </w:rPr>
        <w:t xml:space="preserve"> už </w:t>
      </w:r>
      <w:r w:rsidR="004F1E62">
        <w:rPr>
          <w:rFonts w:ascii="Times New Roman" w:eastAsia="Times New Roman" w:hAnsi="Times New Roman" w:cs="Times New Roman"/>
          <w:kern w:val="2"/>
          <w:sz w:val="24"/>
          <w:szCs w:val="24"/>
          <w:lang w:eastAsia="ar-SA"/>
        </w:rPr>
        <w:t>Paslaugas</w:t>
      </w:r>
      <w:r w:rsidR="004F1E62" w:rsidRPr="005153DD">
        <w:rPr>
          <w:rFonts w:ascii="Times New Roman" w:eastAsia="Times New Roman" w:hAnsi="Times New Roman" w:cs="Times New Roman"/>
          <w:sz w:val="24"/>
          <w:szCs w:val="24"/>
          <w:lang w:eastAsia="ar-SA"/>
        </w:rPr>
        <w:t xml:space="preserve"> </w:t>
      </w:r>
      <w:r w:rsidR="0078718C" w:rsidRPr="005153DD">
        <w:rPr>
          <w:rFonts w:ascii="Times New Roman" w:eastAsia="Times New Roman" w:hAnsi="Times New Roman" w:cs="Times New Roman"/>
          <w:sz w:val="24"/>
          <w:szCs w:val="24"/>
          <w:lang w:eastAsia="ar-SA"/>
        </w:rPr>
        <w:t>T</w:t>
      </w:r>
      <w:r w:rsidR="004F1E62">
        <w:rPr>
          <w:rFonts w:ascii="Times New Roman" w:eastAsia="Times New Roman" w:hAnsi="Times New Roman" w:cs="Times New Roman"/>
          <w:sz w:val="24"/>
          <w:szCs w:val="24"/>
          <w:lang w:eastAsia="ar-SA"/>
        </w:rPr>
        <w:t>ei</w:t>
      </w:r>
      <w:r w:rsidR="0078718C" w:rsidRPr="005153DD">
        <w:rPr>
          <w:rFonts w:ascii="Times New Roman" w:eastAsia="Times New Roman" w:hAnsi="Times New Roman" w:cs="Times New Roman"/>
          <w:sz w:val="24"/>
          <w:szCs w:val="24"/>
          <w:lang w:eastAsia="ar-SA"/>
        </w:rPr>
        <w:t>kėjui atsiskaito mokėjimo pavedimu į T</w:t>
      </w:r>
      <w:r w:rsidR="004F1E62">
        <w:rPr>
          <w:rFonts w:ascii="Times New Roman" w:eastAsia="Times New Roman" w:hAnsi="Times New Roman" w:cs="Times New Roman"/>
          <w:sz w:val="24"/>
          <w:szCs w:val="24"/>
          <w:lang w:eastAsia="ar-SA"/>
        </w:rPr>
        <w:t>ei</w:t>
      </w:r>
      <w:r w:rsidR="0078718C" w:rsidRPr="005153DD">
        <w:rPr>
          <w:rFonts w:ascii="Times New Roman" w:eastAsia="Times New Roman" w:hAnsi="Times New Roman" w:cs="Times New Roman"/>
          <w:sz w:val="24"/>
          <w:szCs w:val="24"/>
          <w:lang w:eastAsia="ar-SA"/>
        </w:rPr>
        <w:t xml:space="preserve">kėjo </w:t>
      </w:r>
      <w:r w:rsidR="0078718C" w:rsidRPr="005153DD">
        <w:rPr>
          <w:rFonts w:ascii="Times New Roman" w:eastAsia="Times New Roman" w:hAnsi="Times New Roman" w:cs="Times New Roman"/>
          <w:sz w:val="24"/>
          <w:szCs w:val="24"/>
          <w:shd w:val="clear" w:color="auto" w:fill="FFFFFF"/>
          <w:lang w:eastAsia="ar-SA"/>
        </w:rPr>
        <w:t xml:space="preserve">sąskaitoje faktūroje </w:t>
      </w:r>
      <w:r w:rsidR="0078718C" w:rsidRPr="005153DD">
        <w:rPr>
          <w:rFonts w:ascii="Times New Roman" w:eastAsia="Times New Roman" w:hAnsi="Times New Roman" w:cs="Times New Roman"/>
          <w:sz w:val="24"/>
          <w:szCs w:val="24"/>
          <w:lang w:eastAsia="ar-SA"/>
        </w:rPr>
        <w:t>nurodytą banko sąskaitą:</w:t>
      </w:r>
    </w:p>
    <w:p w14:paraId="23813A74" w14:textId="1EE834B9" w:rsidR="0078718C" w:rsidRPr="009D6210"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sidR="009D6210" w:rsidRPr="009D6210">
        <w:rPr>
          <w:rFonts w:ascii="Times New Roman" w:eastAsia="Times New Roman" w:hAnsi="Times New Roman" w:cs="Times New Roman"/>
          <w:sz w:val="24"/>
          <w:szCs w:val="24"/>
          <w:shd w:val="clear" w:color="auto" w:fill="FFFFFF"/>
          <w:lang w:eastAsia="zh-CN"/>
        </w:rPr>
        <w:t>LT577044060001225443</w:t>
      </w:r>
    </w:p>
    <w:p w14:paraId="2FAC4849" w14:textId="78C0EDAA" w:rsidR="0078718C" w:rsidRPr="005153DD"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Bankas </w:t>
      </w:r>
      <w:r w:rsidR="009D6210" w:rsidRPr="009D6210">
        <w:rPr>
          <w:rFonts w:ascii="Times New Roman" w:eastAsia="Times New Roman" w:hAnsi="Times New Roman" w:cs="Times New Roman"/>
          <w:sz w:val="24"/>
          <w:szCs w:val="24"/>
          <w:shd w:val="clear" w:color="auto" w:fill="FFFFFF"/>
          <w:lang w:eastAsia="zh-CN"/>
        </w:rPr>
        <w:t>AB SEB bankas</w:t>
      </w:r>
    </w:p>
    <w:p w14:paraId="7F5DF1AE" w14:textId="30D9349D" w:rsidR="0078718C" w:rsidRPr="005153DD" w:rsidRDefault="0078718C" w:rsidP="0078718C">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Kodas </w:t>
      </w:r>
      <w:r w:rsidR="00B57006" w:rsidRPr="00B57006">
        <w:rPr>
          <w:rFonts w:ascii="Times New Roman" w:eastAsia="Times New Roman" w:hAnsi="Times New Roman" w:cs="Times New Roman"/>
          <w:sz w:val="24"/>
          <w:szCs w:val="24"/>
          <w:shd w:val="clear" w:color="auto" w:fill="FFFFFF"/>
          <w:lang w:eastAsia="zh-CN"/>
        </w:rPr>
        <w:t>70440</w:t>
      </w:r>
    </w:p>
    <w:p w14:paraId="520DA642" w14:textId="096DFC99" w:rsidR="00031623" w:rsidRPr="005153DD" w:rsidRDefault="00E82CE7" w:rsidP="00EA3827">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3</w:t>
      </w:r>
      <w:r w:rsidR="0078718C" w:rsidRPr="005153DD">
        <w:rPr>
          <w:rFonts w:ascii="Times New Roman" w:eastAsia="Times New Roman" w:hAnsi="Times New Roman" w:cs="Times New Roman"/>
          <w:color w:val="000000"/>
          <w:sz w:val="24"/>
          <w:szCs w:val="24"/>
          <w:shd w:val="clear" w:color="auto" w:fill="FFFFFF"/>
          <w:lang w:eastAsia="ar-SA"/>
        </w:rPr>
        <w:t>.</w:t>
      </w:r>
      <w:r w:rsidR="00E97394">
        <w:rPr>
          <w:rFonts w:ascii="Times New Roman" w:eastAsia="Times New Roman" w:hAnsi="Times New Roman" w:cs="Times New Roman"/>
          <w:color w:val="000000"/>
          <w:sz w:val="24"/>
          <w:szCs w:val="24"/>
          <w:shd w:val="clear" w:color="auto" w:fill="FFFFFF"/>
          <w:lang w:eastAsia="ar-SA"/>
        </w:rPr>
        <w:t>8</w:t>
      </w:r>
      <w:r w:rsidR="0078718C"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per visą šios Sutarties galio</w:t>
      </w:r>
      <w:r w:rsidR="00EA3827">
        <w:rPr>
          <w:rFonts w:ascii="Times New Roman" w:eastAsia="Times New Roman" w:hAnsi="Times New Roman" w:cs="Times New Roman"/>
          <w:sz w:val="24"/>
          <w:szCs w:val="24"/>
          <w:lang w:eastAsia="ar-SA"/>
        </w:rPr>
        <w:t>jimo laiką negali būti keičiama.</w:t>
      </w:r>
    </w:p>
    <w:p w14:paraId="70B00A2A" w14:textId="61BA4E2F" w:rsidR="000871EA" w:rsidRPr="003A1422" w:rsidRDefault="00E82CE7" w:rsidP="003A142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79741C">
        <w:rPr>
          <w:rFonts w:ascii="Times New Roman" w:eastAsia="Times New Roman" w:hAnsi="Times New Roman" w:cs="Times New Roman"/>
          <w:sz w:val="24"/>
          <w:szCs w:val="24"/>
          <w:lang w:eastAsia="ar-SA"/>
        </w:rPr>
        <w:t>3</w:t>
      </w:r>
      <w:r w:rsidR="0078718C" w:rsidRPr="0079741C">
        <w:rPr>
          <w:rFonts w:ascii="Times New Roman" w:eastAsia="Times New Roman" w:hAnsi="Times New Roman" w:cs="Times New Roman"/>
          <w:sz w:val="24"/>
          <w:szCs w:val="24"/>
          <w:lang w:eastAsia="ar-SA"/>
        </w:rPr>
        <w:t>.</w:t>
      </w:r>
      <w:r w:rsidR="00E97394">
        <w:rPr>
          <w:rFonts w:ascii="Times New Roman" w:eastAsia="Times New Roman" w:hAnsi="Times New Roman" w:cs="Times New Roman"/>
          <w:sz w:val="24"/>
          <w:szCs w:val="24"/>
          <w:lang w:eastAsia="ar-SA"/>
        </w:rPr>
        <w:t>9</w:t>
      </w:r>
      <w:r w:rsidR="0078718C" w:rsidRPr="0079741C">
        <w:rPr>
          <w:rFonts w:ascii="Times New Roman" w:eastAsia="Times New Roman" w:hAnsi="Times New Roman" w:cs="Times New Roman"/>
          <w:sz w:val="24"/>
          <w:szCs w:val="24"/>
          <w:lang w:eastAsia="ar-SA"/>
        </w:rPr>
        <w:t>.</w:t>
      </w:r>
      <w:r w:rsidR="0078718C" w:rsidRPr="005153DD">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B53B4B">
        <w:rPr>
          <w:rFonts w:ascii="Times New Roman" w:eastAsia="Times New Roman" w:hAnsi="Times New Roman" w:cs="Times New Roman"/>
          <w:sz w:val="24"/>
          <w:szCs w:val="24"/>
          <w:lang w:eastAsia="ar-SA"/>
        </w:rPr>
        <w:t>Paslaugas</w:t>
      </w:r>
      <w:r w:rsidR="0078718C" w:rsidRPr="005153DD">
        <w:rPr>
          <w:rFonts w:ascii="Times New Roman" w:eastAsia="Times New Roman" w:hAnsi="Times New Roman" w:cs="Times New Roman"/>
          <w:sz w:val="24"/>
          <w:szCs w:val="24"/>
          <w:lang w:eastAsia="ar-SA"/>
        </w:rPr>
        <w:t xml:space="preserve">, už kurias PVM sąskaita faktūra išrašoma galiojant naujam </w:t>
      </w:r>
      <w:r w:rsidR="0079741C">
        <w:rPr>
          <w:rFonts w:ascii="Times New Roman" w:eastAsia="Times New Roman" w:hAnsi="Times New Roman" w:cs="Times New Roman"/>
          <w:sz w:val="24"/>
          <w:szCs w:val="24"/>
          <w:lang w:eastAsia="ar-SA"/>
        </w:rPr>
        <w:t>PVM</w:t>
      </w:r>
      <w:r w:rsidR="0078718C" w:rsidRPr="005153DD">
        <w:rPr>
          <w:rFonts w:ascii="Times New Roman" w:eastAsia="Times New Roman" w:hAnsi="Times New Roman" w:cs="Times New Roman"/>
          <w:sz w:val="24"/>
          <w:szCs w:val="24"/>
          <w:lang w:eastAsia="ar-SA"/>
        </w:rPr>
        <w:t xml:space="preserve">. </w:t>
      </w:r>
    </w:p>
    <w:p w14:paraId="2C82E572" w14:textId="77777777" w:rsidR="000871EA" w:rsidRDefault="000871EA"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34A90761" w14:textId="77777777" w:rsidR="005153DD" w:rsidRP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4</w:t>
      </w:r>
      <w:r w:rsidR="007B2172">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ĮVYKDYMO UŽTIKRINIMAS</w:t>
      </w:r>
    </w:p>
    <w:p w14:paraId="538CDA38"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5D9C8935"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.1. Teikėjas viso Sutarties galiojimo metu privalo užtikrinti sutartinių prievolių įvykdymą, pateikdamas šiuos užtikrinimus:</w:t>
      </w:r>
    </w:p>
    <w:tbl>
      <w:tblPr>
        <w:tblW w:w="494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3"/>
        <w:gridCol w:w="2833"/>
        <w:gridCol w:w="1987"/>
        <w:gridCol w:w="2445"/>
      </w:tblGrid>
      <w:tr w:rsidR="00BE4B85" w:rsidRPr="005153DD" w14:paraId="3CBDE06D" w14:textId="77777777" w:rsidTr="00BE4B85">
        <w:tc>
          <w:tcPr>
            <w:tcW w:w="1274" w:type="pct"/>
            <w:vAlign w:val="center"/>
          </w:tcPr>
          <w:p w14:paraId="5948A18D"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būdas</w:t>
            </w:r>
          </w:p>
        </w:tc>
        <w:tc>
          <w:tcPr>
            <w:tcW w:w="1453" w:type="pct"/>
            <w:vAlign w:val="center"/>
          </w:tcPr>
          <w:p w14:paraId="526A7C42"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pateikimo terminas</w:t>
            </w:r>
          </w:p>
        </w:tc>
        <w:tc>
          <w:tcPr>
            <w:tcW w:w="1019" w:type="pct"/>
            <w:vAlign w:val="center"/>
          </w:tcPr>
          <w:p w14:paraId="5A2DC83E"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suma ir valiuta</w:t>
            </w:r>
          </w:p>
        </w:tc>
        <w:tc>
          <w:tcPr>
            <w:tcW w:w="1254" w:type="pct"/>
            <w:vAlign w:val="center"/>
          </w:tcPr>
          <w:p w14:paraId="2967CB51" w14:textId="77777777" w:rsidR="005153DD" w:rsidRDefault="005153DD" w:rsidP="005153DD">
            <w:pPr>
              <w:suppressAutoHyphens/>
              <w:spacing w:after="0" w:line="240" w:lineRule="auto"/>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Užtikrinimo galiojimo terminas</w:t>
            </w:r>
          </w:p>
          <w:p w14:paraId="0DEF9F45" w14:textId="77777777" w:rsidR="0002383D" w:rsidRPr="005153DD" w:rsidRDefault="0002383D" w:rsidP="005153D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ar-SA"/>
              </w:rPr>
              <w:t>(</w:t>
            </w:r>
            <w:r w:rsidRPr="0002383D">
              <w:rPr>
                <w:rFonts w:ascii="Times New Roman" w:eastAsia="Times New Roman" w:hAnsi="Times New Roman" w:cs="Times New Roman"/>
                <w:b/>
                <w:bCs/>
                <w:i/>
                <w:sz w:val="24"/>
                <w:szCs w:val="24"/>
                <w:lang w:eastAsia="ar-SA"/>
              </w:rPr>
              <w:t>nurodyti datą nuo Sutarties įsigaliojimo dienos</w:t>
            </w:r>
            <w:r>
              <w:rPr>
                <w:rFonts w:ascii="Times New Roman" w:eastAsia="Times New Roman" w:hAnsi="Times New Roman" w:cs="Times New Roman"/>
                <w:b/>
                <w:bCs/>
                <w:sz w:val="24"/>
                <w:szCs w:val="24"/>
                <w:lang w:eastAsia="ar-SA"/>
              </w:rPr>
              <w:t>)</w:t>
            </w:r>
          </w:p>
        </w:tc>
      </w:tr>
      <w:tr w:rsidR="00BE4B85" w:rsidRPr="005153DD" w14:paraId="42249152" w14:textId="77777777" w:rsidTr="00BE4B85">
        <w:tc>
          <w:tcPr>
            <w:tcW w:w="1274" w:type="pct"/>
          </w:tcPr>
          <w:p w14:paraId="5B577E94"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1. Sutarties įvykdymo užtikrinimas (Lietuvos Respublikoje ar užsienyje registruoto banko</w:t>
            </w:r>
            <w:r w:rsidR="00971210">
              <w:rPr>
                <w:rFonts w:ascii="Times New Roman" w:eastAsia="Times New Roman" w:hAnsi="Times New Roman" w:cs="Times New Roman"/>
                <w:sz w:val="24"/>
                <w:szCs w:val="24"/>
                <w:lang w:eastAsia="ar-SA"/>
              </w:rPr>
              <w:t>, kredito unijos</w:t>
            </w:r>
            <w:r w:rsidRPr="005153DD">
              <w:rPr>
                <w:rFonts w:ascii="Times New Roman" w:eastAsia="Times New Roman" w:hAnsi="Times New Roman" w:cs="Times New Roman"/>
                <w:sz w:val="24"/>
                <w:szCs w:val="24"/>
                <w:lang w:eastAsia="ar-SA"/>
              </w:rPr>
              <w:t xml:space="preserve"> arba draudimo bendrovės laidavimo draudimo liudijimas).</w:t>
            </w:r>
          </w:p>
          <w:p w14:paraId="469FCA75"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Pateikiamas dokumento originalas.</w:t>
            </w:r>
          </w:p>
        </w:tc>
        <w:tc>
          <w:tcPr>
            <w:tcW w:w="1453" w:type="pct"/>
          </w:tcPr>
          <w:p w14:paraId="7B26CA69" w14:textId="77777777" w:rsidR="005153DD" w:rsidRPr="005153DD" w:rsidRDefault="00BD4D2F" w:rsidP="00B57EB4">
            <w:pPr>
              <w:suppressAutoHyphens/>
              <w:spacing w:after="0" w:line="240" w:lineRule="auto"/>
              <w:rPr>
                <w:rFonts w:ascii="Times New Roman" w:eastAsia="Times New Roman" w:hAnsi="Times New Roman" w:cs="Times New Roman"/>
                <w:sz w:val="24"/>
                <w:szCs w:val="24"/>
                <w:lang w:eastAsia="zh-CN"/>
              </w:rPr>
            </w:pPr>
            <w:r w:rsidRPr="00FA53D8">
              <w:rPr>
                <w:rFonts w:ascii="Times New Roman" w:eastAsia="Times New Roman" w:hAnsi="Times New Roman" w:cs="Times New Roman"/>
                <w:sz w:val="24"/>
                <w:szCs w:val="24"/>
                <w:shd w:val="clear" w:color="auto" w:fill="FFFFFF"/>
                <w:lang w:eastAsia="ar-SA"/>
              </w:rPr>
              <w:t xml:space="preserve">Teikėjas </w:t>
            </w:r>
            <w:r w:rsidR="00D94EB9" w:rsidRPr="00FA53D8">
              <w:rPr>
                <w:rFonts w:ascii="Times New Roman" w:eastAsia="Times New Roman" w:hAnsi="Times New Roman" w:cs="Times New Roman"/>
                <w:sz w:val="24"/>
                <w:szCs w:val="24"/>
                <w:shd w:val="clear" w:color="auto" w:fill="FFFFFF"/>
                <w:lang w:eastAsia="ar-SA"/>
              </w:rPr>
              <w:t xml:space="preserve">galiojantį Sutarties įvykdymo užtikrinimą </w:t>
            </w:r>
            <w:r w:rsidRPr="00FA53D8">
              <w:rPr>
                <w:rFonts w:ascii="Times New Roman" w:eastAsia="Times New Roman" w:hAnsi="Times New Roman" w:cs="Times New Roman"/>
                <w:sz w:val="24"/>
                <w:szCs w:val="24"/>
                <w:shd w:val="clear" w:color="auto" w:fill="FFFFFF"/>
                <w:lang w:eastAsia="ar-SA"/>
              </w:rPr>
              <w:t xml:space="preserve">pateikia </w:t>
            </w:r>
            <w:r w:rsidR="00957CA3" w:rsidRPr="00FA53D8">
              <w:rPr>
                <w:rFonts w:ascii="Times New Roman" w:eastAsia="Times New Roman" w:hAnsi="Times New Roman" w:cs="Times New Roman"/>
                <w:sz w:val="24"/>
                <w:szCs w:val="24"/>
                <w:shd w:val="clear" w:color="auto" w:fill="FFFFFF"/>
                <w:lang w:eastAsia="ar-SA"/>
              </w:rPr>
              <w:t>Užsakovui</w:t>
            </w:r>
            <w:r w:rsidRPr="00FA53D8">
              <w:rPr>
                <w:rFonts w:ascii="Times New Roman" w:eastAsia="Times New Roman" w:hAnsi="Times New Roman" w:cs="Times New Roman"/>
                <w:sz w:val="24"/>
                <w:szCs w:val="24"/>
                <w:shd w:val="clear" w:color="auto" w:fill="FFFFFF"/>
                <w:lang w:eastAsia="ar-SA"/>
              </w:rPr>
              <w:t xml:space="preserve"> </w:t>
            </w:r>
            <w:r w:rsidR="00D94EB9" w:rsidRPr="00FA53D8">
              <w:rPr>
                <w:rFonts w:ascii="Times New Roman" w:eastAsia="Times New Roman" w:hAnsi="Times New Roman" w:cs="Times New Roman"/>
                <w:sz w:val="24"/>
                <w:szCs w:val="24"/>
                <w:shd w:val="clear" w:color="auto" w:fill="FFFFFF"/>
                <w:lang w:eastAsia="ar-SA"/>
              </w:rPr>
              <w:t>ne vėliau kaip per 10</w:t>
            </w:r>
            <w:r w:rsidRPr="00FA53D8">
              <w:rPr>
                <w:rFonts w:ascii="Times New Roman" w:eastAsia="Times New Roman" w:hAnsi="Times New Roman" w:cs="Times New Roman"/>
                <w:sz w:val="24"/>
                <w:szCs w:val="24"/>
                <w:shd w:val="clear" w:color="auto" w:fill="FFFFFF"/>
                <w:lang w:eastAsia="ar-SA"/>
              </w:rPr>
              <w:t xml:space="preserve"> </w:t>
            </w:r>
            <w:r w:rsidR="00D94EB9" w:rsidRPr="00FA53D8">
              <w:rPr>
                <w:rFonts w:ascii="Times New Roman" w:eastAsia="Times New Roman" w:hAnsi="Times New Roman" w:cs="Times New Roman"/>
                <w:sz w:val="24"/>
                <w:szCs w:val="24"/>
                <w:shd w:val="clear" w:color="auto" w:fill="FFFFFF"/>
                <w:lang w:eastAsia="ar-SA"/>
              </w:rPr>
              <w:t xml:space="preserve">(dešimt) </w:t>
            </w:r>
            <w:r w:rsidRPr="00FA53D8">
              <w:rPr>
                <w:rFonts w:ascii="Times New Roman" w:eastAsia="Times New Roman" w:hAnsi="Times New Roman" w:cs="Times New Roman"/>
                <w:sz w:val="24"/>
                <w:szCs w:val="24"/>
                <w:shd w:val="clear" w:color="auto" w:fill="FFFFFF"/>
                <w:lang w:eastAsia="ar-SA"/>
              </w:rPr>
              <w:t>darbo dien</w:t>
            </w:r>
            <w:r w:rsidR="00D94EB9" w:rsidRPr="00FA53D8">
              <w:rPr>
                <w:rFonts w:ascii="Times New Roman" w:eastAsia="Times New Roman" w:hAnsi="Times New Roman" w:cs="Times New Roman"/>
                <w:sz w:val="24"/>
                <w:szCs w:val="24"/>
                <w:shd w:val="clear" w:color="auto" w:fill="FFFFFF"/>
                <w:lang w:eastAsia="ar-SA"/>
              </w:rPr>
              <w:t>ų</w:t>
            </w:r>
            <w:r w:rsidRPr="00FA53D8">
              <w:rPr>
                <w:rFonts w:ascii="Times New Roman" w:eastAsia="Times New Roman" w:hAnsi="Times New Roman" w:cs="Times New Roman"/>
                <w:sz w:val="24"/>
                <w:szCs w:val="24"/>
                <w:shd w:val="clear" w:color="auto" w:fill="FFFFFF"/>
                <w:lang w:eastAsia="ar-SA"/>
              </w:rPr>
              <w:t xml:space="preserve"> </w:t>
            </w:r>
            <w:r w:rsidR="00C63D23" w:rsidRPr="00FA53D8">
              <w:rPr>
                <w:rFonts w:ascii="Times New Roman" w:eastAsia="Times New Roman" w:hAnsi="Times New Roman" w:cs="Times New Roman"/>
                <w:sz w:val="24"/>
                <w:szCs w:val="24"/>
                <w:shd w:val="clear" w:color="auto" w:fill="FFFFFF"/>
                <w:lang w:eastAsia="ar-SA"/>
              </w:rPr>
              <w:t xml:space="preserve">nuo </w:t>
            </w:r>
            <w:r w:rsidR="00957CA3" w:rsidRPr="00FA53D8">
              <w:rPr>
                <w:rFonts w:ascii="Times New Roman" w:eastAsia="Times New Roman" w:hAnsi="Times New Roman" w:cs="Times New Roman"/>
                <w:sz w:val="24"/>
                <w:szCs w:val="24"/>
                <w:shd w:val="clear" w:color="auto" w:fill="FFFFFF"/>
                <w:lang w:eastAsia="ar-SA"/>
              </w:rPr>
              <w:t xml:space="preserve">rašytinio Užsakovo pranešimo apie 2.1.1 papunktyje </w:t>
            </w:r>
            <w:r w:rsidR="001C3E67" w:rsidRPr="00FA53D8">
              <w:rPr>
                <w:rFonts w:ascii="Times New Roman" w:eastAsia="Times New Roman" w:hAnsi="Times New Roman" w:cs="Times New Roman"/>
                <w:sz w:val="24"/>
                <w:szCs w:val="24"/>
                <w:shd w:val="clear" w:color="auto" w:fill="FFFFFF"/>
                <w:lang w:eastAsia="ar-SA"/>
              </w:rPr>
              <w:t>sprendimo įsigaliojimą</w:t>
            </w:r>
            <w:r w:rsidR="00877741" w:rsidRPr="00FA53D8">
              <w:rPr>
                <w:rFonts w:ascii="Times New Roman" w:eastAsia="Times New Roman" w:hAnsi="Times New Roman" w:cs="Times New Roman"/>
                <w:sz w:val="24"/>
                <w:szCs w:val="24"/>
                <w:shd w:val="clear" w:color="auto" w:fill="FFFFFF"/>
                <w:lang w:eastAsia="ar-SA"/>
              </w:rPr>
              <w:t xml:space="preserve"> </w:t>
            </w:r>
            <w:r w:rsidR="00B57EB4" w:rsidRPr="00FA53D8">
              <w:rPr>
                <w:rFonts w:ascii="Times New Roman" w:eastAsia="Times New Roman" w:hAnsi="Times New Roman" w:cs="Times New Roman"/>
                <w:sz w:val="24"/>
                <w:szCs w:val="24"/>
                <w:shd w:val="clear" w:color="auto" w:fill="FFFFFF"/>
                <w:lang w:eastAsia="ar-SA"/>
              </w:rPr>
              <w:t>S</w:t>
            </w:r>
            <w:r w:rsidR="00C63D23" w:rsidRPr="00FA53D8">
              <w:rPr>
                <w:rFonts w:ascii="Times New Roman" w:eastAsia="Times New Roman" w:hAnsi="Times New Roman" w:cs="Times New Roman"/>
                <w:sz w:val="24"/>
                <w:szCs w:val="24"/>
                <w:shd w:val="clear" w:color="auto" w:fill="FFFFFF"/>
                <w:lang w:eastAsia="ar-SA"/>
              </w:rPr>
              <w:t>utarties pasirašymo dienos</w:t>
            </w:r>
            <w:r w:rsidR="001C3E67" w:rsidRPr="00FA53D8">
              <w:rPr>
                <w:rFonts w:ascii="Times New Roman" w:eastAsia="Times New Roman" w:hAnsi="Times New Roman" w:cs="Times New Roman"/>
                <w:sz w:val="24"/>
                <w:szCs w:val="24"/>
                <w:shd w:val="clear" w:color="auto" w:fill="FFFFFF"/>
                <w:lang w:eastAsia="ar-SA"/>
              </w:rPr>
              <w:t>. Jei Teikėjas per šį laikotarpį Sutarties</w:t>
            </w:r>
            <w:r w:rsidR="00622A54" w:rsidRPr="00FA53D8">
              <w:rPr>
                <w:rFonts w:ascii="Times New Roman" w:eastAsia="Times New Roman" w:hAnsi="Times New Roman" w:cs="Times New Roman"/>
                <w:sz w:val="24"/>
                <w:szCs w:val="24"/>
                <w:shd w:val="clear" w:color="auto" w:fill="FFFFFF"/>
                <w:lang w:eastAsia="ar-SA"/>
              </w:rPr>
              <w:t xml:space="preserve"> įvykdymo užtikrinimo </w:t>
            </w:r>
            <w:r w:rsidR="00B57EB4" w:rsidRPr="00FA53D8">
              <w:rPr>
                <w:rFonts w:ascii="Times New Roman" w:eastAsia="Times New Roman" w:hAnsi="Times New Roman" w:cs="Times New Roman"/>
                <w:sz w:val="24"/>
                <w:szCs w:val="24"/>
                <w:shd w:val="clear" w:color="auto" w:fill="FFFFFF"/>
                <w:lang w:eastAsia="ar-SA"/>
              </w:rPr>
              <w:t>Užsakovui</w:t>
            </w:r>
            <w:r w:rsidR="00622A54" w:rsidRPr="00FA53D8">
              <w:rPr>
                <w:rFonts w:ascii="Times New Roman" w:eastAsia="Times New Roman" w:hAnsi="Times New Roman" w:cs="Times New Roman"/>
                <w:sz w:val="24"/>
                <w:szCs w:val="24"/>
                <w:shd w:val="clear" w:color="auto" w:fill="FFFFFF"/>
                <w:lang w:eastAsia="ar-SA"/>
              </w:rPr>
              <w:t xml:space="preserve"> nepateikia, laikoma, kad Teikėjas atsisakė </w:t>
            </w:r>
            <w:r w:rsidR="00E004B4" w:rsidRPr="00FA53D8">
              <w:rPr>
                <w:rFonts w:ascii="Times New Roman" w:eastAsia="Times New Roman" w:hAnsi="Times New Roman" w:cs="Times New Roman"/>
                <w:sz w:val="24"/>
                <w:szCs w:val="24"/>
                <w:shd w:val="clear" w:color="auto" w:fill="FFFFFF"/>
                <w:lang w:eastAsia="ar-SA"/>
              </w:rPr>
              <w:t>sudaryti Sutartį.</w:t>
            </w:r>
          </w:p>
        </w:tc>
        <w:tc>
          <w:tcPr>
            <w:tcW w:w="1019" w:type="pct"/>
          </w:tcPr>
          <w:p w14:paraId="1A300B2B" w14:textId="77777777" w:rsidR="000B21E9" w:rsidRDefault="00D44449" w:rsidP="000B21E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 xml:space="preserve">Ne </w:t>
            </w:r>
            <w:proofErr w:type="spellStart"/>
            <w:r>
              <w:rPr>
                <w:rFonts w:ascii="Times New Roman" w:eastAsia="Times New Roman" w:hAnsi="Times New Roman" w:cs="Times New Roman"/>
                <w:sz w:val="24"/>
                <w:szCs w:val="24"/>
                <w:lang w:val="en-US" w:eastAsia="ar-SA"/>
              </w:rPr>
              <w:t>mažiau</w:t>
            </w:r>
            <w:proofErr w:type="spellEnd"/>
            <w:r>
              <w:rPr>
                <w:rFonts w:ascii="Times New Roman" w:eastAsia="Times New Roman" w:hAnsi="Times New Roman" w:cs="Times New Roman"/>
                <w:sz w:val="24"/>
                <w:szCs w:val="24"/>
                <w:lang w:val="en-US" w:eastAsia="ar-SA"/>
              </w:rPr>
              <w:t xml:space="preserve"> </w:t>
            </w:r>
            <w:proofErr w:type="spellStart"/>
            <w:r>
              <w:rPr>
                <w:rFonts w:ascii="Times New Roman" w:eastAsia="Times New Roman" w:hAnsi="Times New Roman" w:cs="Times New Roman"/>
                <w:sz w:val="24"/>
                <w:szCs w:val="24"/>
                <w:lang w:val="en-US" w:eastAsia="ar-SA"/>
              </w:rPr>
              <w:t>kaip</w:t>
            </w:r>
            <w:proofErr w:type="spellEnd"/>
            <w:r>
              <w:rPr>
                <w:rFonts w:ascii="Times New Roman" w:eastAsia="Times New Roman" w:hAnsi="Times New Roman" w:cs="Times New Roman"/>
                <w:sz w:val="24"/>
                <w:szCs w:val="24"/>
                <w:lang w:val="en-US" w:eastAsia="ar-SA"/>
              </w:rPr>
              <w:t xml:space="preserve"> </w:t>
            </w:r>
            <w:r w:rsidR="00C35565" w:rsidRPr="00D112D6">
              <w:rPr>
                <w:rFonts w:ascii="Times New Roman" w:eastAsia="Times New Roman" w:hAnsi="Times New Roman" w:cs="Times New Roman"/>
                <w:sz w:val="24"/>
                <w:szCs w:val="24"/>
                <w:lang w:val="en-US" w:eastAsia="ar-SA"/>
              </w:rPr>
              <w:t>10</w:t>
            </w:r>
            <w:r w:rsidR="006C34DE">
              <w:rPr>
                <w:rFonts w:ascii="Times New Roman" w:eastAsia="Times New Roman" w:hAnsi="Times New Roman" w:cs="Times New Roman"/>
                <w:sz w:val="24"/>
                <w:szCs w:val="24"/>
                <w:lang w:val="en-US" w:eastAsia="ar-SA"/>
              </w:rPr>
              <w:t xml:space="preserve"> </w:t>
            </w:r>
            <w:r w:rsidR="007925DF" w:rsidRPr="00B22AC6">
              <w:rPr>
                <w:rFonts w:ascii="Times New Roman" w:eastAsia="Times New Roman" w:hAnsi="Times New Roman" w:cs="Times New Roman"/>
                <w:sz w:val="24"/>
                <w:szCs w:val="24"/>
                <w:lang w:val="en-US" w:eastAsia="ar-SA"/>
              </w:rPr>
              <w:t xml:space="preserve">% </w:t>
            </w:r>
            <w:r w:rsidR="007925DF">
              <w:rPr>
                <w:rFonts w:ascii="Times New Roman" w:eastAsia="Times New Roman" w:hAnsi="Times New Roman" w:cs="Times New Roman"/>
                <w:sz w:val="24"/>
                <w:szCs w:val="24"/>
                <w:lang w:eastAsia="ar-SA"/>
              </w:rPr>
              <w:t>dešimt procentų</w:t>
            </w:r>
          </w:p>
          <w:p w14:paraId="40292F30" w14:textId="77777777" w:rsidR="005153DD" w:rsidRPr="005153DD" w:rsidRDefault="005153DD" w:rsidP="000B21E9">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nuo Sutarties kainos, Eur su PVM</w:t>
            </w:r>
          </w:p>
        </w:tc>
        <w:tc>
          <w:tcPr>
            <w:tcW w:w="1254" w:type="pct"/>
          </w:tcPr>
          <w:p w14:paraId="0704119E" w14:textId="75FDDFCA" w:rsidR="005B766C" w:rsidRPr="00795777" w:rsidRDefault="00EF61A7" w:rsidP="004308AC">
            <w:pPr>
              <w:suppressAutoHyphens/>
              <w:spacing w:after="0" w:line="240" w:lineRule="auto"/>
              <w:jc w:val="both"/>
              <w:rPr>
                <w:rFonts w:ascii="Times New Roman" w:eastAsia="Times New Roman" w:hAnsi="Times New Roman" w:cs="Times New Roman"/>
                <w:sz w:val="24"/>
                <w:szCs w:val="24"/>
                <w:lang w:eastAsia="lt-LT"/>
              </w:rPr>
            </w:pPr>
            <w:r w:rsidRPr="00795777">
              <w:rPr>
                <w:rFonts w:ascii="Times New Roman" w:eastAsia="Times New Roman" w:hAnsi="Times New Roman" w:cs="Times New Roman"/>
                <w:sz w:val="24"/>
                <w:szCs w:val="24"/>
                <w:lang w:eastAsia="lt-LT"/>
              </w:rPr>
              <w:t>Įsigalioja S</w:t>
            </w:r>
            <w:r w:rsidR="005153DD" w:rsidRPr="00795777">
              <w:rPr>
                <w:rFonts w:ascii="Times New Roman" w:eastAsia="Times New Roman" w:hAnsi="Times New Roman" w:cs="Times New Roman"/>
                <w:sz w:val="24"/>
                <w:szCs w:val="24"/>
                <w:lang w:eastAsia="lt-LT"/>
              </w:rPr>
              <w:t xml:space="preserve">utarties įvykdymo užtikrinimo išdavimo dieną arba jame nurodytą vėlesnę dieną ir galioja </w:t>
            </w:r>
            <w:r w:rsidR="007F7947" w:rsidRPr="00795777">
              <w:rPr>
                <w:rFonts w:ascii="Times New Roman" w:eastAsia="Times New Roman" w:hAnsi="Times New Roman" w:cs="Times New Roman"/>
                <w:sz w:val="24"/>
                <w:szCs w:val="24"/>
                <w:lang w:eastAsia="lt-LT"/>
              </w:rPr>
              <w:t>2</w:t>
            </w:r>
            <w:r w:rsidR="004A63BD" w:rsidRPr="00795777">
              <w:rPr>
                <w:rFonts w:ascii="Times New Roman" w:eastAsia="Times New Roman" w:hAnsi="Times New Roman" w:cs="Times New Roman"/>
                <w:sz w:val="24"/>
                <w:szCs w:val="24"/>
                <w:lang w:eastAsia="lt-LT"/>
              </w:rPr>
              <w:t>0</w:t>
            </w:r>
            <w:r w:rsidR="007F7947" w:rsidRPr="00795777">
              <w:rPr>
                <w:rFonts w:ascii="Times New Roman" w:eastAsia="Times New Roman" w:hAnsi="Times New Roman" w:cs="Times New Roman"/>
                <w:sz w:val="24"/>
                <w:szCs w:val="24"/>
                <w:lang w:eastAsia="lt-LT"/>
              </w:rPr>
              <w:t xml:space="preserve"> mėnes</w:t>
            </w:r>
            <w:r w:rsidR="004A63BD" w:rsidRPr="00795777">
              <w:rPr>
                <w:rFonts w:ascii="Times New Roman" w:eastAsia="Times New Roman" w:hAnsi="Times New Roman" w:cs="Times New Roman"/>
                <w:sz w:val="24"/>
                <w:szCs w:val="24"/>
                <w:lang w:eastAsia="lt-LT"/>
              </w:rPr>
              <w:t>ių</w:t>
            </w:r>
            <w:r w:rsidR="007F7947" w:rsidRPr="00795777">
              <w:rPr>
                <w:rFonts w:ascii="Times New Roman" w:eastAsia="Times New Roman" w:hAnsi="Times New Roman" w:cs="Times New Roman"/>
                <w:sz w:val="24"/>
                <w:szCs w:val="24"/>
                <w:lang w:eastAsia="lt-LT"/>
              </w:rPr>
              <w:t xml:space="preserve"> nuo Sutarties įsigaliojimo dienos. </w:t>
            </w:r>
          </w:p>
        </w:tc>
      </w:tr>
      <w:tr w:rsidR="000F6FDF" w:rsidRPr="005153DD" w14:paraId="27C56A3A" w14:textId="77777777" w:rsidTr="00BE4B85">
        <w:tc>
          <w:tcPr>
            <w:tcW w:w="1274" w:type="pct"/>
          </w:tcPr>
          <w:p w14:paraId="0FE7D61A" w14:textId="77777777" w:rsidR="000F6FDF" w:rsidRPr="005063F3" w:rsidRDefault="000F6FDF" w:rsidP="001A49AA">
            <w:pPr>
              <w:suppressAutoHyphens/>
              <w:spacing w:after="0" w:line="240" w:lineRule="auto"/>
              <w:rPr>
                <w:rFonts w:ascii="Times New Roman" w:eastAsia="Times New Roman" w:hAnsi="Times New Roman" w:cs="Times New Roman"/>
                <w:sz w:val="24"/>
                <w:szCs w:val="24"/>
                <w:lang w:eastAsia="ar-SA"/>
              </w:rPr>
            </w:pPr>
            <w:r w:rsidRPr="002940D9">
              <w:rPr>
                <w:rFonts w:ascii="Times New Roman" w:eastAsia="Times New Roman" w:hAnsi="Times New Roman" w:cs="Times New Roman"/>
                <w:sz w:val="24"/>
                <w:szCs w:val="24"/>
                <w:lang w:eastAsia="ar-SA"/>
              </w:rPr>
              <w:t xml:space="preserve">2. </w:t>
            </w:r>
            <w:r w:rsidRPr="005063F3">
              <w:rPr>
                <w:rFonts w:ascii="Times New Roman" w:eastAsia="Times New Roman" w:hAnsi="Times New Roman" w:cs="Times New Roman"/>
                <w:sz w:val="24"/>
                <w:szCs w:val="24"/>
                <w:lang w:eastAsia="ar-SA"/>
              </w:rPr>
              <w:t xml:space="preserve">Avansinio </w:t>
            </w:r>
            <w:bookmarkStart w:id="2" w:name="_Hlk34948036"/>
            <w:r w:rsidRPr="005063F3">
              <w:rPr>
                <w:rFonts w:ascii="Times New Roman" w:eastAsia="Times New Roman" w:hAnsi="Times New Roman" w:cs="Times New Roman"/>
                <w:sz w:val="24"/>
                <w:szCs w:val="24"/>
                <w:lang w:eastAsia="ar-SA"/>
              </w:rPr>
              <w:t xml:space="preserve">mokėjimo grąžinimo užtikrinimas </w:t>
            </w:r>
            <w:bookmarkEnd w:id="2"/>
            <w:r w:rsidRPr="005063F3">
              <w:rPr>
                <w:rFonts w:ascii="Times New Roman" w:eastAsia="Times New Roman" w:hAnsi="Times New Roman" w:cs="Times New Roman"/>
                <w:sz w:val="24"/>
                <w:szCs w:val="24"/>
                <w:lang w:eastAsia="ar-SA"/>
              </w:rPr>
              <w:t xml:space="preserve">(Lietuvos Respublikoje </w:t>
            </w:r>
            <w:r w:rsidRPr="005063F3">
              <w:rPr>
                <w:rFonts w:ascii="Times New Roman" w:eastAsia="Times New Roman" w:hAnsi="Times New Roman" w:cs="Times New Roman"/>
                <w:sz w:val="24"/>
                <w:szCs w:val="24"/>
                <w:lang w:eastAsia="ar-SA"/>
              </w:rPr>
              <w:lastRenderedPageBreak/>
              <w:t>ar užsienyje registruoto banko ar kredito unijos garantija arba draudimo bendrovės laidavimo draudimo liudijimas).</w:t>
            </w:r>
          </w:p>
          <w:p w14:paraId="4C0D58B8" w14:textId="77777777" w:rsidR="000F6FDF" w:rsidRPr="005063F3" w:rsidRDefault="000F6FDF" w:rsidP="001A49AA">
            <w:pPr>
              <w:suppressAutoHyphens/>
              <w:spacing w:after="0" w:line="240" w:lineRule="auto"/>
              <w:rPr>
                <w:rFonts w:ascii="Times New Roman" w:eastAsia="Times New Roman" w:hAnsi="Times New Roman" w:cs="Times New Roman"/>
                <w:sz w:val="24"/>
                <w:szCs w:val="24"/>
                <w:lang w:eastAsia="ar-SA"/>
              </w:rPr>
            </w:pPr>
            <w:r w:rsidRPr="005063F3">
              <w:rPr>
                <w:rFonts w:ascii="Times New Roman" w:eastAsia="Times New Roman" w:hAnsi="Times New Roman" w:cs="Times New Roman"/>
                <w:sz w:val="24"/>
                <w:szCs w:val="24"/>
                <w:lang w:eastAsia="ar-SA"/>
              </w:rPr>
              <w:t>Pateikiamas dokumento originalas.</w:t>
            </w:r>
          </w:p>
        </w:tc>
        <w:tc>
          <w:tcPr>
            <w:tcW w:w="1453" w:type="pct"/>
          </w:tcPr>
          <w:p w14:paraId="37116A4E" w14:textId="77777777" w:rsidR="000F6FDF" w:rsidRPr="00526FC1" w:rsidRDefault="000F6FDF" w:rsidP="001A49AA">
            <w:pPr>
              <w:suppressAutoHyphens/>
              <w:spacing w:after="0" w:line="240" w:lineRule="auto"/>
              <w:rPr>
                <w:rFonts w:ascii="Times New Roman" w:eastAsia="Times New Roman" w:hAnsi="Times New Roman" w:cs="Times New Roman"/>
                <w:sz w:val="24"/>
                <w:szCs w:val="24"/>
                <w:shd w:val="clear" w:color="auto" w:fill="FFFFFF"/>
                <w:lang w:eastAsia="ar-SA"/>
              </w:rPr>
            </w:pPr>
            <w:r w:rsidRPr="00526FC1">
              <w:rPr>
                <w:rFonts w:ascii="Times New Roman" w:hAnsi="Times New Roman" w:cs="Times New Roman"/>
                <w:sz w:val="24"/>
                <w:szCs w:val="24"/>
              </w:rPr>
              <w:lastRenderedPageBreak/>
              <w:t>Pateikiama</w:t>
            </w:r>
            <w:r>
              <w:rPr>
                <w:rFonts w:ascii="Times New Roman" w:hAnsi="Times New Roman" w:cs="Times New Roman"/>
                <w:sz w:val="24"/>
                <w:szCs w:val="24"/>
              </w:rPr>
              <w:t>s Užsakovui</w:t>
            </w:r>
            <w:r w:rsidRPr="00526FC1">
              <w:rPr>
                <w:rFonts w:ascii="Times New Roman" w:hAnsi="Times New Roman" w:cs="Times New Roman"/>
                <w:sz w:val="24"/>
                <w:szCs w:val="24"/>
              </w:rPr>
              <w:t xml:space="preserve"> kartu su avansinio mokėjimo sąskaita ir </w:t>
            </w:r>
            <w:r w:rsidRPr="00526FC1">
              <w:rPr>
                <w:rFonts w:ascii="Times New Roman" w:hAnsi="Times New Roman" w:cs="Times New Roman"/>
                <w:sz w:val="24"/>
                <w:szCs w:val="24"/>
              </w:rPr>
              <w:lastRenderedPageBreak/>
              <w:t xml:space="preserve">avanso poreikio pagrindimu.  </w:t>
            </w:r>
          </w:p>
        </w:tc>
        <w:tc>
          <w:tcPr>
            <w:tcW w:w="1019" w:type="pct"/>
          </w:tcPr>
          <w:p w14:paraId="3227F58C" w14:textId="77777777" w:rsidR="000F6FDF" w:rsidRPr="00EC0232" w:rsidRDefault="000F6FDF" w:rsidP="001A49AA">
            <w:pPr>
              <w:suppressAutoHyphens/>
              <w:spacing w:after="0" w:line="240" w:lineRule="auto"/>
              <w:jc w:val="both"/>
              <w:rPr>
                <w:rFonts w:ascii="Times New Roman" w:eastAsia="Times New Roman" w:hAnsi="Times New Roman" w:cs="Times New Roman"/>
                <w:sz w:val="24"/>
                <w:szCs w:val="24"/>
                <w:lang w:val="en-US" w:eastAsia="ar-SA"/>
              </w:rPr>
            </w:pPr>
            <w:r w:rsidRPr="00EC0232">
              <w:rPr>
                <w:rFonts w:ascii="Times New Roman" w:hAnsi="Times New Roman" w:cs="Times New Roman"/>
                <w:sz w:val="24"/>
                <w:szCs w:val="24"/>
              </w:rPr>
              <w:lastRenderedPageBreak/>
              <w:t>Visai avansinio mokėjimo sumai, Eur su PVM</w:t>
            </w:r>
          </w:p>
        </w:tc>
        <w:tc>
          <w:tcPr>
            <w:tcW w:w="1254" w:type="pct"/>
          </w:tcPr>
          <w:p w14:paraId="4203D313" w14:textId="5DC2825A" w:rsidR="000F6FDF" w:rsidRPr="00253057" w:rsidRDefault="000F6FDF" w:rsidP="004308AC">
            <w:pPr>
              <w:suppressAutoHyphens/>
              <w:spacing w:after="0" w:line="240" w:lineRule="auto"/>
              <w:jc w:val="both"/>
              <w:rPr>
                <w:rFonts w:ascii="Times New Roman" w:eastAsia="Times New Roman" w:hAnsi="Times New Roman" w:cs="Times New Roman"/>
                <w:sz w:val="24"/>
                <w:szCs w:val="24"/>
                <w:lang w:eastAsia="lt-LT"/>
              </w:rPr>
            </w:pPr>
            <w:r w:rsidRPr="00253057">
              <w:rPr>
                <w:rFonts w:ascii="Times New Roman" w:hAnsi="Times New Roman" w:cs="Times New Roman"/>
                <w:sz w:val="24"/>
                <w:szCs w:val="24"/>
              </w:rPr>
              <w:t xml:space="preserve">Įsigalioja avansinio mokėjimo grąžinimo užtikrinimo išdavimo </w:t>
            </w:r>
            <w:r w:rsidRPr="00253057">
              <w:rPr>
                <w:rFonts w:ascii="Times New Roman" w:hAnsi="Times New Roman" w:cs="Times New Roman"/>
                <w:sz w:val="24"/>
                <w:szCs w:val="24"/>
              </w:rPr>
              <w:lastRenderedPageBreak/>
              <w:t xml:space="preserve">dieną ir </w:t>
            </w:r>
            <w:r w:rsidRPr="00795777">
              <w:rPr>
                <w:rFonts w:ascii="Times New Roman" w:hAnsi="Times New Roman" w:cs="Times New Roman"/>
                <w:sz w:val="24"/>
                <w:szCs w:val="24"/>
              </w:rPr>
              <w:t xml:space="preserve">galioja </w:t>
            </w:r>
            <w:r w:rsidR="007F7947" w:rsidRPr="00795777">
              <w:rPr>
                <w:rFonts w:ascii="Times New Roman" w:hAnsi="Times New Roman" w:cs="Times New Roman"/>
                <w:sz w:val="24"/>
                <w:szCs w:val="24"/>
              </w:rPr>
              <w:t>2</w:t>
            </w:r>
            <w:r w:rsidR="004A63BD" w:rsidRPr="00795777">
              <w:rPr>
                <w:rFonts w:ascii="Times New Roman" w:hAnsi="Times New Roman" w:cs="Times New Roman"/>
                <w:sz w:val="24"/>
                <w:szCs w:val="24"/>
              </w:rPr>
              <w:t>0</w:t>
            </w:r>
            <w:r w:rsidR="007F7947" w:rsidRPr="00795777">
              <w:rPr>
                <w:rFonts w:ascii="Times New Roman" w:hAnsi="Times New Roman" w:cs="Times New Roman"/>
                <w:sz w:val="24"/>
                <w:szCs w:val="24"/>
              </w:rPr>
              <w:t xml:space="preserve"> mėnes</w:t>
            </w:r>
            <w:r w:rsidR="004A63BD" w:rsidRPr="00795777">
              <w:rPr>
                <w:rFonts w:ascii="Times New Roman" w:hAnsi="Times New Roman" w:cs="Times New Roman"/>
                <w:sz w:val="24"/>
                <w:szCs w:val="24"/>
              </w:rPr>
              <w:t>ių</w:t>
            </w:r>
            <w:r w:rsidR="007F7947" w:rsidRPr="00795777">
              <w:rPr>
                <w:rFonts w:ascii="Times New Roman" w:hAnsi="Times New Roman" w:cs="Times New Roman"/>
                <w:sz w:val="24"/>
                <w:szCs w:val="24"/>
              </w:rPr>
              <w:t xml:space="preserve"> nuo Sutarties įsigaliojimo dienos.</w:t>
            </w:r>
            <w:r w:rsidR="007F7947">
              <w:rPr>
                <w:rFonts w:ascii="Times New Roman" w:hAnsi="Times New Roman" w:cs="Times New Roman"/>
                <w:sz w:val="24"/>
                <w:szCs w:val="24"/>
              </w:rPr>
              <w:t xml:space="preserve"> </w:t>
            </w:r>
          </w:p>
        </w:tc>
      </w:tr>
    </w:tbl>
    <w:p w14:paraId="5B89033E"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324E4900" w14:textId="77777777" w:rsid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.2. Jeigu Teikėjas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005358ED"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 Sutarties įvykdymo užtikrinime turi būti nurodytos šios sąlygos:</w:t>
      </w:r>
    </w:p>
    <w:p w14:paraId="188719FF"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.2.1.1. Naudos gavėjas – Aplinkos apsaugos agentūra;</w:t>
      </w:r>
    </w:p>
    <w:p w14:paraId="11FD1153"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.2.1.2. Sutarties įvykdymo užtikrinimo pagrindas – įsipareigojimai pagal šią Sutartį;</w:t>
      </w:r>
    </w:p>
    <w:p w14:paraId="348E5C26"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.2.1.3. Garanto/draudiko neatšaukiamas įsipareigojimas per 7 darbo dienas sumokėti garantijoje/draudimo rašte nurodytą sumą, gavus raštišką reikalavimą, kuriame nurodyta, kad draudėjas/skolininkas pažeidė sutartinius įsipareigojimus, jeigu:</w:t>
      </w:r>
    </w:p>
    <w:p w14:paraId="5471F646"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draudėjas/skolininkas atsisakys suteikti Sutartyje numatytas paslaugas ir (ar)</w:t>
      </w:r>
    </w:p>
    <w:p w14:paraId="3301D0FE"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draudėjas/skolininkas praleis Sutartyje numatytus terminus paslaugų teikimui ir (ar)</w:t>
      </w:r>
    </w:p>
    <w:p w14:paraId="67BB79E3" w14:textId="77777777" w:rsidR="0072791A"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draudėjas/skolininkas </w:t>
      </w:r>
      <w:r w:rsidR="0072791A">
        <w:rPr>
          <w:rFonts w:ascii="Times New Roman" w:eastAsia="Times New Roman" w:hAnsi="Times New Roman" w:cs="Times New Roman"/>
          <w:sz w:val="24"/>
          <w:szCs w:val="24"/>
          <w:shd w:val="clear" w:color="auto" w:fill="FFFFFF"/>
          <w:lang w:eastAsia="ar-SA"/>
        </w:rPr>
        <w:t>suteiks paslaugas, neatitinkančias</w:t>
      </w:r>
      <w:r>
        <w:rPr>
          <w:rFonts w:ascii="Times New Roman" w:eastAsia="Times New Roman" w:hAnsi="Times New Roman" w:cs="Times New Roman"/>
          <w:sz w:val="24"/>
          <w:szCs w:val="24"/>
          <w:shd w:val="clear" w:color="auto" w:fill="FFFFFF"/>
          <w:lang w:eastAsia="ar-SA"/>
        </w:rPr>
        <w:t xml:space="preserve"> Sutart</w:t>
      </w:r>
      <w:r w:rsidR="0072791A">
        <w:rPr>
          <w:rFonts w:ascii="Times New Roman" w:eastAsia="Times New Roman" w:hAnsi="Times New Roman" w:cs="Times New Roman"/>
          <w:sz w:val="24"/>
          <w:szCs w:val="24"/>
          <w:shd w:val="clear" w:color="auto" w:fill="FFFFFF"/>
          <w:lang w:eastAsia="ar-SA"/>
        </w:rPr>
        <w:t>ies</w:t>
      </w:r>
      <w:r>
        <w:rPr>
          <w:rFonts w:ascii="Times New Roman" w:eastAsia="Times New Roman" w:hAnsi="Times New Roman" w:cs="Times New Roman"/>
          <w:sz w:val="24"/>
          <w:szCs w:val="24"/>
          <w:shd w:val="clear" w:color="auto" w:fill="FFFFFF"/>
          <w:lang w:eastAsia="ar-SA"/>
        </w:rPr>
        <w:t xml:space="preserve"> reikalavim</w:t>
      </w:r>
      <w:r w:rsidR="0072791A">
        <w:rPr>
          <w:rFonts w:ascii="Times New Roman" w:eastAsia="Times New Roman" w:hAnsi="Times New Roman" w:cs="Times New Roman"/>
          <w:sz w:val="24"/>
          <w:szCs w:val="24"/>
          <w:shd w:val="clear" w:color="auto" w:fill="FFFFFF"/>
          <w:lang w:eastAsia="ar-SA"/>
        </w:rPr>
        <w:t>ų.</w:t>
      </w:r>
      <w:r>
        <w:rPr>
          <w:rFonts w:ascii="Times New Roman" w:eastAsia="Times New Roman" w:hAnsi="Times New Roman" w:cs="Times New Roman"/>
          <w:sz w:val="24"/>
          <w:szCs w:val="24"/>
          <w:shd w:val="clear" w:color="auto" w:fill="FFFFFF"/>
          <w:lang w:eastAsia="ar-SA"/>
        </w:rPr>
        <w:t xml:space="preserve"> </w:t>
      </w:r>
    </w:p>
    <w:p w14:paraId="1E3FDC99"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.2.1.4. Sutarties įvykdymo užtikrinimas yra neperleistinas ir neįkeistinas;</w:t>
      </w:r>
    </w:p>
    <w:p w14:paraId="12FE98F9"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.2.1.5. Sutarties įvykdymo užtikrinimui yra taikoma Lietuvos Respublikos teisė;</w:t>
      </w:r>
    </w:p>
    <w:p w14:paraId="4C3F558F"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.2.1.6. Sutarties įvykdymo užtikrinimas baigiasi, kai:</w:t>
      </w:r>
    </w:p>
    <w:p w14:paraId="34C22545" w14:textId="77777777" w:rsidR="00031623" w:rsidRDefault="000E0533" w:rsidP="0003162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171C8523"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3C2C449D"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naudos gavėjas atsisako savo teisių pagal sutarties įvykdymo užtikrinimą ir grąžina jį draudikui/garantui arba raštu apie atsisakymą </w:t>
      </w:r>
      <w:r w:rsidR="00E55025">
        <w:rPr>
          <w:rFonts w:ascii="Times New Roman" w:eastAsia="Times New Roman" w:hAnsi="Times New Roman" w:cs="Times New Roman"/>
          <w:sz w:val="24"/>
          <w:szCs w:val="24"/>
          <w:shd w:val="clear" w:color="auto" w:fill="FFFFFF"/>
          <w:lang w:eastAsia="ar-SA"/>
        </w:rPr>
        <w:t xml:space="preserve">praneša </w:t>
      </w:r>
      <w:r>
        <w:rPr>
          <w:rFonts w:ascii="Times New Roman" w:eastAsia="Times New Roman" w:hAnsi="Times New Roman" w:cs="Times New Roman"/>
          <w:sz w:val="24"/>
          <w:szCs w:val="24"/>
          <w:shd w:val="clear" w:color="auto" w:fill="FFFFFF"/>
          <w:lang w:eastAsia="ar-SA"/>
        </w:rPr>
        <w:t>draudikui/garantui;</w:t>
      </w:r>
    </w:p>
    <w:p w14:paraId="09511E05" w14:textId="77777777" w:rsidR="006A2AA5" w:rsidRPr="00FA53D8" w:rsidRDefault="00E82CE7" w:rsidP="00FA53D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 xml:space="preserve">.2.1.7. Draudėjui/skolininkui įvykdžius sutartinius įsipareigojimus ar pasibaigus </w:t>
      </w:r>
      <w:r w:rsidR="000E7DF7">
        <w:rPr>
          <w:rFonts w:ascii="Times New Roman" w:eastAsia="Times New Roman" w:hAnsi="Times New Roman" w:cs="Times New Roman"/>
          <w:sz w:val="24"/>
          <w:szCs w:val="24"/>
          <w:shd w:val="clear" w:color="auto" w:fill="FFFFFF"/>
          <w:lang w:eastAsia="ar-SA"/>
        </w:rPr>
        <w:t>sutarties įvykdymo užtikrinimo galiojimui, Naudos gavėjas grąžina sutarties įvykdymo užtikrinimą Draudikui/garantui.</w:t>
      </w:r>
    </w:p>
    <w:p w14:paraId="07F95746" w14:textId="77777777" w:rsidR="00F836A7"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A53D8">
        <w:rPr>
          <w:rFonts w:ascii="Times New Roman" w:eastAsia="Times New Roman" w:hAnsi="Times New Roman" w:cs="Times New Roman"/>
          <w:sz w:val="24"/>
          <w:szCs w:val="24"/>
          <w:shd w:val="clear" w:color="auto" w:fill="FFFFFF"/>
          <w:lang w:eastAsia="ar-SA"/>
        </w:rPr>
        <w:t>4</w:t>
      </w:r>
      <w:r w:rsidR="005153DD" w:rsidRPr="00FA53D8">
        <w:rPr>
          <w:rFonts w:ascii="Times New Roman" w:eastAsia="Times New Roman" w:hAnsi="Times New Roman" w:cs="Times New Roman"/>
          <w:sz w:val="24"/>
          <w:szCs w:val="24"/>
          <w:shd w:val="clear" w:color="auto" w:fill="FFFFFF"/>
          <w:lang w:eastAsia="ar-SA"/>
        </w:rPr>
        <w:t xml:space="preserve">.3. </w:t>
      </w:r>
      <w:r w:rsidR="00FB1862" w:rsidRPr="00FA53D8">
        <w:rPr>
          <w:rFonts w:ascii="Times New Roman" w:eastAsia="Times New Roman" w:hAnsi="Times New Roman" w:cs="Times New Roman"/>
          <w:sz w:val="24"/>
          <w:szCs w:val="24"/>
          <w:shd w:val="clear" w:color="auto" w:fill="FFFFFF"/>
          <w:lang w:eastAsia="ar-SA"/>
        </w:rPr>
        <w:t>S</w:t>
      </w:r>
      <w:r w:rsidR="005153DD" w:rsidRPr="00FA53D8">
        <w:rPr>
          <w:rFonts w:ascii="Times New Roman" w:eastAsia="Times New Roman" w:hAnsi="Times New Roman" w:cs="Times New Roman"/>
          <w:sz w:val="24"/>
          <w:szCs w:val="24"/>
          <w:shd w:val="clear" w:color="auto" w:fill="FFFFFF"/>
          <w:lang w:eastAsia="ar-SA"/>
        </w:rPr>
        <w:t>utartinių</w:t>
      </w:r>
      <w:r w:rsidR="00551E46" w:rsidRPr="00FA53D8">
        <w:rPr>
          <w:rFonts w:ascii="Times New Roman" w:eastAsia="Times New Roman" w:hAnsi="Times New Roman" w:cs="Times New Roman"/>
          <w:sz w:val="24"/>
          <w:szCs w:val="24"/>
          <w:shd w:val="clear" w:color="auto" w:fill="FFFFFF"/>
          <w:lang w:eastAsia="ar-SA"/>
        </w:rPr>
        <w:t xml:space="preserve"> įsipareigojimų įvykdymo </w:t>
      </w:r>
      <w:r w:rsidR="00FB1862" w:rsidRPr="00FA53D8">
        <w:rPr>
          <w:rFonts w:ascii="Times New Roman" w:eastAsia="Times New Roman" w:hAnsi="Times New Roman" w:cs="Times New Roman"/>
          <w:sz w:val="24"/>
          <w:szCs w:val="24"/>
          <w:shd w:val="clear" w:color="auto" w:fill="FFFFFF"/>
          <w:lang w:eastAsia="ar-SA"/>
        </w:rPr>
        <w:t xml:space="preserve">terminas </w:t>
      </w:r>
      <w:r w:rsidR="00F836A7" w:rsidRPr="00FA53D8">
        <w:rPr>
          <w:rFonts w:ascii="Times New Roman" w:eastAsia="Times New Roman" w:hAnsi="Times New Roman" w:cs="Times New Roman"/>
          <w:sz w:val="24"/>
          <w:szCs w:val="24"/>
          <w:shd w:val="clear" w:color="auto" w:fill="FFFFFF"/>
          <w:lang w:eastAsia="ar-SA"/>
        </w:rPr>
        <w:t xml:space="preserve">gali būti </w:t>
      </w:r>
      <w:r w:rsidR="00FB1862" w:rsidRPr="00FA53D8">
        <w:rPr>
          <w:rFonts w:ascii="Times New Roman" w:eastAsia="Times New Roman" w:hAnsi="Times New Roman" w:cs="Times New Roman"/>
          <w:sz w:val="24"/>
          <w:szCs w:val="24"/>
          <w:shd w:val="clear" w:color="auto" w:fill="FFFFFF"/>
          <w:lang w:eastAsia="ar-SA"/>
        </w:rPr>
        <w:t>pratęsiamas</w:t>
      </w:r>
      <w:r w:rsidR="005153DD" w:rsidRPr="00FA53D8">
        <w:rPr>
          <w:rFonts w:ascii="Times New Roman" w:eastAsia="Times New Roman" w:hAnsi="Times New Roman" w:cs="Times New Roman"/>
          <w:sz w:val="24"/>
          <w:szCs w:val="24"/>
          <w:shd w:val="clear" w:color="auto" w:fill="FFFFFF"/>
          <w:lang w:eastAsia="ar-SA"/>
        </w:rPr>
        <w:t xml:space="preserve">, </w:t>
      </w:r>
      <w:r w:rsidR="00551E46" w:rsidRPr="00FA53D8">
        <w:rPr>
          <w:rFonts w:ascii="Times New Roman" w:eastAsia="Times New Roman" w:hAnsi="Times New Roman" w:cs="Times New Roman"/>
          <w:sz w:val="24"/>
          <w:szCs w:val="24"/>
          <w:shd w:val="clear" w:color="auto" w:fill="FFFFFF"/>
          <w:lang w:eastAsia="ar-SA"/>
        </w:rPr>
        <w:t>tik tada</w:t>
      </w:r>
      <w:r w:rsidR="00FB1862" w:rsidRPr="00FA53D8">
        <w:rPr>
          <w:rFonts w:ascii="Times New Roman" w:eastAsia="Times New Roman" w:hAnsi="Times New Roman" w:cs="Times New Roman"/>
          <w:sz w:val="24"/>
          <w:szCs w:val="24"/>
          <w:shd w:val="clear" w:color="auto" w:fill="FFFFFF"/>
          <w:lang w:eastAsia="ar-SA"/>
        </w:rPr>
        <w:t xml:space="preserve"> kai Užsakovui </w:t>
      </w:r>
      <w:r w:rsidR="00637CD8" w:rsidRPr="00FA53D8">
        <w:rPr>
          <w:rFonts w:ascii="Times New Roman" w:eastAsia="Times New Roman" w:hAnsi="Times New Roman" w:cs="Times New Roman"/>
          <w:sz w:val="24"/>
          <w:szCs w:val="24"/>
          <w:shd w:val="clear" w:color="auto" w:fill="FFFFFF"/>
          <w:lang w:eastAsia="ar-SA"/>
        </w:rPr>
        <w:t xml:space="preserve">pateikiamas </w:t>
      </w:r>
      <w:r w:rsidR="005153DD" w:rsidRPr="00FA53D8">
        <w:rPr>
          <w:rFonts w:ascii="Times New Roman" w:eastAsia="Times New Roman" w:hAnsi="Times New Roman" w:cs="Times New Roman"/>
          <w:sz w:val="24"/>
          <w:szCs w:val="24"/>
          <w:shd w:val="clear" w:color="auto" w:fill="FFFFFF"/>
          <w:lang w:eastAsia="ar-SA"/>
        </w:rPr>
        <w:t>pratęsta</w:t>
      </w:r>
      <w:r w:rsidR="00E31E50" w:rsidRPr="00FA53D8">
        <w:rPr>
          <w:rFonts w:ascii="Times New Roman" w:eastAsia="Times New Roman" w:hAnsi="Times New Roman" w:cs="Times New Roman"/>
          <w:sz w:val="24"/>
          <w:szCs w:val="24"/>
          <w:shd w:val="clear" w:color="auto" w:fill="FFFFFF"/>
          <w:lang w:eastAsia="ar-SA"/>
        </w:rPr>
        <w:t>s Sutarties įvykdymo užtikrinim</w:t>
      </w:r>
      <w:r w:rsidR="006A2AA5" w:rsidRPr="00FA53D8">
        <w:rPr>
          <w:rFonts w:ascii="Times New Roman" w:eastAsia="Times New Roman" w:hAnsi="Times New Roman" w:cs="Times New Roman"/>
          <w:sz w:val="24"/>
          <w:szCs w:val="24"/>
          <w:shd w:val="clear" w:color="auto" w:fill="FFFFFF"/>
          <w:lang w:eastAsia="ar-SA"/>
        </w:rPr>
        <w:t>as</w:t>
      </w:r>
      <w:r w:rsidR="005153DD" w:rsidRPr="00FA53D8">
        <w:rPr>
          <w:rFonts w:ascii="Times New Roman" w:eastAsia="Times New Roman" w:hAnsi="Times New Roman" w:cs="Times New Roman"/>
          <w:sz w:val="24"/>
          <w:szCs w:val="24"/>
          <w:shd w:val="clear" w:color="auto" w:fill="FFFFFF"/>
          <w:lang w:eastAsia="ar-SA"/>
        </w:rPr>
        <w:t xml:space="preserve"> </w:t>
      </w:r>
      <w:r w:rsidR="00F836A7" w:rsidRPr="00FA53D8">
        <w:rPr>
          <w:rFonts w:ascii="Times New Roman" w:eastAsia="Times New Roman" w:hAnsi="Times New Roman" w:cs="Times New Roman"/>
          <w:sz w:val="24"/>
          <w:szCs w:val="24"/>
          <w:shd w:val="clear" w:color="auto" w:fill="FFFFFF"/>
          <w:lang w:eastAsia="ar-SA"/>
        </w:rPr>
        <w:t>arba pateikiamas</w:t>
      </w:r>
      <w:r w:rsidR="005153DD" w:rsidRPr="00FA53D8">
        <w:rPr>
          <w:rFonts w:ascii="Times New Roman" w:eastAsia="Times New Roman" w:hAnsi="Times New Roman" w:cs="Times New Roman"/>
          <w:sz w:val="24"/>
          <w:szCs w:val="24"/>
          <w:shd w:val="clear" w:color="auto" w:fill="FFFFFF"/>
          <w:lang w:eastAsia="ar-SA"/>
        </w:rPr>
        <w:t>(-i) naujas(-i) nurodytas (-i) sutartinių įsipareigojimų įvykdymo užtikrinimas (-ai) tai pačiai sumai.</w:t>
      </w:r>
      <w:r w:rsidR="00C17B96">
        <w:rPr>
          <w:rFonts w:ascii="Times New Roman" w:eastAsia="Times New Roman" w:hAnsi="Times New Roman" w:cs="Times New Roman"/>
          <w:sz w:val="24"/>
          <w:szCs w:val="24"/>
          <w:shd w:val="clear" w:color="auto" w:fill="FFFFFF"/>
          <w:lang w:eastAsia="ar-SA"/>
        </w:rPr>
        <w:t xml:space="preserve"> </w:t>
      </w:r>
    </w:p>
    <w:p w14:paraId="0395C76A" w14:textId="77777777" w:rsid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.4. Pasibaigus </w:t>
      </w: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.1 ir </w:t>
      </w: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.3 papunkčiuose nurodyto užtikrinimo galiojimo terminui, </w:t>
      </w:r>
      <w:r w:rsidR="00B53B4B">
        <w:rPr>
          <w:rFonts w:ascii="Times New Roman" w:eastAsia="Times New Roman" w:hAnsi="Times New Roman" w:cs="Times New Roman"/>
          <w:sz w:val="24"/>
          <w:szCs w:val="24"/>
          <w:shd w:val="clear" w:color="auto" w:fill="FFFFFF"/>
          <w:lang w:eastAsia="ar-SA"/>
        </w:rPr>
        <w:t>Užsakovas</w:t>
      </w:r>
      <w:r w:rsidR="005153DD" w:rsidRPr="005153DD">
        <w:rPr>
          <w:rFonts w:ascii="Times New Roman" w:eastAsia="Times New Roman" w:hAnsi="Times New Roman" w:cs="Times New Roman"/>
          <w:sz w:val="24"/>
          <w:szCs w:val="24"/>
          <w:shd w:val="clear" w:color="auto" w:fill="FFFFFF"/>
          <w:lang w:eastAsia="ar-SA"/>
        </w:rPr>
        <w:t xml:space="preserve"> per 10 (dešimt) dienų nuo Teikėjo prašymo gavimo dienos grąžina Teikėjui banko</w:t>
      </w:r>
      <w:r w:rsidR="00971210">
        <w:rPr>
          <w:rFonts w:ascii="Times New Roman" w:eastAsia="Times New Roman" w:hAnsi="Times New Roman" w:cs="Times New Roman"/>
          <w:sz w:val="24"/>
          <w:szCs w:val="24"/>
          <w:shd w:val="clear" w:color="auto" w:fill="FFFFFF"/>
          <w:lang w:eastAsia="ar-SA"/>
        </w:rPr>
        <w:t>, kredito unijos</w:t>
      </w:r>
      <w:r w:rsidR="005153DD" w:rsidRPr="005153DD">
        <w:rPr>
          <w:rFonts w:ascii="Times New Roman" w:eastAsia="Times New Roman" w:hAnsi="Times New Roman" w:cs="Times New Roman"/>
          <w:sz w:val="24"/>
          <w:szCs w:val="24"/>
          <w:shd w:val="clear" w:color="auto" w:fill="FFFFFF"/>
          <w:lang w:eastAsia="ar-SA"/>
        </w:rPr>
        <w:t xml:space="preserve"> arba draudimo kompanijos laidavimą, jį išsiųsdama</w:t>
      </w:r>
      <w:r w:rsidR="003A3B74">
        <w:rPr>
          <w:rFonts w:ascii="Times New Roman" w:eastAsia="Times New Roman" w:hAnsi="Times New Roman" w:cs="Times New Roman"/>
          <w:sz w:val="24"/>
          <w:szCs w:val="24"/>
          <w:shd w:val="clear" w:color="auto" w:fill="FFFFFF"/>
          <w:lang w:eastAsia="ar-SA"/>
        </w:rPr>
        <w:t>s</w:t>
      </w:r>
      <w:r w:rsidR="005153DD" w:rsidRPr="005153DD">
        <w:rPr>
          <w:rFonts w:ascii="Times New Roman" w:eastAsia="Times New Roman" w:hAnsi="Times New Roman" w:cs="Times New Roman"/>
          <w:sz w:val="24"/>
          <w:szCs w:val="24"/>
          <w:shd w:val="clear" w:color="auto" w:fill="FFFFFF"/>
          <w:lang w:eastAsia="ar-SA"/>
        </w:rPr>
        <w:t xml:space="preserve"> registruotu paštu arba įteikia Teikėjui ar jo atstovui</w:t>
      </w:r>
      <w:r w:rsidR="002469DF">
        <w:rPr>
          <w:rFonts w:ascii="Times New Roman" w:eastAsia="Times New Roman" w:hAnsi="Times New Roman" w:cs="Times New Roman"/>
          <w:sz w:val="24"/>
          <w:szCs w:val="24"/>
          <w:shd w:val="clear" w:color="auto" w:fill="FFFFFF"/>
          <w:lang w:eastAsia="ar-SA"/>
        </w:rPr>
        <w:t xml:space="preserve"> jam atvykus į </w:t>
      </w:r>
      <w:r w:rsidR="00AB3C50">
        <w:rPr>
          <w:rFonts w:ascii="Times New Roman" w:eastAsia="Times New Roman" w:hAnsi="Times New Roman" w:cs="Times New Roman"/>
          <w:sz w:val="24"/>
          <w:szCs w:val="24"/>
          <w:shd w:val="clear" w:color="auto" w:fill="FFFFFF"/>
          <w:lang w:eastAsia="ar-SA"/>
        </w:rPr>
        <w:t>Užsakovo buveinę</w:t>
      </w:r>
      <w:r w:rsidR="005153DD" w:rsidRPr="005153DD">
        <w:rPr>
          <w:rFonts w:ascii="Times New Roman" w:eastAsia="Times New Roman" w:hAnsi="Times New Roman" w:cs="Times New Roman"/>
          <w:sz w:val="24"/>
          <w:szCs w:val="24"/>
          <w:shd w:val="clear" w:color="auto" w:fill="FFFFFF"/>
          <w:lang w:eastAsia="ar-SA"/>
        </w:rPr>
        <w:t>.</w:t>
      </w:r>
    </w:p>
    <w:p w14:paraId="240FDCB7" w14:textId="77777777" w:rsidR="00A1535A" w:rsidRDefault="00A1535A"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F931C98" w14:textId="77777777" w:rsid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5</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ŠALIŲ TEISĖS IR PAREIGOS</w:t>
      </w:r>
    </w:p>
    <w:p w14:paraId="19BCAAF8" w14:textId="77777777" w:rsidR="00E82CE7" w:rsidRPr="005153DD" w:rsidRDefault="00E82CE7" w:rsidP="00E82CE7">
      <w:pPr>
        <w:suppressAutoHyphens/>
        <w:spacing w:after="0" w:line="240" w:lineRule="auto"/>
        <w:rPr>
          <w:rFonts w:ascii="Times New Roman" w:eastAsia="Times New Roman" w:hAnsi="Times New Roman" w:cs="Times New Roman"/>
          <w:sz w:val="24"/>
          <w:szCs w:val="24"/>
          <w:lang w:eastAsia="ar-SA"/>
        </w:rPr>
      </w:pPr>
    </w:p>
    <w:p w14:paraId="75F7A4F6"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 Teikėjo pareigos:</w:t>
      </w:r>
    </w:p>
    <w:p w14:paraId="38806C66"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5.1.1. teikti paslaugas laiku, kokybiškas ir atitinkančias Sutartyje nustatytus reikalavimus;</w:t>
      </w:r>
    </w:p>
    <w:p w14:paraId="31CB68C9"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637FB7CA"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35BAB93E"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lastRenderedPageBreak/>
        <w:t xml:space="preserve">5.1.4. </w:t>
      </w:r>
      <w:r w:rsidR="00E55025" w:rsidRPr="001D1D5F">
        <w:rPr>
          <w:rFonts w:ascii="Times New Roman" w:eastAsia="Times New Roman" w:hAnsi="Times New Roman" w:cs="Times New Roman"/>
          <w:sz w:val="24"/>
          <w:szCs w:val="24"/>
          <w:shd w:val="clear" w:color="auto" w:fill="FFFFFF"/>
          <w:lang w:eastAsia="ar-SA"/>
        </w:rPr>
        <w:t>nedels</w:t>
      </w:r>
      <w:r w:rsidR="00E55025">
        <w:rPr>
          <w:rFonts w:ascii="Times New Roman" w:eastAsia="Times New Roman" w:hAnsi="Times New Roman" w:cs="Times New Roman"/>
          <w:sz w:val="24"/>
          <w:szCs w:val="24"/>
          <w:shd w:val="clear" w:color="auto" w:fill="FFFFFF"/>
          <w:lang w:eastAsia="ar-SA"/>
        </w:rPr>
        <w:t>iant</w:t>
      </w:r>
      <w:r w:rsidR="00E55025" w:rsidRPr="001D1D5F">
        <w:rPr>
          <w:rFonts w:ascii="Times New Roman" w:eastAsia="Times New Roman" w:hAnsi="Times New Roman" w:cs="Times New Roman"/>
          <w:sz w:val="24"/>
          <w:szCs w:val="24"/>
          <w:shd w:val="clear" w:color="auto" w:fill="FFFFFF"/>
          <w:lang w:eastAsia="ar-SA"/>
        </w:rPr>
        <w:t xml:space="preserve"> </w:t>
      </w:r>
      <w:r w:rsidRPr="001D1D5F">
        <w:rPr>
          <w:rFonts w:ascii="Times New Roman" w:eastAsia="Times New Roman" w:hAnsi="Times New Roman" w:cs="Times New Roman"/>
          <w:sz w:val="24"/>
          <w:szCs w:val="24"/>
          <w:shd w:val="clear" w:color="auto" w:fill="FFFFFF"/>
          <w:lang w:eastAsia="ar-SA"/>
        </w:rPr>
        <w:t>raštu informuoti Užsakovą apie bet kurias aplinkybes, kurios trukdo ar gali sutrukdyti Teikėjui teikti Paslaugas;</w:t>
      </w:r>
    </w:p>
    <w:p w14:paraId="576158D6"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4C99F75D"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5.1.6.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49B37AA9"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5.2. Teikėjo teisės:</w:t>
      </w:r>
    </w:p>
    <w:p w14:paraId="05757100" w14:textId="77777777"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057CCB0B" w14:textId="77777777"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5.2.2. kit</w:t>
      </w:r>
      <w:r w:rsidR="00E55025">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teis</w:t>
      </w:r>
      <w:r w:rsidR="00E55025">
        <w:rPr>
          <w:rFonts w:ascii="Times New Roman" w:eastAsia="Times New Roman" w:hAnsi="Times New Roman" w:cs="Times New Roman"/>
          <w:sz w:val="24"/>
          <w:szCs w:val="24"/>
          <w:shd w:val="clear" w:color="auto" w:fill="FFFFFF"/>
          <w:lang w:eastAsia="ar-SA"/>
        </w:rPr>
        <w:t>ė</w:t>
      </w:r>
      <w:r w:rsidRPr="001D1D5F">
        <w:rPr>
          <w:rFonts w:ascii="Times New Roman" w:eastAsia="Times New Roman" w:hAnsi="Times New Roman" w:cs="Times New Roman"/>
          <w:sz w:val="24"/>
          <w:szCs w:val="24"/>
          <w:shd w:val="clear" w:color="auto" w:fill="FFFFFF"/>
          <w:lang w:eastAsia="ar-SA"/>
        </w:rPr>
        <w:t>s</w:t>
      </w:r>
      <w:r w:rsidR="00E55025">
        <w:rPr>
          <w:rFonts w:ascii="Times New Roman" w:eastAsia="Times New Roman" w:hAnsi="Times New Roman" w:cs="Times New Roman"/>
          <w:sz w:val="24"/>
          <w:szCs w:val="24"/>
          <w:shd w:val="clear" w:color="auto" w:fill="FFFFFF"/>
          <w:lang w:eastAsia="ar-SA"/>
        </w:rPr>
        <w:t>,</w:t>
      </w:r>
      <w:r w:rsidRPr="001D1D5F">
        <w:rPr>
          <w:rFonts w:ascii="Times New Roman" w:eastAsia="Times New Roman" w:hAnsi="Times New Roman" w:cs="Times New Roman"/>
          <w:sz w:val="24"/>
          <w:szCs w:val="24"/>
          <w:shd w:val="clear" w:color="auto" w:fill="FFFFFF"/>
          <w:lang w:eastAsia="ar-SA"/>
        </w:rPr>
        <w:t xml:space="preserve"> nustatyt</w:t>
      </w:r>
      <w:r w:rsidR="00E55025">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1F8627C2"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 Užsakovo pareigos:</w:t>
      </w:r>
    </w:p>
    <w:p w14:paraId="78B0113E"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5.3.1. teikti Teikėjui pagal kompetenciją informaciją ar dokumentus, būtinus Paslaugoms suteikti;</w:t>
      </w:r>
    </w:p>
    <w:p w14:paraId="15927A93"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5.3.2. paslaugų perdavimo–priėmimo aktu priimti iš </w:t>
      </w:r>
      <w:r w:rsidRPr="001D1D5F">
        <w:rPr>
          <w:rFonts w:ascii="Times New Roman" w:eastAsia="Times New Roman" w:hAnsi="Times New Roman" w:cs="Times New Roman"/>
          <w:sz w:val="24"/>
          <w:szCs w:val="24"/>
          <w:lang w:eastAsia="ar-SA"/>
        </w:rPr>
        <w:t xml:space="preserve">Teikėjo </w:t>
      </w:r>
      <w:r w:rsidRPr="001D1D5F">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2F752767" w14:textId="77777777" w:rsidR="0031119F" w:rsidRDefault="00E82CE7" w:rsidP="0031119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r w:rsidR="0031119F" w:rsidRPr="0031119F">
        <w:rPr>
          <w:rFonts w:ascii="Times New Roman" w:eastAsia="Times New Roman" w:hAnsi="Times New Roman" w:cs="Times New Roman"/>
          <w:sz w:val="24"/>
          <w:szCs w:val="24"/>
          <w:shd w:val="clear" w:color="auto" w:fill="FFFFFF"/>
          <w:lang w:eastAsia="ar-SA"/>
        </w:rPr>
        <w:t xml:space="preserve"> </w:t>
      </w:r>
    </w:p>
    <w:p w14:paraId="3C7577A1" w14:textId="77777777" w:rsidR="00E82CE7" w:rsidRPr="001D1D5F" w:rsidRDefault="0031119F" w:rsidP="0031119F">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606D8">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3.4.</w:t>
      </w:r>
      <w:r w:rsidRPr="003606D8">
        <w:rPr>
          <w:rFonts w:ascii="Times New Roman" w:eastAsia="Times New Roman" w:hAnsi="Times New Roman" w:cs="Times New Roman"/>
          <w:sz w:val="24"/>
          <w:szCs w:val="24"/>
          <w:shd w:val="clear" w:color="auto" w:fill="FFFFFF"/>
          <w:lang w:eastAsia="ar-SA"/>
        </w:rPr>
        <w:t xml:space="preserve"> neatskleisti trečiosioms šalims informacijos, kurią Teikėjas nurodė kaip konfidencialią (konfidencialios informacijos samprata apibrėžta Lietuvos Respublikos civilinio kodekso 1.116 str.)</w:t>
      </w:r>
      <w:r w:rsidRPr="00CD3905">
        <w:rPr>
          <w:rFonts w:ascii="Times New Roman" w:eastAsia="Times New Roman" w:hAnsi="Times New Roman" w:cs="Times New Roman"/>
          <w:sz w:val="24"/>
          <w:szCs w:val="24"/>
          <w:shd w:val="clear" w:color="auto" w:fill="FFFFFF"/>
          <w:lang w:eastAsia="ar-SA"/>
        </w:rPr>
        <w:t>.</w:t>
      </w:r>
    </w:p>
    <w:p w14:paraId="017B33D5"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w:t>
      </w:r>
      <w:r w:rsidR="00E029D5">
        <w:rPr>
          <w:rFonts w:ascii="Times New Roman" w:eastAsia="Times New Roman" w:hAnsi="Times New Roman" w:cs="Times New Roman"/>
          <w:sz w:val="24"/>
          <w:szCs w:val="24"/>
          <w:shd w:val="clear" w:color="auto" w:fill="FFFFFF"/>
          <w:lang w:eastAsia="ar-SA"/>
        </w:rPr>
        <w:t>5</w:t>
      </w:r>
      <w:r w:rsidRPr="001D1D5F">
        <w:rPr>
          <w:rFonts w:ascii="Times New Roman" w:eastAsia="Times New Roman" w:hAnsi="Times New Roman" w:cs="Times New Roman"/>
          <w:sz w:val="24"/>
          <w:szCs w:val="24"/>
          <w:shd w:val="clear" w:color="auto" w:fill="FFFFFF"/>
          <w:lang w:eastAsia="ar-SA"/>
        </w:rPr>
        <w:t>. vykdyti kitus savo įsipareigojimus pagal Sutartį.</w:t>
      </w:r>
    </w:p>
    <w:p w14:paraId="6E802BC5"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5.4. Užsakovo teisės:</w:t>
      </w:r>
    </w:p>
    <w:p w14:paraId="461C2A04" w14:textId="77777777"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5.4.1. teikti pretenzijas Teikėjui dėl Paslaugų kokybės;</w:t>
      </w:r>
    </w:p>
    <w:p w14:paraId="4184ADCD" w14:textId="77777777" w:rsidR="00E82CE7"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5.4.</w:t>
      </w:r>
      <w:r w:rsidR="00C21FF8">
        <w:rPr>
          <w:rFonts w:ascii="Times New Roman" w:eastAsia="Times New Roman" w:hAnsi="Times New Roman" w:cs="Times New Roman"/>
          <w:sz w:val="24"/>
          <w:szCs w:val="24"/>
          <w:shd w:val="clear" w:color="auto" w:fill="FFFFFF"/>
          <w:lang w:eastAsia="ar-SA"/>
        </w:rPr>
        <w:t>2</w:t>
      </w:r>
      <w:r w:rsidRPr="001D1D5F">
        <w:rPr>
          <w:rFonts w:ascii="Times New Roman" w:eastAsia="Times New Roman" w:hAnsi="Times New Roman" w:cs="Times New Roman"/>
          <w:sz w:val="24"/>
          <w:szCs w:val="24"/>
          <w:shd w:val="clear" w:color="auto" w:fill="FFFFFF"/>
          <w:lang w:eastAsia="ar-SA"/>
        </w:rPr>
        <w:t>. teikti pastabas Teikėjui bei nurodymus, pateikti papildomus dokumentus ar instrukcijas ir reikalauti, kad į jas būtų atsižvelgta, jei tai būtina tinkamai įvykdyti Sutartį ir (ar) jos įgyvendinimo metu iškilusiems trūkumams pašalinti;</w:t>
      </w:r>
    </w:p>
    <w:p w14:paraId="1A0C5CDA"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w:t>
      </w:r>
      <w:r w:rsidR="00E029D5">
        <w:rPr>
          <w:rFonts w:ascii="Times New Roman" w:eastAsia="Times New Roman" w:hAnsi="Times New Roman" w:cs="Times New Roman"/>
          <w:sz w:val="24"/>
          <w:szCs w:val="24"/>
          <w:shd w:val="clear" w:color="auto" w:fill="FFFFFF"/>
          <w:lang w:eastAsia="ar-SA"/>
        </w:rPr>
        <w:t>5</w:t>
      </w:r>
      <w:r w:rsidRPr="001D1D5F">
        <w:rPr>
          <w:rFonts w:ascii="Times New Roman" w:eastAsia="Times New Roman" w:hAnsi="Times New Roman" w:cs="Times New Roman"/>
          <w:sz w:val="24"/>
          <w:szCs w:val="24"/>
          <w:shd w:val="clear" w:color="auto" w:fill="FFFFFF"/>
          <w:lang w:eastAsia="ar-SA"/>
        </w:rPr>
        <w:t>. kit</w:t>
      </w:r>
      <w:r w:rsidR="000C7484">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teis</w:t>
      </w:r>
      <w:r w:rsidR="000C7484">
        <w:rPr>
          <w:rFonts w:ascii="Times New Roman" w:eastAsia="Times New Roman" w:hAnsi="Times New Roman" w:cs="Times New Roman"/>
          <w:sz w:val="24"/>
          <w:szCs w:val="24"/>
          <w:shd w:val="clear" w:color="auto" w:fill="FFFFFF"/>
          <w:lang w:eastAsia="ar-SA"/>
        </w:rPr>
        <w:t>ė</w:t>
      </w:r>
      <w:r w:rsidRPr="001D1D5F">
        <w:rPr>
          <w:rFonts w:ascii="Times New Roman" w:eastAsia="Times New Roman" w:hAnsi="Times New Roman" w:cs="Times New Roman"/>
          <w:sz w:val="24"/>
          <w:szCs w:val="24"/>
          <w:shd w:val="clear" w:color="auto" w:fill="FFFFFF"/>
          <w:lang w:eastAsia="ar-SA"/>
        </w:rPr>
        <w:t>s, numatyt</w:t>
      </w:r>
      <w:r w:rsidR="000C7484">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6752E6B1" w14:textId="77777777" w:rsidR="00013587" w:rsidRPr="005153DD" w:rsidRDefault="0001358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26909C9" w14:textId="77777777" w:rsidR="004A68F8" w:rsidRPr="005153DD" w:rsidRDefault="00E82CE7" w:rsidP="004D0D67">
      <w:pPr>
        <w:tabs>
          <w:tab w:val="left" w:pos="851"/>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6</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SUB</w:t>
      </w:r>
      <w:r w:rsidR="00FF0BBD">
        <w:rPr>
          <w:rFonts w:ascii="Times New Roman" w:eastAsia="Calibri" w:hAnsi="Times New Roman" w:cs="Times New Roman"/>
          <w:b/>
          <w:bCs/>
          <w:sz w:val="24"/>
        </w:rPr>
        <w:t>T</w:t>
      </w:r>
      <w:r w:rsidR="00306BD6">
        <w:rPr>
          <w:rFonts w:ascii="Times New Roman" w:eastAsia="Calibri" w:hAnsi="Times New Roman" w:cs="Times New Roman"/>
          <w:b/>
          <w:bCs/>
          <w:sz w:val="24"/>
        </w:rPr>
        <w:t>EI</w:t>
      </w:r>
      <w:r w:rsidR="005153DD" w:rsidRPr="005153DD">
        <w:rPr>
          <w:rFonts w:ascii="Times New Roman" w:eastAsia="Calibri" w:hAnsi="Times New Roman" w:cs="Times New Roman"/>
          <w:b/>
          <w:bCs/>
          <w:sz w:val="24"/>
        </w:rPr>
        <w:t>KĖJAI IR JŲ KEITIMO</w:t>
      </w:r>
      <w:r w:rsidR="00BE4B85">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TVARKA</w:t>
      </w:r>
      <w:r w:rsidR="00FA6243">
        <w:rPr>
          <w:rFonts w:ascii="Times New Roman" w:eastAsia="Calibri" w:hAnsi="Times New Roman" w:cs="Times New Roman"/>
          <w:b/>
          <w:bCs/>
          <w:sz w:val="24"/>
        </w:rPr>
        <w:t xml:space="preserve"> </w:t>
      </w:r>
      <w:r w:rsidR="00BE4B85">
        <w:rPr>
          <w:rFonts w:ascii="Times New Roman" w:eastAsia="Calibri" w:hAnsi="Times New Roman" w:cs="Times New Roman"/>
          <w:b/>
          <w:bCs/>
          <w:sz w:val="24"/>
        </w:rPr>
        <w:br/>
      </w:r>
    </w:p>
    <w:p w14:paraId="42A95D07"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77500B">
        <w:rPr>
          <w:rFonts w:ascii="Times New Roman" w:eastAsia="Times New Roman" w:hAnsi="Times New Roman" w:cs="Times New Roman"/>
          <w:sz w:val="24"/>
          <w:szCs w:val="24"/>
          <w:shd w:val="clear" w:color="auto" w:fill="FFFFFF"/>
          <w:lang w:eastAsia="ar-SA"/>
        </w:rPr>
        <w:t xml:space="preserve">.1 Susitarimas, pagal kurį </w:t>
      </w:r>
      <w:r w:rsidR="0077500B">
        <w:rPr>
          <w:rFonts w:ascii="Times New Roman" w:eastAsia="Times New Roman" w:hAnsi="Times New Roman" w:cs="Times New Roman"/>
          <w:sz w:val="24"/>
          <w:szCs w:val="24"/>
          <w:lang w:eastAsia="ar-SA"/>
        </w:rPr>
        <w:t xml:space="preserve">Teikėjas </w:t>
      </w:r>
      <w:r w:rsidR="0077500B">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0077500B">
        <w:rPr>
          <w:rFonts w:ascii="Times New Roman" w:eastAsia="Times New Roman" w:hAnsi="Times New Roman" w:cs="Times New Roman"/>
          <w:sz w:val="24"/>
          <w:szCs w:val="24"/>
          <w:shd w:val="clear" w:color="auto" w:fill="FFFFFF"/>
          <w:lang w:eastAsia="ar-SA"/>
        </w:rPr>
        <w:t>subteikimu</w:t>
      </w:r>
      <w:proofErr w:type="spellEnd"/>
      <w:r w:rsidR="0077500B">
        <w:rPr>
          <w:rFonts w:ascii="Times New Roman" w:eastAsia="Times New Roman" w:hAnsi="Times New Roman" w:cs="Times New Roman"/>
          <w:sz w:val="24"/>
          <w:szCs w:val="24"/>
          <w:shd w:val="clear" w:color="auto" w:fill="FFFFFF"/>
          <w:lang w:eastAsia="ar-SA"/>
        </w:rPr>
        <w:t>. Toks susitarimas galioja, jei jis sudarytas raštu.</w:t>
      </w:r>
    </w:p>
    <w:p w14:paraId="7662BCDE"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77500B">
        <w:rPr>
          <w:rFonts w:ascii="Times New Roman" w:eastAsia="Times New Roman" w:hAnsi="Times New Roman" w:cs="Times New Roman"/>
          <w:sz w:val="24"/>
          <w:szCs w:val="24"/>
          <w:shd w:val="clear" w:color="auto" w:fill="FFFFFF"/>
          <w:lang w:eastAsia="ar-SA"/>
        </w:rPr>
        <w:t xml:space="preserve">.2. </w:t>
      </w:r>
      <w:r w:rsidR="0077500B">
        <w:rPr>
          <w:rFonts w:ascii="Times New Roman" w:eastAsia="Times New Roman" w:hAnsi="Times New Roman" w:cs="Times New Roman"/>
          <w:sz w:val="24"/>
          <w:szCs w:val="24"/>
          <w:lang w:eastAsia="ar-SA"/>
        </w:rPr>
        <w:t xml:space="preserve">Teikėjas </w:t>
      </w:r>
      <w:r w:rsidR="0077500B">
        <w:rPr>
          <w:rFonts w:ascii="Times New Roman" w:eastAsia="Times New Roman" w:hAnsi="Times New Roman" w:cs="Times New Roman"/>
          <w:sz w:val="24"/>
          <w:szCs w:val="24"/>
          <w:shd w:val="clear" w:color="auto" w:fill="FFFFFF"/>
          <w:lang w:eastAsia="ar-SA"/>
        </w:rPr>
        <w:t xml:space="preserve">Sutarčiai vykdyti gali pasitelkti tik tuos subteikėjus, kurie numatyti </w:t>
      </w:r>
      <w:r w:rsidR="0077500B">
        <w:rPr>
          <w:rFonts w:ascii="Times New Roman" w:eastAsia="Times New Roman" w:hAnsi="Times New Roman" w:cs="Times New Roman"/>
          <w:sz w:val="24"/>
          <w:szCs w:val="24"/>
          <w:lang w:eastAsia="ar-SA"/>
        </w:rPr>
        <w:t xml:space="preserve">Teikėjo </w:t>
      </w:r>
      <w:r w:rsidR="0077500B">
        <w:rPr>
          <w:rFonts w:ascii="Times New Roman" w:eastAsia="Times New Roman" w:hAnsi="Times New Roman" w:cs="Times New Roman"/>
          <w:sz w:val="24"/>
          <w:szCs w:val="24"/>
          <w:shd w:val="clear" w:color="auto" w:fill="FFFFFF"/>
          <w:lang w:eastAsia="ar-SA"/>
        </w:rPr>
        <w:t>pasiūlyme.</w:t>
      </w:r>
    </w:p>
    <w:p w14:paraId="44F47CFF"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77500B">
        <w:rPr>
          <w:rFonts w:ascii="Times New Roman" w:eastAsia="Times New Roman" w:hAnsi="Times New Roman" w:cs="Times New Roman"/>
          <w:sz w:val="24"/>
          <w:szCs w:val="24"/>
          <w:shd w:val="clear" w:color="auto" w:fill="FFFFFF"/>
          <w:lang w:eastAsia="ar-SA"/>
        </w:rPr>
        <w:t xml:space="preserve">.3. Jei </w:t>
      </w:r>
      <w:r w:rsidR="008B6029">
        <w:rPr>
          <w:rFonts w:ascii="Times New Roman" w:eastAsia="Times New Roman" w:hAnsi="Times New Roman" w:cs="Times New Roman"/>
          <w:sz w:val="24"/>
          <w:szCs w:val="24"/>
          <w:shd w:val="clear" w:color="auto" w:fill="FFFFFF"/>
          <w:lang w:eastAsia="ar-SA"/>
        </w:rPr>
        <w:t xml:space="preserve">Užsakovas </w:t>
      </w:r>
      <w:r w:rsidR="0077500B">
        <w:rPr>
          <w:rFonts w:ascii="Times New Roman" w:eastAsia="Times New Roman" w:hAnsi="Times New Roman" w:cs="Times New Roman"/>
          <w:sz w:val="24"/>
          <w:szCs w:val="24"/>
          <w:shd w:val="clear" w:color="auto" w:fill="FFFFFF"/>
          <w:lang w:eastAsia="ar-SA"/>
        </w:rPr>
        <w:t xml:space="preserve">turi pagrįstų įtarimų, kad subteikėjas yra nekompetentingas vykdyti nustatytas pareigas, gali reikalauti </w:t>
      </w:r>
      <w:r w:rsidR="0077500B">
        <w:rPr>
          <w:rFonts w:ascii="Times New Roman" w:eastAsia="Times New Roman" w:hAnsi="Times New Roman" w:cs="Times New Roman"/>
          <w:sz w:val="24"/>
          <w:szCs w:val="24"/>
          <w:lang w:eastAsia="ar-SA"/>
        </w:rPr>
        <w:t xml:space="preserve">Teikėjo </w:t>
      </w:r>
      <w:r w:rsidR="0077500B">
        <w:rPr>
          <w:rFonts w:ascii="Times New Roman" w:eastAsia="Times New Roman" w:hAnsi="Times New Roman" w:cs="Times New Roman"/>
          <w:sz w:val="24"/>
          <w:szCs w:val="24"/>
          <w:shd w:val="clear" w:color="auto" w:fill="FFFFFF"/>
          <w:lang w:eastAsia="ar-SA"/>
        </w:rPr>
        <w:t xml:space="preserve">nedelsiant pakeisti subteikėją arba reikalauti, kad </w:t>
      </w:r>
      <w:r w:rsidR="0077500B">
        <w:rPr>
          <w:rFonts w:ascii="Times New Roman" w:eastAsia="Times New Roman" w:hAnsi="Times New Roman" w:cs="Times New Roman"/>
          <w:sz w:val="24"/>
          <w:szCs w:val="24"/>
          <w:lang w:eastAsia="ar-SA"/>
        </w:rPr>
        <w:t xml:space="preserve">Teikėjas </w:t>
      </w:r>
      <w:r w:rsidR="0077500B">
        <w:rPr>
          <w:rFonts w:ascii="Times New Roman" w:eastAsia="Times New Roman" w:hAnsi="Times New Roman" w:cs="Times New Roman"/>
          <w:sz w:val="24"/>
          <w:szCs w:val="24"/>
          <w:shd w:val="clear" w:color="auto" w:fill="FFFFFF"/>
          <w:lang w:eastAsia="ar-SA"/>
        </w:rPr>
        <w:t>pats vykdytų subteikėjui perduotus sutartinius įsipareigojimus.</w:t>
      </w:r>
    </w:p>
    <w:p w14:paraId="726C0F49"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t>6</w:t>
      </w:r>
      <w:r w:rsidR="0077500B">
        <w:rPr>
          <w:rFonts w:ascii="Times New Roman" w:eastAsia="Times New Roman" w:hAnsi="Times New Roman" w:cs="Times New Roman"/>
          <w:sz w:val="24"/>
          <w:szCs w:val="24"/>
          <w:shd w:val="clear" w:color="auto" w:fill="FFFFFF"/>
          <w:lang w:eastAsia="ar-SA"/>
        </w:rPr>
        <w:t xml:space="preserve">.4. </w:t>
      </w:r>
      <w:r w:rsidR="0077500B">
        <w:rPr>
          <w:rFonts w:ascii="Times New Roman" w:eastAsia="Times New Roman" w:hAnsi="Times New Roman" w:cs="Times New Roman"/>
          <w:sz w:val="24"/>
          <w:szCs w:val="24"/>
          <w:lang w:eastAsia="zh-CN"/>
        </w:rPr>
        <w:t xml:space="preserve">Sutarties vykdymo metu, </w:t>
      </w:r>
      <w:r w:rsidR="0077500B">
        <w:rPr>
          <w:rFonts w:ascii="Times New Roman" w:eastAsia="Times New Roman" w:hAnsi="Times New Roman" w:cs="Times New Roman"/>
          <w:kern w:val="2"/>
          <w:sz w:val="24"/>
          <w:szCs w:val="24"/>
          <w:lang w:eastAsia="ar-SA"/>
        </w:rPr>
        <w:t xml:space="preserve">jei subteikėjas </w:t>
      </w:r>
      <w:r w:rsidR="0077500B">
        <w:rPr>
          <w:rFonts w:ascii="Times New Roman" w:eastAsia="Times New Roman" w:hAnsi="Times New Roman" w:cs="Times New Roman"/>
          <w:sz w:val="24"/>
          <w:szCs w:val="24"/>
          <w:lang w:eastAsia="zh-CN"/>
        </w:rPr>
        <w:t>netinkamai vykdo įsipareigojimus</w:t>
      </w:r>
      <w:r w:rsidR="0077500B">
        <w:rPr>
          <w:rFonts w:ascii="Times New Roman" w:eastAsia="Times New Roman" w:hAnsi="Times New Roman" w:cs="Times New Roman"/>
          <w:kern w:val="2"/>
          <w:sz w:val="24"/>
          <w:szCs w:val="24"/>
          <w:lang w:eastAsia="ar-SA"/>
        </w:rPr>
        <w:t xml:space="preserve"> arba sustabdo savo veiklą, </w:t>
      </w:r>
      <w:r w:rsidR="0077500B">
        <w:rPr>
          <w:rFonts w:ascii="Times New Roman" w:eastAsia="Times New Roman" w:hAnsi="Times New Roman" w:cs="Times New Roman"/>
          <w:sz w:val="24"/>
          <w:szCs w:val="24"/>
          <w:lang w:eastAsia="zh-CN"/>
        </w:rPr>
        <w:t xml:space="preserve">taip pat tuo atveju, kai </w:t>
      </w:r>
      <w:r w:rsidR="0077500B">
        <w:rPr>
          <w:rFonts w:ascii="Times New Roman" w:eastAsia="Times New Roman" w:hAnsi="Times New Roman" w:cs="Times New Roman"/>
          <w:sz w:val="24"/>
          <w:szCs w:val="24"/>
          <w:shd w:val="clear" w:color="auto" w:fill="FFFFFF"/>
          <w:lang w:eastAsia="ar-SA"/>
        </w:rPr>
        <w:t xml:space="preserve">subteikėjas </w:t>
      </w:r>
      <w:r w:rsidR="0077500B">
        <w:rPr>
          <w:rFonts w:ascii="Times New Roman" w:eastAsia="Times New Roman" w:hAnsi="Times New Roman" w:cs="Times New Roman"/>
          <w:sz w:val="24"/>
          <w:szCs w:val="24"/>
          <w:lang w:eastAsia="zh-CN"/>
        </w:rPr>
        <w:t xml:space="preserve">nepajėgus vykdyti įsipareigojimų dėl iškeltos bankroto bylos, </w:t>
      </w:r>
      <w:r w:rsidR="0077500B">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sidR="0077500B">
        <w:rPr>
          <w:rFonts w:ascii="Times New Roman" w:eastAsia="Times New Roman" w:hAnsi="Times New Roman" w:cs="Times New Roman"/>
          <w:sz w:val="24"/>
          <w:szCs w:val="24"/>
          <w:lang w:eastAsia="zh-CN"/>
        </w:rPr>
        <w:t xml:space="preserve"> gali pakeisti </w:t>
      </w:r>
      <w:r w:rsidR="0077500B">
        <w:rPr>
          <w:rFonts w:ascii="Times New Roman" w:eastAsia="Times New Roman" w:hAnsi="Times New Roman" w:cs="Times New Roman"/>
          <w:sz w:val="24"/>
          <w:szCs w:val="24"/>
          <w:shd w:val="clear" w:color="auto" w:fill="FFFFFF"/>
          <w:lang w:eastAsia="ar-SA"/>
        </w:rPr>
        <w:t>subteikėją</w:t>
      </w:r>
      <w:r w:rsidR="0077500B">
        <w:rPr>
          <w:rFonts w:ascii="Times New Roman" w:eastAsia="Times New Roman" w:hAnsi="Times New Roman" w:cs="Times New Roman"/>
          <w:sz w:val="24"/>
          <w:szCs w:val="24"/>
          <w:lang w:eastAsia="zh-CN"/>
        </w:rPr>
        <w:t xml:space="preserve">. Apie tai Teikėjas iš anksto ne vėliau kaip prieš 7 darbo dienas raštu turi informuoti </w:t>
      </w:r>
      <w:r w:rsidR="008B6029">
        <w:rPr>
          <w:rFonts w:ascii="Times New Roman" w:eastAsia="Times New Roman" w:hAnsi="Times New Roman" w:cs="Times New Roman"/>
          <w:sz w:val="24"/>
          <w:szCs w:val="24"/>
          <w:lang w:eastAsia="zh-CN"/>
        </w:rPr>
        <w:t>Užsakovą</w:t>
      </w:r>
      <w:r w:rsidR="0077500B">
        <w:rPr>
          <w:rFonts w:ascii="Times New Roman" w:eastAsia="Times New Roman" w:hAnsi="Times New Roman" w:cs="Times New Roman"/>
          <w:sz w:val="24"/>
          <w:szCs w:val="24"/>
          <w:lang w:eastAsia="zh-CN"/>
        </w:rPr>
        <w:t xml:space="preserve">, nurodydamas </w:t>
      </w:r>
      <w:r w:rsidR="0077500B">
        <w:rPr>
          <w:rFonts w:ascii="Times New Roman" w:eastAsia="Times New Roman" w:hAnsi="Times New Roman" w:cs="Times New Roman"/>
          <w:sz w:val="24"/>
          <w:szCs w:val="24"/>
          <w:shd w:val="clear" w:color="auto" w:fill="FFFFFF"/>
          <w:lang w:eastAsia="ar-SA"/>
        </w:rPr>
        <w:t xml:space="preserve">subteikėjų </w:t>
      </w:r>
      <w:r w:rsidR="0077500B">
        <w:rPr>
          <w:rFonts w:ascii="Times New Roman" w:eastAsia="Times New Roman" w:hAnsi="Times New Roman" w:cs="Times New Roman"/>
          <w:sz w:val="24"/>
          <w:szCs w:val="24"/>
          <w:lang w:eastAsia="zh-CN"/>
        </w:rPr>
        <w:t xml:space="preserve">pakeitimo priežastis ir būsimus </w:t>
      </w:r>
      <w:r w:rsidR="0077500B">
        <w:rPr>
          <w:rFonts w:ascii="Times New Roman" w:eastAsia="Times New Roman" w:hAnsi="Times New Roman" w:cs="Times New Roman"/>
          <w:sz w:val="24"/>
          <w:szCs w:val="24"/>
          <w:shd w:val="clear" w:color="auto" w:fill="FFFFFF"/>
          <w:lang w:eastAsia="ar-SA"/>
        </w:rPr>
        <w:t>subteikėjus</w:t>
      </w:r>
      <w:r w:rsidR="0077500B">
        <w:rPr>
          <w:rFonts w:ascii="Times New Roman" w:eastAsia="Times New Roman" w:hAnsi="Times New Roman" w:cs="Times New Roman"/>
          <w:sz w:val="24"/>
          <w:szCs w:val="24"/>
          <w:lang w:eastAsia="zh-CN"/>
        </w:rPr>
        <w:t xml:space="preserve"> bei pateikdamas jų kvalifikaciją įrodančius dokumentus. Teikėjo pasirinktas </w:t>
      </w:r>
      <w:r w:rsidR="0077500B">
        <w:rPr>
          <w:rFonts w:ascii="Times New Roman" w:eastAsia="Times New Roman" w:hAnsi="Times New Roman" w:cs="Times New Roman"/>
          <w:sz w:val="24"/>
          <w:szCs w:val="24"/>
          <w:shd w:val="clear" w:color="auto" w:fill="FFFFFF"/>
          <w:lang w:eastAsia="ar-SA"/>
        </w:rPr>
        <w:t xml:space="preserve">subteikėjas </w:t>
      </w:r>
      <w:r w:rsidR="0077500B">
        <w:rPr>
          <w:rFonts w:ascii="Times New Roman" w:eastAsia="Times New Roman" w:hAnsi="Times New Roman" w:cs="Times New Roman"/>
          <w:sz w:val="24"/>
          <w:szCs w:val="24"/>
          <w:lang w:eastAsia="zh-CN"/>
        </w:rPr>
        <w:t xml:space="preserve">galės būti </w:t>
      </w:r>
      <w:r w:rsidR="000C7484">
        <w:rPr>
          <w:rFonts w:ascii="Times New Roman" w:eastAsia="Times New Roman" w:hAnsi="Times New Roman" w:cs="Times New Roman"/>
          <w:sz w:val="24"/>
          <w:szCs w:val="24"/>
          <w:lang w:eastAsia="zh-CN"/>
        </w:rPr>
        <w:t>keičiamas</w:t>
      </w:r>
      <w:r w:rsidR="0077500B">
        <w:rPr>
          <w:rFonts w:ascii="Times New Roman" w:eastAsia="Times New Roman" w:hAnsi="Times New Roman" w:cs="Times New Roman"/>
          <w:sz w:val="24"/>
          <w:szCs w:val="24"/>
          <w:lang w:eastAsia="zh-CN"/>
        </w:rPr>
        <w:t xml:space="preserve">, jei bus gautas </w:t>
      </w:r>
      <w:r w:rsidR="008B6029">
        <w:rPr>
          <w:rFonts w:ascii="Times New Roman" w:eastAsia="Times New Roman" w:hAnsi="Times New Roman" w:cs="Times New Roman"/>
          <w:sz w:val="24"/>
          <w:szCs w:val="24"/>
          <w:lang w:eastAsia="zh-CN"/>
        </w:rPr>
        <w:t xml:space="preserve">Užsakovo </w:t>
      </w:r>
      <w:r w:rsidR="0077500B">
        <w:rPr>
          <w:rFonts w:ascii="Times New Roman" w:eastAsia="Times New Roman" w:hAnsi="Times New Roman" w:cs="Times New Roman"/>
          <w:sz w:val="24"/>
          <w:szCs w:val="24"/>
          <w:lang w:eastAsia="zh-CN"/>
        </w:rPr>
        <w:t xml:space="preserve">sutikimas ir jei naujai siūlomo </w:t>
      </w:r>
      <w:r w:rsidR="0077500B">
        <w:rPr>
          <w:rFonts w:ascii="Times New Roman" w:eastAsia="Times New Roman" w:hAnsi="Times New Roman" w:cs="Times New Roman"/>
          <w:sz w:val="24"/>
          <w:szCs w:val="24"/>
          <w:shd w:val="clear" w:color="auto" w:fill="FFFFFF"/>
          <w:lang w:eastAsia="ar-SA"/>
        </w:rPr>
        <w:t xml:space="preserve">subteikėjo </w:t>
      </w:r>
      <w:r w:rsidR="0077500B">
        <w:rPr>
          <w:rFonts w:ascii="Times New Roman" w:eastAsia="Times New Roman" w:hAnsi="Times New Roman" w:cs="Times New Roman"/>
          <w:sz w:val="24"/>
          <w:szCs w:val="24"/>
          <w:lang w:eastAsia="zh-CN"/>
        </w:rPr>
        <w:t>kvalifikacija bus ne žemesnė, nei kvalifikacija tų subjektų, kurie bus nurodyti Teikėjo pasiūlyme.</w:t>
      </w:r>
    </w:p>
    <w:p w14:paraId="36935CC1"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6</w:t>
      </w:r>
      <w:r w:rsidR="0077500B">
        <w:rPr>
          <w:rFonts w:ascii="Times New Roman" w:eastAsia="Times New Roman" w:hAnsi="Times New Roman" w:cs="Times New Roman"/>
          <w:sz w:val="24"/>
          <w:szCs w:val="24"/>
          <w:lang w:eastAsia="zh-CN"/>
        </w:rPr>
        <w:t xml:space="preserve">.5. </w:t>
      </w:r>
      <w:r w:rsidR="008B6029">
        <w:rPr>
          <w:rFonts w:ascii="Times New Roman" w:eastAsia="Times New Roman" w:hAnsi="Times New Roman" w:cs="Times New Roman"/>
          <w:sz w:val="24"/>
          <w:szCs w:val="24"/>
          <w:lang w:eastAsia="zh-CN"/>
        </w:rPr>
        <w:t>Užsakovas</w:t>
      </w:r>
      <w:r w:rsidR="0077500B">
        <w:rPr>
          <w:rFonts w:ascii="Times New Roman" w:eastAsia="Times New Roman" w:hAnsi="Times New Roman" w:cs="Times New Roman"/>
          <w:sz w:val="24"/>
          <w:szCs w:val="24"/>
          <w:lang w:eastAsia="zh-CN"/>
        </w:rPr>
        <w:t xml:space="preserve"> per 7 darbo dienas nuo pranešimo apie numatomą keisti </w:t>
      </w:r>
      <w:r w:rsidR="0077500B">
        <w:rPr>
          <w:rFonts w:ascii="Times New Roman" w:eastAsia="Times New Roman" w:hAnsi="Times New Roman" w:cs="Times New Roman"/>
          <w:sz w:val="24"/>
          <w:szCs w:val="24"/>
          <w:shd w:val="clear" w:color="auto" w:fill="FFFFFF"/>
          <w:lang w:eastAsia="ar-SA"/>
        </w:rPr>
        <w:t>subteikėją</w:t>
      </w:r>
      <w:r w:rsidR="0077500B">
        <w:rPr>
          <w:rFonts w:ascii="Times New Roman" w:eastAsia="Times New Roman" w:hAnsi="Times New Roman" w:cs="Times New Roman"/>
          <w:sz w:val="24"/>
          <w:szCs w:val="24"/>
          <w:lang w:eastAsia="zh-CN"/>
        </w:rPr>
        <w:t xml:space="preserve"> bei jo kvalifikaciją pagrindžiančių dokumentų gavimo dienos turi pranešti Teikėjui apie savo sprendimą, o jei sprendimas yra neigiamas – nurodyti priežastis.</w:t>
      </w:r>
    </w:p>
    <w:p w14:paraId="4E5A2E0E"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77500B">
        <w:rPr>
          <w:rFonts w:ascii="Times New Roman" w:eastAsia="Times New Roman" w:hAnsi="Times New Roman" w:cs="Times New Roman"/>
          <w:sz w:val="24"/>
          <w:szCs w:val="24"/>
          <w:lang w:eastAsia="zh-CN"/>
        </w:rPr>
        <w:t xml:space="preserve">.6. </w:t>
      </w:r>
      <w:r w:rsidR="0077500B">
        <w:rPr>
          <w:rFonts w:ascii="Times New Roman" w:eastAsia="Times New Roman" w:hAnsi="Times New Roman" w:cs="Times New Roman"/>
          <w:sz w:val="24"/>
          <w:szCs w:val="24"/>
          <w:shd w:val="clear" w:color="auto" w:fill="FFFFFF"/>
          <w:lang w:eastAsia="ar-SA"/>
        </w:rPr>
        <w:t xml:space="preserve">Subteikėjo </w:t>
      </w:r>
      <w:r w:rsidR="0077500B">
        <w:rPr>
          <w:rFonts w:ascii="Times New Roman" w:eastAsia="Times New Roman" w:hAnsi="Times New Roman" w:cs="Times New Roman"/>
          <w:sz w:val="24"/>
          <w:szCs w:val="24"/>
          <w:lang w:eastAsia="zh-CN"/>
        </w:rPr>
        <w:t>keitimas įforminamas Sutarties šalių pasirašytu papildomu susitarimu prie Sutarties.</w:t>
      </w:r>
    </w:p>
    <w:p w14:paraId="74A5B609" w14:textId="77777777" w:rsidR="000871EA" w:rsidRP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D41104">
        <w:rPr>
          <w:rFonts w:ascii="Times New Roman" w:eastAsia="Times New Roman" w:hAnsi="Times New Roman" w:cs="Times New Roman"/>
          <w:sz w:val="24"/>
          <w:szCs w:val="24"/>
          <w:lang w:eastAsia="zh-CN"/>
        </w:rPr>
        <w:t xml:space="preserve">6.7. Sudarius pirkimo sutartį, tačiau ne vėliau negu pirkimo sutartis pradedama vykdyti, </w:t>
      </w:r>
      <w:r w:rsidR="004D21E2" w:rsidRPr="00D41104">
        <w:rPr>
          <w:rFonts w:ascii="Times New Roman" w:eastAsia="Times New Roman" w:hAnsi="Times New Roman" w:cs="Times New Roman"/>
          <w:sz w:val="24"/>
          <w:szCs w:val="24"/>
          <w:lang w:eastAsia="zh-CN"/>
        </w:rPr>
        <w:t xml:space="preserve">Teikėjas </w:t>
      </w:r>
      <w:r w:rsidRPr="00D41104">
        <w:rPr>
          <w:rFonts w:ascii="Times New Roman" w:eastAsia="Times New Roman" w:hAnsi="Times New Roman" w:cs="Times New Roman"/>
          <w:sz w:val="24"/>
          <w:szCs w:val="24"/>
          <w:lang w:eastAsia="zh-CN"/>
        </w:rPr>
        <w:t xml:space="preserve">įsipareigoja Užsakovui pranešti tuo metu žinomų </w:t>
      </w:r>
      <w:r w:rsidR="004D21E2" w:rsidRPr="00D41104">
        <w:rPr>
          <w:rFonts w:ascii="Times New Roman" w:eastAsia="Times New Roman" w:hAnsi="Times New Roman" w:cs="Times New Roman"/>
          <w:sz w:val="24"/>
          <w:szCs w:val="24"/>
          <w:lang w:eastAsia="zh-CN"/>
        </w:rPr>
        <w:t xml:space="preserve">subteikėjų </w:t>
      </w:r>
      <w:r w:rsidRPr="00D41104">
        <w:rPr>
          <w:rFonts w:ascii="Times New Roman" w:eastAsia="Times New Roman" w:hAnsi="Times New Roman" w:cs="Times New Roman"/>
          <w:sz w:val="24"/>
          <w:szCs w:val="24"/>
          <w:lang w:eastAsia="zh-CN"/>
        </w:rPr>
        <w:t xml:space="preserve">pavadinimus, kontaktinius duomenis ir jų atstovus bei nedelsiant pranešti apie tokios informacijos pasikeitimą visos sutarties vykdymo metu. </w:t>
      </w:r>
      <w:r w:rsidR="004D21E2" w:rsidRPr="00D41104">
        <w:rPr>
          <w:rFonts w:ascii="Times New Roman" w:eastAsia="Times New Roman" w:hAnsi="Times New Roman" w:cs="Times New Roman"/>
          <w:sz w:val="24"/>
          <w:szCs w:val="24"/>
          <w:lang w:eastAsia="zh-CN"/>
        </w:rPr>
        <w:t>Teik</w:t>
      </w:r>
      <w:r w:rsidR="005D521E" w:rsidRPr="00D41104">
        <w:rPr>
          <w:rFonts w:ascii="Times New Roman" w:eastAsia="Times New Roman" w:hAnsi="Times New Roman" w:cs="Times New Roman"/>
          <w:sz w:val="24"/>
          <w:szCs w:val="24"/>
          <w:lang w:eastAsia="zh-CN"/>
        </w:rPr>
        <w:t>ėjas</w:t>
      </w:r>
      <w:r w:rsidR="004D21E2" w:rsidRPr="00D41104">
        <w:rPr>
          <w:rFonts w:ascii="Times New Roman" w:eastAsia="Times New Roman" w:hAnsi="Times New Roman" w:cs="Times New Roman"/>
          <w:sz w:val="24"/>
          <w:szCs w:val="24"/>
          <w:lang w:eastAsia="zh-CN"/>
        </w:rPr>
        <w:t xml:space="preserve"> </w:t>
      </w:r>
      <w:r w:rsidRPr="00D41104">
        <w:rPr>
          <w:rFonts w:ascii="Times New Roman" w:eastAsia="Times New Roman" w:hAnsi="Times New Roman" w:cs="Times New Roman"/>
          <w:sz w:val="24"/>
          <w:szCs w:val="24"/>
          <w:lang w:eastAsia="zh-CN"/>
        </w:rPr>
        <w:t xml:space="preserve">taip pat įsipareigoja pranešti atitinkamą informaciją ir apie naujus </w:t>
      </w:r>
      <w:r w:rsidR="005D521E" w:rsidRPr="00D41104">
        <w:rPr>
          <w:rFonts w:ascii="Times New Roman" w:eastAsia="Times New Roman" w:hAnsi="Times New Roman" w:cs="Times New Roman"/>
          <w:sz w:val="24"/>
          <w:szCs w:val="24"/>
          <w:lang w:eastAsia="zh-CN"/>
        </w:rPr>
        <w:t>subteikėjus</w:t>
      </w:r>
      <w:r w:rsidRPr="00D41104">
        <w:rPr>
          <w:rFonts w:ascii="Times New Roman" w:eastAsia="Times New Roman" w:hAnsi="Times New Roman" w:cs="Times New Roman"/>
          <w:sz w:val="24"/>
          <w:szCs w:val="24"/>
          <w:lang w:eastAsia="zh-CN"/>
        </w:rPr>
        <w:t xml:space="preserve">, kuriuos </w:t>
      </w:r>
      <w:r w:rsidR="005D521E" w:rsidRPr="00D41104">
        <w:rPr>
          <w:rFonts w:ascii="Times New Roman" w:eastAsia="Times New Roman" w:hAnsi="Times New Roman" w:cs="Times New Roman"/>
          <w:sz w:val="24"/>
          <w:szCs w:val="24"/>
          <w:lang w:eastAsia="zh-CN"/>
        </w:rPr>
        <w:t xml:space="preserve">Teikėjas </w:t>
      </w:r>
      <w:r w:rsidRPr="00D41104">
        <w:rPr>
          <w:rFonts w:ascii="Times New Roman" w:eastAsia="Times New Roman" w:hAnsi="Times New Roman" w:cs="Times New Roman"/>
          <w:sz w:val="24"/>
          <w:szCs w:val="24"/>
          <w:lang w:eastAsia="zh-CN"/>
        </w:rPr>
        <w:t>ketina pasitelkti vėliau vykdydamas sutartį.</w:t>
      </w:r>
    </w:p>
    <w:p w14:paraId="14456724" w14:textId="63C26783" w:rsidR="000871EA" w:rsidRP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0871EA">
        <w:rPr>
          <w:rFonts w:ascii="Times New Roman" w:eastAsia="Times New Roman" w:hAnsi="Times New Roman" w:cs="Times New Roman"/>
          <w:sz w:val="24"/>
          <w:szCs w:val="24"/>
          <w:lang w:eastAsia="zh-CN"/>
        </w:rPr>
        <w:t xml:space="preserve">6.8. Užsakovas gali tiesiogiai atsiskaityti su </w:t>
      </w:r>
      <w:r w:rsidR="00265903" w:rsidRPr="000871EA">
        <w:rPr>
          <w:rFonts w:ascii="Times New Roman" w:eastAsia="Times New Roman" w:hAnsi="Times New Roman" w:cs="Times New Roman"/>
          <w:sz w:val="24"/>
          <w:szCs w:val="24"/>
          <w:lang w:eastAsia="zh-CN"/>
        </w:rPr>
        <w:t>su</w:t>
      </w:r>
      <w:r w:rsidR="00265903">
        <w:rPr>
          <w:rFonts w:ascii="Times New Roman" w:eastAsia="Times New Roman" w:hAnsi="Times New Roman" w:cs="Times New Roman"/>
          <w:sz w:val="24"/>
          <w:szCs w:val="24"/>
          <w:lang w:eastAsia="zh-CN"/>
        </w:rPr>
        <w:t>bteikėjais</w:t>
      </w:r>
      <w:r w:rsidRPr="000871EA">
        <w:rPr>
          <w:rFonts w:ascii="Times New Roman" w:eastAsia="Times New Roman" w:hAnsi="Times New Roman" w:cs="Times New Roman"/>
          <w:sz w:val="24"/>
          <w:szCs w:val="24"/>
          <w:lang w:eastAsia="zh-CN"/>
        </w:rPr>
        <w:t xml:space="preserve">, jei šie pareiškia tokį prašymą raštu. </w:t>
      </w:r>
      <w:r w:rsidR="00265903" w:rsidRPr="000871EA">
        <w:rPr>
          <w:rFonts w:ascii="Times New Roman" w:eastAsia="Times New Roman" w:hAnsi="Times New Roman" w:cs="Times New Roman"/>
          <w:sz w:val="24"/>
          <w:szCs w:val="24"/>
          <w:lang w:eastAsia="zh-CN"/>
        </w:rPr>
        <w:t>Sub</w:t>
      </w:r>
      <w:r w:rsidR="00265903">
        <w:rPr>
          <w:rFonts w:ascii="Times New Roman" w:eastAsia="Times New Roman" w:hAnsi="Times New Roman" w:cs="Times New Roman"/>
          <w:sz w:val="24"/>
          <w:szCs w:val="24"/>
          <w:lang w:eastAsia="zh-CN"/>
        </w:rPr>
        <w:t>teikėjui</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išreiškus norą pasinaudoti tiesioginio atsiskaitymo galimybe sudaroma trišalė sutartis tarp Užsakovo, </w:t>
      </w:r>
      <w:r w:rsidR="00265903">
        <w:rPr>
          <w:rFonts w:ascii="Times New Roman" w:eastAsia="Times New Roman" w:hAnsi="Times New Roman" w:cs="Times New Roman"/>
          <w:sz w:val="24"/>
          <w:szCs w:val="24"/>
          <w:lang w:eastAsia="zh-CN"/>
        </w:rPr>
        <w:t>Teikėjo</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ir </w:t>
      </w:r>
      <w:r w:rsidR="00265903" w:rsidRPr="000871EA">
        <w:rPr>
          <w:rFonts w:ascii="Times New Roman" w:eastAsia="Times New Roman" w:hAnsi="Times New Roman" w:cs="Times New Roman"/>
          <w:sz w:val="24"/>
          <w:szCs w:val="24"/>
          <w:lang w:eastAsia="zh-CN"/>
        </w:rPr>
        <w:t>sub</w:t>
      </w:r>
      <w:r w:rsidR="00265903">
        <w:rPr>
          <w:rFonts w:ascii="Times New Roman" w:eastAsia="Times New Roman" w:hAnsi="Times New Roman" w:cs="Times New Roman"/>
          <w:sz w:val="24"/>
          <w:szCs w:val="24"/>
          <w:lang w:eastAsia="zh-CN"/>
        </w:rPr>
        <w:t>teikėjo</w:t>
      </w:r>
      <w:r w:rsidRPr="000871EA">
        <w:rPr>
          <w:rFonts w:ascii="Times New Roman" w:eastAsia="Times New Roman" w:hAnsi="Times New Roman" w:cs="Times New Roman"/>
          <w:sz w:val="24"/>
          <w:szCs w:val="24"/>
          <w:lang w:eastAsia="zh-CN"/>
        </w:rPr>
        <w:t xml:space="preserve">. </w:t>
      </w:r>
      <w:r w:rsidR="00265903" w:rsidRPr="000871EA">
        <w:rPr>
          <w:rFonts w:ascii="Times New Roman" w:eastAsia="Times New Roman" w:hAnsi="Times New Roman" w:cs="Times New Roman"/>
          <w:sz w:val="24"/>
          <w:szCs w:val="24"/>
          <w:lang w:eastAsia="zh-CN"/>
        </w:rPr>
        <w:t>Sub</w:t>
      </w:r>
      <w:r w:rsidR="00265903">
        <w:rPr>
          <w:rFonts w:ascii="Times New Roman" w:eastAsia="Times New Roman" w:hAnsi="Times New Roman" w:cs="Times New Roman"/>
          <w:sz w:val="24"/>
          <w:szCs w:val="24"/>
          <w:lang w:eastAsia="zh-CN"/>
        </w:rPr>
        <w:t>teikėjams</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galioja ta pati atsiskaitymo tvarka, kuri nustatyta </w:t>
      </w:r>
      <w:r w:rsidR="00265903">
        <w:rPr>
          <w:rFonts w:ascii="Times New Roman" w:eastAsia="Times New Roman" w:hAnsi="Times New Roman" w:cs="Times New Roman"/>
          <w:sz w:val="24"/>
          <w:szCs w:val="24"/>
          <w:lang w:eastAsia="zh-CN"/>
        </w:rPr>
        <w:t>Teikėjui</w:t>
      </w:r>
      <w:r w:rsidRPr="000871EA">
        <w:rPr>
          <w:rFonts w:ascii="Times New Roman" w:eastAsia="Times New Roman" w:hAnsi="Times New Roman" w:cs="Times New Roman"/>
          <w:sz w:val="24"/>
          <w:szCs w:val="24"/>
          <w:lang w:eastAsia="zh-CN"/>
        </w:rPr>
        <w:t xml:space="preserve">. Su </w:t>
      </w:r>
      <w:r w:rsidR="00265903" w:rsidRPr="000871EA">
        <w:rPr>
          <w:rFonts w:ascii="Times New Roman" w:eastAsia="Times New Roman" w:hAnsi="Times New Roman" w:cs="Times New Roman"/>
          <w:sz w:val="24"/>
          <w:szCs w:val="24"/>
          <w:lang w:eastAsia="zh-CN"/>
        </w:rPr>
        <w:t>sub</w:t>
      </w:r>
      <w:r w:rsidR="00265903">
        <w:rPr>
          <w:rFonts w:ascii="Times New Roman" w:eastAsia="Times New Roman" w:hAnsi="Times New Roman" w:cs="Times New Roman"/>
          <w:sz w:val="24"/>
          <w:szCs w:val="24"/>
          <w:lang w:eastAsia="zh-CN"/>
        </w:rPr>
        <w:t>teikėjais</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atsiskaitoma tik už tinkamai </w:t>
      </w:r>
      <w:r w:rsidR="00265903">
        <w:rPr>
          <w:rFonts w:ascii="Times New Roman" w:eastAsia="Times New Roman" w:hAnsi="Times New Roman" w:cs="Times New Roman"/>
          <w:sz w:val="24"/>
          <w:szCs w:val="24"/>
          <w:lang w:eastAsia="zh-CN"/>
        </w:rPr>
        <w:t>Teikėjo</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perduotus ir priimtus darbus. </w:t>
      </w:r>
      <w:r w:rsidR="00265903">
        <w:rPr>
          <w:rFonts w:ascii="Times New Roman" w:eastAsia="Times New Roman" w:hAnsi="Times New Roman" w:cs="Times New Roman"/>
          <w:sz w:val="24"/>
          <w:szCs w:val="24"/>
          <w:lang w:eastAsia="zh-CN"/>
        </w:rPr>
        <w:t>Teikėjas</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turi teisę prieštarauti nepagrįstiems mokėjimams. </w:t>
      </w:r>
      <w:r w:rsidR="00697422" w:rsidRPr="000871EA">
        <w:rPr>
          <w:rFonts w:ascii="Times New Roman" w:eastAsia="Times New Roman" w:hAnsi="Times New Roman" w:cs="Times New Roman"/>
          <w:sz w:val="24"/>
          <w:szCs w:val="24"/>
          <w:lang w:eastAsia="zh-CN"/>
        </w:rPr>
        <w:t>Su</w:t>
      </w:r>
      <w:r w:rsidR="00697422">
        <w:rPr>
          <w:rFonts w:ascii="Times New Roman" w:eastAsia="Times New Roman" w:hAnsi="Times New Roman" w:cs="Times New Roman"/>
          <w:sz w:val="24"/>
          <w:szCs w:val="24"/>
          <w:lang w:eastAsia="zh-CN"/>
        </w:rPr>
        <w:t>bteikėj</w:t>
      </w:r>
      <w:r w:rsidR="00395F4B">
        <w:rPr>
          <w:rFonts w:ascii="Times New Roman" w:eastAsia="Times New Roman" w:hAnsi="Times New Roman" w:cs="Times New Roman"/>
          <w:sz w:val="24"/>
          <w:szCs w:val="24"/>
          <w:lang w:eastAsia="zh-CN"/>
        </w:rPr>
        <w:t>ui</w:t>
      </w:r>
      <w:r w:rsidR="00697422"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tiesiogiai sumokėtų sumų dalimi mažinama </w:t>
      </w:r>
      <w:r w:rsidR="00697422">
        <w:rPr>
          <w:rFonts w:ascii="Times New Roman" w:eastAsia="Times New Roman" w:hAnsi="Times New Roman" w:cs="Times New Roman"/>
          <w:sz w:val="24"/>
          <w:szCs w:val="24"/>
          <w:lang w:eastAsia="zh-CN"/>
        </w:rPr>
        <w:t>Teikėjui</w:t>
      </w:r>
      <w:r w:rsidR="00697422"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mokėtina suma.</w:t>
      </w:r>
    </w:p>
    <w:p w14:paraId="45928AE6" w14:textId="0AAEB8D5" w:rsid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0871EA">
        <w:rPr>
          <w:rFonts w:ascii="Times New Roman" w:eastAsia="Times New Roman" w:hAnsi="Times New Roman" w:cs="Times New Roman"/>
          <w:sz w:val="24"/>
          <w:szCs w:val="24"/>
          <w:lang w:eastAsia="zh-CN"/>
        </w:rPr>
        <w:t>6.9. Užsakovas turi teisę reikalauti, jog esmines užduotis</w:t>
      </w:r>
      <w:r w:rsidR="00870ABE">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susijusias su teikiam</w:t>
      </w:r>
      <w:r w:rsidR="00870ABE">
        <w:rPr>
          <w:rFonts w:ascii="Times New Roman" w:eastAsia="Times New Roman" w:hAnsi="Times New Roman" w:cs="Times New Roman"/>
          <w:sz w:val="24"/>
          <w:szCs w:val="24"/>
          <w:lang w:eastAsia="zh-CN"/>
        </w:rPr>
        <w:t xml:space="preserve">omis </w:t>
      </w:r>
      <w:r w:rsidRPr="000871EA">
        <w:rPr>
          <w:rFonts w:ascii="Times New Roman" w:eastAsia="Times New Roman" w:hAnsi="Times New Roman" w:cs="Times New Roman"/>
          <w:sz w:val="24"/>
          <w:szCs w:val="24"/>
          <w:lang w:eastAsia="zh-CN"/>
        </w:rPr>
        <w:t>paslaug</w:t>
      </w:r>
      <w:r w:rsidR="00870ABE">
        <w:rPr>
          <w:rFonts w:ascii="Times New Roman" w:eastAsia="Times New Roman" w:hAnsi="Times New Roman" w:cs="Times New Roman"/>
          <w:sz w:val="24"/>
          <w:szCs w:val="24"/>
          <w:lang w:eastAsia="zh-CN"/>
        </w:rPr>
        <w:t>omis,</w:t>
      </w:r>
      <w:r w:rsidRPr="000871EA">
        <w:rPr>
          <w:rFonts w:ascii="Times New Roman" w:eastAsia="Times New Roman" w:hAnsi="Times New Roman" w:cs="Times New Roman"/>
          <w:sz w:val="24"/>
          <w:szCs w:val="24"/>
          <w:lang w:eastAsia="zh-CN"/>
        </w:rPr>
        <w:t xml:space="preserve"> atliktų pats </w:t>
      </w:r>
      <w:r w:rsidR="00697422">
        <w:rPr>
          <w:rFonts w:ascii="Times New Roman" w:eastAsia="Times New Roman" w:hAnsi="Times New Roman" w:cs="Times New Roman"/>
          <w:sz w:val="24"/>
          <w:szCs w:val="24"/>
          <w:lang w:eastAsia="zh-CN"/>
        </w:rPr>
        <w:t>Teikėjas</w:t>
      </w:r>
      <w:r w:rsidRPr="000871EA">
        <w:rPr>
          <w:rFonts w:ascii="Times New Roman" w:eastAsia="Times New Roman" w:hAnsi="Times New Roman" w:cs="Times New Roman"/>
          <w:sz w:val="24"/>
          <w:szCs w:val="24"/>
          <w:lang w:eastAsia="zh-CN"/>
        </w:rPr>
        <w:t xml:space="preserve">, neperduodamas šių užduočių </w:t>
      </w:r>
      <w:r w:rsidR="00697422" w:rsidRPr="000871EA">
        <w:rPr>
          <w:rFonts w:ascii="Times New Roman" w:eastAsia="Times New Roman" w:hAnsi="Times New Roman" w:cs="Times New Roman"/>
          <w:sz w:val="24"/>
          <w:szCs w:val="24"/>
          <w:lang w:eastAsia="zh-CN"/>
        </w:rPr>
        <w:t>sub</w:t>
      </w:r>
      <w:r w:rsidR="00697422">
        <w:rPr>
          <w:rFonts w:ascii="Times New Roman" w:eastAsia="Times New Roman" w:hAnsi="Times New Roman" w:cs="Times New Roman"/>
          <w:sz w:val="24"/>
          <w:szCs w:val="24"/>
          <w:lang w:eastAsia="zh-CN"/>
        </w:rPr>
        <w:t>teikėjams</w:t>
      </w:r>
      <w:r w:rsidRPr="000871EA">
        <w:rPr>
          <w:rFonts w:ascii="Times New Roman" w:eastAsia="Times New Roman" w:hAnsi="Times New Roman" w:cs="Times New Roman"/>
          <w:sz w:val="24"/>
          <w:szCs w:val="24"/>
          <w:lang w:eastAsia="zh-CN"/>
        </w:rPr>
        <w:t>.</w:t>
      </w:r>
    </w:p>
    <w:p w14:paraId="21E76396" w14:textId="77777777" w:rsidR="005153DD" w:rsidRPr="005153DD" w:rsidRDefault="000871EA" w:rsidP="00E82CE7">
      <w:pPr>
        <w:tabs>
          <w:tab w:val="left" w:pos="0"/>
        </w:tabs>
        <w:suppressAutoHyphens/>
        <w:spacing w:after="0" w:line="240" w:lineRule="auto"/>
        <w:ind w:left="568"/>
        <w:jc w:val="center"/>
        <w:outlineLvl w:val="1"/>
        <w:rPr>
          <w:rFonts w:ascii="Times New Roman" w:eastAsia="Calibri" w:hAnsi="Times New Roman" w:cs="Times New Roman"/>
          <w:b/>
          <w:bCs/>
          <w:sz w:val="24"/>
        </w:rPr>
      </w:pPr>
      <w:r>
        <w:rPr>
          <w:rFonts w:ascii="Times New Roman" w:eastAsia="Calibri" w:hAnsi="Times New Roman" w:cs="Times New Roman"/>
          <w:b/>
          <w:bCs/>
          <w:sz w:val="24"/>
        </w:rPr>
        <w:br/>
      </w:r>
      <w:r w:rsidR="00E82CE7">
        <w:rPr>
          <w:rFonts w:ascii="Times New Roman" w:eastAsia="Calibri" w:hAnsi="Times New Roman" w:cs="Times New Roman"/>
          <w:b/>
          <w:bCs/>
          <w:sz w:val="24"/>
        </w:rPr>
        <w:t>7</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ŠALIŲ ATSAKOMYBĖ</w:t>
      </w:r>
    </w:p>
    <w:p w14:paraId="44E436A7"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02117140"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.1. Neatlikus apmokėjimo nustatytais terminais, </w:t>
      </w:r>
      <w:r w:rsidR="005153DD" w:rsidRPr="005153DD">
        <w:rPr>
          <w:rFonts w:ascii="Times New Roman" w:eastAsia="Times New Roman" w:hAnsi="Times New Roman" w:cs="Times New Roman"/>
          <w:sz w:val="24"/>
          <w:szCs w:val="24"/>
          <w:lang w:eastAsia="ar-SA"/>
        </w:rPr>
        <w:t xml:space="preserve">Teikėjas </w:t>
      </w:r>
      <w:r w:rsidR="005153DD"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005153DD"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 Delspinigiai skaičiuojami nuo mokėjimo termino pasibaigimo dienos (ši diena neįskaitoma) iki dienos, kurią lėšos nurašomos nuo </w:t>
      </w:r>
      <w:r w:rsidR="00B53B4B">
        <w:rPr>
          <w:rFonts w:ascii="Times New Roman" w:eastAsia="Times New Roman" w:hAnsi="Times New Roman" w:cs="Times New Roman"/>
          <w:sz w:val="24"/>
          <w:szCs w:val="24"/>
          <w:shd w:val="clear" w:color="auto" w:fill="FFFFFF"/>
          <w:lang w:eastAsia="ar-SA"/>
        </w:rPr>
        <w:t>Užsakovo</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sąskaitos</w:t>
      </w:r>
      <w:r w:rsidR="002F0872">
        <w:rPr>
          <w:rFonts w:ascii="Times New Roman" w:eastAsia="Times New Roman" w:hAnsi="Times New Roman" w:cs="Times New Roman"/>
          <w:sz w:val="24"/>
          <w:szCs w:val="24"/>
          <w:shd w:val="clear" w:color="auto" w:fill="FFFFFF"/>
          <w:lang w:eastAsia="ar-SA"/>
        </w:rPr>
        <w:t xml:space="preserve"> (ši diena įskaitoma)</w:t>
      </w:r>
      <w:r w:rsidR="005153DD" w:rsidRPr="005153DD">
        <w:rPr>
          <w:rFonts w:ascii="Times New Roman" w:eastAsia="Times New Roman" w:hAnsi="Times New Roman" w:cs="Times New Roman"/>
          <w:sz w:val="24"/>
          <w:szCs w:val="24"/>
          <w:shd w:val="clear" w:color="auto" w:fill="FFFFFF"/>
          <w:lang w:eastAsia="ar-SA"/>
        </w:rPr>
        <w:t xml:space="preserve">. Teikėjui pateikus reikalavimą sumokėti delspinigius, </w:t>
      </w:r>
      <w:r w:rsidR="008B6029">
        <w:rPr>
          <w:rFonts w:ascii="Times New Roman" w:eastAsia="Times New Roman" w:hAnsi="Times New Roman" w:cs="Times New Roman"/>
          <w:sz w:val="24"/>
          <w:szCs w:val="24"/>
          <w:shd w:val="clear" w:color="auto" w:fill="FFFFFF"/>
          <w:lang w:eastAsia="ar-SA"/>
        </w:rPr>
        <w:t>Užsakovas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sumoka delspinigius per 30 dienų nuo reikalavimo gavimo.</w:t>
      </w:r>
    </w:p>
    <w:p w14:paraId="723249C9"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.2. Jeigu </w:t>
      </w:r>
      <w:r w:rsidR="005153DD" w:rsidRPr="005153DD">
        <w:rPr>
          <w:rFonts w:ascii="Times New Roman" w:eastAsia="Times New Roman" w:hAnsi="Times New Roman" w:cs="Times New Roman"/>
          <w:sz w:val="24"/>
          <w:szCs w:val="24"/>
          <w:lang w:eastAsia="ar-SA"/>
        </w:rPr>
        <w:t xml:space="preserve">Teikėjas </w:t>
      </w:r>
      <w:r w:rsidR="005153DD"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turi teisę be oficialaus įspėjimo ir neprarasdama</w:t>
      </w:r>
      <w:r w:rsidR="000C7484">
        <w:rPr>
          <w:rFonts w:ascii="Times New Roman" w:eastAsia="Times New Roman" w:hAnsi="Times New Roman" w:cs="Times New Roman"/>
          <w:sz w:val="24"/>
          <w:szCs w:val="24"/>
          <w:shd w:val="clear" w:color="auto" w:fill="FFFFFF"/>
          <w:lang w:eastAsia="ar-SA"/>
        </w:rPr>
        <w:t>s</w:t>
      </w:r>
      <w:r w:rsidR="005153DD"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005153DD" w:rsidRPr="005153DD">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pagal Sutarties sąlygas už kiekvieną termino praleidimo dieną, neviršijant 10 proc. bendros Sutarties kainos. Teikėjas delspinigius sumoka </w:t>
      </w:r>
      <w:r w:rsidR="000C7484" w:rsidRPr="005153DD">
        <w:rPr>
          <w:rFonts w:ascii="Times New Roman" w:eastAsia="Times New Roman" w:hAnsi="Times New Roman" w:cs="Times New Roman"/>
          <w:sz w:val="24"/>
          <w:szCs w:val="24"/>
          <w:shd w:val="clear" w:color="auto" w:fill="FFFFFF"/>
          <w:lang w:eastAsia="ar-SA"/>
        </w:rPr>
        <w:t>perve</w:t>
      </w:r>
      <w:r w:rsidR="000C7484">
        <w:rPr>
          <w:rFonts w:ascii="Times New Roman" w:eastAsia="Times New Roman" w:hAnsi="Times New Roman" w:cs="Times New Roman"/>
          <w:sz w:val="24"/>
          <w:szCs w:val="24"/>
          <w:shd w:val="clear" w:color="auto" w:fill="FFFFFF"/>
          <w:lang w:eastAsia="ar-SA"/>
        </w:rPr>
        <w:t>sdamas</w:t>
      </w:r>
      <w:r w:rsidR="000C7484" w:rsidRPr="005153DD">
        <w:rPr>
          <w:rFonts w:ascii="Times New Roman" w:eastAsia="Times New Roman" w:hAnsi="Times New Roman" w:cs="Times New Roman"/>
          <w:sz w:val="24"/>
          <w:szCs w:val="24"/>
          <w:shd w:val="clear" w:color="auto" w:fill="FFFFFF"/>
          <w:lang w:eastAsia="ar-SA"/>
        </w:rPr>
        <w:t xml:space="preserve">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delspinigių sumą į </w:t>
      </w:r>
      <w:r w:rsidR="00B53B4B">
        <w:rPr>
          <w:rFonts w:ascii="Times New Roman" w:eastAsia="Times New Roman" w:hAnsi="Times New Roman" w:cs="Times New Roman"/>
          <w:sz w:val="24"/>
          <w:szCs w:val="24"/>
          <w:shd w:val="clear" w:color="auto" w:fill="FFFFFF"/>
          <w:lang w:eastAsia="ar-SA"/>
        </w:rPr>
        <w:t>Užsakovo</w:t>
      </w:r>
      <w:r w:rsidR="002813F4" w:rsidRPr="005153DD">
        <w:rPr>
          <w:rFonts w:ascii="Times New Roman" w:eastAsia="Times New Roman" w:hAnsi="Times New Roman" w:cs="Times New Roman"/>
          <w:sz w:val="24"/>
          <w:szCs w:val="24"/>
          <w:shd w:val="clear" w:color="auto" w:fill="FFFFFF"/>
          <w:lang w:eastAsia="ar-SA"/>
        </w:rPr>
        <w:t xml:space="preserve"> </w:t>
      </w:r>
      <w:r w:rsidR="00B46E4F">
        <w:rPr>
          <w:rFonts w:ascii="Times New Roman" w:eastAsia="Times New Roman" w:hAnsi="Times New Roman" w:cs="Times New Roman"/>
          <w:sz w:val="24"/>
          <w:szCs w:val="24"/>
          <w:shd w:val="clear" w:color="auto" w:fill="FFFFFF"/>
          <w:lang w:eastAsia="ar-SA"/>
        </w:rPr>
        <w:t xml:space="preserve">banko </w:t>
      </w:r>
      <w:r w:rsidR="005153DD" w:rsidRPr="005153DD">
        <w:rPr>
          <w:rFonts w:ascii="Times New Roman" w:eastAsia="Times New Roman" w:hAnsi="Times New Roman" w:cs="Times New Roman"/>
          <w:sz w:val="24"/>
          <w:szCs w:val="24"/>
          <w:shd w:val="clear" w:color="auto" w:fill="FFFFFF"/>
          <w:lang w:eastAsia="ar-SA"/>
        </w:rPr>
        <w:t>sąskaitą per 30 dienų nuo reikalavimo gavimo</w:t>
      </w:r>
      <w:r w:rsidR="00B46E4F">
        <w:rPr>
          <w:rFonts w:ascii="Times New Roman" w:eastAsia="Times New Roman" w:hAnsi="Times New Roman" w:cs="Times New Roman"/>
          <w:sz w:val="24"/>
          <w:szCs w:val="24"/>
          <w:shd w:val="clear" w:color="auto" w:fill="FFFFFF"/>
          <w:lang w:eastAsia="ar-SA"/>
        </w:rPr>
        <w:t xml:space="preserve"> dienos</w:t>
      </w:r>
      <w:r w:rsidR="005153DD" w:rsidRPr="005153DD">
        <w:rPr>
          <w:rFonts w:ascii="Times New Roman" w:eastAsia="Times New Roman" w:hAnsi="Times New Roman" w:cs="Times New Roman"/>
          <w:sz w:val="24"/>
          <w:szCs w:val="24"/>
          <w:shd w:val="clear" w:color="auto" w:fill="FFFFFF"/>
          <w:lang w:eastAsia="ar-SA"/>
        </w:rPr>
        <w:t>.</w:t>
      </w:r>
    </w:p>
    <w:p w14:paraId="0E45A44D"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.3. Jei apskaičiuoti delspinigiai viršija 10 proc. bendros Sutarties kainos arba Teikėjas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gali, prieš tai raštu įspėj</w:t>
      </w:r>
      <w:r w:rsidR="00E97AA1">
        <w:rPr>
          <w:rFonts w:ascii="Times New Roman" w:eastAsia="Times New Roman" w:hAnsi="Times New Roman" w:cs="Times New Roman"/>
          <w:sz w:val="24"/>
          <w:szCs w:val="24"/>
          <w:shd w:val="clear" w:color="auto" w:fill="FFFFFF"/>
          <w:lang w:eastAsia="ar-SA"/>
        </w:rPr>
        <w:t>ęs</w:t>
      </w:r>
      <w:r w:rsidR="005153DD"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lang w:eastAsia="ar-SA"/>
        </w:rPr>
        <w:t>Teikėją</w:t>
      </w:r>
      <w:r w:rsidR="005153DD" w:rsidRPr="005153DD">
        <w:rPr>
          <w:rFonts w:ascii="Times New Roman" w:eastAsia="Times New Roman" w:hAnsi="Times New Roman" w:cs="Times New Roman"/>
          <w:sz w:val="24"/>
          <w:szCs w:val="24"/>
          <w:shd w:val="clear" w:color="auto" w:fill="FFFFFF"/>
          <w:lang w:eastAsia="ar-SA"/>
        </w:rPr>
        <w:t>:</w:t>
      </w:r>
    </w:p>
    <w:p w14:paraId="20BCE754"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.3.1. išskaičiuoti delspinigių sumą iš </w:t>
      </w:r>
      <w:r w:rsidR="005153DD" w:rsidRPr="005153DD">
        <w:rPr>
          <w:rFonts w:ascii="Times New Roman" w:eastAsia="Times New Roman" w:hAnsi="Times New Roman" w:cs="Times New Roman"/>
          <w:sz w:val="24"/>
          <w:szCs w:val="24"/>
          <w:lang w:eastAsia="ar-SA"/>
        </w:rPr>
        <w:t xml:space="preserve">Teikėjui </w:t>
      </w:r>
      <w:r w:rsidR="005153DD" w:rsidRPr="005153DD">
        <w:rPr>
          <w:rFonts w:ascii="Times New Roman" w:eastAsia="Times New Roman" w:hAnsi="Times New Roman" w:cs="Times New Roman"/>
          <w:sz w:val="24"/>
          <w:szCs w:val="24"/>
          <w:shd w:val="clear" w:color="auto" w:fill="FFFFFF"/>
          <w:lang w:eastAsia="ar-SA"/>
        </w:rPr>
        <w:t>mokėtinų sumų;</w:t>
      </w:r>
    </w:p>
    <w:p w14:paraId="0A0354B1"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.3.2. pasinaudoti Sutarties įvykdymo užtikrinimu visai sumai;</w:t>
      </w:r>
    </w:p>
    <w:p w14:paraId="3CD4AF3E"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.3.3. nutraukti Sutartį.</w:t>
      </w:r>
    </w:p>
    <w:p w14:paraId="4653A60E"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.4. Jeigu Teikėjas nevykdo, netinkamai vykdo sutartinius įsipareigojimus,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turi teisę:</w:t>
      </w:r>
    </w:p>
    <w:p w14:paraId="12163A56" w14:textId="77777777" w:rsidR="00790DBF" w:rsidRPr="005153DD" w:rsidRDefault="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.4.1. pasinaudoti Sutarties įvykdymo užtikrinimu</w:t>
      </w:r>
      <w:r w:rsidR="00790DBF">
        <w:rPr>
          <w:rFonts w:ascii="Times New Roman" w:eastAsia="Times New Roman" w:hAnsi="Times New Roman" w:cs="Times New Roman"/>
          <w:sz w:val="24"/>
          <w:szCs w:val="24"/>
          <w:shd w:val="clear" w:color="auto" w:fill="FFFFFF"/>
          <w:lang w:eastAsia="ar-SA"/>
        </w:rPr>
        <w:t xml:space="preserve"> Sutarties 4 punkte nustatyta tvarka</w:t>
      </w:r>
      <w:r w:rsidR="000C7484">
        <w:rPr>
          <w:rFonts w:ascii="Times New Roman" w:eastAsia="Times New Roman" w:hAnsi="Times New Roman" w:cs="Times New Roman"/>
          <w:sz w:val="24"/>
          <w:szCs w:val="24"/>
          <w:shd w:val="clear" w:color="auto" w:fill="FFFFFF"/>
          <w:lang w:eastAsia="ar-SA"/>
        </w:rPr>
        <w:t>;</w:t>
      </w:r>
      <w:r w:rsidR="00790DBF">
        <w:rPr>
          <w:rFonts w:ascii="Times New Roman" w:eastAsia="Times New Roman" w:hAnsi="Times New Roman" w:cs="Times New Roman"/>
          <w:sz w:val="24"/>
          <w:szCs w:val="24"/>
          <w:shd w:val="clear" w:color="auto" w:fill="FFFFFF"/>
          <w:lang w:eastAsia="ar-SA"/>
        </w:rPr>
        <w:t xml:space="preserve"> </w:t>
      </w:r>
    </w:p>
    <w:p w14:paraId="79C8A126" w14:textId="77777777" w:rsidR="005153DD" w:rsidRPr="00E82CE7"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5153DD" w:rsidRPr="00E82CE7">
        <w:rPr>
          <w:rFonts w:ascii="Times New Roman" w:eastAsia="Times New Roman" w:hAnsi="Times New Roman" w:cs="Times New Roman"/>
          <w:sz w:val="24"/>
          <w:szCs w:val="24"/>
          <w:shd w:val="clear" w:color="auto" w:fill="FFFFFF"/>
          <w:lang w:eastAsia="ar-SA"/>
        </w:rPr>
        <w:t>.4.</w:t>
      </w:r>
      <w:r w:rsidR="0008587C" w:rsidRPr="00E82CE7">
        <w:rPr>
          <w:rFonts w:ascii="Times New Roman" w:eastAsia="Times New Roman" w:hAnsi="Times New Roman" w:cs="Times New Roman"/>
          <w:sz w:val="24"/>
          <w:szCs w:val="24"/>
          <w:shd w:val="clear" w:color="auto" w:fill="FFFFFF"/>
          <w:lang w:eastAsia="ar-SA"/>
        </w:rPr>
        <w:t>2</w:t>
      </w:r>
      <w:r w:rsidR="005153DD" w:rsidRPr="00E82CE7">
        <w:rPr>
          <w:rFonts w:ascii="Times New Roman" w:eastAsia="Times New Roman" w:hAnsi="Times New Roman" w:cs="Times New Roman"/>
          <w:sz w:val="24"/>
          <w:szCs w:val="24"/>
          <w:shd w:val="clear" w:color="auto" w:fill="FFFFFF"/>
          <w:lang w:eastAsia="ar-SA"/>
        </w:rPr>
        <w:t>. nutraukti Sutartį.</w:t>
      </w:r>
    </w:p>
    <w:p w14:paraId="20DB1994" w14:textId="77777777" w:rsidR="004803A7" w:rsidRPr="00E82CE7" w:rsidRDefault="00E82CE7" w:rsidP="004803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4803A7" w:rsidRPr="00E82CE7">
        <w:rPr>
          <w:rFonts w:ascii="Times New Roman" w:eastAsia="Times New Roman" w:hAnsi="Times New Roman" w:cs="Times New Roman"/>
          <w:sz w:val="24"/>
          <w:szCs w:val="24"/>
          <w:shd w:val="clear" w:color="auto" w:fill="FFFFFF"/>
          <w:lang w:eastAsia="ar-SA"/>
        </w:rPr>
        <w:t>.5. Delspinigių ir Sutarties įvykdymo užtikrinimo panaudojimas neatleidžia Sutarties Šalių nuo įsipareigojimų pagal šią Sutartį vykdymo.</w:t>
      </w:r>
    </w:p>
    <w:p w14:paraId="10711677" w14:textId="77777777" w:rsidR="004803A7" w:rsidRPr="00E82CE7" w:rsidRDefault="00E82CE7" w:rsidP="004803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4803A7" w:rsidRPr="00E82CE7">
        <w:rPr>
          <w:rFonts w:ascii="Times New Roman" w:eastAsia="Times New Roman" w:hAnsi="Times New Roman" w:cs="Times New Roman"/>
          <w:sz w:val="24"/>
          <w:szCs w:val="24"/>
          <w:shd w:val="clear" w:color="auto" w:fill="FFFFFF"/>
          <w:lang w:eastAsia="ar-SA"/>
        </w:rPr>
        <w:t>.6.Sutartį nutraukus dėl Teikėjo kaltės, be jam priklausančio atlyginimo už faktiškai suteiktas Paslaugas, Teikėjas neturi teisės į jokių patirtų nuostolių ar žalos kompensaciją.</w:t>
      </w:r>
    </w:p>
    <w:p w14:paraId="5D778295" w14:textId="77777777" w:rsidR="005153DD" w:rsidRPr="005153D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val="en-US" w:eastAsia="ar-SA"/>
        </w:rPr>
        <w:t>7</w:t>
      </w:r>
      <w:r w:rsidR="004A68F8" w:rsidRPr="00E82CE7">
        <w:rPr>
          <w:rFonts w:ascii="Times New Roman" w:eastAsia="Times New Roman" w:hAnsi="Times New Roman" w:cs="Times New Roman"/>
          <w:sz w:val="24"/>
          <w:szCs w:val="24"/>
          <w:shd w:val="clear" w:color="auto" w:fill="FFFFFF"/>
          <w:lang w:val="en-US" w:eastAsia="ar-SA"/>
        </w:rPr>
        <w:t>.</w:t>
      </w:r>
      <w:r w:rsidRPr="00E82CE7">
        <w:rPr>
          <w:rFonts w:ascii="Times New Roman" w:eastAsia="Times New Roman" w:hAnsi="Times New Roman" w:cs="Times New Roman"/>
          <w:sz w:val="24"/>
          <w:szCs w:val="24"/>
          <w:shd w:val="clear" w:color="auto" w:fill="FFFFFF"/>
          <w:lang w:val="en-US" w:eastAsia="ar-SA"/>
        </w:rPr>
        <w:t>7</w:t>
      </w:r>
      <w:r w:rsidR="004A68F8" w:rsidRPr="00E82CE7">
        <w:rPr>
          <w:rFonts w:ascii="Times New Roman" w:eastAsia="Times New Roman" w:hAnsi="Times New Roman" w:cs="Times New Roman"/>
          <w:sz w:val="24"/>
          <w:szCs w:val="24"/>
          <w:shd w:val="clear" w:color="auto" w:fill="FFFFFF"/>
          <w:lang w:val="en-US" w:eastAsia="ar-SA"/>
        </w:rPr>
        <w:t xml:space="preserve">. </w:t>
      </w:r>
      <w:r w:rsidRPr="00E82CE7">
        <w:rPr>
          <w:rFonts w:ascii="Times New Roman" w:eastAsia="Times New Roman" w:hAnsi="Times New Roman" w:cs="Times New Roman"/>
          <w:sz w:val="24"/>
          <w:szCs w:val="24"/>
          <w:shd w:val="clear" w:color="auto" w:fill="FFFFFF"/>
          <w:lang w:eastAsia="ar-SA"/>
        </w:rPr>
        <w:t>Šalys susitaria, kad visi Sutartyje nereglamentuoti klausimai sprendžiami</w:t>
      </w:r>
      <w:r>
        <w:rPr>
          <w:rFonts w:ascii="Times New Roman" w:eastAsia="Times New Roman" w:hAnsi="Times New Roman" w:cs="Times New Roman"/>
          <w:sz w:val="24"/>
          <w:szCs w:val="24"/>
          <w:shd w:val="clear" w:color="auto" w:fill="FFFFFF"/>
          <w:lang w:eastAsia="ar-SA"/>
        </w:rPr>
        <w:t xml:space="preserve"> vadovaujantis Lietuvos Respublikos teise.</w:t>
      </w:r>
    </w:p>
    <w:p w14:paraId="4CD9868A" w14:textId="77777777" w:rsidR="00872BC3" w:rsidRDefault="00872BC3" w:rsidP="001926F6">
      <w:pPr>
        <w:tabs>
          <w:tab w:val="left" w:pos="0"/>
        </w:tabs>
        <w:suppressAutoHyphens/>
        <w:spacing w:after="0" w:line="240" w:lineRule="auto"/>
        <w:outlineLvl w:val="1"/>
        <w:rPr>
          <w:rFonts w:ascii="Times New Roman" w:eastAsia="Calibri" w:hAnsi="Times New Roman" w:cs="Times New Roman"/>
          <w:b/>
          <w:bCs/>
          <w:sz w:val="24"/>
        </w:rPr>
      </w:pPr>
    </w:p>
    <w:p w14:paraId="500B3200" w14:textId="77777777" w:rsid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lastRenderedPageBreak/>
        <w:t>8</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NENUGALIMOS JĖGOS APLINKYBĖS</w:t>
      </w:r>
    </w:p>
    <w:p w14:paraId="588A09FB" w14:textId="77777777" w:rsidR="00790DBF" w:rsidRPr="005153DD"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42ADD62C"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5153DD">
        <w:rPr>
          <w:rFonts w:ascii="Times New Roman" w:eastAsia="Times New Roman" w:hAnsi="Times New Roman" w:cs="Times New Roman"/>
          <w:sz w:val="24"/>
          <w:szCs w:val="24"/>
          <w:shd w:val="clear" w:color="auto" w:fill="FFFFFF"/>
          <w:lang w:eastAsia="ar-SA"/>
        </w:rPr>
        <w:t>.1. Šalys atleidžiamos nuo atsakomybės už Sutarties nevykdymą ar netinkamą vykdymą, jeigu įrodo, kad tai įvyko dėl atsiradusių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aplinkybėms taisyklių patvirtinimo“.</w:t>
      </w:r>
    </w:p>
    <w:p w14:paraId="21FE36B8"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5153DD">
        <w:rPr>
          <w:rFonts w:ascii="Times New Roman" w:eastAsia="Times New Roman" w:hAnsi="Times New Roman" w:cs="Times New Roman"/>
          <w:sz w:val="24"/>
          <w:szCs w:val="24"/>
          <w:shd w:val="clear" w:color="auto" w:fill="FFFFFF"/>
          <w:lang w:eastAsia="ar-SA"/>
        </w:rPr>
        <w:t>.2. Šalis, negalinti vykdyti savo įsipareigojimų dėl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3085F76D"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1E71EE7C" w14:textId="77777777" w:rsidR="005153DD" w:rsidRDefault="00E82CE7" w:rsidP="00E82CE7">
      <w:pPr>
        <w:tabs>
          <w:tab w:val="left" w:pos="1701"/>
        </w:tabs>
        <w:suppressAutoHyphens/>
        <w:spacing w:after="0" w:line="240" w:lineRule="auto"/>
        <w:ind w:left="1701"/>
        <w:jc w:val="center"/>
        <w:outlineLvl w:val="2"/>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9</w:t>
      </w:r>
      <w:r w:rsidR="00B673D6">
        <w:rPr>
          <w:rFonts w:ascii="Times New Roman" w:eastAsia="Times New Roman" w:hAnsi="Times New Roman" w:cs="Times New Roman"/>
          <w:b/>
          <w:bCs/>
          <w:caps/>
          <w:sz w:val="24"/>
          <w:szCs w:val="24"/>
          <w:lang w:eastAsia="ar-SA"/>
        </w:rPr>
        <w:t xml:space="preserve">. </w:t>
      </w:r>
      <w:r w:rsidR="005153DD" w:rsidRPr="005153DD">
        <w:rPr>
          <w:rFonts w:ascii="Times New Roman" w:eastAsia="Times New Roman" w:hAnsi="Times New Roman" w:cs="Times New Roman"/>
          <w:b/>
          <w:bCs/>
          <w:caps/>
          <w:sz w:val="24"/>
          <w:szCs w:val="24"/>
          <w:lang w:eastAsia="ar-SA"/>
        </w:rPr>
        <w:t>Sutarties KEITIMAS ir nutraukimas</w:t>
      </w:r>
    </w:p>
    <w:p w14:paraId="13D6D561" w14:textId="77777777" w:rsidR="00E82CE7" w:rsidRPr="0061793B" w:rsidRDefault="00E82CE7" w:rsidP="00E82CE7">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33C4A4E9" w14:textId="77777777" w:rsidR="000871EA" w:rsidRDefault="000871EA" w:rsidP="000871E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0871EA">
        <w:rPr>
          <w:rFonts w:ascii="Times New Roman" w:eastAsia="Times New Roman" w:hAnsi="Times New Roman" w:cs="Times New Roman"/>
          <w:kern w:val="2"/>
          <w:sz w:val="24"/>
          <w:szCs w:val="24"/>
          <w:lang w:eastAsia="ar-SA"/>
        </w:rPr>
        <w:t>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19F73ABD"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C953210"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42AE5BA4"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0C7484">
        <w:rPr>
          <w:rFonts w:ascii="Times New Roman" w:eastAsia="Times New Roman" w:hAnsi="Times New Roman" w:cs="Times New Roman"/>
          <w:kern w:val="2"/>
          <w:sz w:val="24"/>
          <w:szCs w:val="24"/>
          <w:lang w:eastAsia="ar-SA"/>
        </w:rPr>
        <w:t>);</w:t>
      </w:r>
    </w:p>
    <w:p w14:paraId="35FE7586"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7DEF7270"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0C7484">
        <w:rPr>
          <w:rFonts w:ascii="Times New Roman" w:eastAsia="Times New Roman" w:hAnsi="Times New Roman" w:cs="Times New Roman"/>
          <w:sz w:val="24"/>
          <w:szCs w:val="24"/>
          <w:shd w:val="clear" w:color="auto" w:fill="FFFFFF"/>
          <w:lang w:eastAsia="zh-CN"/>
        </w:rPr>
        <w:t xml:space="preserve">keičiami </w:t>
      </w:r>
      <w:r>
        <w:rPr>
          <w:rFonts w:ascii="Times New Roman" w:eastAsia="Times New Roman" w:hAnsi="Times New Roman" w:cs="Times New Roman"/>
          <w:sz w:val="24"/>
          <w:szCs w:val="24"/>
          <w:shd w:val="clear" w:color="auto" w:fill="FFFFFF"/>
          <w:lang w:eastAsia="zh-CN"/>
        </w:rPr>
        <w:t xml:space="preserve">Teikėjo pasiūlyme nurodyti ekspertai, tik tuo atveju jeigu jie suserga ar atsisako eiti eksperto pareigas. Keičiami ekspertai turi atitikti konkurso sąlygose nustatytus </w:t>
      </w:r>
      <w:r w:rsidR="000C7484">
        <w:rPr>
          <w:rFonts w:ascii="Times New Roman" w:eastAsia="Times New Roman" w:hAnsi="Times New Roman" w:cs="Times New Roman"/>
          <w:sz w:val="24"/>
          <w:szCs w:val="24"/>
          <w:shd w:val="clear" w:color="auto" w:fill="FFFFFF"/>
          <w:lang w:eastAsia="zh-CN"/>
        </w:rPr>
        <w:t xml:space="preserve">kvalifikacijos </w:t>
      </w:r>
      <w:r>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66062DF1" w14:textId="77777777" w:rsidR="000F2F59" w:rsidRDefault="0055770C" w:rsidP="000F2F59">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jei keičiamas subteikėjas, kuris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subteikėjas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Pr>
          <w:rFonts w:ascii="Times New Roman" w:eastAsia="Times New Roman" w:hAnsi="Times New Roman" w:cs="Times New Roman"/>
          <w:kern w:val="2"/>
          <w:sz w:val="24"/>
          <w:szCs w:val="24"/>
          <w:lang w:eastAsia="ar-SA"/>
        </w:rPr>
        <w:t xml:space="preserve">Sutarties vykdymo metu pasinaudojus galimybe keisti pasitelktą subteikėją kitu, naujas subteikėjas turi atitikti tuos </w:t>
      </w:r>
      <w:r w:rsidR="000C7484">
        <w:rPr>
          <w:rFonts w:ascii="Times New Roman" w:eastAsia="Times New Roman" w:hAnsi="Times New Roman" w:cs="Times New Roman"/>
          <w:kern w:val="2"/>
          <w:sz w:val="24"/>
          <w:szCs w:val="24"/>
          <w:lang w:eastAsia="ar-SA"/>
        </w:rPr>
        <w:t xml:space="preserve">kvalifikacijos </w:t>
      </w:r>
      <w:r>
        <w:rPr>
          <w:rFonts w:ascii="Times New Roman" w:eastAsia="Times New Roman" w:hAnsi="Times New Roman" w:cs="Times New Roman"/>
          <w:kern w:val="2"/>
          <w:sz w:val="24"/>
          <w:szCs w:val="24"/>
          <w:lang w:eastAsia="ar-SA"/>
        </w:rPr>
        <w:t>reikalavimus, kurie buvo nustatyti pasitelkiamam subteikėjui pirkimo dokumentuose)</w:t>
      </w:r>
      <w:r w:rsidR="00D313B4">
        <w:rPr>
          <w:rFonts w:ascii="Times New Roman" w:eastAsia="Times New Roman" w:hAnsi="Times New Roman" w:cs="Times New Roman"/>
          <w:kern w:val="2"/>
          <w:sz w:val="24"/>
          <w:szCs w:val="24"/>
          <w:lang w:eastAsia="ar-SA"/>
        </w:rPr>
        <w:t xml:space="preserve"> (</w:t>
      </w:r>
      <w:r w:rsidR="00D313B4" w:rsidRPr="00326890">
        <w:rPr>
          <w:rFonts w:ascii="Times New Roman" w:eastAsia="Times New Roman" w:hAnsi="Times New Roman" w:cs="Times New Roman"/>
          <w:i/>
          <w:kern w:val="2"/>
          <w:sz w:val="24"/>
          <w:szCs w:val="24"/>
          <w:lang w:eastAsia="ar-SA"/>
        </w:rPr>
        <w:t>jei taikoma</w:t>
      </w:r>
      <w:r w:rsidR="00D313B4">
        <w:rPr>
          <w:rFonts w:ascii="Times New Roman" w:eastAsia="Times New Roman" w:hAnsi="Times New Roman" w:cs="Times New Roman"/>
          <w:kern w:val="2"/>
          <w:sz w:val="24"/>
          <w:szCs w:val="24"/>
          <w:lang w:eastAsia="ar-SA"/>
        </w:rPr>
        <w:t>)</w:t>
      </w:r>
      <w:r>
        <w:rPr>
          <w:rFonts w:ascii="Times New Roman" w:eastAsia="Times New Roman" w:hAnsi="Times New Roman" w:cs="Times New Roman"/>
          <w:kern w:val="2"/>
          <w:sz w:val="24"/>
          <w:szCs w:val="24"/>
          <w:lang w:eastAsia="ar-SA"/>
        </w:rPr>
        <w:t>;</w:t>
      </w:r>
    </w:p>
    <w:p w14:paraId="161D6F1D" w14:textId="77777777" w:rsidR="005B3352" w:rsidRDefault="005B3352" w:rsidP="005B3352">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9.3.5. keičiami paslaugų teikimo terminai</w:t>
      </w:r>
      <w:r w:rsidR="00D62357">
        <w:rPr>
          <w:rFonts w:ascii="Times New Roman" w:eastAsia="Times New Roman" w:hAnsi="Times New Roman" w:cs="Times New Roman"/>
          <w:kern w:val="2"/>
          <w:sz w:val="24"/>
          <w:szCs w:val="24"/>
          <w:lang w:eastAsia="ar-SA"/>
        </w:rPr>
        <w:t>.</w:t>
      </w:r>
      <w:r>
        <w:rPr>
          <w:rFonts w:ascii="Times New Roman" w:eastAsia="Times New Roman" w:hAnsi="Times New Roman" w:cs="Times New Roman"/>
          <w:kern w:val="2"/>
          <w:sz w:val="24"/>
          <w:szCs w:val="24"/>
          <w:lang w:eastAsia="ar-SA"/>
        </w:rPr>
        <w:t xml:space="preserve"> </w:t>
      </w:r>
    </w:p>
    <w:p w14:paraId="023C68FB" w14:textId="77777777" w:rsidR="0055770C" w:rsidRDefault="005914F4"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9.4</w:t>
      </w:r>
      <w:r w:rsidR="0055770C">
        <w:rPr>
          <w:rFonts w:ascii="Times New Roman" w:eastAsia="Times New Roman" w:hAnsi="Times New Roman" w:cs="Times New Roman"/>
          <w:kern w:val="2"/>
          <w:sz w:val="24"/>
          <w:szCs w:val="24"/>
          <w:lang w:eastAsia="ar-SA"/>
        </w:rPr>
        <w:t>.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55770C" w:rsidRPr="000871EA">
        <w:rPr>
          <w:rFonts w:ascii="Times New Roman" w:eastAsia="Times New Roman" w:hAnsi="Times New Roman" w:cs="Times New Roman"/>
          <w:color w:val="000000" w:themeColor="text1"/>
          <w:kern w:val="2"/>
          <w:sz w:val="24"/>
          <w:szCs w:val="24"/>
          <w:lang w:eastAsia="ar-SA"/>
        </w:rPr>
        <w:t xml:space="preserve"> </w:t>
      </w:r>
      <w:r w:rsidR="0055770C">
        <w:rPr>
          <w:rFonts w:ascii="Times New Roman" w:eastAsia="Times New Roman" w:hAnsi="Times New Roman" w:cs="Times New Roman"/>
          <w:kern w:val="2"/>
          <w:sz w:val="24"/>
          <w:szCs w:val="24"/>
          <w:lang w:eastAsia="ar-SA"/>
        </w:rPr>
        <w:t xml:space="preserve">Šalims tarpusavyje susitarus dėl Sutarties sąlygų keitimo šie keitimai </w:t>
      </w:r>
      <w:r w:rsidR="0055770C">
        <w:rPr>
          <w:rFonts w:ascii="Times New Roman" w:eastAsia="Times New Roman" w:hAnsi="Times New Roman" w:cs="Times New Roman"/>
          <w:kern w:val="2"/>
          <w:sz w:val="24"/>
          <w:szCs w:val="24"/>
          <w:lang w:eastAsia="ar-SA"/>
        </w:rPr>
        <w:lastRenderedPageBreak/>
        <w:t xml:space="preserve">įforminami ir tampa Sutarties dalimi.  </w:t>
      </w:r>
    </w:p>
    <w:p w14:paraId="6294168F" w14:textId="77777777" w:rsidR="0055770C" w:rsidRDefault="005914F4" w:rsidP="001926F6">
      <w:pPr>
        <w:tabs>
          <w:tab w:val="left" w:pos="1418"/>
          <w:tab w:val="right" w:pos="963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w:t>
      </w:r>
      <w:r w:rsidR="0055770C">
        <w:rPr>
          <w:rFonts w:ascii="Times New Roman" w:eastAsia="Times New Roman" w:hAnsi="Times New Roman" w:cs="Times New Roman"/>
          <w:sz w:val="24"/>
          <w:szCs w:val="24"/>
          <w:shd w:val="clear" w:color="auto" w:fill="FFFFFF"/>
          <w:lang w:eastAsia="ar-SA"/>
        </w:rPr>
        <w:t>. Užsakovas turi teisę vienašališkai nutraukti Sutartį, nuo to momento, kai sužino, kad:</w:t>
      </w:r>
      <w:r w:rsidR="001926F6">
        <w:rPr>
          <w:rFonts w:ascii="Times New Roman" w:eastAsia="Times New Roman" w:hAnsi="Times New Roman" w:cs="Times New Roman"/>
          <w:sz w:val="24"/>
          <w:szCs w:val="24"/>
          <w:shd w:val="clear" w:color="auto" w:fill="FFFFFF"/>
          <w:lang w:eastAsia="ar-SA"/>
        </w:rPr>
        <w:tab/>
      </w:r>
    </w:p>
    <w:p w14:paraId="663260B0" w14:textId="295A8620"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.1. Teikėjas bankrutuoja arba yra likviduojamas, kai sustabdo ūkinę veiklą, arba kai įstatymuose ir kituose teisės aktuose numatyta tvarka susidaro analogiška situacija;</w:t>
      </w:r>
    </w:p>
    <w:p w14:paraId="35B430A1" w14:textId="55ECEF11"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.2. keičiasi Teikėjo organizacinė struktūra – juridinis statusas, pobūdis ar valdymo struktūra ir tai gali turėti įtakos tinkamam Sutarties įvykdymui, išskyrus atvejus, kad dėl šių pasikeitimų keičiama Sutartis.</w:t>
      </w:r>
    </w:p>
    <w:p w14:paraId="5CBA7185" w14:textId="75607CAE"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231D2D">
        <w:rPr>
          <w:rFonts w:ascii="Times New Roman" w:eastAsia="Times New Roman" w:hAnsi="Times New Roman" w:cs="Times New Roman"/>
          <w:sz w:val="24"/>
          <w:szCs w:val="24"/>
          <w:shd w:val="clear" w:color="auto" w:fill="FFFFFF"/>
          <w:lang w:eastAsia="ar-SA"/>
        </w:rPr>
        <w:t>9.</w:t>
      </w:r>
      <w:r w:rsidR="006C357D" w:rsidRPr="00231D2D">
        <w:rPr>
          <w:rFonts w:ascii="Times New Roman" w:eastAsia="Times New Roman" w:hAnsi="Times New Roman" w:cs="Times New Roman"/>
          <w:sz w:val="24"/>
          <w:szCs w:val="24"/>
          <w:shd w:val="clear" w:color="auto" w:fill="FFFFFF"/>
          <w:lang w:eastAsia="ar-SA"/>
        </w:rPr>
        <w:t>6</w:t>
      </w:r>
      <w:r w:rsidRPr="00231D2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7A1DDC5" w14:textId="6D020319" w:rsid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1EA">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7</w:t>
      </w:r>
      <w:r w:rsidRPr="000871EA">
        <w:rPr>
          <w:rFonts w:ascii="Times New Roman" w:eastAsia="Times New Roman" w:hAnsi="Times New Roman" w:cs="Times New Roman"/>
          <w:sz w:val="24"/>
          <w:szCs w:val="24"/>
          <w:shd w:val="clear" w:color="auto" w:fill="FFFFFF"/>
          <w:lang w:eastAsia="ar-SA"/>
        </w:rPr>
        <w:t xml:space="preserve">. </w:t>
      </w:r>
      <w:r w:rsidR="00D9759E">
        <w:rPr>
          <w:rFonts w:ascii="Times New Roman" w:eastAsia="Times New Roman" w:hAnsi="Times New Roman" w:cs="Times New Roman"/>
          <w:sz w:val="24"/>
          <w:szCs w:val="24"/>
          <w:shd w:val="clear" w:color="auto" w:fill="FFFFFF"/>
          <w:lang w:eastAsia="ar-SA"/>
        </w:rPr>
        <w:t>Sutartis gali būti nutraukta e</w:t>
      </w:r>
      <w:r w:rsidRPr="000871EA">
        <w:rPr>
          <w:rFonts w:ascii="Times New Roman" w:eastAsia="Times New Roman" w:hAnsi="Times New Roman" w:cs="Times New Roman"/>
          <w:sz w:val="24"/>
          <w:szCs w:val="24"/>
          <w:shd w:val="clear" w:color="auto" w:fill="FFFFFF"/>
          <w:lang w:eastAsia="ar-SA"/>
        </w:rPr>
        <w:t xml:space="preserve">sant pagrindams nurodytiems Lietuvos Respublikos </w:t>
      </w:r>
      <w:r w:rsidR="00D313B4">
        <w:rPr>
          <w:rFonts w:ascii="Times New Roman" w:eastAsia="Times New Roman" w:hAnsi="Times New Roman" w:cs="Times New Roman"/>
          <w:sz w:val="24"/>
          <w:szCs w:val="24"/>
          <w:shd w:val="clear" w:color="auto" w:fill="FFFFFF"/>
          <w:lang w:eastAsia="ar-SA"/>
        </w:rPr>
        <w:t>v</w:t>
      </w:r>
      <w:r w:rsidRPr="000871EA">
        <w:rPr>
          <w:rFonts w:ascii="Times New Roman" w:eastAsia="Times New Roman" w:hAnsi="Times New Roman" w:cs="Times New Roman"/>
          <w:sz w:val="24"/>
          <w:szCs w:val="24"/>
          <w:shd w:val="clear" w:color="auto" w:fill="FFFFFF"/>
          <w:lang w:eastAsia="ar-SA"/>
        </w:rPr>
        <w:t>iešųjų pirkimų įstatymo 90 straipsnyje bei laikantis šiame straipsnyje nustatytos tvarkos.</w:t>
      </w:r>
      <w:r>
        <w:rPr>
          <w:rFonts w:ascii="Times New Roman" w:eastAsia="Times New Roman" w:hAnsi="Times New Roman" w:cs="Times New Roman"/>
          <w:sz w:val="24"/>
          <w:szCs w:val="24"/>
          <w:shd w:val="clear" w:color="auto" w:fill="FFFFFF"/>
          <w:lang w:eastAsia="ar-SA"/>
        </w:rPr>
        <w:t xml:space="preserve"> </w:t>
      </w:r>
    </w:p>
    <w:p w14:paraId="17C5C255" w14:textId="393923F6" w:rsidR="0055770C" w:rsidRDefault="000871EA"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8</w:t>
      </w:r>
      <w:r w:rsidR="0055770C">
        <w:rPr>
          <w:rFonts w:ascii="Times New Roman" w:eastAsia="Times New Roman" w:hAnsi="Times New Roman" w:cs="Times New Roman"/>
          <w:sz w:val="24"/>
          <w:szCs w:val="24"/>
          <w:shd w:val="clear" w:color="auto" w:fill="FFFFFF"/>
          <w:lang w:eastAsia="ar-SA"/>
        </w:rPr>
        <w:t>. Sutartis nutraukiama nesuėjus Sutartyje numatytam terminui tuo atveju, jeigu Užsakovas nebevykdo funkcijų, kurioms atlikti buvo sudaryta Sutartis.</w:t>
      </w:r>
    </w:p>
    <w:p w14:paraId="18BD02C9" w14:textId="17884CAD" w:rsidR="0055770C" w:rsidRDefault="000871EA"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9</w:t>
      </w:r>
      <w:r w:rsidR="0055770C">
        <w:rPr>
          <w:rFonts w:ascii="Times New Roman" w:eastAsia="Times New Roman" w:hAnsi="Times New Roman" w:cs="Times New Roman"/>
          <w:sz w:val="24"/>
          <w:szCs w:val="24"/>
          <w:shd w:val="clear" w:color="auto" w:fill="FFFFFF"/>
          <w:lang w:eastAsia="ar-SA"/>
        </w:rPr>
        <w:t>. Sutarties nutraukimas įforminamas Šalių susitarimu dėl Sutarties nutraukimo.</w:t>
      </w:r>
    </w:p>
    <w:p w14:paraId="26208C92" w14:textId="180CFDE8" w:rsidR="009E68AF" w:rsidRDefault="009E68AF"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9.1</w:t>
      </w:r>
      <w:r w:rsidR="00DB223C">
        <w:rPr>
          <w:rFonts w:ascii="Times New Roman" w:eastAsia="Times New Roman" w:hAnsi="Times New Roman" w:cs="Times New Roman"/>
          <w:sz w:val="24"/>
          <w:szCs w:val="24"/>
          <w:shd w:val="clear" w:color="auto" w:fill="FFFFFF"/>
          <w:lang w:eastAsia="ar-SA"/>
        </w:rPr>
        <w:t>0</w:t>
      </w:r>
      <w:r>
        <w:rPr>
          <w:rFonts w:ascii="Times New Roman" w:eastAsia="Times New Roman" w:hAnsi="Times New Roman" w:cs="Times New Roman"/>
          <w:sz w:val="24"/>
          <w:szCs w:val="24"/>
          <w:shd w:val="clear" w:color="auto" w:fill="FFFFFF"/>
          <w:lang w:eastAsia="ar-SA"/>
        </w:rPr>
        <w:t xml:space="preserve">. Visiškai pagal </w:t>
      </w:r>
      <w:r w:rsidRPr="0022203D">
        <w:rPr>
          <w:rFonts w:ascii="Times New Roman" w:eastAsia="Times New Roman" w:hAnsi="Times New Roman" w:cs="Times New Roman"/>
          <w:sz w:val="24"/>
          <w:szCs w:val="24"/>
          <w:shd w:val="clear" w:color="auto" w:fill="FFFFFF"/>
          <w:lang w:eastAsia="ar-SA"/>
        </w:rPr>
        <w:t>Sutartį atsiskaičiusi Šalis siunčia kitai Šaliai pranešimą apie tinkamą savo įsipareigojimų įvykdymą.</w:t>
      </w:r>
    </w:p>
    <w:p w14:paraId="49BD95AE" w14:textId="77777777" w:rsidR="00417CBF" w:rsidRDefault="00417CBF" w:rsidP="005153DD">
      <w:pPr>
        <w:tabs>
          <w:tab w:val="left" w:pos="0"/>
        </w:tabs>
        <w:suppressAutoHyphens/>
        <w:spacing w:after="0" w:line="240" w:lineRule="auto"/>
        <w:ind w:left="851"/>
        <w:jc w:val="center"/>
        <w:outlineLvl w:val="1"/>
        <w:rPr>
          <w:rFonts w:ascii="Times New Roman" w:eastAsia="Times New Roman" w:hAnsi="Times New Roman" w:cs="Times New Roman"/>
          <w:b/>
          <w:bCs/>
          <w:sz w:val="24"/>
          <w:szCs w:val="24"/>
          <w:lang w:eastAsia="ar-SA"/>
        </w:rPr>
      </w:pPr>
    </w:p>
    <w:p w14:paraId="0924097C" w14:textId="77777777" w:rsidR="005153DD" w:rsidRPr="005153DD" w:rsidRDefault="005153DD" w:rsidP="005153DD">
      <w:pPr>
        <w:tabs>
          <w:tab w:val="left" w:pos="0"/>
        </w:tabs>
        <w:suppressAutoHyphens/>
        <w:spacing w:after="0" w:line="240" w:lineRule="auto"/>
        <w:ind w:left="851"/>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E82CE7">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468C8249" w14:textId="77777777" w:rsidR="00E82CE7" w:rsidRPr="005153DD" w:rsidRDefault="00E82CE7" w:rsidP="00E82CE7">
      <w:pPr>
        <w:suppressAutoHyphens/>
        <w:spacing w:after="0" w:line="240" w:lineRule="auto"/>
        <w:rPr>
          <w:rFonts w:ascii="Times New Roman" w:eastAsia="Times New Roman" w:hAnsi="Times New Roman" w:cs="Times New Roman"/>
          <w:sz w:val="24"/>
          <w:szCs w:val="24"/>
          <w:lang w:eastAsia="ar-SA"/>
        </w:rPr>
      </w:pPr>
    </w:p>
    <w:p w14:paraId="176EF2C1" w14:textId="77777777" w:rsidR="00E82CE7" w:rsidRPr="0061793B" w:rsidRDefault="00E82CE7" w:rsidP="00E82CE7">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16638D7D" w14:textId="77777777" w:rsidR="00E82CE7" w:rsidRPr="0061793B"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437B0CE" w14:textId="77777777" w:rsidR="00E82CE7" w:rsidRPr="005153D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678691BF" w14:textId="77777777" w:rsidR="001926F6" w:rsidRDefault="001926F6"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30922E18"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460C17">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72FF2329"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40F4D0EF" w14:textId="77777777" w:rsidR="00013587" w:rsidRDefault="005153DD" w:rsidP="00B46E4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460C17">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tbl>
      <w:tblPr>
        <w:tblW w:w="9659" w:type="dxa"/>
        <w:tblInd w:w="2" w:type="dxa"/>
        <w:tblLayout w:type="fixed"/>
        <w:tblLook w:val="00A0" w:firstRow="1" w:lastRow="0" w:firstColumn="1" w:lastColumn="0" w:noHBand="0" w:noVBand="0"/>
      </w:tblPr>
      <w:tblGrid>
        <w:gridCol w:w="2147"/>
        <w:gridCol w:w="3827"/>
        <w:gridCol w:w="3685"/>
      </w:tblGrid>
      <w:tr w:rsidR="005153DD" w:rsidRPr="005153DD" w14:paraId="3F655489" w14:textId="77777777" w:rsidTr="00C9662F">
        <w:trPr>
          <w:trHeight w:val="276"/>
        </w:trPr>
        <w:tc>
          <w:tcPr>
            <w:tcW w:w="2147" w:type="dxa"/>
            <w:tcBorders>
              <w:top w:val="nil"/>
              <w:left w:val="nil"/>
              <w:bottom w:val="single" w:sz="4" w:space="0" w:color="auto"/>
              <w:right w:val="nil"/>
            </w:tcBorders>
          </w:tcPr>
          <w:p w14:paraId="0B00302D"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2144EF8A" w14:textId="77777777" w:rsidR="005153DD" w:rsidRPr="005153DD" w:rsidRDefault="008B6029"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004F1E62">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6CA635A8" w14:textId="77777777" w:rsidR="005153DD" w:rsidRPr="005153DD" w:rsidRDefault="005153DD" w:rsidP="005153D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Teikėjo vardu</w:t>
            </w:r>
          </w:p>
        </w:tc>
      </w:tr>
      <w:tr w:rsidR="005153DD" w:rsidRPr="005153DD" w14:paraId="557CE21E"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2D68D1D4"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2946857D" w14:textId="257CA60F" w:rsidR="005153DD" w:rsidRPr="00205B46"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17BCD3A" w14:textId="1BA86022"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r w:rsidR="005153DD" w:rsidRPr="005153DD" w14:paraId="543BD394"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32FB6DA5"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2AA1720" w14:textId="7B9120BE"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2460BB5" w14:textId="39FB5FA5" w:rsidR="005153DD" w:rsidRPr="005153DD" w:rsidRDefault="005153DD" w:rsidP="007C39FC">
            <w:pPr>
              <w:suppressAutoHyphens/>
              <w:snapToGrid w:val="0"/>
              <w:spacing w:after="0" w:line="240" w:lineRule="auto"/>
              <w:rPr>
                <w:rFonts w:ascii="Times New Roman" w:eastAsia="Times New Roman" w:hAnsi="Times New Roman" w:cs="Times New Roman"/>
                <w:sz w:val="24"/>
                <w:szCs w:val="24"/>
                <w:lang w:eastAsia="zh-CN"/>
              </w:rPr>
            </w:pPr>
          </w:p>
        </w:tc>
      </w:tr>
      <w:tr w:rsidR="005153DD" w:rsidRPr="005153DD" w14:paraId="1960CEF2"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1630B0C8"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4FAB53B" w14:textId="09A21722"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1078AB4" w14:textId="4817CD8A" w:rsidR="00B75A0F" w:rsidRPr="005153DD" w:rsidRDefault="00B75A0F" w:rsidP="00B75A0F">
            <w:pPr>
              <w:suppressAutoHyphens/>
              <w:snapToGrid w:val="0"/>
              <w:spacing w:after="0" w:line="240" w:lineRule="auto"/>
              <w:rPr>
                <w:rFonts w:ascii="Times New Roman" w:eastAsia="Times New Roman" w:hAnsi="Times New Roman" w:cs="Times New Roman"/>
                <w:sz w:val="24"/>
                <w:szCs w:val="24"/>
                <w:lang w:eastAsia="zh-CN"/>
              </w:rPr>
            </w:pPr>
          </w:p>
        </w:tc>
      </w:tr>
      <w:tr w:rsidR="005153DD" w:rsidRPr="005153DD" w14:paraId="4844B73C"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6F744A7E"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5B5AB42A" w14:textId="774F7858" w:rsidR="005153DD" w:rsidRPr="00005A3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val="en-US" w:eastAsia="zh-CN"/>
              </w:rPr>
            </w:pPr>
          </w:p>
        </w:tc>
        <w:tc>
          <w:tcPr>
            <w:tcW w:w="3685" w:type="dxa"/>
            <w:tcBorders>
              <w:top w:val="single" w:sz="4" w:space="0" w:color="auto"/>
              <w:left w:val="single" w:sz="4" w:space="0" w:color="auto"/>
              <w:bottom w:val="single" w:sz="4" w:space="0" w:color="auto"/>
              <w:right w:val="single" w:sz="4" w:space="0" w:color="auto"/>
            </w:tcBorders>
          </w:tcPr>
          <w:p w14:paraId="41BE9AC8" w14:textId="2A5E1B71" w:rsidR="00B75A0F" w:rsidRPr="00B75A0F" w:rsidRDefault="00B75A0F" w:rsidP="005153DD">
            <w:pPr>
              <w:suppressAutoHyphens/>
              <w:snapToGrid w:val="0"/>
              <w:spacing w:after="0" w:line="240" w:lineRule="auto"/>
              <w:rPr>
                <w:rFonts w:ascii="Times New Roman" w:eastAsia="Times New Roman" w:hAnsi="Times New Roman" w:cs="Times New Roman"/>
                <w:sz w:val="24"/>
                <w:szCs w:val="24"/>
                <w:lang w:val="en-US" w:eastAsia="zh-CN"/>
              </w:rPr>
            </w:pPr>
          </w:p>
        </w:tc>
      </w:tr>
    </w:tbl>
    <w:p w14:paraId="0F3644B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460C17">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w:t>
      </w:r>
      <w:r w:rsidRPr="005153DD">
        <w:rPr>
          <w:rFonts w:ascii="Times New Roman" w:eastAsia="Times New Roman" w:hAnsi="Times New Roman" w:cs="Times New Roman"/>
          <w:sz w:val="24"/>
          <w:szCs w:val="24"/>
          <w:shd w:val="clear" w:color="auto" w:fill="FFFFFF"/>
          <w:lang w:eastAsia="ar-SA"/>
        </w:rPr>
        <w:lastRenderedPageBreak/>
        <w:t>paskutiniais žinomais jai duomenimis, prieštarauja Sutarties sąlygoms arba ji negavo jokio pranešimo, išsiųsto pagal tuos duomenis.</w:t>
      </w:r>
    </w:p>
    <w:p w14:paraId="2FF660F1" w14:textId="77777777" w:rsidR="005153DD" w:rsidRPr="00460C17" w:rsidRDefault="005153DD" w:rsidP="005153DD">
      <w:pPr>
        <w:tabs>
          <w:tab w:val="left" w:pos="1418"/>
        </w:tabs>
        <w:suppressAutoHyphens/>
        <w:spacing w:after="0" w:line="240" w:lineRule="auto"/>
        <w:jc w:val="both"/>
        <w:rPr>
          <w:rFonts w:ascii="Times New Roman" w:eastAsia="Times New Roman" w:hAnsi="Times New Roman" w:cs="Times New Roman"/>
          <w:b/>
          <w:sz w:val="24"/>
          <w:szCs w:val="24"/>
          <w:shd w:val="clear" w:color="auto" w:fill="FFFFFF"/>
          <w:lang w:eastAsia="ar-SA"/>
        </w:rPr>
      </w:pPr>
    </w:p>
    <w:p w14:paraId="19F1D632" w14:textId="77777777" w:rsidR="00460C17" w:rsidRPr="005153DD" w:rsidRDefault="00E662CD" w:rsidP="000871EA">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12</w:t>
      </w:r>
      <w:r w:rsidR="00460C17" w:rsidRPr="005153DD">
        <w:rPr>
          <w:rFonts w:ascii="Times New Roman" w:eastAsia="Times New Roman" w:hAnsi="Times New Roman" w:cs="Times New Roman"/>
          <w:b/>
          <w:bCs/>
          <w:sz w:val="24"/>
          <w:szCs w:val="24"/>
          <w:lang w:eastAsia="ar-SA"/>
        </w:rPr>
        <w:t>. KITOS SĄLYGOS</w:t>
      </w:r>
    </w:p>
    <w:p w14:paraId="6DB2EB11" w14:textId="77777777" w:rsidR="00460C17" w:rsidRPr="005153DD" w:rsidRDefault="00460C17" w:rsidP="00460C17">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03F0E025" w14:textId="77777777" w:rsidR="00460C17" w:rsidRPr="005153DD" w:rsidRDefault="00E662CD"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4AD38D62" w14:textId="77777777" w:rsidR="00460C17" w:rsidRPr="005153DD" w:rsidRDefault="00E662CD"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w:t>
      </w:r>
      <w:r w:rsidR="00460C17">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 xml:space="preserve">. Sutarties priedai: </w:t>
      </w:r>
    </w:p>
    <w:p w14:paraId="1191E245" w14:textId="5E7F2392" w:rsidR="00DE3962" w:rsidRDefault="00460C17" w:rsidP="00B36B1D">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1 priedas: </w:t>
      </w:r>
      <w:r w:rsidR="00D427E5" w:rsidRPr="00D427E5">
        <w:rPr>
          <w:rFonts w:ascii="Times New Roman" w:eastAsia="Times New Roman" w:hAnsi="Times New Roman" w:cs="Times New Roman"/>
          <w:i/>
          <w:sz w:val="24"/>
          <w:szCs w:val="24"/>
        </w:rPr>
        <w:t>Dokumentų, reikalingų parengti trečiuosius Nemuno, Lielupės, Ventos ir Dauguvos upių baseinų rajonų valdymo planus/ priemonių programas ir ataskaitas Europos Komisijai, įsigijimo</w:t>
      </w:r>
      <w:r w:rsidR="00D427E5" w:rsidRPr="00D427E5">
        <w:rPr>
          <w:rFonts w:ascii="Times New Roman" w:eastAsia="Lucida Sans Unicode" w:hAnsi="Times New Roman" w:cs="Arial"/>
          <w:bCs/>
          <w:i/>
          <w:iCs/>
          <w:kern w:val="1"/>
          <w:sz w:val="24"/>
          <w:szCs w:val="24"/>
          <w:lang w:val="en"/>
        </w:rPr>
        <w:t xml:space="preserve"> </w:t>
      </w:r>
      <w:r w:rsidR="00D427E5" w:rsidRPr="00D427E5">
        <w:rPr>
          <w:rFonts w:ascii="Times New Roman" w:eastAsia="Lucida Sans Unicode" w:hAnsi="Times New Roman" w:cs="Times New Roman"/>
          <w:bCs/>
          <w:i/>
          <w:iCs/>
          <w:kern w:val="1"/>
          <w:sz w:val="24"/>
          <w:szCs w:val="24"/>
        </w:rPr>
        <w:t>paslaugų</w:t>
      </w:r>
      <w:r w:rsidR="00D427E5" w:rsidRPr="005153DD">
        <w:rPr>
          <w:rFonts w:ascii="Times New Roman" w:eastAsia="Times New Roman" w:hAnsi="Times New Roman" w:cs="Times New Roman"/>
          <w:i/>
          <w:iCs/>
          <w:sz w:val="24"/>
          <w:szCs w:val="24"/>
          <w:shd w:val="clear" w:color="auto" w:fill="FFFFFF"/>
          <w:lang w:eastAsia="ar-SA"/>
        </w:rPr>
        <w:t xml:space="preserve"> </w:t>
      </w:r>
      <w:r w:rsidRPr="005153DD">
        <w:rPr>
          <w:rFonts w:ascii="Times New Roman" w:eastAsia="Times New Roman" w:hAnsi="Times New Roman" w:cs="Times New Roman"/>
          <w:i/>
          <w:iCs/>
          <w:sz w:val="24"/>
          <w:szCs w:val="24"/>
          <w:shd w:val="clear" w:color="auto" w:fill="FFFFFF"/>
          <w:lang w:eastAsia="ar-SA"/>
        </w:rPr>
        <w:t>techninė specifikacija</w:t>
      </w:r>
      <w:r w:rsidR="00B9599C">
        <w:rPr>
          <w:rFonts w:ascii="Times New Roman" w:eastAsia="Times New Roman" w:hAnsi="Times New Roman" w:cs="Times New Roman"/>
          <w:i/>
          <w:iCs/>
          <w:sz w:val="24"/>
          <w:szCs w:val="24"/>
          <w:shd w:val="clear" w:color="auto" w:fill="FFFFFF"/>
          <w:lang w:eastAsia="ar-SA"/>
        </w:rPr>
        <w:t>, 18  lapų</w:t>
      </w:r>
      <w:r w:rsidR="00DE3962">
        <w:rPr>
          <w:rFonts w:ascii="Times New Roman" w:eastAsia="Times New Roman" w:hAnsi="Times New Roman" w:cs="Times New Roman"/>
          <w:i/>
          <w:iCs/>
          <w:sz w:val="24"/>
          <w:szCs w:val="24"/>
          <w:shd w:val="clear" w:color="auto" w:fill="FFFFFF"/>
          <w:lang w:eastAsia="ar-SA"/>
        </w:rPr>
        <w:t>;</w:t>
      </w:r>
    </w:p>
    <w:p w14:paraId="1C669EBF" w14:textId="26A44389" w:rsidR="00B36B1D" w:rsidRPr="001D3451" w:rsidRDefault="00DE3962" w:rsidP="00B36B1D">
      <w:pPr>
        <w:tabs>
          <w:tab w:val="left" w:pos="1418"/>
        </w:tabs>
        <w:suppressAutoHyphens/>
        <w:spacing w:after="0" w:line="240" w:lineRule="auto"/>
        <w:jc w:val="both"/>
        <w:rPr>
          <w:rFonts w:ascii="Times New Roman" w:eastAsia="Times New Roman" w:hAnsi="Times New Roman" w:cs="Times New Roman"/>
          <w:iCs/>
          <w:sz w:val="24"/>
          <w:szCs w:val="24"/>
          <w:shd w:val="clear" w:color="auto" w:fill="FFFFFF"/>
          <w:lang w:eastAsia="ar-SA"/>
        </w:rPr>
      </w:pPr>
      <w:r>
        <w:rPr>
          <w:rFonts w:ascii="Times New Roman" w:eastAsia="Times New Roman" w:hAnsi="Times New Roman" w:cs="Times New Roman"/>
          <w:iCs/>
          <w:sz w:val="24"/>
          <w:szCs w:val="24"/>
          <w:shd w:val="clear" w:color="auto" w:fill="FFFFFF"/>
          <w:lang w:eastAsia="ar-SA"/>
        </w:rPr>
        <w:t>2 priedas:</w:t>
      </w:r>
      <w:r w:rsidR="00DF1DDD" w:rsidRPr="00DF1DDD">
        <w:rPr>
          <w:rFonts w:ascii="Times New Roman" w:eastAsia="Times New Roman" w:hAnsi="Times New Roman" w:cs="Times New Roman"/>
          <w:sz w:val="24"/>
          <w:szCs w:val="24"/>
        </w:rPr>
        <w:t xml:space="preserve"> </w:t>
      </w:r>
      <w:r w:rsidR="00DF1DDD" w:rsidRPr="00D427E5">
        <w:rPr>
          <w:rFonts w:ascii="Times New Roman" w:eastAsia="Times New Roman" w:hAnsi="Times New Roman" w:cs="Times New Roman"/>
          <w:i/>
          <w:sz w:val="24"/>
          <w:szCs w:val="24"/>
        </w:rPr>
        <w:t>Dokumentų, reikalingų parengti trečiuosius Nemuno, Lielupės, Ventos ir Dauguvos upių baseinų rajonų valdymo planus/ priemonių programas ir ataskaitas Europos Komisijai, įsigijimo</w:t>
      </w:r>
      <w:r w:rsidR="00DF1DDD" w:rsidRPr="00D427E5">
        <w:rPr>
          <w:rFonts w:ascii="Times New Roman" w:eastAsia="Lucida Sans Unicode" w:hAnsi="Times New Roman" w:cs="Arial"/>
          <w:bCs/>
          <w:i/>
          <w:iCs/>
          <w:kern w:val="1"/>
          <w:sz w:val="24"/>
          <w:szCs w:val="24"/>
          <w:lang w:val="en"/>
        </w:rPr>
        <w:t xml:space="preserve"> </w:t>
      </w:r>
      <w:r w:rsidR="00DF1DDD" w:rsidRPr="00D427E5">
        <w:rPr>
          <w:rFonts w:ascii="Times New Roman" w:eastAsia="Lucida Sans Unicode" w:hAnsi="Times New Roman" w:cs="Times New Roman"/>
          <w:bCs/>
          <w:i/>
          <w:iCs/>
          <w:kern w:val="1"/>
          <w:sz w:val="24"/>
          <w:szCs w:val="24"/>
        </w:rPr>
        <w:t>paslaugų</w:t>
      </w:r>
      <w:r w:rsidR="00010AC8" w:rsidRPr="00D427E5">
        <w:rPr>
          <w:rFonts w:ascii="Times New Roman" w:eastAsia="Lucida Sans Unicode" w:hAnsi="Times New Roman" w:cs="Times New Roman"/>
          <w:bCs/>
          <w:i/>
          <w:iCs/>
          <w:kern w:val="1"/>
          <w:sz w:val="24"/>
          <w:szCs w:val="24"/>
        </w:rPr>
        <w:t xml:space="preserve"> perdavimo-priėmimo aktas</w:t>
      </w:r>
      <w:r w:rsidR="00010AC8" w:rsidRPr="007D01A7">
        <w:rPr>
          <w:rFonts w:ascii="Times New Roman" w:eastAsia="Lucida Sans Unicode" w:hAnsi="Times New Roman" w:cs="Times New Roman"/>
          <w:bCs/>
          <w:i/>
          <w:iCs/>
          <w:kern w:val="1"/>
          <w:sz w:val="24"/>
          <w:szCs w:val="24"/>
        </w:rPr>
        <w:t>,</w:t>
      </w:r>
      <w:r w:rsidR="00A22561" w:rsidRPr="007D01A7">
        <w:rPr>
          <w:rFonts w:ascii="Times New Roman" w:eastAsia="Lucida Sans Unicode" w:hAnsi="Times New Roman" w:cs="Times New Roman"/>
          <w:bCs/>
          <w:i/>
          <w:iCs/>
          <w:kern w:val="1"/>
          <w:sz w:val="24"/>
          <w:szCs w:val="24"/>
        </w:rPr>
        <w:t xml:space="preserve"> 1 </w:t>
      </w:r>
      <w:r w:rsidR="00A22561">
        <w:rPr>
          <w:rFonts w:ascii="Times New Roman" w:eastAsia="Lucida Sans Unicode" w:hAnsi="Times New Roman" w:cs="Times New Roman"/>
          <w:bCs/>
          <w:i/>
          <w:iCs/>
          <w:kern w:val="1"/>
          <w:sz w:val="24"/>
          <w:szCs w:val="24"/>
        </w:rPr>
        <w:t>lapas</w:t>
      </w:r>
      <w:r w:rsidR="00010AC8" w:rsidRPr="00D427E5">
        <w:rPr>
          <w:rFonts w:ascii="Times New Roman" w:eastAsia="Lucida Sans Unicode" w:hAnsi="Times New Roman" w:cs="Times New Roman"/>
          <w:bCs/>
          <w:i/>
          <w:iCs/>
          <w:kern w:val="1"/>
          <w:sz w:val="24"/>
          <w:szCs w:val="24"/>
        </w:rPr>
        <w:t>.</w:t>
      </w:r>
    </w:p>
    <w:p w14:paraId="27E4BD36" w14:textId="77777777" w:rsidR="000871EA" w:rsidRDefault="000871EA" w:rsidP="00460C17">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D3B8076" w14:textId="77777777" w:rsidR="000871EA" w:rsidRDefault="000871EA" w:rsidP="00460C17">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EBBD90D" w14:textId="77777777" w:rsidR="00460C17" w:rsidRDefault="00E662CD" w:rsidP="00B36B1D">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00460C17" w:rsidRPr="005153DD">
        <w:rPr>
          <w:rFonts w:ascii="Times New Roman" w:eastAsia="Times New Roman" w:hAnsi="Times New Roman" w:cs="Times New Roman"/>
          <w:b/>
          <w:bCs/>
          <w:caps/>
          <w:color w:val="000000"/>
          <w:sz w:val="24"/>
          <w:szCs w:val="24"/>
          <w:lang w:eastAsia="zh-CN"/>
        </w:rPr>
        <w:t>kiti dokumentai</w:t>
      </w:r>
      <w:r w:rsidR="00460C17" w:rsidRPr="005153DD">
        <w:rPr>
          <w:rFonts w:ascii="Times New Roman" w:eastAsia="Times New Roman" w:hAnsi="Times New Roman" w:cs="Times New Roman"/>
          <w:b/>
          <w:bCs/>
          <w:color w:val="000000"/>
          <w:sz w:val="24"/>
          <w:szCs w:val="24"/>
          <w:lang w:eastAsia="zh-CN"/>
        </w:rPr>
        <w:t>, SUDARANTYS NEATSIEJAMĄ ŠIOS SUTARTIES DALĮ</w:t>
      </w:r>
    </w:p>
    <w:p w14:paraId="4782ABAD" w14:textId="77777777" w:rsidR="00F6690B" w:rsidRPr="005153DD" w:rsidRDefault="00F6690B" w:rsidP="00B36B1D">
      <w:pPr>
        <w:suppressAutoHyphens/>
        <w:spacing w:after="0" w:line="240" w:lineRule="auto"/>
        <w:ind w:left="360"/>
        <w:jc w:val="center"/>
        <w:rPr>
          <w:rFonts w:ascii="Times New Roman" w:eastAsia="Times New Roman" w:hAnsi="Times New Roman" w:cs="Times New Roman"/>
          <w:b/>
          <w:bCs/>
          <w:color w:val="000000"/>
          <w:sz w:val="24"/>
          <w:szCs w:val="24"/>
          <w:lang w:eastAsia="zh-CN"/>
        </w:rPr>
      </w:pPr>
    </w:p>
    <w:p w14:paraId="7B00F186" w14:textId="29D48592" w:rsidR="00460C17" w:rsidRDefault="00E662CD" w:rsidP="006D71A2">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A01179">
        <w:rPr>
          <w:rFonts w:ascii="Times New Roman" w:eastAsia="Times New Roman" w:hAnsi="Times New Roman" w:cs="Times New Roman"/>
          <w:color w:val="000000"/>
          <w:sz w:val="24"/>
          <w:szCs w:val="24"/>
          <w:lang w:eastAsia="zh-CN"/>
        </w:rPr>
        <w:t>13</w:t>
      </w:r>
      <w:r w:rsidR="00460C17" w:rsidRPr="00A01179">
        <w:rPr>
          <w:rFonts w:ascii="Times New Roman" w:eastAsia="Times New Roman" w:hAnsi="Times New Roman" w:cs="Times New Roman"/>
          <w:color w:val="000000"/>
          <w:sz w:val="24"/>
          <w:szCs w:val="24"/>
          <w:lang w:eastAsia="zh-CN"/>
        </w:rPr>
        <w:t xml:space="preserve">.1. </w:t>
      </w:r>
      <w:r w:rsidR="00460C17" w:rsidRPr="00A01179">
        <w:rPr>
          <w:rFonts w:ascii="Times New Roman" w:eastAsia="Times New Roman" w:hAnsi="Times New Roman" w:cs="Times New Roman"/>
          <w:i/>
          <w:color w:val="000000"/>
          <w:sz w:val="24"/>
          <w:szCs w:val="24"/>
          <w:lang w:eastAsia="zh-CN"/>
        </w:rPr>
        <w:t xml:space="preserve">Viešojo pirkimo </w:t>
      </w:r>
      <w:r w:rsidR="001D3451">
        <w:rPr>
          <w:rFonts w:ascii="Times New Roman" w:eastAsia="Times New Roman" w:hAnsi="Times New Roman" w:cs="Times New Roman"/>
          <w:i/>
          <w:color w:val="000000"/>
          <w:sz w:val="24"/>
          <w:szCs w:val="24"/>
          <w:lang w:eastAsia="zh-CN"/>
        </w:rPr>
        <w:t xml:space="preserve">dalyvio laimėjęs pasiūlymas, 5 </w:t>
      </w:r>
      <w:r w:rsidR="00460C17" w:rsidRPr="00A01179">
        <w:rPr>
          <w:rFonts w:ascii="Times New Roman" w:eastAsia="Times New Roman" w:hAnsi="Times New Roman" w:cs="Times New Roman"/>
          <w:i/>
          <w:color w:val="000000"/>
          <w:sz w:val="24"/>
          <w:szCs w:val="24"/>
          <w:lang w:eastAsia="zh-CN"/>
        </w:rPr>
        <w:t>lapai</w:t>
      </w:r>
      <w:r w:rsidR="00460C17" w:rsidRPr="00A01179">
        <w:rPr>
          <w:rFonts w:ascii="Times New Roman" w:eastAsia="Times New Roman" w:hAnsi="Times New Roman" w:cs="Times New Roman"/>
          <w:color w:val="000000"/>
          <w:sz w:val="24"/>
          <w:szCs w:val="24"/>
          <w:lang w:eastAsia="zh-CN"/>
        </w:rPr>
        <w:t>.</w:t>
      </w:r>
    </w:p>
    <w:p w14:paraId="6E3E8E2C" w14:textId="0CC9F20A" w:rsidR="0007274A" w:rsidRDefault="0007274A" w:rsidP="000727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.2. </w:t>
      </w:r>
      <w:r w:rsidR="001D3451" w:rsidRPr="00D427E5">
        <w:rPr>
          <w:rFonts w:ascii="Times New Roman" w:eastAsia="Times New Roman" w:hAnsi="Times New Roman" w:cs="Times New Roman"/>
          <w:i/>
          <w:sz w:val="24"/>
          <w:szCs w:val="24"/>
        </w:rPr>
        <w:t>Dokumentų, reikalingų parengti trečiuosius Nemuno, Lielupės, Ventos ir Dauguvos upių baseinų rajonų valdymo planus/ priemonių programas ir ataskaitas Europos Komisijai, įsigijimo</w:t>
      </w:r>
      <w:r w:rsidR="001D3451" w:rsidRPr="00D427E5">
        <w:rPr>
          <w:rFonts w:ascii="Times New Roman" w:eastAsia="Lucida Sans Unicode" w:hAnsi="Times New Roman" w:cs="Arial"/>
          <w:bCs/>
          <w:i/>
          <w:iCs/>
          <w:kern w:val="1"/>
          <w:sz w:val="24"/>
          <w:szCs w:val="24"/>
          <w:lang w:val="en"/>
        </w:rPr>
        <w:t xml:space="preserve"> </w:t>
      </w:r>
      <w:r w:rsidR="001D3451" w:rsidRPr="00D427E5">
        <w:rPr>
          <w:rFonts w:ascii="Times New Roman" w:eastAsia="Lucida Sans Unicode" w:hAnsi="Times New Roman" w:cs="Times New Roman"/>
          <w:bCs/>
          <w:i/>
          <w:iCs/>
          <w:kern w:val="1"/>
          <w:sz w:val="24"/>
          <w:szCs w:val="24"/>
        </w:rPr>
        <w:t>paslaugų</w:t>
      </w:r>
      <w:r w:rsidRPr="005153DD">
        <w:rPr>
          <w:rFonts w:ascii="Times New Roman" w:eastAsia="Times New Roman" w:hAnsi="Times New Roman" w:cs="Times New Roman"/>
          <w:color w:val="000000"/>
          <w:sz w:val="24"/>
          <w:szCs w:val="24"/>
          <w:lang w:eastAsia="zh-CN"/>
        </w:rPr>
        <w:t xml:space="preserve"> </w:t>
      </w:r>
      <w:r w:rsidRPr="005153DD">
        <w:rPr>
          <w:rFonts w:ascii="Times New Roman" w:eastAsia="Times New Roman" w:hAnsi="Times New Roman" w:cs="Times New Roman"/>
          <w:i/>
          <w:color w:val="000000"/>
          <w:sz w:val="24"/>
          <w:szCs w:val="24"/>
          <w:lang w:eastAsia="zh-CN"/>
        </w:rPr>
        <w:t xml:space="preserve">viešojo </w:t>
      </w:r>
      <w:r w:rsidRPr="005153DD">
        <w:rPr>
          <w:rFonts w:ascii="Times New Roman" w:eastAsia="Times New Roman" w:hAnsi="Times New Roman" w:cs="Times New Roman"/>
          <w:i/>
          <w:sz w:val="24"/>
          <w:szCs w:val="24"/>
          <w:shd w:val="clear" w:color="auto" w:fill="FFFFFF"/>
          <w:lang w:eastAsia="ar-SA"/>
        </w:rPr>
        <w:t>pirkimo dokumentai</w:t>
      </w:r>
      <w:r w:rsidRPr="005153DD">
        <w:rPr>
          <w:rFonts w:ascii="Times New Roman" w:eastAsia="Times New Roman" w:hAnsi="Times New Roman" w:cs="Times New Roman"/>
          <w:sz w:val="24"/>
          <w:szCs w:val="24"/>
          <w:shd w:val="clear" w:color="auto" w:fill="FFFFFF"/>
          <w:lang w:eastAsia="ar-SA"/>
        </w:rPr>
        <w:t>.</w:t>
      </w:r>
    </w:p>
    <w:p w14:paraId="70E12EC9" w14:textId="77777777" w:rsidR="0007274A" w:rsidRPr="000B21E9" w:rsidRDefault="0007274A" w:rsidP="0007274A">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r>
        <w:rPr>
          <w:rFonts w:ascii="Times New Roman" w:eastAsia="Times New Roman" w:hAnsi="Times New Roman" w:cs="Times New Roman"/>
          <w:i/>
          <w:iCs/>
          <w:sz w:val="24"/>
          <w:szCs w:val="24"/>
          <w:shd w:val="clear" w:color="auto" w:fill="FFFFFF"/>
          <w:lang w:eastAsia="ar-SA"/>
        </w:rPr>
        <w:t xml:space="preserve">          </w:t>
      </w:r>
      <w:r w:rsidRPr="000B21E9">
        <w:rPr>
          <w:rFonts w:ascii="Times New Roman" w:eastAsia="Times New Roman" w:hAnsi="Times New Roman" w:cs="Times New Roman"/>
          <w:i/>
          <w:iCs/>
          <w:sz w:val="24"/>
          <w:szCs w:val="24"/>
          <w:shd w:val="clear" w:color="auto" w:fill="FFFFFF"/>
          <w:lang w:eastAsia="ar-SA"/>
        </w:rPr>
        <w:t xml:space="preserve"> </w:t>
      </w:r>
      <w:r w:rsidRPr="000B21E9">
        <w:rPr>
          <w:rFonts w:ascii="Times New Roman" w:eastAsia="Times New Roman" w:hAnsi="Times New Roman" w:cs="Times New Roman"/>
          <w:i/>
          <w:iCs/>
          <w:sz w:val="16"/>
          <w:szCs w:val="16"/>
          <w:shd w:val="clear" w:color="auto" w:fill="FFFFFF"/>
          <w:lang w:eastAsia="ar-SA"/>
        </w:rPr>
        <w:t xml:space="preserve">    (nurodomas perkamų paslaugų pavadinimas)</w:t>
      </w:r>
    </w:p>
    <w:p w14:paraId="09CCB827"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shd w:val="clear" w:color="auto" w:fill="FFFFFF"/>
          <w:lang w:eastAsia="zh-CN"/>
        </w:rPr>
      </w:pPr>
    </w:p>
    <w:tbl>
      <w:tblPr>
        <w:tblW w:w="9756" w:type="dxa"/>
        <w:tblInd w:w="2" w:type="dxa"/>
        <w:tblLayout w:type="fixed"/>
        <w:tblLook w:val="00A0" w:firstRow="1" w:lastRow="0" w:firstColumn="1" w:lastColumn="0" w:noHBand="0" w:noVBand="0"/>
      </w:tblPr>
      <w:tblGrid>
        <w:gridCol w:w="2233"/>
        <w:gridCol w:w="2693"/>
        <w:gridCol w:w="2126"/>
        <w:gridCol w:w="2704"/>
      </w:tblGrid>
      <w:tr w:rsidR="007D01A7" w:rsidRPr="003832F0" w14:paraId="421270E2" w14:textId="77777777" w:rsidTr="001A49AA">
        <w:trPr>
          <w:trHeight w:val="253"/>
        </w:trPr>
        <w:tc>
          <w:tcPr>
            <w:tcW w:w="4926" w:type="dxa"/>
            <w:gridSpan w:val="2"/>
          </w:tcPr>
          <w:p w14:paraId="25265F5B" w14:textId="7AE54963" w:rsidR="007D01A7" w:rsidRPr="003832F0" w:rsidRDefault="00746FC0" w:rsidP="001A49AA">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Pr>
                <w:rFonts w:ascii="Times New Roman" w:eastAsia="Times New Roman" w:hAnsi="Times New Roman" w:cs="Times New Roman"/>
                <w:b/>
                <w:bCs/>
                <w:sz w:val="24"/>
                <w:szCs w:val="24"/>
                <w:shd w:val="clear" w:color="auto" w:fill="FFFFFF"/>
                <w:lang w:eastAsia="ar-SA"/>
              </w:rPr>
              <w:t>Užsakovo</w:t>
            </w:r>
            <w:r w:rsidR="007D01A7" w:rsidRPr="003832F0">
              <w:rPr>
                <w:rFonts w:ascii="Times New Roman" w:eastAsia="Times New Roman" w:hAnsi="Times New Roman" w:cs="Times New Roman"/>
                <w:b/>
                <w:sz w:val="24"/>
                <w:szCs w:val="24"/>
                <w:shd w:val="clear" w:color="auto" w:fill="FFFFFF"/>
                <w:lang w:eastAsia="ar-SA"/>
              </w:rPr>
              <w:t xml:space="preserve"> </w:t>
            </w:r>
            <w:r w:rsidR="007D01A7" w:rsidRPr="003832F0">
              <w:rPr>
                <w:rFonts w:ascii="Times New Roman" w:eastAsia="Times New Roman" w:hAnsi="Times New Roman" w:cs="Times New Roman"/>
                <w:b/>
                <w:bCs/>
                <w:sz w:val="24"/>
                <w:szCs w:val="24"/>
                <w:shd w:val="clear" w:color="auto" w:fill="FFFFFF"/>
                <w:lang w:eastAsia="ar-SA"/>
              </w:rPr>
              <w:t>vardu</w:t>
            </w:r>
          </w:p>
        </w:tc>
        <w:tc>
          <w:tcPr>
            <w:tcW w:w="4830" w:type="dxa"/>
            <w:gridSpan w:val="2"/>
          </w:tcPr>
          <w:p w14:paraId="4C24FD33" w14:textId="2417C64B" w:rsidR="007D01A7" w:rsidRPr="003832F0" w:rsidRDefault="00746FC0"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b/>
                <w:sz w:val="24"/>
                <w:szCs w:val="24"/>
                <w:shd w:val="clear" w:color="auto" w:fill="FFFFFF"/>
                <w:lang w:eastAsia="ar-SA"/>
              </w:rPr>
              <w:t>T</w:t>
            </w:r>
            <w:r w:rsidR="008F4F70">
              <w:rPr>
                <w:rFonts w:ascii="Times New Roman" w:eastAsia="Times New Roman" w:hAnsi="Times New Roman" w:cs="Times New Roman"/>
                <w:b/>
                <w:sz w:val="24"/>
                <w:szCs w:val="24"/>
                <w:shd w:val="clear" w:color="auto" w:fill="FFFFFF"/>
                <w:lang w:eastAsia="ar-SA"/>
              </w:rPr>
              <w:t>ei</w:t>
            </w:r>
            <w:r>
              <w:rPr>
                <w:rFonts w:ascii="Times New Roman" w:eastAsia="Times New Roman" w:hAnsi="Times New Roman" w:cs="Times New Roman"/>
                <w:b/>
                <w:sz w:val="24"/>
                <w:szCs w:val="24"/>
                <w:shd w:val="clear" w:color="auto" w:fill="FFFFFF"/>
                <w:lang w:eastAsia="ar-SA"/>
              </w:rPr>
              <w:t>kėjo</w:t>
            </w:r>
            <w:r w:rsidR="007D01A7" w:rsidRPr="003832F0">
              <w:rPr>
                <w:rFonts w:ascii="Times New Roman" w:eastAsia="Times New Roman" w:hAnsi="Times New Roman" w:cs="Times New Roman"/>
                <w:b/>
                <w:bCs/>
                <w:sz w:val="24"/>
                <w:szCs w:val="24"/>
                <w:shd w:val="clear" w:color="auto" w:fill="FFFFFF"/>
                <w:lang w:eastAsia="ar-SA"/>
              </w:rPr>
              <w:t xml:space="preserve"> vardu</w:t>
            </w:r>
          </w:p>
        </w:tc>
      </w:tr>
      <w:tr w:rsidR="007D01A7" w:rsidRPr="003832F0" w14:paraId="16F0C005" w14:textId="77777777" w:rsidTr="001A49AA">
        <w:trPr>
          <w:trHeight w:val="253"/>
        </w:trPr>
        <w:tc>
          <w:tcPr>
            <w:tcW w:w="2233" w:type="dxa"/>
          </w:tcPr>
          <w:p w14:paraId="58816265"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Vardas,</w:t>
            </w:r>
            <w:r w:rsidRPr="003832F0">
              <w:rPr>
                <w:rFonts w:ascii="Times New Roman" w:eastAsia="Times New Roman" w:hAnsi="Times New Roman" w:cs="Times New Roman"/>
                <w:sz w:val="24"/>
                <w:szCs w:val="24"/>
                <w:shd w:val="clear" w:color="auto" w:fill="FFFFFF"/>
                <w:lang w:eastAsia="ar-SA"/>
              </w:rPr>
              <w:br/>
              <w:t>pavardė:</w:t>
            </w:r>
          </w:p>
        </w:tc>
        <w:tc>
          <w:tcPr>
            <w:tcW w:w="2693" w:type="dxa"/>
            <w:vAlign w:val="center"/>
          </w:tcPr>
          <w:p w14:paraId="76A8A3CA"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 xml:space="preserve">Rimgaudas </w:t>
            </w:r>
            <w:proofErr w:type="spellStart"/>
            <w:r w:rsidRPr="003832F0">
              <w:rPr>
                <w:rFonts w:ascii="Times New Roman" w:eastAsia="Times New Roman" w:hAnsi="Times New Roman" w:cs="Times New Roman"/>
                <w:sz w:val="24"/>
                <w:szCs w:val="24"/>
                <w:shd w:val="clear" w:color="auto" w:fill="FFFFFF"/>
                <w:lang w:eastAsia="ar-SA"/>
              </w:rPr>
              <w:t>Špokas</w:t>
            </w:r>
            <w:proofErr w:type="spellEnd"/>
          </w:p>
        </w:tc>
        <w:tc>
          <w:tcPr>
            <w:tcW w:w="2126" w:type="dxa"/>
          </w:tcPr>
          <w:p w14:paraId="3EA07A30"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Vardas,</w:t>
            </w:r>
            <w:r w:rsidRPr="003832F0">
              <w:rPr>
                <w:rFonts w:ascii="Times New Roman" w:eastAsia="Times New Roman" w:hAnsi="Times New Roman" w:cs="Times New Roman"/>
                <w:sz w:val="24"/>
                <w:szCs w:val="24"/>
                <w:shd w:val="clear" w:color="auto" w:fill="FFFFFF"/>
                <w:lang w:eastAsia="ar-SA"/>
              </w:rPr>
              <w:br/>
              <w:t>pavardė:</w:t>
            </w:r>
          </w:p>
        </w:tc>
        <w:tc>
          <w:tcPr>
            <w:tcW w:w="2704" w:type="dxa"/>
            <w:vAlign w:val="center"/>
          </w:tcPr>
          <w:p w14:paraId="2D7C5C61" w14:textId="6D22002C" w:rsidR="007D01A7" w:rsidRPr="003832F0" w:rsidRDefault="00C12BA9" w:rsidP="001A49AA">
            <w:pPr>
              <w:suppressAutoHyphens/>
              <w:spacing w:after="0" w:line="240" w:lineRule="auto"/>
              <w:ind w:left="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Daiva Semėnienė</w:t>
            </w:r>
          </w:p>
        </w:tc>
      </w:tr>
      <w:tr w:rsidR="007D01A7" w:rsidRPr="003832F0" w14:paraId="6DAEB245" w14:textId="77777777" w:rsidTr="001A49AA">
        <w:trPr>
          <w:trHeight w:val="253"/>
        </w:trPr>
        <w:tc>
          <w:tcPr>
            <w:tcW w:w="2233" w:type="dxa"/>
          </w:tcPr>
          <w:p w14:paraId="2D033DEF"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Pareigos:</w:t>
            </w:r>
          </w:p>
        </w:tc>
        <w:tc>
          <w:tcPr>
            <w:tcW w:w="2693" w:type="dxa"/>
          </w:tcPr>
          <w:p w14:paraId="706BC38D"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D</w:t>
            </w:r>
            <w:r w:rsidRPr="003832F0">
              <w:rPr>
                <w:rFonts w:ascii="Times New Roman" w:eastAsia="Times New Roman" w:hAnsi="Times New Roman" w:cs="Times New Roman"/>
                <w:sz w:val="24"/>
                <w:szCs w:val="24"/>
                <w:shd w:val="clear" w:color="auto" w:fill="FFFFFF"/>
                <w:lang w:eastAsia="ar-SA"/>
              </w:rPr>
              <w:t>irektorius</w:t>
            </w:r>
          </w:p>
        </w:tc>
        <w:tc>
          <w:tcPr>
            <w:tcW w:w="2126" w:type="dxa"/>
          </w:tcPr>
          <w:p w14:paraId="7139EE3B"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Pareigos:</w:t>
            </w:r>
          </w:p>
        </w:tc>
        <w:tc>
          <w:tcPr>
            <w:tcW w:w="2704" w:type="dxa"/>
          </w:tcPr>
          <w:p w14:paraId="567550EF" w14:textId="21F8CC42" w:rsidR="007D01A7" w:rsidRPr="003832F0" w:rsidRDefault="00C12BA9" w:rsidP="001A49AA">
            <w:pPr>
              <w:suppressAutoHyphens/>
              <w:spacing w:after="0" w:line="240" w:lineRule="auto"/>
              <w:ind w:left="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Direktorė</w:t>
            </w:r>
          </w:p>
        </w:tc>
      </w:tr>
      <w:tr w:rsidR="007D01A7" w:rsidRPr="003832F0" w14:paraId="160256DE" w14:textId="77777777" w:rsidTr="001A49AA">
        <w:trPr>
          <w:trHeight w:val="253"/>
        </w:trPr>
        <w:tc>
          <w:tcPr>
            <w:tcW w:w="2233" w:type="dxa"/>
          </w:tcPr>
          <w:p w14:paraId="61F9EBEA"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Adresas</w:t>
            </w:r>
          </w:p>
        </w:tc>
        <w:tc>
          <w:tcPr>
            <w:tcW w:w="2693" w:type="dxa"/>
          </w:tcPr>
          <w:p w14:paraId="4BDC4A99" w14:textId="77777777" w:rsidR="007D01A7" w:rsidRPr="003832F0" w:rsidRDefault="007D01A7" w:rsidP="001A49AA">
            <w:pPr>
              <w:suppressAutoHyphens/>
              <w:spacing w:after="0" w:line="240" w:lineRule="auto"/>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A.Juozapavičiaus g. 9, 09331, Vilnius</w:t>
            </w:r>
          </w:p>
        </w:tc>
        <w:tc>
          <w:tcPr>
            <w:tcW w:w="2126" w:type="dxa"/>
          </w:tcPr>
          <w:p w14:paraId="5D269A36"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Adresas:</w:t>
            </w:r>
          </w:p>
        </w:tc>
        <w:tc>
          <w:tcPr>
            <w:tcW w:w="2704" w:type="dxa"/>
            <w:shd w:val="clear" w:color="auto" w:fill="auto"/>
          </w:tcPr>
          <w:p w14:paraId="2CF6E029" w14:textId="0A2971C2" w:rsidR="007D01A7" w:rsidRPr="005153DD" w:rsidRDefault="00C12BA9" w:rsidP="007C39F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 Juozapavičiaus g. </w:t>
            </w:r>
            <w:r w:rsidR="007C39FC">
              <w:rPr>
                <w:rFonts w:ascii="Times New Roman" w:eastAsia="Times New Roman" w:hAnsi="Times New Roman" w:cs="Times New Roman"/>
                <w:sz w:val="24"/>
                <w:szCs w:val="24"/>
                <w:lang w:eastAsia="zh-CN"/>
              </w:rPr>
              <w:t>6/2</w:t>
            </w:r>
            <w:r w:rsidR="007D01A7" w:rsidRPr="009E5655">
              <w:rPr>
                <w:rFonts w:ascii="Times New Roman" w:eastAsia="Times New Roman" w:hAnsi="Times New Roman" w:cs="Times New Roman"/>
                <w:sz w:val="24"/>
                <w:szCs w:val="24"/>
                <w:lang w:eastAsia="zh-CN"/>
              </w:rPr>
              <w:t xml:space="preserve">, </w:t>
            </w:r>
            <w:r w:rsidR="007C39FC">
              <w:rPr>
                <w:rFonts w:ascii="Times New Roman" w:eastAsia="Times New Roman" w:hAnsi="Times New Roman" w:cs="Times New Roman"/>
                <w:sz w:val="24"/>
                <w:szCs w:val="24"/>
                <w:lang w:eastAsia="zh-CN"/>
              </w:rPr>
              <w:t>09310,</w:t>
            </w:r>
            <w:r w:rsidR="007D01A7" w:rsidRPr="009E5655">
              <w:rPr>
                <w:rFonts w:ascii="Times New Roman" w:eastAsia="Times New Roman" w:hAnsi="Times New Roman" w:cs="Times New Roman"/>
                <w:sz w:val="24"/>
                <w:szCs w:val="24"/>
                <w:lang w:val="en-US" w:eastAsia="zh-CN"/>
              </w:rPr>
              <w:t xml:space="preserve"> </w:t>
            </w:r>
            <w:r w:rsidR="007C39FC">
              <w:rPr>
                <w:rFonts w:ascii="Times New Roman" w:eastAsia="Times New Roman" w:hAnsi="Times New Roman" w:cs="Times New Roman"/>
                <w:sz w:val="24"/>
                <w:szCs w:val="24"/>
                <w:lang w:eastAsia="zh-CN"/>
              </w:rPr>
              <w:t>Vilnius</w:t>
            </w:r>
          </w:p>
        </w:tc>
      </w:tr>
      <w:tr w:rsidR="007D01A7" w:rsidRPr="003832F0" w14:paraId="68F927BE" w14:textId="77777777" w:rsidTr="001A49AA">
        <w:trPr>
          <w:trHeight w:val="253"/>
        </w:trPr>
        <w:tc>
          <w:tcPr>
            <w:tcW w:w="2233" w:type="dxa"/>
          </w:tcPr>
          <w:p w14:paraId="72CB518C"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Įmonės kodas</w:t>
            </w:r>
          </w:p>
        </w:tc>
        <w:tc>
          <w:tcPr>
            <w:tcW w:w="2693" w:type="dxa"/>
          </w:tcPr>
          <w:p w14:paraId="7D044BF6"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188784898</w:t>
            </w:r>
          </w:p>
        </w:tc>
        <w:tc>
          <w:tcPr>
            <w:tcW w:w="2126" w:type="dxa"/>
          </w:tcPr>
          <w:p w14:paraId="28E30FFC"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Įmonės kodas</w:t>
            </w:r>
          </w:p>
        </w:tc>
        <w:tc>
          <w:tcPr>
            <w:tcW w:w="2704" w:type="dxa"/>
            <w:shd w:val="clear" w:color="auto" w:fill="auto"/>
          </w:tcPr>
          <w:p w14:paraId="29E8F484" w14:textId="0C2E67DD" w:rsidR="007D01A7" w:rsidRPr="00C31CA8" w:rsidRDefault="007C39FC" w:rsidP="001A49AA">
            <w:pPr>
              <w:suppressAutoHyphens/>
              <w:spacing w:after="0" w:line="240" w:lineRule="auto"/>
              <w:ind w:left="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223823870</w:t>
            </w:r>
          </w:p>
        </w:tc>
      </w:tr>
      <w:tr w:rsidR="007D01A7" w:rsidRPr="003832F0" w14:paraId="39967A1C" w14:textId="77777777" w:rsidTr="001A49AA">
        <w:trPr>
          <w:trHeight w:val="253"/>
        </w:trPr>
        <w:tc>
          <w:tcPr>
            <w:tcW w:w="2233" w:type="dxa"/>
          </w:tcPr>
          <w:p w14:paraId="3976A247"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Banko pavadinimas ir kodas</w:t>
            </w:r>
          </w:p>
        </w:tc>
        <w:tc>
          <w:tcPr>
            <w:tcW w:w="2693" w:type="dxa"/>
          </w:tcPr>
          <w:p w14:paraId="173C5A1C" w14:textId="77777777" w:rsidR="007D01A7"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83139">
              <w:rPr>
                <w:rFonts w:ascii="Times New Roman" w:eastAsia="Times New Roman" w:hAnsi="Times New Roman" w:cs="Times New Roman"/>
                <w:sz w:val="24"/>
                <w:szCs w:val="24"/>
                <w:shd w:val="clear" w:color="auto" w:fill="FFFFFF"/>
                <w:lang w:eastAsia="ar-SA"/>
              </w:rPr>
              <w:t xml:space="preserve">AB </w:t>
            </w:r>
            <w:proofErr w:type="spellStart"/>
            <w:r w:rsidRPr="00C83139">
              <w:rPr>
                <w:rFonts w:ascii="Times New Roman" w:eastAsia="Times New Roman" w:hAnsi="Times New Roman" w:cs="Times New Roman"/>
                <w:sz w:val="24"/>
                <w:szCs w:val="24"/>
                <w:shd w:val="clear" w:color="auto" w:fill="FFFFFF"/>
                <w:lang w:eastAsia="ar-SA"/>
              </w:rPr>
              <w:t>Luminor</w:t>
            </w:r>
            <w:proofErr w:type="spellEnd"/>
            <w:r w:rsidRPr="00C83139">
              <w:rPr>
                <w:rFonts w:ascii="Times New Roman" w:eastAsia="Times New Roman" w:hAnsi="Times New Roman" w:cs="Times New Roman"/>
                <w:sz w:val="24"/>
                <w:szCs w:val="24"/>
                <w:shd w:val="clear" w:color="auto" w:fill="FFFFFF"/>
                <w:lang w:eastAsia="ar-SA"/>
              </w:rPr>
              <w:t xml:space="preserve"> </w:t>
            </w:r>
            <w:proofErr w:type="spellStart"/>
            <w:r w:rsidRPr="00C83139">
              <w:rPr>
                <w:rFonts w:ascii="Times New Roman" w:eastAsia="Times New Roman" w:hAnsi="Times New Roman" w:cs="Times New Roman"/>
                <w:sz w:val="24"/>
                <w:szCs w:val="24"/>
                <w:shd w:val="clear" w:color="auto" w:fill="FFFFFF"/>
                <w:lang w:eastAsia="ar-SA"/>
              </w:rPr>
              <w:t>Bank</w:t>
            </w:r>
            <w:proofErr w:type="spellEnd"/>
            <w:r w:rsidRPr="00C83139">
              <w:rPr>
                <w:rFonts w:ascii="Times New Roman" w:eastAsia="Times New Roman" w:hAnsi="Times New Roman" w:cs="Times New Roman"/>
                <w:sz w:val="24"/>
                <w:szCs w:val="24"/>
                <w:shd w:val="clear" w:color="auto" w:fill="FFFFFF"/>
                <w:lang w:eastAsia="ar-SA"/>
              </w:rPr>
              <w:t xml:space="preserve"> </w:t>
            </w:r>
          </w:p>
          <w:p w14:paraId="01598F43"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40100</w:t>
            </w:r>
          </w:p>
        </w:tc>
        <w:tc>
          <w:tcPr>
            <w:tcW w:w="2126" w:type="dxa"/>
          </w:tcPr>
          <w:p w14:paraId="63D99B76"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Banko pavadinimas ir kodas:</w:t>
            </w:r>
          </w:p>
        </w:tc>
        <w:tc>
          <w:tcPr>
            <w:tcW w:w="2704" w:type="dxa"/>
          </w:tcPr>
          <w:p w14:paraId="2E2DD875" w14:textId="4698A20B" w:rsidR="007D01A7"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sidRPr="009E5655">
              <w:rPr>
                <w:rFonts w:ascii="Times New Roman" w:eastAsia="Times New Roman" w:hAnsi="Times New Roman" w:cs="Times New Roman"/>
                <w:sz w:val="24"/>
                <w:szCs w:val="24"/>
                <w:shd w:val="clear" w:color="auto" w:fill="FFFFFF"/>
                <w:lang w:eastAsia="ar-SA"/>
              </w:rPr>
              <w:t xml:space="preserve">AB </w:t>
            </w:r>
            <w:r w:rsidR="008124CB">
              <w:rPr>
                <w:rFonts w:ascii="Times New Roman" w:eastAsia="Times New Roman" w:hAnsi="Times New Roman" w:cs="Times New Roman"/>
                <w:sz w:val="24"/>
                <w:szCs w:val="24"/>
                <w:shd w:val="clear" w:color="auto" w:fill="FFFFFF"/>
                <w:lang w:eastAsia="ar-SA"/>
              </w:rPr>
              <w:t>SEB bankas</w:t>
            </w:r>
            <w:r w:rsidRPr="009E5655">
              <w:rPr>
                <w:rFonts w:ascii="Times New Roman" w:eastAsia="Times New Roman" w:hAnsi="Times New Roman" w:cs="Times New Roman"/>
                <w:sz w:val="24"/>
                <w:szCs w:val="24"/>
                <w:shd w:val="clear" w:color="auto" w:fill="FFFFFF"/>
                <w:lang w:val="en-US" w:eastAsia="ar-SA"/>
              </w:rPr>
              <w:t xml:space="preserve"> </w:t>
            </w:r>
          </w:p>
          <w:p w14:paraId="2FD5D699" w14:textId="0F3E1521" w:rsidR="007D01A7" w:rsidRPr="003832F0" w:rsidRDefault="007D01A7" w:rsidP="008124CB">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Pr>
                <w:rFonts w:ascii="Times New Roman" w:eastAsia="Times New Roman" w:hAnsi="Times New Roman" w:cs="Times New Roman"/>
                <w:sz w:val="24"/>
                <w:szCs w:val="24"/>
                <w:shd w:val="clear" w:color="auto" w:fill="FFFFFF"/>
                <w:lang w:val="en-US" w:eastAsia="ar-SA"/>
              </w:rPr>
              <w:t>7</w:t>
            </w:r>
            <w:r w:rsidR="008124CB">
              <w:rPr>
                <w:rFonts w:ascii="Times New Roman" w:eastAsia="Times New Roman" w:hAnsi="Times New Roman" w:cs="Times New Roman"/>
                <w:sz w:val="24"/>
                <w:szCs w:val="24"/>
                <w:shd w:val="clear" w:color="auto" w:fill="FFFFFF"/>
                <w:lang w:val="en-US" w:eastAsia="ar-SA"/>
              </w:rPr>
              <w:t>0440</w:t>
            </w:r>
          </w:p>
        </w:tc>
      </w:tr>
      <w:tr w:rsidR="007D01A7" w:rsidRPr="003832F0" w14:paraId="1EC7531E" w14:textId="77777777" w:rsidTr="001A49AA">
        <w:trPr>
          <w:trHeight w:val="253"/>
        </w:trPr>
        <w:tc>
          <w:tcPr>
            <w:tcW w:w="2233" w:type="dxa"/>
          </w:tcPr>
          <w:p w14:paraId="5CD7456F"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Atsiskaitomosios sąskaitos Nr.</w:t>
            </w:r>
          </w:p>
        </w:tc>
        <w:tc>
          <w:tcPr>
            <w:tcW w:w="2693" w:type="dxa"/>
          </w:tcPr>
          <w:p w14:paraId="498F952E" w14:textId="2BBBBE2D" w:rsidR="007D01A7" w:rsidRPr="00B4259D" w:rsidRDefault="00B4259D"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B4259D">
              <w:rPr>
                <w:rFonts w:ascii="Times New Roman" w:hAnsi="Times New Roman" w:cs="Times New Roman"/>
                <w:sz w:val="24"/>
                <w:szCs w:val="24"/>
              </w:rPr>
              <w:t>LT594010042401912932 </w:t>
            </w:r>
          </w:p>
        </w:tc>
        <w:tc>
          <w:tcPr>
            <w:tcW w:w="2126" w:type="dxa"/>
          </w:tcPr>
          <w:p w14:paraId="245AE818"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Atsiskaitomosios sąskaitos Nr.</w:t>
            </w:r>
          </w:p>
        </w:tc>
        <w:tc>
          <w:tcPr>
            <w:tcW w:w="2704" w:type="dxa"/>
          </w:tcPr>
          <w:p w14:paraId="4E86A727" w14:textId="5124FC7E" w:rsidR="007D01A7" w:rsidRPr="003832F0" w:rsidRDefault="008124CB"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9D6210">
              <w:rPr>
                <w:rFonts w:ascii="Times New Roman" w:eastAsia="Times New Roman" w:hAnsi="Times New Roman" w:cs="Times New Roman"/>
                <w:sz w:val="24"/>
                <w:szCs w:val="24"/>
                <w:shd w:val="clear" w:color="auto" w:fill="FFFFFF"/>
                <w:lang w:eastAsia="zh-CN"/>
              </w:rPr>
              <w:t>LT577044060001225443</w:t>
            </w:r>
          </w:p>
        </w:tc>
      </w:tr>
      <w:tr w:rsidR="007D01A7" w:rsidRPr="003832F0" w14:paraId="28DC0835" w14:textId="77777777" w:rsidTr="001A49AA">
        <w:trPr>
          <w:trHeight w:val="253"/>
        </w:trPr>
        <w:tc>
          <w:tcPr>
            <w:tcW w:w="2233" w:type="dxa"/>
          </w:tcPr>
          <w:p w14:paraId="5FCC7878"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Ne PVM mokėtojas</w:t>
            </w:r>
          </w:p>
        </w:tc>
        <w:tc>
          <w:tcPr>
            <w:tcW w:w="2693" w:type="dxa"/>
          </w:tcPr>
          <w:p w14:paraId="423673E0" w14:textId="77777777" w:rsidR="007D01A7" w:rsidRPr="003832F0" w:rsidRDefault="007D01A7" w:rsidP="001A49AA">
            <w:pPr>
              <w:suppressAutoHyphens/>
              <w:spacing w:after="0" w:line="240" w:lineRule="auto"/>
              <w:jc w:val="both"/>
              <w:rPr>
                <w:rFonts w:ascii="Times New Roman" w:eastAsia="Times New Roman" w:hAnsi="Times New Roman" w:cs="Times New Roman"/>
                <w:b/>
                <w:sz w:val="24"/>
                <w:szCs w:val="24"/>
                <w:shd w:val="clear" w:color="auto" w:fill="FFFFFF"/>
                <w:lang w:eastAsia="ar-SA"/>
              </w:rPr>
            </w:pPr>
          </w:p>
        </w:tc>
        <w:tc>
          <w:tcPr>
            <w:tcW w:w="2126" w:type="dxa"/>
          </w:tcPr>
          <w:p w14:paraId="3E0841E0"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PVM kodas</w:t>
            </w:r>
          </w:p>
        </w:tc>
        <w:tc>
          <w:tcPr>
            <w:tcW w:w="2704" w:type="dxa"/>
          </w:tcPr>
          <w:p w14:paraId="5DD3FE9F" w14:textId="7A460556" w:rsidR="007D01A7" w:rsidRPr="003832F0" w:rsidRDefault="007D01A7" w:rsidP="00CA37EF">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LT</w:t>
            </w:r>
            <w:r w:rsidR="00CA37EF">
              <w:rPr>
                <w:rFonts w:ascii="Times New Roman" w:eastAsia="Times New Roman" w:hAnsi="Times New Roman" w:cs="Times New Roman"/>
                <w:sz w:val="24"/>
                <w:szCs w:val="24"/>
                <w:shd w:val="clear" w:color="auto" w:fill="FFFFFF"/>
                <w:lang w:eastAsia="ar-SA"/>
              </w:rPr>
              <w:t>238238716</w:t>
            </w:r>
          </w:p>
        </w:tc>
      </w:tr>
      <w:tr w:rsidR="007D01A7" w:rsidRPr="003832F0" w14:paraId="2A6771D9" w14:textId="77777777" w:rsidTr="001A49AA">
        <w:trPr>
          <w:trHeight w:val="253"/>
        </w:trPr>
        <w:tc>
          <w:tcPr>
            <w:tcW w:w="2233" w:type="dxa"/>
          </w:tcPr>
          <w:p w14:paraId="1C33A90E"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Parašas:</w:t>
            </w:r>
          </w:p>
        </w:tc>
        <w:tc>
          <w:tcPr>
            <w:tcW w:w="2693" w:type="dxa"/>
          </w:tcPr>
          <w:p w14:paraId="04E942B9"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26" w:type="dxa"/>
          </w:tcPr>
          <w:p w14:paraId="03B1755F"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Parašas:</w:t>
            </w:r>
          </w:p>
        </w:tc>
        <w:tc>
          <w:tcPr>
            <w:tcW w:w="2704" w:type="dxa"/>
          </w:tcPr>
          <w:p w14:paraId="49F07FE6"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r w:rsidR="007D01A7" w:rsidRPr="003832F0" w14:paraId="55A3F9D4" w14:textId="77777777" w:rsidTr="001A49AA">
        <w:trPr>
          <w:trHeight w:val="253"/>
        </w:trPr>
        <w:tc>
          <w:tcPr>
            <w:tcW w:w="2233" w:type="dxa"/>
          </w:tcPr>
          <w:p w14:paraId="5D875CC2"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Data:</w:t>
            </w:r>
          </w:p>
          <w:p w14:paraId="2CFE70E5"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83DC2AE"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A.V.</w:t>
            </w:r>
          </w:p>
        </w:tc>
        <w:tc>
          <w:tcPr>
            <w:tcW w:w="2693" w:type="dxa"/>
          </w:tcPr>
          <w:p w14:paraId="34625D9C"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26" w:type="dxa"/>
          </w:tcPr>
          <w:p w14:paraId="3CADFFB1"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Data:</w:t>
            </w:r>
          </w:p>
          <w:p w14:paraId="7A36F0DB"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8C2ED4F"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A.V.</w:t>
            </w:r>
          </w:p>
        </w:tc>
        <w:tc>
          <w:tcPr>
            <w:tcW w:w="2704" w:type="dxa"/>
          </w:tcPr>
          <w:p w14:paraId="5916AAD1" w14:textId="77777777" w:rsidR="007D01A7" w:rsidRPr="003832F0" w:rsidRDefault="007D01A7" w:rsidP="001A49AA">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bl>
    <w:p w14:paraId="1538BD18" w14:textId="77777777" w:rsidR="00C9662F" w:rsidRDefault="00C9662F"/>
    <w:p w14:paraId="0FB86723" w14:textId="77777777" w:rsidR="00BD69A5" w:rsidRDefault="00BD69A5"/>
    <w:p w14:paraId="305973F8" w14:textId="77777777" w:rsidR="00BD69A5" w:rsidRDefault="00BD69A5"/>
    <w:p w14:paraId="72C2CB28" w14:textId="77777777" w:rsidR="00BD69A5" w:rsidRDefault="00BD69A5"/>
    <w:p w14:paraId="1EBC9347" w14:textId="45610E86" w:rsidR="00BD69A5" w:rsidRDefault="00BD69A5"/>
    <w:p w14:paraId="37770438" w14:textId="77777777" w:rsidR="00822B13" w:rsidRDefault="00822B13"/>
    <w:p w14:paraId="367D4B60" w14:textId="450DB274" w:rsidR="00746FC0" w:rsidRDefault="00640576" w:rsidP="00746FC0">
      <w:pPr>
        <w:ind w:firstLine="7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Sutarties</w:t>
      </w:r>
      <w:r w:rsidR="00746FC0" w:rsidRPr="007641E9">
        <w:rPr>
          <w:rFonts w:ascii="Times New Roman" w:eastAsia="Times New Roman" w:hAnsi="Times New Roman" w:cs="Times New Roman"/>
          <w:b/>
          <w:sz w:val="24"/>
          <w:szCs w:val="24"/>
        </w:rPr>
        <w:t xml:space="preserve"> 1 priedas</w:t>
      </w:r>
    </w:p>
    <w:p w14:paraId="7FC17F4F" w14:textId="77777777" w:rsidR="00746FC0" w:rsidRPr="007641E9" w:rsidRDefault="00746FC0" w:rsidP="00746FC0">
      <w:pPr>
        <w:ind w:firstLine="720"/>
        <w:jc w:val="right"/>
        <w:rPr>
          <w:rFonts w:ascii="Times New Roman" w:eastAsia="Times New Roman" w:hAnsi="Times New Roman" w:cs="Times New Roman"/>
          <w:b/>
          <w:sz w:val="24"/>
          <w:szCs w:val="24"/>
        </w:rPr>
      </w:pPr>
    </w:p>
    <w:p w14:paraId="3D3DE6F2" w14:textId="77777777" w:rsidR="00746FC0" w:rsidRDefault="00746FC0" w:rsidP="00746FC0">
      <w:pPr>
        <w:ind w:firstLine="720"/>
        <w:jc w:val="center"/>
        <w:rPr>
          <w:rFonts w:ascii="Times New Roman" w:eastAsia="Times New Roman" w:hAnsi="Times New Roman" w:cs="Times New Roman"/>
          <w:b/>
          <w:sz w:val="24"/>
          <w:szCs w:val="24"/>
        </w:rPr>
      </w:pPr>
      <w:r w:rsidRPr="009B36B8">
        <w:rPr>
          <w:rFonts w:ascii="Times New Roman" w:eastAsia="Times New Roman" w:hAnsi="Times New Roman" w:cs="Times New Roman"/>
          <w:b/>
          <w:sz w:val="24"/>
          <w:szCs w:val="24"/>
        </w:rPr>
        <w:t xml:space="preserve">DOKUMENTŲ, REIKALINGŲ PARENGTI TREČIUOSIUS NEMUNO, LIELUPĖS, VENTOS IR DAUGUVOS UPIŲ BASEINŲ RAJONŲ </w:t>
      </w:r>
      <w:r w:rsidRPr="00CB7240">
        <w:rPr>
          <w:rFonts w:ascii="Times New Roman" w:eastAsia="Times New Roman" w:hAnsi="Times New Roman" w:cs="Times New Roman"/>
          <w:b/>
          <w:sz w:val="24"/>
          <w:szCs w:val="24"/>
        </w:rPr>
        <w:t>VALDYMO PLANUS IR PRIEMONIŲ PROGRAMAS IR ATASKAITAS EUROPOS KOMISIJAI, ĮSIGIJIMO</w:t>
      </w:r>
      <w:r w:rsidRPr="009B36B8">
        <w:rPr>
          <w:rFonts w:ascii="Times New Roman" w:eastAsia="Times New Roman" w:hAnsi="Times New Roman" w:cs="Times New Roman"/>
          <w:b/>
          <w:bCs/>
          <w:iCs/>
          <w:sz w:val="24"/>
          <w:szCs w:val="24"/>
        </w:rPr>
        <w:t xml:space="preserve"> PASLAUGŲ </w:t>
      </w:r>
      <w:r w:rsidRPr="009B36B8">
        <w:rPr>
          <w:rFonts w:ascii="Times New Roman" w:eastAsia="Times New Roman" w:hAnsi="Times New Roman" w:cs="Times New Roman"/>
          <w:b/>
          <w:sz w:val="24"/>
          <w:szCs w:val="24"/>
        </w:rPr>
        <w:t>TECHNINĖ SPECIFIKACIJA</w:t>
      </w:r>
    </w:p>
    <w:p w14:paraId="0AD1A550" w14:textId="77777777" w:rsidR="00746FC0" w:rsidRPr="009B36B8" w:rsidRDefault="00746FC0" w:rsidP="00746FC0">
      <w:pPr>
        <w:ind w:firstLine="720"/>
        <w:jc w:val="center"/>
        <w:rPr>
          <w:rFonts w:ascii="Times New Roman" w:eastAsia="Times New Roman" w:hAnsi="Times New Roman" w:cs="Times New Roman"/>
          <w:b/>
          <w:sz w:val="24"/>
          <w:szCs w:val="24"/>
        </w:rPr>
      </w:pPr>
    </w:p>
    <w:p w14:paraId="27BFA7E9" w14:textId="77777777" w:rsidR="00746FC0" w:rsidRPr="00734645" w:rsidRDefault="00746FC0" w:rsidP="00746FC0">
      <w:pPr>
        <w:ind w:firstLine="720"/>
        <w:jc w:val="both"/>
        <w:rPr>
          <w:rFonts w:ascii="Times New Roman" w:eastAsia="Times New Roman" w:hAnsi="Times New Roman" w:cs="Times New Roman"/>
          <w:sz w:val="24"/>
          <w:szCs w:val="24"/>
        </w:rPr>
      </w:pPr>
      <w:r w:rsidRPr="00734645">
        <w:rPr>
          <w:rFonts w:ascii="Times New Roman" w:eastAsia="Times New Roman" w:hAnsi="Times New Roman" w:cs="Times New Roman"/>
          <w:b/>
          <w:sz w:val="24"/>
          <w:szCs w:val="24"/>
        </w:rPr>
        <w:t xml:space="preserve">Perkančioji organizacija – </w:t>
      </w:r>
      <w:r w:rsidRPr="00734645">
        <w:rPr>
          <w:rFonts w:ascii="Times New Roman" w:eastAsia="Times New Roman" w:hAnsi="Times New Roman" w:cs="Times New Roman"/>
          <w:sz w:val="24"/>
          <w:szCs w:val="24"/>
        </w:rPr>
        <w:t>Aplinkos apsaugos agentūra (toliau – Perkančioji organizacija).</w:t>
      </w:r>
    </w:p>
    <w:p w14:paraId="7E9951CF" w14:textId="77777777" w:rsidR="00746FC0" w:rsidRPr="00734645" w:rsidRDefault="00746FC0" w:rsidP="00746FC0">
      <w:pPr>
        <w:ind w:firstLine="720"/>
        <w:jc w:val="both"/>
        <w:rPr>
          <w:rFonts w:ascii="Times New Roman" w:eastAsia="Times New Roman" w:hAnsi="Times New Roman" w:cs="Times New Roman"/>
          <w:sz w:val="24"/>
          <w:szCs w:val="24"/>
        </w:rPr>
      </w:pPr>
      <w:r w:rsidRPr="00734645">
        <w:rPr>
          <w:rFonts w:ascii="Times New Roman" w:eastAsia="Times New Roman" w:hAnsi="Times New Roman" w:cs="Times New Roman"/>
          <w:b/>
          <w:sz w:val="24"/>
          <w:szCs w:val="24"/>
        </w:rPr>
        <w:t xml:space="preserve">Paslaugų pavadinimas – </w:t>
      </w:r>
      <w:r>
        <w:rPr>
          <w:rFonts w:ascii="Times New Roman" w:eastAsia="Times New Roman" w:hAnsi="Times New Roman" w:cs="Times New Roman"/>
          <w:sz w:val="24"/>
          <w:szCs w:val="24"/>
        </w:rPr>
        <w:t>Dokumentų</w:t>
      </w:r>
      <w:r w:rsidRPr="00734645">
        <w:rPr>
          <w:rFonts w:ascii="Times New Roman" w:eastAsia="Times New Roman" w:hAnsi="Times New Roman" w:cs="Times New Roman"/>
          <w:sz w:val="24"/>
          <w:szCs w:val="24"/>
        </w:rPr>
        <w:t>, reikalingų parengti trečiuosius Nemuno, Lielupės, Ventos ir Dauguvos upių baseinų rajonų valdymo planus</w:t>
      </w:r>
      <w:r>
        <w:rPr>
          <w:rFonts w:ascii="Times New Roman" w:eastAsia="Times New Roman" w:hAnsi="Times New Roman" w:cs="Times New Roman"/>
          <w:sz w:val="24"/>
          <w:szCs w:val="24"/>
        </w:rPr>
        <w:t xml:space="preserve"> ir</w:t>
      </w:r>
      <w:r w:rsidRPr="00734645">
        <w:rPr>
          <w:rFonts w:ascii="Times New Roman" w:eastAsia="Times New Roman" w:hAnsi="Times New Roman" w:cs="Times New Roman"/>
          <w:sz w:val="24"/>
          <w:szCs w:val="24"/>
        </w:rPr>
        <w:t xml:space="preserve"> priemonių programas</w:t>
      </w:r>
      <w:r>
        <w:rPr>
          <w:rFonts w:ascii="Times New Roman" w:eastAsia="Times New Roman" w:hAnsi="Times New Roman" w:cs="Times New Roman"/>
          <w:sz w:val="24"/>
          <w:szCs w:val="24"/>
        </w:rPr>
        <w:t xml:space="preserve"> (toliau – UBR valdymo planai ir priemonių programos) ir ataskaitas Europos Komisijai</w:t>
      </w:r>
      <w:r w:rsidRPr="00734645">
        <w:rPr>
          <w:rFonts w:ascii="Times New Roman" w:eastAsia="Times New Roman" w:hAnsi="Times New Roman" w:cs="Times New Roman"/>
          <w:sz w:val="24"/>
          <w:szCs w:val="24"/>
        </w:rPr>
        <w:t>, įsigijimas</w:t>
      </w:r>
      <w:r>
        <w:rPr>
          <w:rFonts w:ascii="Times New Roman" w:eastAsia="Times New Roman" w:hAnsi="Times New Roman" w:cs="Times New Roman"/>
          <w:sz w:val="24"/>
          <w:szCs w:val="24"/>
        </w:rPr>
        <w:t>.</w:t>
      </w:r>
    </w:p>
    <w:p w14:paraId="5AE46CEE" w14:textId="77777777" w:rsidR="00746FC0" w:rsidRPr="009F5B93" w:rsidRDefault="00746FC0" w:rsidP="00746FC0">
      <w:pPr>
        <w:ind w:firstLine="720"/>
        <w:jc w:val="both"/>
      </w:pPr>
      <w:r w:rsidRPr="00734645">
        <w:rPr>
          <w:rFonts w:ascii="Times New Roman" w:eastAsia="Times New Roman" w:hAnsi="Times New Roman" w:cs="Times New Roman"/>
          <w:b/>
          <w:sz w:val="24"/>
          <w:szCs w:val="24"/>
        </w:rPr>
        <w:t>Paslaugų tikslas –</w:t>
      </w:r>
      <w:r w:rsidRPr="00734645">
        <w:rPr>
          <w:rFonts w:ascii="Times New Roman" w:eastAsia="Times New Roman" w:hAnsi="Times New Roman" w:cs="Times New Roman"/>
          <w:sz w:val="24"/>
          <w:szCs w:val="24"/>
        </w:rPr>
        <w:t xml:space="preserve"> įsigyti </w:t>
      </w:r>
      <w:r>
        <w:rPr>
          <w:rFonts w:ascii="Times New Roman" w:eastAsia="Times New Roman" w:hAnsi="Times New Roman" w:cs="Times New Roman"/>
          <w:sz w:val="24"/>
          <w:szCs w:val="24"/>
        </w:rPr>
        <w:t>dokumentus</w:t>
      </w:r>
      <w:r w:rsidRPr="007346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kurie yra reikalingi</w:t>
      </w:r>
      <w:r w:rsidRPr="00734645">
        <w:rPr>
          <w:rFonts w:ascii="Times New Roman" w:eastAsia="Times New Roman" w:hAnsi="Times New Roman" w:cs="Times New Roman"/>
          <w:sz w:val="24"/>
          <w:szCs w:val="24"/>
        </w:rPr>
        <w:t xml:space="preserve"> </w:t>
      </w:r>
      <w:r w:rsidRPr="008F7EC6">
        <w:rPr>
          <w:rFonts w:ascii="Times New Roman" w:eastAsia="Times New Roman" w:hAnsi="Times New Roman" w:cs="Times New Roman"/>
          <w:sz w:val="24"/>
          <w:szCs w:val="24"/>
        </w:rPr>
        <w:t xml:space="preserve">Perkančiajai organizacijai </w:t>
      </w:r>
      <w:r>
        <w:rPr>
          <w:rFonts w:ascii="Times New Roman" w:eastAsia="Times New Roman" w:hAnsi="Times New Roman" w:cs="Times New Roman"/>
          <w:sz w:val="24"/>
          <w:szCs w:val="24"/>
        </w:rPr>
        <w:t>vykdant</w:t>
      </w:r>
      <w:r w:rsidRPr="008F7EC6">
        <w:rPr>
          <w:rFonts w:ascii="Times New Roman" w:eastAsia="Times New Roman" w:hAnsi="Times New Roman" w:cs="Times New Roman"/>
          <w:sz w:val="24"/>
          <w:szCs w:val="24"/>
        </w:rPr>
        <w:t xml:space="preserve"> trečiųjų UBR valdymo planų ir priemonių programų parengimą</w:t>
      </w:r>
      <w:r>
        <w:rPr>
          <w:rFonts w:ascii="Times New Roman" w:eastAsia="Times New Roman" w:hAnsi="Times New Roman" w:cs="Times New Roman"/>
          <w:sz w:val="24"/>
          <w:szCs w:val="24"/>
        </w:rPr>
        <w:t>.</w:t>
      </w:r>
      <w:r w:rsidRPr="008F7EC6" w:rsidDel="008F7EC6">
        <w:rPr>
          <w:rFonts w:ascii="Times New Roman" w:eastAsia="Times New Roman" w:hAnsi="Times New Roman" w:cs="Times New Roman"/>
          <w:sz w:val="24"/>
          <w:szCs w:val="24"/>
        </w:rPr>
        <w:t xml:space="preserve"> </w:t>
      </w:r>
    </w:p>
    <w:p w14:paraId="476D38BA" w14:textId="56125A4E" w:rsidR="00746FC0" w:rsidRPr="00A41088" w:rsidRDefault="00746FC0" w:rsidP="00A41088">
      <w:pPr>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Paslaugos suteikiamos pagal veiklas, kurios sugrupuotos pagal atitinkamus uždavinius, kuriuos reikia įgyvendinti. </w:t>
      </w:r>
    </w:p>
    <w:p w14:paraId="442610CF" w14:textId="77777777" w:rsidR="00746FC0" w:rsidRPr="00734645" w:rsidRDefault="00746FC0" w:rsidP="00746FC0">
      <w:pPr>
        <w:spacing w:line="240" w:lineRule="auto"/>
        <w:ind w:firstLine="567"/>
        <w:jc w:val="both"/>
        <w:rPr>
          <w:rFonts w:ascii="Times New Roman" w:eastAsia="Times New Roman" w:hAnsi="Times New Roman" w:cs="Times New Roman"/>
          <w:b/>
          <w:sz w:val="24"/>
          <w:szCs w:val="24"/>
        </w:rPr>
      </w:pPr>
      <w:r w:rsidRPr="00734645">
        <w:rPr>
          <w:rFonts w:ascii="Times New Roman" w:eastAsia="Times New Roman" w:hAnsi="Times New Roman" w:cs="Times New Roman"/>
          <w:b/>
          <w:sz w:val="24"/>
          <w:szCs w:val="24"/>
        </w:rPr>
        <w:t xml:space="preserve">1 uždavinys. Parengti arba patikslinti upių ir ežerų kategorijų vandens telkinių tipų </w:t>
      </w:r>
      <w:r>
        <w:rPr>
          <w:rFonts w:ascii="Times New Roman" w:eastAsia="Times New Roman" w:hAnsi="Times New Roman" w:cs="Times New Roman"/>
          <w:b/>
          <w:sz w:val="24"/>
          <w:szCs w:val="24"/>
        </w:rPr>
        <w:t xml:space="preserve">ekologinės būklės </w:t>
      </w:r>
      <w:r w:rsidRPr="00734645">
        <w:rPr>
          <w:rFonts w:ascii="Times New Roman" w:eastAsia="Times New Roman" w:hAnsi="Times New Roman" w:cs="Times New Roman"/>
          <w:b/>
          <w:sz w:val="24"/>
          <w:szCs w:val="24"/>
        </w:rPr>
        <w:t>rodiklių nustatymo aprašus ir kriterijus</w:t>
      </w:r>
    </w:p>
    <w:p w14:paraId="035FBBDB" w14:textId="77777777" w:rsidR="00746FC0" w:rsidRPr="00734645" w:rsidRDefault="00746FC0" w:rsidP="00746FC0">
      <w:pPr>
        <w:spacing w:line="240" w:lineRule="auto"/>
        <w:ind w:firstLine="567"/>
        <w:jc w:val="both"/>
        <w:rPr>
          <w:rFonts w:ascii="Times New Roman" w:eastAsia="Times New Roman" w:hAnsi="Times New Roman" w:cs="Times New Roman"/>
          <w:sz w:val="24"/>
          <w:szCs w:val="24"/>
          <w:u w:val="single"/>
        </w:rPr>
      </w:pPr>
      <w:r w:rsidRPr="00734645">
        <w:rPr>
          <w:rFonts w:ascii="Times New Roman" w:eastAsia="Times New Roman" w:hAnsi="Times New Roman" w:cs="Times New Roman"/>
          <w:sz w:val="24"/>
          <w:szCs w:val="24"/>
          <w:u w:val="single"/>
        </w:rPr>
        <w:t>1 uždavinio veiklos:</w:t>
      </w:r>
    </w:p>
    <w:p w14:paraId="0AB66E32" w14:textId="77777777" w:rsidR="00746FC0" w:rsidRPr="002749FA" w:rsidRDefault="00746FC0" w:rsidP="00746FC0">
      <w:pPr>
        <w:ind w:right="-80" w:firstLine="56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1.1. Parengti</w:t>
      </w:r>
      <w:r w:rsidRPr="002749FA">
        <w:rPr>
          <w:rFonts w:ascii="Times New Roman" w:eastAsia="Times New Roman" w:hAnsi="Times New Roman" w:cs="Times New Roman"/>
          <w:sz w:val="24"/>
          <w:szCs w:val="24"/>
        </w:rPr>
        <w:t xml:space="preserve"> biologinio kokybės elemento – upių </w:t>
      </w:r>
      <w:proofErr w:type="spellStart"/>
      <w:r w:rsidRPr="002749FA">
        <w:rPr>
          <w:rFonts w:ascii="Times New Roman" w:eastAsia="Times New Roman" w:hAnsi="Times New Roman" w:cs="Times New Roman"/>
          <w:sz w:val="24"/>
          <w:szCs w:val="24"/>
        </w:rPr>
        <w:t>fitoplanktono</w:t>
      </w:r>
      <w:proofErr w:type="spellEnd"/>
      <w:r w:rsidRPr="002749FA">
        <w:rPr>
          <w:rFonts w:ascii="Times New Roman" w:eastAsia="Times New Roman" w:hAnsi="Times New Roman" w:cs="Times New Roman"/>
          <w:sz w:val="24"/>
          <w:szCs w:val="24"/>
        </w:rPr>
        <w:t xml:space="preserve"> rodiklio Upės </w:t>
      </w:r>
      <w:proofErr w:type="spellStart"/>
      <w:r w:rsidRPr="002749FA">
        <w:rPr>
          <w:rFonts w:ascii="Times New Roman" w:eastAsia="Times New Roman" w:hAnsi="Times New Roman" w:cs="Times New Roman"/>
          <w:sz w:val="24"/>
          <w:szCs w:val="24"/>
        </w:rPr>
        <w:t>fitoplanktono</w:t>
      </w:r>
      <w:proofErr w:type="spellEnd"/>
      <w:r w:rsidRPr="002749FA">
        <w:rPr>
          <w:rFonts w:ascii="Times New Roman" w:eastAsia="Times New Roman" w:hAnsi="Times New Roman" w:cs="Times New Roman"/>
          <w:sz w:val="24"/>
          <w:szCs w:val="24"/>
        </w:rPr>
        <w:t xml:space="preserve"> indekso (toliau – UFPI), naudojamo upių ekologinei būklei pagal </w:t>
      </w:r>
      <w:proofErr w:type="spellStart"/>
      <w:r w:rsidRPr="002749FA">
        <w:rPr>
          <w:rFonts w:ascii="Times New Roman" w:eastAsia="Times New Roman" w:hAnsi="Times New Roman" w:cs="Times New Roman"/>
          <w:sz w:val="24"/>
          <w:szCs w:val="24"/>
        </w:rPr>
        <w:t>fitoplanktoną</w:t>
      </w:r>
      <w:proofErr w:type="spellEnd"/>
      <w:r w:rsidRPr="002749FA">
        <w:rPr>
          <w:rFonts w:ascii="Times New Roman" w:eastAsia="Times New Roman" w:hAnsi="Times New Roman" w:cs="Times New Roman"/>
          <w:sz w:val="24"/>
          <w:szCs w:val="24"/>
        </w:rPr>
        <w:t xml:space="preserve"> vertinti pagal Paviršinių vandens telkinių būklės nustatymo metodiką (toliau – Būklės nustatymo metodika), patvirtintą Lietuvos Respublikos aplinkos ministro 2007 m. balandžio 12 d. įsakymu Nr. D1-210 „Dėl Paviršinių vandens telkinių būklės nustatymo metodikos patvirtinimo“, apskaičiavimo aprašą, remiantis Vokietijos </w:t>
      </w:r>
      <w:proofErr w:type="spellStart"/>
      <w:r w:rsidRPr="002749FA">
        <w:rPr>
          <w:rFonts w:ascii="Times New Roman" w:eastAsia="Times New Roman" w:hAnsi="Times New Roman" w:cs="Times New Roman"/>
          <w:sz w:val="24"/>
          <w:szCs w:val="24"/>
        </w:rPr>
        <w:t>multimetriniu</w:t>
      </w:r>
      <w:proofErr w:type="spellEnd"/>
      <w:r w:rsidRPr="002749FA">
        <w:rPr>
          <w:rFonts w:ascii="Times New Roman" w:eastAsia="Times New Roman" w:hAnsi="Times New Roman" w:cs="Times New Roman"/>
          <w:sz w:val="24"/>
          <w:szCs w:val="24"/>
        </w:rPr>
        <w:t xml:space="preserve"> vertinimo metodu </w:t>
      </w:r>
      <w:proofErr w:type="spellStart"/>
      <w:r w:rsidRPr="002749FA">
        <w:rPr>
          <w:rFonts w:ascii="Times New Roman" w:eastAsia="Times New Roman" w:hAnsi="Times New Roman" w:cs="Times New Roman"/>
          <w:sz w:val="24"/>
          <w:szCs w:val="24"/>
        </w:rPr>
        <w:t>PhytoFluss</w:t>
      </w:r>
      <w:proofErr w:type="spellEnd"/>
      <w:r w:rsidRPr="002749FA">
        <w:rPr>
          <w:rFonts w:ascii="Times New Roman" w:eastAsia="Times New Roman" w:hAnsi="Times New Roman" w:cs="Times New Roman"/>
          <w:sz w:val="24"/>
          <w:szCs w:val="24"/>
        </w:rPr>
        <w:t xml:space="preserve"> (https://circabc.europa.eu/sd/a/c760ffd7-ab89-403e-a5ea-f565b88cd7d0/VLR_PHP_Milestone6_report_rivers_phytoplankton_2016Nov30th.pdf).</w:t>
      </w:r>
    </w:p>
    <w:p w14:paraId="13AE1908" w14:textId="77777777" w:rsidR="00746FC0" w:rsidRPr="00734645" w:rsidRDefault="00746FC0" w:rsidP="00746FC0">
      <w:pPr>
        <w:ind w:right="-80" w:firstLine="56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1.2. Parengti labai didelių upių </w:t>
      </w:r>
      <w:proofErr w:type="spellStart"/>
      <w:r w:rsidRPr="002749FA">
        <w:rPr>
          <w:rFonts w:ascii="Times New Roman" w:eastAsia="Times New Roman" w:hAnsi="Times New Roman" w:cs="Times New Roman"/>
          <w:sz w:val="24"/>
          <w:szCs w:val="24"/>
        </w:rPr>
        <w:t>fitobentoso</w:t>
      </w:r>
      <w:proofErr w:type="spellEnd"/>
      <w:r w:rsidRPr="002749FA">
        <w:rPr>
          <w:rFonts w:ascii="Times New Roman" w:eastAsia="Times New Roman" w:hAnsi="Times New Roman" w:cs="Times New Roman"/>
          <w:sz w:val="24"/>
          <w:szCs w:val="24"/>
        </w:rPr>
        <w:t xml:space="preserve"> ir žuvų tyrimų metodų ir ekologinės būklės vertinimo kriterijų aprašus pagal Bendrosios vandens politikos direktyvos 2000/60/EB (toliau – BVPD) bendrosios įgyvendinimo strategijos (toliau – CIS) technines rekomendacijas Nr. 14 „</w:t>
      </w:r>
      <w:proofErr w:type="spellStart"/>
      <w:r w:rsidRPr="002749FA">
        <w:rPr>
          <w:rFonts w:ascii="Times New Roman" w:eastAsia="Times New Roman" w:hAnsi="Times New Roman" w:cs="Times New Roman"/>
          <w:sz w:val="24"/>
          <w:szCs w:val="24"/>
        </w:rPr>
        <w:t>Guidance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document</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on</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the</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intercalibration</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process</w:t>
      </w:r>
      <w:proofErr w:type="spellEnd"/>
      <w:r w:rsidRPr="00734645">
        <w:rPr>
          <w:rFonts w:ascii="Times New Roman" w:eastAsia="Times New Roman" w:hAnsi="Times New Roman" w:cs="Times New Roman"/>
          <w:sz w:val="24"/>
          <w:szCs w:val="24"/>
        </w:rPr>
        <w:t xml:space="preserve"> 2008-2011“, Nr. 30 „</w:t>
      </w:r>
      <w:proofErr w:type="spellStart"/>
      <w:r w:rsidRPr="00734645">
        <w:rPr>
          <w:rFonts w:ascii="Times New Roman" w:eastAsia="Times New Roman" w:hAnsi="Times New Roman" w:cs="Times New Roman"/>
          <w:sz w:val="24"/>
          <w:szCs w:val="24"/>
        </w:rPr>
        <w:t>Procedure</w:t>
      </w:r>
      <w:proofErr w:type="spellEnd"/>
      <w:r w:rsidRPr="00734645">
        <w:rPr>
          <w:rFonts w:ascii="Times New Roman" w:eastAsia="Times New Roman" w:hAnsi="Times New Roman" w:cs="Times New Roman"/>
          <w:sz w:val="24"/>
          <w:szCs w:val="24"/>
        </w:rPr>
        <w:t xml:space="preserve"> to </w:t>
      </w:r>
      <w:proofErr w:type="spellStart"/>
      <w:r w:rsidRPr="00734645">
        <w:rPr>
          <w:rFonts w:ascii="Times New Roman" w:eastAsia="Times New Roman" w:hAnsi="Times New Roman" w:cs="Times New Roman"/>
          <w:sz w:val="24"/>
          <w:szCs w:val="24"/>
        </w:rPr>
        <w:t>fit</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new</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or</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updated</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classification</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methods</w:t>
      </w:r>
      <w:proofErr w:type="spellEnd"/>
      <w:r w:rsidRPr="00734645">
        <w:rPr>
          <w:rFonts w:ascii="Times New Roman" w:eastAsia="Times New Roman" w:hAnsi="Times New Roman" w:cs="Times New Roman"/>
          <w:sz w:val="24"/>
          <w:szCs w:val="24"/>
        </w:rPr>
        <w:t xml:space="preserve"> to </w:t>
      </w:r>
      <w:proofErr w:type="spellStart"/>
      <w:r w:rsidRPr="00734645">
        <w:rPr>
          <w:rFonts w:ascii="Times New Roman" w:eastAsia="Times New Roman" w:hAnsi="Times New Roman" w:cs="Times New Roman"/>
          <w:sz w:val="24"/>
          <w:szCs w:val="24"/>
        </w:rPr>
        <w:t>the</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results</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of</w:t>
      </w:r>
      <w:proofErr w:type="spellEnd"/>
      <w:r w:rsidRPr="00734645">
        <w:rPr>
          <w:rFonts w:ascii="Times New Roman" w:eastAsia="Times New Roman" w:hAnsi="Times New Roman" w:cs="Times New Roman"/>
          <w:sz w:val="24"/>
          <w:szCs w:val="24"/>
        </w:rPr>
        <w:t xml:space="preserve"> a </w:t>
      </w:r>
      <w:proofErr w:type="spellStart"/>
      <w:r w:rsidRPr="00734645">
        <w:rPr>
          <w:rFonts w:ascii="Times New Roman" w:eastAsia="Times New Roman" w:hAnsi="Times New Roman" w:cs="Times New Roman"/>
          <w:sz w:val="24"/>
          <w:szCs w:val="24"/>
        </w:rPr>
        <w:t>completed</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intercalibration</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exercise</w:t>
      </w:r>
      <w:proofErr w:type="spellEnd"/>
      <w:r w:rsidRPr="00734645">
        <w:rPr>
          <w:rFonts w:ascii="Times New Roman" w:eastAsia="Times New Roman" w:hAnsi="Times New Roman" w:cs="Times New Roman"/>
          <w:sz w:val="24"/>
          <w:szCs w:val="24"/>
        </w:rPr>
        <w:t>“</w:t>
      </w:r>
      <w:hyperlink r:id="rId10">
        <w:r w:rsidRPr="00734645">
          <w:rPr>
            <w:rFonts w:ascii="Times New Roman" w:eastAsia="Times New Roman" w:hAnsi="Times New Roman" w:cs="Times New Roman"/>
            <w:sz w:val="24"/>
            <w:szCs w:val="24"/>
          </w:rPr>
          <w:t xml:space="preserve"> </w:t>
        </w:r>
      </w:hyperlink>
      <w:hyperlink r:id="rId11">
        <w:r w:rsidRPr="00734645">
          <w:rPr>
            <w:rFonts w:ascii="Times New Roman" w:eastAsia="Times New Roman" w:hAnsi="Times New Roman" w:cs="Times New Roman"/>
            <w:color w:val="1155CC"/>
            <w:sz w:val="24"/>
            <w:szCs w:val="24"/>
            <w:u w:val="single"/>
          </w:rPr>
          <w:t>https://circabc.europa.eu/faces/jsp/extension/wai/navigation/container.jsp</w:t>
        </w:r>
      </w:hyperlink>
      <w:r w:rsidRPr="00734645">
        <w:rPr>
          <w:rFonts w:ascii="Times New Roman" w:eastAsia="Times New Roman" w:hAnsi="Times New Roman" w:cs="Times New Roman"/>
          <w:sz w:val="24"/>
          <w:szCs w:val="24"/>
        </w:rPr>
        <w:t xml:space="preserve"> ir </w:t>
      </w:r>
      <w:r w:rsidRPr="00734645">
        <w:rPr>
          <w:rFonts w:ascii="Times New Roman" w:eastAsia="Times New Roman" w:hAnsi="Times New Roman" w:cs="Times New Roman"/>
          <w:sz w:val="24"/>
          <w:szCs w:val="24"/>
          <w:highlight w:val="white"/>
        </w:rPr>
        <w:t xml:space="preserve">2018 m. vasario 12 d. Komisijos sprendimą (ES) 2018/229, kuriuo pagal Europos Parlamento ir Tarybos direktyvą 2000/60/EB nustatomos atlikus bendrą kalibravimą gautos valstybių narių monitoringo sistemų klasių vertės ir panaikinamas Komisijos sprendimas 2013/480/ES (toliau </w:t>
      </w:r>
      <w:r w:rsidRPr="00734645">
        <w:rPr>
          <w:rFonts w:ascii="Times New Roman" w:eastAsia="Times New Roman" w:hAnsi="Times New Roman" w:cs="Times New Roman"/>
          <w:sz w:val="24"/>
          <w:szCs w:val="24"/>
        </w:rPr>
        <w:t>–</w:t>
      </w:r>
      <w:r w:rsidRPr="00734645">
        <w:rPr>
          <w:rFonts w:ascii="Times New Roman" w:eastAsia="Times New Roman" w:hAnsi="Times New Roman" w:cs="Times New Roman"/>
          <w:sz w:val="24"/>
          <w:szCs w:val="24"/>
          <w:highlight w:val="white"/>
        </w:rPr>
        <w:t xml:space="preserve"> </w:t>
      </w:r>
      <w:proofErr w:type="spellStart"/>
      <w:r w:rsidRPr="00734645">
        <w:rPr>
          <w:rFonts w:ascii="Times New Roman" w:eastAsia="Times New Roman" w:hAnsi="Times New Roman" w:cs="Times New Roman"/>
          <w:sz w:val="24"/>
          <w:szCs w:val="24"/>
          <w:highlight w:val="white"/>
        </w:rPr>
        <w:t>Interkalibracijos</w:t>
      </w:r>
      <w:proofErr w:type="spellEnd"/>
      <w:r w:rsidRPr="00734645">
        <w:rPr>
          <w:rFonts w:ascii="Times New Roman" w:eastAsia="Times New Roman" w:hAnsi="Times New Roman" w:cs="Times New Roman"/>
          <w:sz w:val="24"/>
          <w:szCs w:val="24"/>
          <w:highlight w:val="white"/>
        </w:rPr>
        <w:t xml:space="preserve"> sprendimas)</w:t>
      </w:r>
      <w:hyperlink r:id="rId12">
        <w:r w:rsidRPr="00734645">
          <w:rPr>
            <w:rFonts w:ascii="Times New Roman" w:eastAsia="Times New Roman" w:hAnsi="Times New Roman" w:cs="Times New Roman"/>
            <w:sz w:val="24"/>
            <w:szCs w:val="24"/>
            <w:highlight w:val="white"/>
          </w:rPr>
          <w:t xml:space="preserve"> </w:t>
        </w:r>
      </w:hyperlink>
      <w:hyperlink r:id="rId13">
        <w:r w:rsidRPr="00734645">
          <w:rPr>
            <w:rFonts w:ascii="Times New Roman" w:eastAsia="Times New Roman" w:hAnsi="Times New Roman" w:cs="Times New Roman"/>
            <w:color w:val="1155CC"/>
            <w:sz w:val="24"/>
            <w:szCs w:val="24"/>
            <w:u w:val="single"/>
          </w:rPr>
          <w:t>https://eur-lex.europa.eu/legal-content/LT/ALL/?uri=OJ:L:2018:047:TOC</w:t>
        </w:r>
      </w:hyperlink>
      <w:r w:rsidRPr="00734645">
        <w:rPr>
          <w:rFonts w:ascii="Times New Roman" w:eastAsia="Times New Roman" w:hAnsi="Times New Roman" w:cs="Times New Roman"/>
          <w:color w:val="0000FF"/>
          <w:sz w:val="24"/>
          <w:szCs w:val="24"/>
        </w:rPr>
        <w:t>.</w:t>
      </w:r>
      <w:r w:rsidRPr="00734645">
        <w:rPr>
          <w:rFonts w:ascii="Times New Roman" w:eastAsia="Times New Roman" w:hAnsi="Times New Roman" w:cs="Times New Roman"/>
          <w:sz w:val="24"/>
          <w:szCs w:val="24"/>
        </w:rPr>
        <w:t xml:space="preserve"> Apraš</w:t>
      </w:r>
      <w:r>
        <w:rPr>
          <w:rFonts w:ascii="Times New Roman" w:eastAsia="Times New Roman" w:hAnsi="Times New Roman" w:cs="Times New Roman"/>
          <w:sz w:val="24"/>
          <w:szCs w:val="24"/>
        </w:rPr>
        <w:t>us</w:t>
      </w:r>
      <w:r w:rsidRPr="00734645">
        <w:rPr>
          <w:rFonts w:ascii="Times New Roman" w:eastAsia="Times New Roman" w:hAnsi="Times New Roman" w:cs="Times New Roman"/>
          <w:sz w:val="16"/>
          <w:szCs w:val="16"/>
        </w:rPr>
        <w:t xml:space="preserve"> </w:t>
      </w:r>
      <w:r w:rsidRPr="00734645">
        <w:rPr>
          <w:rFonts w:ascii="Times New Roman" w:eastAsia="Times New Roman" w:hAnsi="Times New Roman" w:cs="Times New Roman"/>
          <w:sz w:val="24"/>
          <w:szCs w:val="24"/>
        </w:rPr>
        <w:t xml:space="preserve"> </w:t>
      </w:r>
      <w:r w:rsidRPr="00734645">
        <w:rPr>
          <w:rFonts w:ascii="Times New Roman" w:eastAsia="Times New Roman" w:hAnsi="Times New Roman" w:cs="Times New Roman"/>
          <w:sz w:val="24"/>
          <w:szCs w:val="24"/>
        </w:rPr>
        <w:lastRenderedPageBreak/>
        <w:t xml:space="preserve">suderinti su Europos Komisijos paskirtais ekspertais, kurie atlieka metodų ir kriterijų tarp šalių </w:t>
      </w:r>
      <w:proofErr w:type="spellStart"/>
      <w:r w:rsidRPr="00734645">
        <w:rPr>
          <w:rFonts w:ascii="Times New Roman" w:eastAsia="Times New Roman" w:hAnsi="Times New Roman" w:cs="Times New Roman"/>
          <w:sz w:val="24"/>
          <w:szCs w:val="24"/>
        </w:rPr>
        <w:t>interkalibravimą</w:t>
      </w:r>
      <w:proofErr w:type="spellEnd"/>
      <w:r w:rsidRPr="00734645">
        <w:rPr>
          <w:rFonts w:ascii="Times New Roman" w:eastAsia="Times New Roman" w:hAnsi="Times New Roman" w:cs="Times New Roman"/>
          <w:sz w:val="24"/>
          <w:szCs w:val="24"/>
        </w:rPr>
        <w:t>, atsakant į ekspertų pastabas ir pagal jas pakoreguojant apraš</w:t>
      </w:r>
      <w:r>
        <w:rPr>
          <w:rFonts w:ascii="Times New Roman" w:eastAsia="Times New Roman" w:hAnsi="Times New Roman" w:cs="Times New Roman"/>
          <w:sz w:val="24"/>
          <w:szCs w:val="24"/>
        </w:rPr>
        <w:t>us</w:t>
      </w:r>
      <w:r w:rsidRPr="00734645">
        <w:rPr>
          <w:rFonts w:ascii="Times New Roman" w:eastAsia="Times New Roman" w:hAnsi="Times New Roman" w:cs="Times New Roman"/>
          <w:sz w:val="24"/>
          <w:szCs w:val="24"/>
        </w:rPr>
        <w:t>.</w:t>
      </w:r>
    </w:p>
    <w:p w14:paraId="19030979" w14:textId="77777777" w:rsidR="00746FC0" w:rsidRPr="00734645" w:rsidRDefault="00746FC0" w:rsidP="00746FC0">
      <w:pPr>
        <w:ind w:left="20" w:right="-80" w:firstLine="56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1.3. Nustatyti upių ir ežerų kategorijų, nurodytų Upių baseinų rajono apibūdinimo, žmogaus veiklos poveikio vandens</w:t>
      </w:r>
      <w:r w:rsidRPr="00734645">
        <w:rPr>
          <w:rFonts w:ascii="Times New Roman" w:eastAsia="Times New Roman" w:hAnsi="Times New Roman" w:cs="Times New Roman"/>
          <w:sz w:val="24"/>
          <w:szCs w:val="24"/>
        </w:rPr>
        <w:t xml:space="preserve"> telkinių būklei įvertinimo, vandens naudojimo ekonominės analizės ir duomenų apie upių baseinų rajonus rinkimo tvarkoje, patvirtintoje Lietuvos Respublikos aplinkos ministro 2003 m. rugsėjo 25 d. įsakymu Nr. 472 „Dėl Upių baseinų rajono apibūdinimo, žmogaus veiklos poveikio vandens telkinių būklei įvertinimo, vandens naudojimo ekonominės analizės ir duomenų apie upių baseinų rajonus rinkimo tvarkos patvirtinimo“, vandens telkinių tipų ekologinės būklės klasių </w:t>
      </w:r>
      <w:proofErr w:type="spellStart"/>
      <w:r w:rsidRPr="00734645">
        <w:rPr>
          <w:rFonts w:ascii="Times New Roman" w:eastAsia="Times New Roman" w:hAnsi="Times New Roman" w:cs="Times New Roman"/>
          <w:sz w:val="24"/>
          <w:szCs w:val="24"/>
        </w:rPr>
        <w:t>maistmedžiagių</w:t>
      </w:r>
      <w:proofErr w:type="spellEnd"/>
      <w:r w:rsidRPr="00734645">
        <w:rPr>
          <w:rFonts w:ascii="Times New Roman" w:eastAsia="Times New Roman" w:hAnsi="Times New Roman" w:cs="Times New Roman"/>
          <w:sz w:val="24"/>
          <w:szCs w:val="24"/>
        </w:rPr>
        <w:t xml:space="preserve"> (bendro azoto (mg/l) ir bendro fosforo (mg/l)) koncentracijų ribines vertes naudojant ežerų </w:t>
      </w:r>
      <w:proofErr w:type="spellStart"/>
      <w:r w:rsidRPr="00734645">
        <w:rPr>
          <w:rFonts w:ascii="Times New Roman" w:eastAsia="Times New Roman" w:hAnsi="Times New Roman" w:cs="Times New Roman"/>
          <w:sz w:val="24"/>
          <w:szCs w:val="24"/>
        </w:rPr>
        <w:t>fitoplanktono</w:t>
      </w:r>
      <w:proofErr w:type="spellEnd"/>
      <w:r w:rsidRPr="00734645">
        <w:rPr>
          <w:rFonts w:ascii="Times New Roman" w:eastAsia="Times New Roman" w:hAnsi="Times New Roman" w:cs="Times New Roman"/>
          <w:sz w:val="24"/>
          <w:szCs w:val="24"/>
        </w:rPr>
        <w:t xml:space="preserve"> ir upių </w:t>
      </w:r>
      <w:proofErr w:type="spellStart"/>
      <w:r w:rsidRPr="00734645">
        <w:rPr>
          <w:rFonts w:ascii="Times New Roman" w:eastAsia="Times New Roman" w:hAnsi="Times New Roman" w:cs="Times New Roman"/>
          <w:sz w:val="24"/>
          <w:szCs w:val="24"/>
        </w:rPr>
        <w:t>fitobentoso</w:t>
      </w:r>
      <w:proofErr w:type="spellEnd"/>
      <w:r w:rsidRPr="00734645">
        <w:rPr>
          <w:rFonts w:ascii="Times New Roman" w:eastAsia="Times New Roman" w:hAnsi="Times New Roman" w:cs="Times New Roman"/>
          <w:sz w:val="24"/>
          <w:szCs w:val="24"/>
        </w:rPr>
        <w:t xml:space="preserve"> valstybinio monitoringo 2014-2018 m. duomenis (duomenis pateiks Perkančioji organizacija) ir statistinės duomenų analizės programos „R“ („R </w:t>
      </w:r>
      <w:proofErr w:type="spellStart"/>
      <w:r w:rsidRPr="00734645">
        <w:rPr>
          <w:rFonts w:ascii="Times New Roman" w:eastAsia="Times New Roman" w:hAnsi="Times New Roman" w:cs="Times New Roman"/>
          <w:sz w:val="24"/>
          <w:szCs w:val="24"/>
        </w:rPr>
        <w:t>Development</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Core</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Team</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skriptus</w:t>
      </w:r>
      <w:proofErr w:type="spellEnd"/>
      <w:r w:rsidRPr="00734645">
        <w:rPr>
          <w:rFonts w:ascii="Times New Roman" w:eastAsia="Times New Roman" w:hAnsi="Times New Roman" w:cs="Times New Roman"/>
          <w:sz w:val="24"/>
          <w:szCs w:val="24"/>
        </w:rPr>
        <w:t xml:space="preserve"> arba </w:t>
      </w:r>
      <w:proofErr w:type="spellStart"/>
      <w:r w:rsidRPr="00734645">
        <w:rPr>
          <w:rFonts w:ascii="Times New Roman" w:eastAsia="Times New Roman" w:hAnsi="Times New Roman" w:cs="Times New Roman"/>
          <w:sz w:val="24"/>
          <w:szCs w:val="24"/>
        </w:rPr>
        <w:t>RStudio</w:t>
      </w:r>
      <w:proofErr w:type="spellEnd"/>
      <w:r w:rsidRPr="00734645">
        <w:rPr>
          <w:rFonts w:ascii="Times New Roman" w:eastAsia="Times New Roman" w:hAnsi="Times New Roman" w:cs="Times New Roman"/>
          <w:sz w:val="24"/>
          <w:szCs w:val="24"/>
        </w:rPr>
        <w:t xml:space="preserve"> („</w:t>
      </w:r>
      <w:proofErr w:type="spellStart"/>
      <w:r w:rsidRPr="00734645">
        <w:rPr>
          <w:rFonts w:ascii="Times New Roman" w:eastAsia="Times New Roman" w:hAnsi="Times New Roman" w:cs="Times New Roman"/>
          <w:sz w:val="24"/>
          <w:szCs w:val="24"/>
        </w:rPr>
        <w:t>Shiny</w:t>
      </w:r>
      <w:proofErr w:type="spellEnd"/>
      <w:r w:rsidRPr="00734645">
        <w:rPr>
          <w:rFonts w:ascii="Times New Roman" w:eastAsia="Times New Roman" w:hAnsi="Times New Roman" w:cs="Times New Roman"/>
          <w:sz w:val="24"/>
          <w:szCs w:val="24"/>
        </w:rPr>
        <w:t>“) programinį paketą pagal BVPD CIS rekomendacinį dokumentą (</w:t>
      </w:r>
      <w:hyperlink r:id="rId14" w:history="1">
        <w:r w:rsidRPr="00E45E7E">
          <w:rPr>
            <w:rStyle w:val="Hipersaitas"/>
            <w:rFonts w:ascii="Times New Roman" w:eastAsia="Times New Roman" w:hAnsi="Times New Roman" w:cs="Times New Roman"/>
            <w:sz w:val="24"/>
            <w:szCs w:val="24"/>
          </w:rPr>
          <w:t>https://circabc.europa.eu/sd/a/5aa80709-9ce8-411d-94e8-f0577f3632fa/CIS_Guidance_for_Ecostat_Oct18.pdf</w:t>
        </w:r>
      </w:hyperlink>
      <w:r w:rsidRPr="00734645">
        <w:rPr>
          <w:rFonts w:ascii="Times New Roman" w:eastAsia="Times New Roman" w:hAnsi="Times New Roman" w:cs="Times New Roman"/>
          <w:sz w:val="24"/>
          <w:szCs w:val="24"/>
        </w:rPr>
        <w:t>) ir statistinių priemonių rinkinio naudojimosi instrukciją (</w:t>
      </w:r>
      <w:hyperlink r:id="rId15">
        <w:r w:rsidRPr="00734645">
          <w:rPr>
            <w:rFonts w:ascii="Times New Roman" w:eastAsia="Times New Roman" w:hAnsi="Times New Roman" w:cs="Times New Roman"/>
            <w:color w:val="1155CC"/>
            <w:sz w:val="24"/>
            <w:szCs w:val="24"/>
            <w:u w:val="single"/>
          </w:rPr>
          <w:t>https://circabc.europa.eu/sd/a/bd4ac1b0-19e2-4b3e-8e07-3a2c109a73fb/Nutrient_standard_Guidance_Toolkit_Instructions_Nov2018_Final.pdf</w:t>
        </w:r>
      </w:hyperlink>
      <w:r w:rsidRPr="00734645">
        <w:rPr>
          <w:rFonts w:ascii="Times New Roman" w:eastAsia="Times New Roman" w:hAnsi="Times New Roman" w:cs="Times New Roman"/>
          <w:sz w:val="24"/>
          <w:szCs w:val="24"/>
        </w:rPr>
        <w:t>):</w:t>
      </w:r>
    </w:p>
    <w:p w14:paraId="248F17F6" w14:textId="77777777" w:rsidR="00746FC0" w:rsidRPr="00734645" w:rsidRDefault="00746FC0" w:rsidP="00746FC0">
      <w:pPr>
        <w:ind w:right="-80" w:firstLine="567"/>
        <w:jc w:val="both"/>
        <w:rPr>
          <w:rFonts w:ascii="Times New Roman" w:eastAsia="Times New Roman" w:hAnsi="Times New Roman" w:cs="Times New Roman"/>
          <w:sz w:val="24"/>
          <w:szCs w:val="24"/>
        </w:rPr>
      </w:pPr>
      <w:r w:rsidRPr="00734645">
        <w:rPr>
          <w:rFonts w:ascii="Times New Roman" w:eastAsia="Times New Roman" w:hAnsi="Times New Roman" w:cs="Times New Roman"/>
          <w:sz w:val="24"/>
          <w:szCs w:val="24"/>
        </w:rPr>
        <w:t xml:space="preserve">1.3.1. nustatyti upių ir ežerų kategorijų vandens telkinių tipų, nurodytų Paviršinių vandens telkinių tipų apraše, patvirtintame Lietuvos Respublikos aplinkos ministro 2005 m. gegužės 23 d. įsakymu Nr. D1-256 „Dėl Paviršinių vandens telkinių tipų aprašo ir Paviršinių vandens telkinių tipų etaloninių sąlygų aprašo patvirtinimo” ir </w:t>
      </w:r>
      <w:proofErr w:type="spellStart"/>
      <w:r w:rsidRPr="00734645">
        <w:rPr>
          <w:rFonts w:ascii="Times New Roman" w:eastAsia="Times New Roman" w:hAnsi="Times New Roman" w:cs="Times New Roman"/>
          <w:sz w:val="24"/>
          <w:szCs w:val="24"/>
        </w:rPr>
        <w:t>Interkalibracijos</w:t>
      </w:r>
      <w:proofErr w:type="spellEnd"/>
      <w:r w:rsidRPr="00734645">
        <w:rPr>
          <w:rFonts w:ascii="Times New Roman" w:eastAsia="Times New Roman" w:hAnsi="Times New Roman" w:cs="Times New Roman"/>
          <w:sz w:val="24"/>
          <w:szCs w:val="24"/>
        </w:rPr>
        <w:t xml:space="preserve"> sprendime priskirtų bendriesiems ES vandens telkinių tipams, ekologinės būklės klasių </w:t>
      </w:r>
      <w:proofErr w:type="spellStart"/>
      <w:r w:rsidRPr="00734645">
        <w:rPr>
          <w:rFonts w:ascii="Times New Roman" w:eastAsia="Times New Roman" w:hAnsi="Times New Roman" w:cs="Times New Roman"/>
          <w:sz w:val="24"/>
          <w:szCs w:val="24"/>
        </w:rPr>
        <w:t>maistmedžiagių</w:t>
      </w:r>
      <w:proofErr w:type="spellEnd"/>
      <w:r w:rsidRPr="00734645">
        <w:rPr>
          <w:rFonts w:ascii="Times New Roman" w:eastAsia="Times New Roman" w:hAnsi="Times New Roman" w:cs="Times New Roman"/>
          <w:sz w:val="24"/>
          <w:szCs w:val="24"/>
        </w:rPr>
        <w:t xml:space="preserve"> koncentracijų ribines vertes naudojant statistinius duomenų analizės metodus:</w:t>
      </w:r>
    </w:p>
    <w:p w14:paraId="20970A44" w14:textId="77777777" w:rsidR="00746FC0" w:rsidRPr="00734645" w:rsidRDefault="00746FC0" w:rsidP="00746FC0">
      <w:pPr>
        <w:ind w:right="-80" w:firstLine="567"/>
        <w:jc w:val="both"/>
        <w:rPr>
          <w:rFonts w:ascii="Times New Roman" w:eastAsia="Times New Roman" w:hAnsi="Times New Roman" w:cs="Times New Roman"/>
          <w:sz w:val="24"/>
          <w:szCs w:val="24"/>
        </w:rPr>
      </w:pPr>
      <w:r w:rsidRPr="00734645">
        <w:rPr>
          <w:rFonts w:ascii="Times New Roman" w:eastAsia="Times New Roman" w:hAnsi="Times New Roman" w:cs="Times New Roman"/>
          <w:sz w:val="24"/>
          <w:szCs w:val="24"/>
        </w:rPr>
        <w:t xml:space="preserve">1.3.1.1. regresinės analizės metodą, paremtą dviejų kintamųjų (ežerų kategorijos vandens telkiniams – bendro azoto ir </w:t>
      </w:r>
      <w:proofErr w:type="spellStart"/>
      <w:r w:rsidRPr="00734645">
        <w:rPr>
          <w:rFonts w:ascii="Times New Roman" w:eastAsia="Times New Roman" w:hAnsi="Times New Roman" w:cs="Times New Roman"/>
          <w:sz w:val="24"/>
          <w:szCs w:val="24"/>
        </w:rPr>
        <w:t>fitoplanktono</w:t>
      </w:r>
      <w:proofErr w:type="spellEnd"/>
      <w:r w:rsidRPr="00734645">
        <w:rPr>
          <w:rFonts w:ascii="Times New Roman" w:eastAsia="Times New Roman" w:hAnsi="Times New Roman" w:cs="Times New Roman"/>
          <w:sz w:val="24"/>
          <w:szCs w:val="24"/>
        </w:rPr>
        <w:t xml:space="preserve">, bendro fosforo ir </w:t>
      </w:r>
      <w:proofErr w:type="spellStart"/>
      <w:r w:rsidRPr="00734645">
        <w:rPr>
          <w:rFonts w:ascii="Times New Roman" w:eastAsia="Times New Roman" w:hAnsi="Times New Roman" w:cs="Times New Roman"/>
          <w:sz w:val="24"/>
          <w:szCs w:val="24"/>
        </w:rPr>
        <w:t>fitoplanktono</w:t>
      </w:r>
      <w:proofErr w:type="spellEnd"/>
      <w:r w:rsidRPr="00734645">
        <w:rPr>
          <w:rFonts w:ascii="Times New Roman" w:eastAsia="Times New Roman" w:hAnsi="Times New Roman" w:cs="Times New Roman"/>
          <w:sz w:val="24"/>
          <w:szCs w:val="24"/>
        </w:rPr>
        <w:t xml:space="preserve">, upių kategorijos vandens telkiniams – bendro azoto ir </w:t>
      </w:r>
      <w:proofErr w:type="spellStart"/>
      <w:r w:rsidRPr="00734645">
        <w:rPr>
          <w:rFonts w:ascii="Times New Roman" w:eastAsia="Times New Roman" w:hAnsi="Times New Roman" w:cs="Times New Roman"/>
          <w:sz w:val="24"/>
          <w:szCs w:val="24"/>
        </w:rPr>
        <w:t>fitobentoso</w:t>
      </w:r>
      <w:proofErr w:type="spellEnd"/>
      <w:r w:rsidRPr="00734645">
        <w:rPr>
          <w:rFonts w:ascii="Times New Roman" w:eastAsia="Times New Roman" w:hAnsi="Times New Roman" w:cs="Times New Roman"/>
          <w:sz w:val="24"/>
          <w:szCs w:val="24"/>
        </w:rPr>
        <w:t xml:space="preserve">, bendro fosforo ir </w:t>
      </w:r>
      <w:proofErr w:type="spellStart"/>
      <w:r w:rsidRPr="00734645">
        <w:rPr>
          <w:rFonts w:ascii="Times New Roman" w:eastAsia="Times New Roman" w:hAnsi="Times New Roman" w:cs="Times New Roman"/>
          <w:sz w:val="24"/>
          <w:szCs w:val="24"/>
        </w:rPr>
        <w:t>fitobentoso</w:t>
      </w:r>
      <w:proofErr w:type="spellEnd"/>
      <w:r w:rsidRPr="00734645">
        <w:rPr>
          <w:rFonts w:ascii="Times New Roman" w:eastAsia="Times New Roman" w:hAnsi="Times New Roman" w:cs="Times New Roman"/>
          <w:sz w:val="24"/>
          <w:szCs w:val="24"/>
        </w:rPr>
        <w:t>) tarpusavio priklausomybe;</w:t>
      </w:r>
    </w:p>
    <w:p w14:paraId="5D719AA2" w14:textId="77777777" w:rsidR="00746FC0" w:rsidRPr="00734645" w:rsidRDefault="00746FC0" w:rsidP="00746FC0">
      <w:pPr>
        <w:ind w:right="-80" w:firstLine="567"/>
        <w:jc w:val="both"/>
        <w:rPr>
          <w:rFonts w:ascii="Times New Roman" w:eastAsia="Times New Roman" w:hAnsi="Times New Roman" w:cs="Times New Roman"/>
          <w:sz w:val="24"/>
          <w:szCs w:val="24"/>
        </w:rPr>
      </w:pPr>
      <w:r w:rsidRPr="00734645">
        <w:rPr>
          <w:rFonts w:ascii="Times New Roman" w:eastAsia="Times New Roman" w:hAnsi="Times New Roman" w:cs="Times New Roman"/>
          <w:sz w:val="24"/>
          <w:szCs w:val="24"/>
        </w:rPr>
        <w:t xml:space="preserve">1.3.1.2. kategorinės analizės metodą, leidžiantį nustatyti </w:t>
      </w:r>
      <w:proofErr w:type="spellStart"/>
      <w:r w:rsidRPr="00734645">
        <w:rPr>
          <w:rFonts w:ascii="Times New Roman" w:eastAsia="Times New Roman" w:hAnsi="Times New Roman" w:cs="Times New Roman"/>
          <w:sz w:val="24"/>
          <w:szCs w:val="24"/>
        </w:rPr>
        <w:t>maistmedžiagių</w:t>
      </w:r>
      <w:proofErr w:type="spellEnd"/>
      <w:r w:rsidRPr="00734645">
        <w:rPr>
          <w:rFonts w:ascii="Times New Roman" w:eastAsia="Times New Roman" w:hAnsi="Times New Roman" w:cs="Times New Roman"/>
          <w:sz w:val="24"/>
          <w:szCs w:val="24"/>
        </w:rPr>
        <w:t xml:space="preserve"> koncentracijų ribines vertes skirtingose ekologinės būklės klasėse;</w:t>
      </w:r>
    </w:p>
    <w:p w14:paraId="6A462113" w14:textId="77777777" w:rsidR="00746FC0" w:rsidRPr="00734645" w:rsidRDefault="00746FC0" w:rsidP="00746FC0">
      <w:pPr>
        <w:ind w:right="-80" w:firstLine="567"/>
        <w:jc w:val="both"/>
        <w:rPr>
          <w:rFonts w:ascii="Times New Roman" w:eastAsia="Times New Roman" w:hAnsi="Times New Roman" w:cs="Times New Roman"/>
          <w:sz w:val="24"/>
          <w:szCs w:val="24"/>
        </w:rPr>
      </w:pPr>
      <w:r w:rsidRPr="00734645">
        <w:rPr>
          <w:rFonts w:ascii="Times New Roman" w:eastAsia="Times New Roman" w:hAnsi="Times New Roman" w:cs="Times New Roman"/>
          <w:sz w:val="24"/>
          <w:szCs w:val="24"/>
        </w:rPr>
        <w:t xml:space="preserve">1.3.1.3. neatitikčių minimizavimo metodą, leidžiantį sumažinti ekologinės būklės klasifikavimo, paremto biologiniu elementu ir </w:t>
      </w:r>
      <w:proofErr w:type="spellStart"/>
      <w:r w:rsidRPr="00734645">
        <w:rPr>
          <w:rFonts w:ascii="Times New Roman" w:eastAsia="Times New Roman" w:hAnsi="Times New Roman" w:cs="Times New Roman"/>
          <w:sz w:val="24"/>
          <w:szCs w:val="24"/>
        </w:rPr>
        <w:t>maistmedžiagėmis</w:t>
      </w:r>
      <w:proofErr w:type="spellEnd"/>
      <w:r w:rsidRPr="00734645">
        <w:rPr>
          <w:rFonts w:ascii="Times New Roman" w:eastAsia="Times New Roman" w:hAnsi="Times New Roman" w:cs="Times New Roman"/>
          <w:sz w:val="24"/>
          <w:szCs w:val="24"/>
        </w:rPr>
        <w:t>, neatitiktis;</w:t>
      </w:r>
    </w:p>
    <w:p w14:paraId="1F6FC925" w14:textId="77777777" w:rsidR="00746FC0" w:rsidRPr="00734645" w:rsidRDefault="00746FC0" w:rsidP="00746FC0">
      <w:pPr>
        <w:ind w:right="-80" w:firstLine="567"/>
        <w:jc w:val="both"/>
        <w:rPr>
          <w:rFonts w:ascii="Times New Roman" w:eastAsia="Times New Roman" w:hAnsi="Times New Roman" w:cs="Times New Roman"/>
          <w:sz w:val="24"/>
          <w:szCs w:val="24"/>
        </w:rPr>
      </w:pPr>
      <w:r w:rsidRPr="00734645">
        <w:rPr>
          <w:rFonts w:ascii="Times New Roman" w:eastAsia="Times New Roman" w:hAnsi="Times New Roman" w:cs="Times New Roman"/>
          <w:sz w:val="24"/>
          <w:szCs w:val="24"/>
        </w:rPr>
        <w:t xml:space="preserve">1.3.1.4. </w:t>
      </w:r>
      <w:proofErr w:type="spellStart"/>
      <w:r w:rsidRPr="00734645">
        <w:rPr>
          <w:rFonts w:ascii="Times New Roman" w:eastAsia="Times New Roman" w:hAnsi="Times New Roman" w:cs="Times New Roman"/>
          <w:sz w:val="24"/>
          <w:szCs w:val="24"/>
        </w:rPr>
        <w:t>daugiaparametrinės</w:t>
      </w:r>
      <w:proofErr w:type="spellEnd"/>
      <w:r w:rsidRPr="00734645">
        <w:rPr>
          <w:rFonts w:ascii="Times New Roman" w:eastAsia="Times New Roman" w:hAnsi="Times New Roman" w:cs="Times New Roman"/>
          <w:sz w:val="24"/>
          <w:szCs w:val="24"/>
        </w:rPr>
        <w:t xml:space="preserve"> regresijos metodą, paremtą bendro azoto ir bendro fosforo suminiu poveikiu biologiniams elementams.</w:t>
      </w:r>
    </w:p>
    <w:p w14:paraId="1E8451DB" w14:textId="77777777" w:rsidR="00746FC0" w:rsidRPr="002749FA" w:rsidRDefault="00746FC0" w:rsidP="00746FC0">
      <w:pPr>
        <w:ind w:right="-80" w:firstLine="567"/>
        <w:jc w:val="both"/>
        <w:rPr>
          <w:rFonts w:ascii="Times New Roman" w:eastAsia="Times New Roman" w:hAnsi="Times New Roman" w:cs="Times New Roman"/>
          <w:sz w:val="24"/>
          <w:szCs w:val="24"/>
        </w:rPr>
      </w:pPr>
      <w:r w:rsidRPr="00734645">
        <w:rPr>
          <w:rFonts w:ascii="Times New Roman" w:eastAsia="Times New Roman" w:hAnsi="Times New Roman" w:cs="Times New Roman"/>
          <w:sz w:val="24"/>
          <w:szCs w:val="24"/>
        </w:rPr>
        <w:t xml:space="preserve">1.3.2. remiantis gautais statistinės duomenų analizės rezultatais (1 uždavinio 1.3.1.1-1.3.1.4 papunkčiuose nurodytų veiklų), pasitelkus ekspertinį vertinimą nustatyti patikimas ekologinės būklės klasių </w:t>
      </w:r>
      <w:proofErr w:type="spellStart"/>
      <w:r w:rsidRPr="00734645">
        <w:rPr>
          <w:rFonts w:ascii="Times New Roman" w:eastAsia="Times New Roman" w:hAnsi="Times New Roman" w:cs="Times New Roman"/>
          <w:sz w:val="24"/>
          <w:szCs w:val="24"/>
        </w:rPr>
        <w:t>maistmedžiagių</w:t>
      </w:r>
      <w:proofErr w:type="spellEnd"/>
      <w:r w:rsidRPr="00734645">
        <w:rPr>
          <w:rFonts w:ascii="Times New Roman" w:eastAsia="Times New Roman" w:hAnsi="Times New Roman" w:cs="Times New Roman"/>
          <w:sz w:val="24"/>
          <w:szCs w:val="24"/>
        </w:rPr>
        <w:t xml:space="preserve"> koncentracijų ribines vertes, atsižvelgus į konkrečius vandens </w:t>
      </w:r>
      <w:r w:rsidRPr="002749FA">
        <w:rPr>
          <w:rFonts w:ascii="Times New Roman" w:eastAsia="Times New Roman" w:hAnsi="Times New Roman" w:cs="Times New Roman"/>
          <w:sz w:val="24"/>
          <w:szCs w:val="24"/>
        </w:rPr>
        <w:t xml:space="preserve">telkinių tipologijos,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sąlygų ypatumus ir galimų kitų aplinkos veiksnių įtaką </w:t>
      </w:r>
      <w:proofErr w:type="spellStart"/>
      <w:r w:rsidRPr="002749FA">
        <w:rPr>
          <w:rFonts w:ascii="Times New Roman" w:eastAsia="Times New Roman" w:hAnsi="Times New Roman" w:cs="Times New Roman"/>
          <w:sz w:val="24"/>
          <w:szCs w:val="24"/>
        </w:rPr>
        <w:t>maistmedžiagių</w:t>
      </w:r>
      <w:proofErr w:type="spellEnd"/>
      <w:r w:rsidRPr="002749FA">
        <w:rPr>
          <w:rFonts w:ascii="Times New Roman" w:eastAsia="Times New Roman" w:hAnsi="Times New Roman" w:cs="Times New Roman"/>
          <w:sz w:val="24"/>
          <w:szCs w:val="24"/>
        </w:rPr>
        <w:t xml:space="preserve"> koncentracijų ribinių verčių pasiskirstymui.</w:t>
      </w:r>
      <w:r w:rsidRPr="002749FA">
        <w:rPr>
          <w:rFonts w:ascii="Times New Roman" w:eastAsia="Times New Roman" w:hAnsi="Times New Roman" w:cs="Times New Roman"/>
          <w:color w:val="FF0000"/>
          <w:sz w:val="24"/>
          <w:szCs w:val="24"/>
        </w:rPr>
        <w:t xml:space="preserve"> </w:t>
      </w:r>
      <w:r w:rsidRPr="002749FA">
        <w:rPr>
          <w:rFonts w:ascii="Times New Roman" w:eastAsia="Times New Roman" w:hAnsi="Times New Roman" w:cs="Times New Roman"/>
          <w:sz w:val="24"/>
          <w:szCs w:val="24"/>
        </w:rPr>
        <w:t xml:space="preserve">Parengti ekologinės būklės klasių </w:t>
      </w:r>
      <w:proofErr w:type="spellStart"/>
      <w:r w:rsidRPr="002749FA">
        <w:rPr>
          <w:rFonts w:ascii="Times New Roman" w:eastAsia="Times New Roman" w:hAnsi="Times New Roman" w:cs="Times New Roman"/>
          <w:sz w:val="24"/>
          <w:szCs w:val="24"/>
        </w:rPr>
        <w:t>maistmedžiagių</w:t>
      </w:r>
      <w:proofErr w:type="spellEnd"/>
      <w:r w:rsidRPr="002749FA">
        <w:rPr>
          <w:rFonts w:ascii="Times New Roman" w:eastAsia="Times New Roman" w:hAnsi="Times New Roman" w:cs="Times New Roman"/>
          <w:sz w:val="24"/>
          <w:szCs w:val="24"/>
        </w:rPr>
        <w:t xml:space="preserve"> koncentracijų ribinių verčių nustatymo aprašą.</w:t>
      </w:r>
    </w:p>
    <w:p w14:paraId="554507FD" w14:textId="77777777" w:rsidR="00746FC0" w:rsidRDefault="00746FC0" w:rsidP="00746FC0">
      <w:pPr>
        <w:ind w:right="-80" w:firstLine="56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1.4. Peržiūrėti ir patikslinti upių ir ežerų kategorijų vandens telkinių, priskirtų labai pakeistiems ir dirbtiniams vandens telkiniams, kurių priskyrimas nurodytas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tiksluose, </w:t>
      </w:r>
      <w:r w:rsidRPr="002749FA">
        <w:rPr>
          <w:rFonts w:ascii="Times New Roman" w:eastAsia="Times New Roman" w:hAnsi="Times New Roman" w:cs="Times New Roman"/>
          <w:sz w:val="24"/>
          <w:szCs w:val="24"/>
        </w:rPr>
        <w:lastRenderedPageBreak/>
        <w:t xml:space="preserve">patvirtintuose Lietuvos Respublikos aplinkos ministro 2018 m. gruodžio 5 d. įsakymu Nr. D1-1045 „Dėl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tikslų patvirtinimo“, ekologinio potencialo apibūdinimą ir kriterijus, nurodytus Būklės nustatymo metodikoje, atsižvelgiant į BVPD CIS rekomendacinio dokumento Nr</w:t>
      </w:r>
      <w:r w:rsidRPr="00A8792D">
        <w:rPr>
          <w:rFonts w:ascii="Times New Roman" w:eastAsia="Times New Roman" w:hAnsi="Times New Roman" w:cs="Times New Roman"/>
          <w:sz w:val="24"/>
          <w:szCs w:val="24"/>
        </w:rPr>
        <w:t xml:space="preserve">. 37 </w:t>
      </w:r>
      <w:r w:rsidRPr="00A8792D">
        <w:rPr>
          <w:rFonts w:ascii="Times New Roman" w:eastAsia="Times New Roman" w:hAnsi="Times New Roman" w:cs="Times New Roman"/>
          <w:sz w:val="24"/>
          <w:szCs w:val="24"/>
          <w:lang w:val="en-US"/>
        </w:rPr>
        <w:t>„Steps for defining and assessing ecological potential for improving comparability of Heavily Modified Water Bodies“</w:t>
      </w:r>
      <w:r w:rsidRPr="00E17ECC">
        <w:t xml:space="preserve"> </w:t>
      </w:r>
      <w:r w:rsidRPr="00A8792D">
        <w:rPr>
          <w:rFonts w:ascii="Times New Roman" w:eastAsia="Times New Roman" w:hAnsi="Times New Roman" w:cs="Times New Roman"/>
          <w:sz w:val="24"/>
          <w:szCs w:val="24"/>
        </w:rPr>
        <w:t xml:space="preserve">projektą </w:t>
      </w:r>
      <w:hyperlink r:id="rId16" w:history="1">
        <w:r w:rsidRPr="00554375">
          <w:rPr>
            <w:rStyle w:val="Hipersaitas"/>
            <w:rFonts w:ascii="Times New Roman" w:eastAsia="Times New Roman" w:hAnsi="Times New Roman" w:cs="Times New Roman"/>
            <w:sz w:val="24"/>
            <w:szCs w:val="24"/>
          </w:rPr>
          <w:t>https://circabc.europa.eu/ui/group/9ab5926d-bed4-4322-9aa7-9964bbe8312d/library/d1d6c347-b528-4819-aa10-6819e6b80876/details</w:t>
        </w:r>
      </w:hyperlink>
      <w:r>
        <w:rPr>
          <w:rFonts w:ascii="Times New Roman" w:eastAsia="Times New Roman" w:hAnsi="Times New Roman" w:cs="Times New Roman"/>
          <w:sz w:val="24"/>
          <w:szCs w:val="24"/>
        </w:rPr>
        <w:t xml:space="preserve">. </w:t>
      </w:r>
      <w:r w:rsidRPr="002749FA">
        <w:rPr>
          <w:rFonts w:ascii="Times New Roman" w:eastAsia="Times New Roman" w:hAnsi="Times New Roman" w:cs="Times New Roman"/>
          <w:sz w:val="24"/>
          <w:szCs w:val="24"/>
        </w:rPr>
        <w:t>Parengti upių ir ežerų kategorijų vandens telkinių ekologinio potencialo apibūdinimo ir kriterijų nustatymo aprašą. Atsižvelgiant į ekologinio potencialo apibūdinimo ir kriterijų patikslinimą, parengti pasiūlymus dėl upių ir ežerų kategorijų vandens telkinių, kurie priskirti prie labai pakeistų ir dirbtinių vandens telkinių, stebėsenos, nustatytos 2-uosiuose Upių baseinų rajonų valdymo planuose (</w:t>
      </w:r>
      <w:hyperlink r:id="rId17">
        <w:r w:rsidRPr="002749FA">
          <w:rPr>
            <w:rFonts w:ascii="Times New Roman" w:eastAsia="Times New Roman" w:hAnsi="Times New Roman" w:cs="Times New Roman"/>
            <w:color w:val="1155CC"/>
            <w:sz w:val="24"/>
            <w:szCs w:val="24"/>
            <w:u w:val="single"/>
          </w:rPr>
          <w:t>http://vanduo.gamta.lt/cms/index?rubricId=ac0b650a-77c8-4d43-b453-42a0cb916a38</w:t>
        </w:r>
      </w:hyperlink>
      <w:r w:rsidRPr="002749FA">
        <w:rPr>
          <w:rFonts w:ascii="Times New Roman" w:eastAsia="Times New Roman" w:hAnsi="Times New Roman" w:cs="Times New Roman"/>
          <w:sz w:val="24"/>
          <w:szCs w:val="24"/>
        </w:rPr>
        <w:t>), pakeitimo.</w:t>
      </w:r>
    </w:p>
    <w:p w14:paraId="54504F0C" w14:textId="77777777" w:rsidR="00746FC0" w:rsidRPr="002749FA" w:rsidRDefault="00746FC0" w:rsidP="00746FC0">
      <w:pPr>
        <w:ind w:right="-80" w:firstLine="56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1.5. Pagal 1 uždavinio 1.2, 1.3, 1.4 papunkčiuose nurodytų veiklų rezultatus, įvertinti Būklės nustatymo metodikos keitimo poreikį, parengti keitimo pasiūlymus ir pagrindimą.</w:t>
      </w:r>
    </w:p>
    <w:p w14:paraId="0D5FC931" w14:textId="61F4D23F" w:rsidR="00746FC0" w:rsidRPr="002749FA" w:rsidRDefault="00746FC0" w:rsidP="00A41088">
      <w:pPr>
        <w:ind w:right="-80" w:firstLine="56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1.6. Vykdant šį uždavinį turi būti vadovaujamasi esamais (turimais ar prieinamais) duomenimis, papi</w:t>
      </w:r>
      <w:r w:rsidR="00A41088">
        <w:rPr>
          <w:rFonts w:ascii="Times New Roman" w:eastAsia="Times New Roman" w:hAnsi="Times New Roman" w:cs="Times New Roman"/>
          <w:sz w:val="24"/>
          <w:szCs w:val="24"/>
        </w:rPr>
        <w:t xml:space="preserve">ldomų tyrimų atlikti nereikia. </w:t>
      </w:r>
    </w:p>
    <w:p w14:paraId="2EB6062A" w14:textId="77777777" w:rsidR="00746FC0" w:rsidRPr="002749FA" w:rsidRDefault="00746FC0" w:rsidP="00746FC0">
      <w:pPr>
        <w:spacing w:line="240" w:lineRule="auto"/>
        <w:ind w:firstLine="54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2 uždavinys. Atlikti ekspertinį upių ir ežerų kategorijų vandens telkinių ekologinės būklės įvertinimą</w:t>
      </w:r>
    </w:p>
    <w:p w14:paraId="181736ED" w14:textId="77777777" w:rsidR="00746FC0" w:rsidRPr="002749FA" w:rsidRDefault="00746FC0" w:rsidP="00746FC0">
      <w:pPr>
        <w:shd w:val="clear" w:color="auto" w:fill="FFFFFF"/>
        <w:ind w:left="20" w:right="-80" w:firstLine="544"/>
        <w:jc w:val="both"/>
        <w:rPr>
          <w:rFonts w:ascii="Times New Roman" w:eastAsia="Times New Roman" w:hAnsi="Times New Roman" w:cs="Times New Roman"/>
          <w:sz w:val="24"/>
          <w:szCs w:val="24"/>
          <w:u w:val="single"/>
        </w:rPr>
      </w:pPr>
      <w:r w:rsidRPr="002749FA">
        <w:rPr>
          <w:rFonts w:ascii="Times New Roman" w:eastAsia="Times New Roman" w:hAnsi="Times New Roman" w:cs="Times New Roman"/>
          <w:sz w:val="24"/>
          <w:szCs w:val="24"/>
          <w:u w:val="single"/>
        </w:rPr>
        <w:t>2 uždavinio veiklos:</w:t>
      </w:r>
    </w:p>
    <w:p w14:paraId="4DA2E861" w14:textId="77777777" w:rsidR="00746FC0" w:rsidRPr="002749FA" w:rsidRDefault="00746FC0" w:rsidP="00746FC0">
      <w:pPr>
        <w:shd w:val="clear" w:color="auto" w:fill="FFFFFF"/>
        <w:ind w:left="20"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2.1. Įvertinti upių kategorijos vandens telkinių ne mažiau kaip 189 upių vietų (vietų sąrašą pateiks Perkančioji organizacija), kuriose nėra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kokybės elementų monitoringo duomenų, </w:t>
      </w:r>
      <w:proofErr w:type="spellStart"/>
      <w:r w:rsidRPr="002749FA">
        <w:rPr>
          <w:rFonts w:ascii="Times New Roman" w:eastAsia="Times New Roman" w:hAnsi="Times New Roman" w:cs="Times New Roman"/>
          <w:sz w:val="24"/>
          <w:szCs w:val="24"/>
        </w:rPr>
        <w:t>hidromorfologines</w:t>
      </w:r>
      <w:proofErr w:type="spellEnd"/>
      <w:r w:rsidRPr="002749FA">
        <w:rPr>
          <w:rFonts w:ascii="Times New Roman" w:eastAsia="Times New Roman" w:hAnsi="Times New Roman" w:cs="Times New Roman"/>
          <w:sz w:val="24"/>
          <w:szCs w:val="24"/>
        </w:rPr>
        <w:t xml:space="preserve"> sąlygas:</w:t>
      </w:r>
    </w:p>
    <w:p w14:paraId="7DB9B99C" w14:textId="77777777" w:rsidR="00746FC0" w:rsidRPr="002749FA" w:rsidRDefault="00746FC0" w:rsidP="00746FC0">
      <w:pPr>
        <w:ind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2.1.1. apibūdinti upių tyrimų vietų nuotėkio dydį ir pobūdį, upės vientisumą, upės vagos pobūdį, pakrančių augmenijos būklę, grunto sudėtį;</w:t>
      </w:r>
    </w:p>
    <w:p w14:paraId="591296D9" w14:textId="77777777" w:rsidR="00746FC0" w:rsidRPr="002749FA" w:rsidRDefault="00746FC0" w:rsidP="00746FC0">
      <w:pPr>
        <w:ind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2.1.2. pagal 2.1.1 papunktyje nurodytos veiklos rezultatus įvertinti upių tyrimų vietų </w:t>
      </w:r>
      <w:proofErr w:type="spellStart"/>
      <w:r w:rsidRPr="002749FA">
        <w:rPr>
          <w:rFonts w:ascii="Times New Roman" w:eastAsia="Times New Roman" w:hAnsi="Times New Roman" w:cs="Times New Roman"/>
          <w:sz w:val="24"/>
          <w:szCs w:val="24"/>
        </w:rPr>
        <w:t>hidromorfologines</w:t>
      </w:r>
      <w:proofErr w:type="spellEnd"/>
      <w:r w:rsidRPr="002749FA">
        <w:rPr>
          <w:rFonts w:ascii="Times New Roman" w:eastAsia="Times New Roman" w:hAnsi="Times New Roman" w:cs="Times New Roman"/>
          <w:sz w:val="24"/>
          <w:szCs w:val="24"/>
        </w:rPr>
        <w:t xml:space="preserve"> sąlygas</w:t>
      </w:r>
      <w:r w:rsidRPr="002749FA">
        <w:rPr>
          <w:rFonts w:ascii="Times New Roman" w:eastAsia="Times New Roman" w:hAnsi="Times New Roman" w:cs="Times New Roman"/>
          <w:b/>
          <w:sz w:val="24"/>
          <w:szCs w:val="24"/>
        </w:rPr>
        <w:t xml:space="preserve"> </w:t>
      </w:r>
      <w:r w:rsidRPr="002749FA">
        <w:rPr>
          <w:rFonts w:ascii="Times New Roman" w:eastAsia="Times New Roman" w:hAnsi="Times New Roman" w:cs="Times New Roman"/>
          <w:sz w:val="24"/>
          <w:szCs w:val="24"/>
        </w:rPr>
        <w:t xml:space="preserve">pagal upės </w:t>
      </w:r>
      <w:proofErr w:type="spellStart"/>
      <w:r w:rsidRPr="002749FA">
        <w:rPr>
          <w:rFonts w:ascii="Times New Roman" w:eastAsia="Times New Roman" w:hAnsi="Times New Roman" w:cs="Times New Roman"/>
          <w:sz w:val="24"/>
          <w:szCs w:val="24"/>
        </w:rPr>
        <w:t>hidromorfologinį</w:t>
      </w:r>
      <w:proofErr w:type="spellEnd"/>
      <w:r w:rsidRPr="002749FA">
        <w:rPr>
          <w:rFonts w:ascii="Times New Roman" w:eastAsia="Times New Roman" w:hAnsi="Times New Roman" w:cs="Times New Roman"/>
          <w:sz w:val="24"/>
          <w:szCs w:val="24"/>
        </w:rPr>
        <w:t xml:space="preserve"> indeksą (toliau – UHMI), priskiriant vandens telkinį atitinkamai upių ekologinės būklės arba upių, kurios priskiriamos prie labai pakeistų ar dirbtinių vandens telkinių (kanalų), ekologinio potencialo klasei vadovaujantis Perkančiosios organizacijos pateiktu UHMI apskaičiavimo tvarkos aprašu, Būklės nustatymo metodika, standartu LST EN 14614:2005 ,,Vandens kokybė. Vadovas upių </w:t>
      </w:r>
      <w:proofErr w:type="spellStart"/>
      <w:r w:rsidRPr="002749FA">
        <w:rPr>
          <w:rFonts w:ascii="Times New Roman" w:eastAsia="Times New Roman" w:hAnsi="Times New Roman" w:cs="Times New Roman"/>
          <w:sz w:val="24"/>
          <w:szCs w:val="24"/>
        </w:rPr>
        <w:t>hidromorfologinėms</w:t>
      </w:r>
      <w:proofErr w:type="spellEnd"/>
      <w:r w:rsidRPr="002749FA">
        <w:rPr>
          <w:rFonts w:ascii="Times New Roman" w:eastAsia="Times New Roman" w:hAnsi="Times New Roman" w:cs="Times New Roman"/>
          <w:sz w:val="24"/>
          <w:szCs w:val="24"/>
        </w:rPr>
        <w:t xml:space="preserve"> charakteristikoms įvertinti“</w:t>
      </w:r>
      <w:r w:rsidRPr="005A6310">
        <w:rPr>
          <w:rFonts w:ascii="Times New Roman" w:eastAsia="Times New Roman" w:hAnsi="Times New Roman" w:cs="Times New Roman"/>
          <w:sz w:val="24"/>
          <w:szCs w:val="24"/>
        </w:rPr>
        <w:t xml:space="preserve"> arba lygiaverčio standarto reikalavimams.</w:t>
      </w:r>
    </w:p>
    <w:p w14:paraId="3931E25E" w14:textId="77777777" w:rsidR="00746FC0" w:rsidRPr="002749FA" w:rsidRDefault="00746FC0" w:rsidP="00746FC0">
      <w:pPr>
        <w:shd w:val="clear" w:color="auto" w:fill="FFFFFF"/>
        <w:ind w:left="20"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2.2. </w:t>
      </w:r>
      <w:r w:rsidRPr="00043247">
        <w:rPr>
          <w:rFonts w:ascii="Times New Roman" w:eastAsia="Times New Roman" w:hAnsi="Times New Roman" w:cs="Times New Roman"/>
          <w:sz w:val="24"/>
          <w:szCs w:val="24"/>
        </w:rPr>
        <w:t xml:space="preserve">Įvertinti ežerų kategorijos vandens telkinių ne mažiau kaip 218 ežerų ir tvenkinių (vandens telkinių sąrašą pateiks Perkančioji organizacija), </w:t>
      </w:r>
      <w:proofErr w:type="spellStart"/>
      <w:r w:rsidRPr="00043247">
        <w:rPr>
          <w:rFonts w:ascii="Times New Roman" w:eastAsia="Times New Roman" w:hAnsi="Times New Roman" w:cs="Times New Roman"/>
          <w:sz w:val="24"/>
          <w:szCs w:val="24"/>
        </w:rPr>
        <w:t>hidromorfologines</w:t>
      </w:r>
      <w:proofErr w:type="spellEnd"/>
      <w:r w:rsidRPr="00043247">
        <w:rPr>
          <w:rFonts w:ascii="Times New Roman" w:eastAsia="Times New Roman" w:hAnsi="Times New Roman" w:cs="Times New Roman"/>
          <w:sz w:val="24"/>
          <w:szCs w:val="24"/>
        </w:rPr>
        <w:t xml:space="preserve"> sąlygas:</w:t>
      </w:r>
    </w:p>
    <w:p w14:paraId="49C5FA54" w14:textId="77777777" w:rsidR="00746FC0" w:rsidRPr="00043247" w:rsidRDefault="00746FC0" w:rsidP="00746FC0">
      <w:pPr>
        <w:ind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2.2.1. </w:t>
      </w:r>
      <w:r w:rsidRPr="00043247">
        <w:rPr>
          <w:rFonts w:ascii="Times New Roman" w:eastAsia="Times New Roman" w:hAnsi="Times New Roman" w:cs="Times New Roman"/>
          <w:sz w:val="24"/>
          <w:szCs w:val="24"/>
        </w:rPr>
        <w:t xml:space="preserve">apibūdinti 136 ežerų ir tvenkinių (vandens telkinių sąrašą pateiks Perkančioji organizacija), kuriuose nėra </w:t>
      </w:r>
      <w:proofErr w:type="spellStart"/>
      <w:r w:rsidRPr="00043247">
        <w:rPr>
          <w:rFonts w:ascii="Times New Roman" w:eastAsia="Times New Roman" w:hAnsi="Times New Roman" w:cs="Times New Roman"/>
          <w:sz w:val="24"/>
          <w:szCs w:val="24"/>
        </w:rPr>
        <w:t>hidromorfologinių</w:t>
      </w:r>
      <w:proofErr w:type="spellEnd"/>
      <w:r w:rsidRPr="00043247">
        <w:rPr>
          <w:rFonts w:ascii="Times New Roman" w:eastAsia="Times New Roman" w:hAnsi="Times New Roman" w:cs="Times New Roman"/>
          <w:sz w:val="24"/>
          <w:szCs w:val="24"/>
        </w:rPr>
        <w:t xml:space="preserve"> kokybės elementų monitoringo duomenų, tyrimų vietose vandens lygį ir apykaitą, kranto linijos pakeitimus, kranto eroziją, pakrančių augmeniją, grunto sudėtį;</w:t>
      </w:r>
    </w:p>
    <w:p w14:paraId="4B213B9C" w14:textId="77777777" w:rsidR="00746FC0" w:rsidRPr="002749FA" w:rsidRDefault="00746FC0" w:rsidP="00746FC0">
      <w:pPr>
        <w:ind w:firstLine="547"/>
        <w:jc w:val="both"/>
        <w:rPr>
          <w:rFonts w:ascii="Times New Roman" w:eastAsia="Times New Roman" w:hAnsi="Times New Roman" w:cs="Times New Roman"/>
          <w:sz w:val="24"/>
          <w:szCs w:val="24"/>
        </w:rPr>
      </w:pPr>
      <w:r w:rsidRPr="00043247">
        <w:rPr>
          <w:rFonts w:ascii="Times New Roman" w:eastAsia="Times New Roman" w:hAnsi="Times New Roman" w:cs="Times New Roman"/>
          <w:sz w:val="24"/>
          <w:szCs w:val="24"/>
        </w:rPr>
        <w:t xml:space="preserve">2.2.2. pagal 2.2.1 papunktyje nurodytos veiklos rezultatus ir pagal Perkančiosios organizacijos pateiktų 86  ežerų ir/arba tvenkinių </w:t>
      </w:r>
      <w:proofErr w:type="spellStart"/>
      <w:r w:rsidRPr="00043247">
        <w:rPr>
          <w:rFonts w:ascii="Times New Roman" w:eastAsia="Times New Roman" w:hAnsi="Times New Roman" w:cs="Times New Roman"/>
          <w:sz w:val="24"/>
          <w:szCs w:val="24"/>
        </w:rPr>
        <w:t>hidromorfologinių</w:t>
      </w:r>
      <w:proofErr w:type="spellEnd"/>
      <w:r w:rsidRPr="00043247">
        <w:rPr>
          <w:rFonts w:ascii="Times New Roman" w:eastAsia="Times New Roman" w:hAnsi="Times New Roman" w:cs="Times New Roman"/>
          <w:sz w:val="24"/>
          <w:szCs w:val="24"/>
        </w:rPr>
        <w:t xml:space="preserve"> sąlygų tyrimų rezultatus įvertinti 218  ežerų </w:t>
      </w:r>
      <w:r w:rsidRPr="00043247">
        <w:rPr>
          <w:rFonts w:ascii="Times New Roman" w:eastAsia="Times New Roman" w:hAnsi="Times New Roman" w:cs="Times New Roman"/>
          <w:sz w:val="24"/>
          <w:szCs w:val="24"/>
        </w:rPr>
        <w:lastRenderedPageBreak/>
        <w:t>ir tvenkini</w:t>
      </w:r>
      <w:r w:rsidRPr="002749FA">
        <w:rPr>
          <w:rFonts w:ascii="Times New Roman" w:eastAsia="Times New Roman" w:hAnsi="Times New Roman" w:cs="Times New Roman"/>
          <w:sz w:val="24"/>
          <w:szCs w:val="24"/>
        </w:rPr>
        <w:t xml:space="preserve">ų tyrimų vietų </w:t>
      </w:r>
      <w:proofErr w:type="spellStart"/>
      <w:r w:rsidRPr="002749FA">
        <w:rPr>
          <w:rFonts w:ascii="Times New Roman" w:eastAsia="Times New Roman" w:hAnsi="Times New Roman" w:cs="Times New Roman"/>
          <w:sz w:val="24"/>
          <w:szCs w:val="24"/>
        </w:rPr>
        <w:t>hidromorfologines</w:t>
      </w:r>
      <w:proofErr w:type="spellEnd"/>
      <w:r w:rsidRPr="002749FA">
        <w:rPr>
          <w:rFonts w:ascii="Times New Roman" w:eastAsia="Times New Roman" w:hAnsi="Times New Roman" w:cs="Times New Roman"/>
          <w:sz w:val="24"/>
          <w:szCs w:val="24"/>
        </w:rPr>
        <w:t xml:space="preserve"> sąlygas</w:t>
      </w:r>
      <w:r w:rsidRPr="002749FA">
        <w:rPr>
          <w:rFonts w:ascii="Times New Roman" w:eastAsia="Times New Roman" w:hAnsi="Times New Roman" w:cs="Times New Roman"/>
          <w:b/>
          <w:sz w:val="24"/>
          <w:szCs w:val="24"/>
        </w:rPr>
        <w:t xml:space="preserve"> </w:t>
      </w:r>
      <w:r w:rsidRPr="002749FA">
        <w:rPr>
          <w:rFonts w:ascii="Times New Roman" w:eastAsia="Times New Roman" w:hAnsi="Times New Roman" w:cs="Times New Roman"/>
          <w:sz w:val="24"/>
          <w:szCs w:val="24"/>
        </w:rPr>
        <w:t xml:space="preserve">pagal ežero </w:t>
      </w:r>
      <w:proofErr w:type="spellStart"/>
      <w:r w:rsidRPr="002749FA">
        <w:rPr>
          <w:rFonts w:ascii="Times New Roman" w:eastAsia="Times New Roman" w:hAnsi="Times New Roman" w:cs="Times New Roman"/>
          <w:sz w:val="24"/>
          <w:szCs w:val="24"/>
        </w:rPr>
        <w:t>hidromorfologinį</w:t>
      </w:r>
      <w:proofErr w:type="spellEnd"/>
      <w:r w:rsidRPr="002749FA">
        <w:rPr>
          <w:rFonts w:ascii="Times New Roman" w:eastAsia="Times New Roman" w:hAnsi="Times New Roman" w:cs="Times New Roman"/>
          <w:sz w:val="24"/>
          <w:szCs w:val="24"/>
        </w:rPr>
        <w:t xml:space="preserve"> indeksą (toliau – EHMI), priskiriant vandens telkinį atitinkamai ežerų ekologinės būklės arba ežerų, tvenkinių ir karjerų, kurie priskiriami prie dirbtinių ir labai pakeistų vandens telkinių, ekologinio potencialo klasei vadovaujantis Perkančiosios organizacijos Paslaugų teikėjui pateiktu EHMI apskaičiavimo tvarkos aprašu, Būklės nustatymo metodika, standartu LST EN 16039:2011 ,,Vandens kokybė. Ežerų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charakteristikų įvertinimo vadovas“</w:t>
      </w:r>
      <w:r>
        <w:rPr>
          <w:rFonts w:ascii="Times New Roman" w:eastAsia="Times New Roman" w:hAnsi="Times New Roman" w:cs="Times New Roman"/>
          <w:sz w:val="24"/>
          <w:szCs w:val="24"/>
        </w:rPr>
        <w:t xml:space="preserve"> </w:t>
      </w:r>
      <w:r w:rsidRPr="005A6310">
        <w:rPr>
          <w:rFonts w:ascii="Times New Roman" w:eastAsia="Times New Roman" w:hAnsi="Times New Roman" w:cs="Times New Roman"/>
          <w:sz w:val="24"/>
          <w:szCs w:val="24"/>
        </w:rPr>
        <w:t xml:space="preserve"> arba lygiaverčio standarto reikalavimams.</w:t>
      </w:r>
    </w:p>
    <w:p w14:paraId="54F8BA5E" w14:textId="77777777" w:rsidR="00746FC0" w:rsidRPr="002749FA" w:rsidRDefault="00746FC0" w:rsidP="00746FC0">
      <w:pPr>
        <w:ind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2.3. Įvertinti </w:t>
      </w:r>
      <w:proofErr w:type="spellStart"/>
      <w:r w:rsidRPr="002749FA">
        <w:rPr>
          <w:rFonts w:ascii="Times New Roman" w:eastAsia="Times New Roman" w:hAnsi="Times New Roman" w:cs="Times New Roman"/>
          <w:sz w:val="24"/>
          <w:szCs w:val="24"/>
        </w:rPr>
        <w:t>ekspertiškai</w:t>
      </w:r>
      <w:proofErr w:type="spellEnd"/>
      <w:r w:rsidRPr="002749FA">
        <w:rPr>
          <w:rFonts w:ascii="Times New Roman" w:eastAsia="Times New Roman" w:hAnsi="Times New Roman" w:cs="Times New Roman"/>
          <w:sz w:val="24"/>
          <w:szCs w:val="24"/>
        </w:rPr>
        <w:t xml:space="preserve"> ne mažiau kaip 822 upių kategorijos vandens telkinių ir ne mažiau kaip 357 ežerų kategorijos vandens telkinių (pagal Perkančiosios organizacijos pateiktą vandens telkinių sąrašą) ekologinę būklę </w:t>
      </w:r>
      <w:r w:rsidRPr="00043247">
        <w:rPr>
          <w:rFonts w:ascii="Times New Roman" w:eastAsia="Times New Roman" w:hAnsi="Times New Roman" w:cs="Times New Roman"/>
          <w:sz w:val="24"/>
          <w:szCs w:val="24"/>
        </w:rPr>
        <w:t>(labai pakeistų ir dirbtinių vandens telkinių ekologinį potencialą) ir jų įvertinimo pasikliovimo lygį pagal Būklės nustatymo metodikos nuostatas:</w:t>
      </w:r>
    </w:p>
    <w:p w14:paraId="65129B29"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2.3.1. peržiūrėti ne mažiau kaip 525 upių kategorijos vandens telkinių ir ne mažiau kaip 290 ežerų kategorijos vandens telkinių Perkančiosios organizacijos pateiktus ekologinės būklės ir ekologinio potencialo preliminarius įvertinimus, atliktus pagal valstybinio monitoringo 2014-2018 m. rezultatus ir pateikti galutinę ekspertinę išvadą dėl būklės įvertinimo rodiklių verčių, nurodant būklės įverčių pakeitimo priežastis, ir įvertinimo pasikliovimo lygį, atsižvelgiant į Būklės nustatymo metodikos nuostatas, 1 uždavinio 1.5 papunktyje nurodytos veiklos ir 2 uždavinio 2.1 ir 2.2 papunkčiuose nurodytų veiklų rezultatus;</w:t>
      </w:r>
    </w:p>
    <w:p w14:paraId="15D76D22"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2.3.2. įvertinti ne mažiau kaip 297 upių kategorijos vandens telkinių ir ne mažiau kaip 67 ežerų kategorijos vandens telkinių (pagal Perkančiosios organizacijos pateiktą vandens telkinių sąrašą), kuriuose 2014-2018 m. nebuvo atliekamas valstybinis monitoringas, ekologinę būklę, ekologinį potencialą ir jų įvertinimo pasikliovimo lygį, atsižvelgiant į matematinio modeliavimo upėms pagal </w:t>
      </w:r>
      <w:proofErr w:type="spellStart"/>
      <w:r w:rsidRPr="002749FA">
        <w:rPr>
          <w:rFonts w:ascii="Times New Roman" w:eastAsia="Times New Roman" w:hAnsi="Times New Roman" w:cs="Times New Roman"/>
          <w:sz w:val="24"/>
          <w:szCs w:val="24"/>
        </w:rPr>
        <w:t>maistmedžiages</w:t>
      </w:r>
      <w:proofErr w:type="spellEnd"/>
      <w:r w:rsidRPr="002749FA">
        <w:rPr>
          <w:rFonts w:ascii="Times New Roman" w:eastAsia="Times New Roman" w:hAnsi="Times New Roman" w:cs="Times New Roman"/>
          <w:sz w:val="24"/>
          <w:szCs w:val="24"/>
        </w:rPr>
        <w:t xml:space="preserve"> rezultatus ir žmogaus veiklos poveikio ežerams vertinimo informaciją (duomenis ir informaciją pateiks Perkančioji organizacija) ir/arba taikant analogų metodą upių kategorijos labai pakeistiems vandens telkiniams, esantiems tame pačiame pabaseinyje, ir/arba kitą turimą informaciją;</w:t>
      </w:r>
    </w:p>
    <w:p w14:paraId="048260C9"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2.4. Palyginti bendrų Lietuvos-Lenkijos ir Lietuvos-Latvijos tarpvalstybinių upių ir ežerų kategorijų vandens telkinių, esančių abipus sienos, ekologinės būklės ir ekologinio potencialo įvertinimus. Esant skirtingiems įvertinimams (kai skiriasi vandens telkinio būklės klasės) parengti pasiūlymus dėl įvertinimo harmonizavimo ir, tarpininkaujant Perkančiajai organizacijai, suderinti juos su Lenkijos ir Latvijos ekspertais, pateikti suderintus būklės įvertinimo rezultatus. Parengti aprašą, kuriame būtų aprašyti tarpvalstybinių vandens telkinių ekologinės būklės ir ekologinio potencialo įvertinimų suderinimo eiga ir rezultatai.</w:t>
      </w:r>
    </w:p>
    <w:p w14:paraId="18C7B1AC"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2.5. Palyginti upių ir ežerų kategorijų vandens telkinių ekologinės būklės, ekologinio potencialo ir jų įvertinimo pasikliovimo lygio įvertinimus, pateiktus 1-uosiuose ir 2-uosiuose UBR valdymo planuose (duomenis pateiks Perkančioji organizacija) su 2 uždavinio 2.3 ir 2.4 papunkčiuose nurodytų veiklų ir 6 uždavinio 6.5 papunktyje nurodytos veiklos rezultatais, pateikti pokyčių įvertinimą, nurodyti galimas pokyčių priežastis.</w:t>
      </w:r>
    </w:p>
    <w:p w14:paraId="3FF7E53B"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2.6. Pateikti pasiūlymus dėl upių ir ežerų kategorijų vandens telkinių būklės stebėsenos programų, nurodytų 2-uosiuose Upių baseinų rajonų valdymo planuose </w:t>
      </w:r>
      <w:r w:rsidRPr="002749FA">
        <w:rPr>
          <w:rFonts w:ascii="Times New Roman" w:eastAsia="Times New Roman" w:hAnsi="Times New Roman" w:cs="Times New Roman"/>
          <w:sz w:val="24"/>
          <w:szCs w:val="24"/>
        </w:rPr>
        <w:lastRenderedPageBreak/>
        <w:t>(</w:t>
      </w:r>
      <w:hyperlink r:id="rId18">
        <w:r w:rsidRPr="002749FA">
          <w:rPr>
            <w:rFonts w:ascii="Times New Roman" w:eastAsia="Times New Roman" w:hAnsi="Times New Roman" w:cs="Times New Roman"/>
            <w:color w:val="1155CC"/>
            <w:sz w:val="24"/>
            <w:szCs w:val="24"/>
            <w:u w:val="single"/>
          </w:rPr>
          <w:t>http://vanduo.gamta.lt/cms/index?rubricId=ac0b650a-77c8-4d43-b453-42a0cb916a38</w:t>
        </w:r>
      </w:hyperlink>
      <w:r w:rsidRPr="002749FA">
        <w:rPr>
          <w:rFonts w:ascii="Times New Roman" w:eastAsia="Times New Roman" w:hAnsi="Times New Roman" w:cs="Times New Roman"/>
          <w:sz w:val="24"/>
          <w:szCs w:val="24"/>
        </w:rPr>
        <w:t xml:space="preserve">), atnaujinimo ir optimizavimo, atsižvelgiant į Bendrųjų reikalavimų vandens telkinių monitoringui, patvirtintų Lietuvos Respublikos aplinkos ministro 2003 m. gruodžio 31 d. įsakymu Nr. 726 „Dėl Bendrųjų reikalavimų vandens telkinių monitoringui patvirtinimo“, nuostatas ir įvertinus 1 uždavinio </w:t>
      </w:r>
      <w:r w:rsidRPr="001800F8">
        <w:rPr>
          <w:rFonts w:ascii="Times New Roman" w:eastAsia="Times New Roman" w:hAnsi="Times New Roman" w:cs="Times New Roman"/>
          <w:sz w:val="24"/>
          <w:szCs w:val="24"/>
        </w:rPr>
        <w:t>1.5 papunktyje nurodytos veiklos, 2 uždavinio 2.3 ir 2.4 papunkčiuose nurodytų veiklų ir 6 uždavinio 6.5 papunktyje nurodytos veiklos rezultatus.</w:t>
      </w:r>
      <w:r w:rsidRPr="002749FA">
        <w:rPr>
          <w:rFonts w:ascii="Times New Roman" w:eastAsia="Times New Roman" w:hAnsi="Times New Roman" w:cs="Times New Roman"/>
          <w:sz w:val="24"/>
          <w:szCs w:val="24"/>
        </w:rPr>
        <w:t xml:space="preserve">  </w:t>
      </w:r>
    </w:p>
    <w:p w14:paraId="43EC7DDA" w14:textId="192CC1FA" w:rsidR="00746FC0" w:rsidRPr="00A41088" w:rsidRDefault="00746FC0" w:rsidP="00A41088">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2.7. Vykdant šį uždavinį turi būti vadovaujamasi esamais (turimais ar prieinamais) duomenimis, išskyrus atskirus atvejus, kai reikia atnaujinti informaciją, atliekant </w:t>
      </w:r>
      <w:proofErr w:type="spellStart"/>
      <w:r w:rsidRPr="002749FA">
        <w:rPr>
          <w:rFonts w:ascii="Times New Roman" w:eastAsia="Times New Roman" w:hAnsi="Times New Roman" w:cs="Times New Roman"/>
          <w:sz w:val="24"/>
          <w:szCs w:val="24"/>
        </w:rPr>
        <w:t>hidromorfologinių</w:t>
      </w:r>
      <w:proofErr w:type="spellEnd"/>
      <w:r w:rsidR="00A41088">
        <w:rPr>
          <w:rFonts w:ascii="Times New Roman" w:eastAsia="Times New Roman" w:hAnsi="Times New Roman" w:cs="Times New Roman"/>
          <w:sz w:val="24"/>
          <w:szCs w:val="24"/>
        </w:rPr>
        <w:t xml:space="preserve"> sąlygų patikslinimo </w:t>
      </w:r>
      <w:proofErr w:type="spellStart"/>
      <w:r w:rsidR="00A41088">
        <w:rPr>
          <w:rFonts w:ascii="Times New Roman" w:eastAsia="Times New Roman" w:hAnsi="Times New Roman" w:cs="Times New Roman"/>
          <w:sz w:val="24"/>
          <w:szCs w:val="24"/>
        </w:rPr>
        <w:t>stebėseną</w:t>
      </w:r>
      <w:proofErr w:type="spellEnd"/>
      <w:r w:rsidR="00A41088">
        <w:rPr>
          <w:rFonts w:ascii="Times New Roman" w:eastAsia="Times New Roman" w:hAnsi="Times New Roman" w:cs="Times New Roman"/>
          <w:sz w:val="24"/>
          <w:szCs w:val="24"/>
        </w:rPr>
        <w:t>.</w:t>
      </w:r>
    </w:p>
    <w:p w14:paraId="62A4E052" w14:textId="77777777" w:rsidR="00746FC0" w:rsidRPr="002749FA" w:rsidRDefault="00746FC0" w:rsidP="00746FC0">
      <w:pPr>
        <w:ind w:right="-80" w:firstLine="54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 xml:space="preserve">3 uždavinys. Parengti arba patikslinti tarpinių ir priekrantės vandenų kategorijų vandens telkinių tipų </w:t>
      </w:r>
      <w:proofErr w:type="spellStart"/>
      <w:r w:rsidRPr="002749FA">
        <w:rPr>
          <w:rFonts w:ascii="Times New Roman" w:eastAsia="Times New Roman" w:hAnsi="Times New Roman" w:cs="Times New Roman"/>
          <w:b/>
          <w:sz w:val="24"/>
          <w:szCs w:val="24"/>
        </w:rPr>
        <w:t>hidromorfologinių</w:t>
      </w:r>
      <w:proofErr w:type="spellEnd"/>
      <w:r w:rsidRPr="002749FA">
        <w:rPr>
          <w:rFonts w:ascii="Times New Roman" w:eastAsia="Times New Roman" w:hAnsi="Times New Roman" w:cs="Times New Roman"/>
          <w:b/>
          <w:sz w:val="24"/>
          <w:szCs w:val="24"/>
        </w:rPr>
        <w:t xml:space="preserve"> ir biologinių kokybės elementų rodiklius ir ekologinės būklės kriterijus.</w:t>
      </w:r>
    </w:p>
    <w:p w14:paraId="6A3E989B" w14:textId="77777777" w:rsidR="00746FC0" w:rsidRPr="002749FA" w:rsidRDefault="00746FC0" w:rsidP="00746FC0">
      <w:pPr>
        <w:shd w:val="clear" w:color="auto" w:fill="FFFFFF"/>
        <w:ind w:left="20" w:right="-80" w:firstLine="547"/>
        <w:jc w:val="both"/>
        <w:rPr>
          <w:rFonts w:ascii="Times New Roman" w:eastAsia="Times New Roman" w:hAnsi="Times New Roman" w:cs="Times New Roman"/>
          <w:sz w:val="24"/>
          <w:szCs w:val="24"/>
          <w:u w:val="single"/>
        </w:rPr>
      </w:pPr>
      <w:r w:rsidRPr="002749FA">
        <w:rPr>
          <w:rFonts w:ascii="Times New Roman" w:eastAsia="Times New Roman" w:hAnsi="Times New Roman" w:cs="Times New Roman"/>
          <w:sz w:val="24"/>
          <w:szCs w:val="24"/>
          <w:u w:val="single"/>
        </w:rPr>
        <w:t>3 uždavinio veiklos:</w:t>
      </w:r>
    </w:p>
    <w:p w14:paraId="7E7164F2"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3.1. Vadovaujantis Lietuvos Respublikos aplinkos ministro 2003 m. rugsėjo 15 d. įsakymu Nr. 457 „Dėl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tikslų nustatymo tvarkos patvirtinimo“ ir Lietuvos Respublikos aplinkos ministro 2005 m. gegužės 23 d. įsakymu Nr. D1-256 “Dėl Paviršinių vandens telkinių tipų aprašo ir paviršinių vandens telkinių tipų etaloninių sąlygų aprašo patvirtinimo”, pasiūlyti </w:t>
      </w:r>
      <w:proofErr w:type="spellStart"/>
      <w:r w:rsidRPr="002749FA">
        <w:rPr>
          <w:rFonts w:ascii="Times New Roman" w:eastAsia="Times New Roman" w:hAnsi="Times New Roman" w:cs="Times New Roman"/>
          <w:sz w:val="24"/>
          <w:szCs w:val="24"/>
        </w:rPr>
        <w:t>hidromorfologinius</w:t>
      </w:r>
      <w:proofErr w:type="spellEnd"/>
      <w:r w:rsidRPr="002749FA">
        <w:rPr>
          <w:rFonts w:ascii="Times New Roman" w:eastAsia="Times New Roman" w:hAnsi="Times New Roman" w:cs="Times New Roman"/>
          <w:sz w:val="24"/>
          <w:szCs w:val="24"/>
        </w:rPr>
        <w:t xml:space="preserve"> rodiklius tarpinių ir priekrantės vandenų kategorijos vandens telkinių tipų ekologinės būklės (ir ekologinio potencialo) vertinimo metodikai ir kriterijus:</w:t>
      </w:r>
    </w:p>
    <w:p w14:paraId="5F3A94AB"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3.1.1. išanalizuoti su Baltijos jūra besiribojančių šalių pateiktus antruosius Upių baseinų rajonų valdymo planus ir susijusią informaciją (</w:t>
      </w:r>
      <w:hyperlink r:id="rId19" w:history="1">
        <w:r w:rsidRPr="002749FA">
          <w:rPr>
            <w:rStyle w:val="Hipersaitas"/>
            <w:rFonts w:ascii="Times New Roman" w:eastAsia="Times New Roman" w:hAnsi="Times New Roman" w:cs="Times New Roman"/>
            <w:sz w:val="24"/>
            <w:szCs w:val="24"/>
          </w:rPr>
          <w:t>http://cdr.eionet.europa.eu/</w:t>
        </w:r>
      </w:hyperlink>
      <w:r w:rsidRPr="002749FA">
        <w:rPr>
          <w:rFonts w:ascii="Times New Roman" w:eastAsia="Times New Roman" w:hAnsi="Times New Roman" w:cs="Times New Roman"/>
          <w:sz w:val="24"/>
          <w:szCs w:val="24"/>
        </w:rPr>
        <w:t xml:space="preserve">) ir įvertinti naudojamų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kokybės elementų rodiklių tarpinių ir priekrantės vandenų ekologinei būklei vertinti pritaikymo galimybes Lietuvos vandenims. Pateikti siūlomų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rodiklių tyrimo, apskaičiavimo tvarką ir kriterijus. Pateikti pagrindimą, jei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kokybės elementų  rodikliai nėra tinkami Lietuvos tarpinių ir priekrantės vandenų kategorijos vandens telkinių ekologinei būklei  (potencialui) vertinti.</w:t>
      </w:r>
    </w:p>
    <w:p w14:paraId="65664E98"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A17C84">
        <w:rPr>
          <w:rFonts w:ascii="Times New Roman" w:eastAsia="Times New Roman" w:hAnsi="Times New Roman" w:cs="Times New Roman"/>
          <w:sz w:val="24"/>
          <w:szCs w:val="24"/>
        </w:rPr>
        <w:t>3.1.2.</w:t>
      </w:r>
      <w:r w:rsidRPr="002749FA">
        <w:rPr>
          <w:rFonts w:ascii="Times New Roman" w:eastAsia="Times New Roman" w:hAnsi="Times New Roman" w:cs="Times New Roman"/>
          <w:sz w:val="24"/>
          <w:szCs w:val="24"/>
        </w:rPr>
        <w:t xml:space="preserve"> įvertinti ežerų ir tvenkinių ekologinei būklei pagal </w:t>
      </w:r>
      <w:proofErr w:type="spellStart"/>
      <w:r w:rsidRPr="002749FA">
        <w:rPr>
          <w:rFonts w:ascii="Times New Roman" w:eastAsia="Times New Roman" w:hAnsi="Times New Roman" w:cs="Times New Roman"/>
          <w:sz w:val="24"/>
          <w:szCs w:val="24"/>
        </w:rPr>
        <w:t>hidromorfologines</w:t>
      </w:r>
      <w:proofErr w:type="spellEnd"/>
      <w:r w:rsidRPr="002749FA">
        <w:rPr>
          <w:rFonts w:ascii="Times New Roman" w:eastAsia="Times New Roman" w:hAnsi="Times New Roman" w:cs="Times New Roman"/>
          <w:sz w:val="24"/>
          <w:szCs w:val="24"/>
        </w:rPr>
        <w:t xml:space="preserve"> sąlygas naudojamo </w:t>
      </w:r>
      <w:proofErr w:type="spellStart"/>
      <w:r w:rsidRPr="002749FA">
        <w:rPr>
          <w:rFonts w:ascii="Times New Roman" w:eastAsia="Times New Roman" w:hAnsi="Times New Roman" w:cs="Times New Roman"/>
          <w:sz w:val="24"/>
          <w:szCs w:val="24"/>
        </w:rPr>
        <w:t>hidromorfologinio</w:t>
      </w:r>
      <w:proofErr w:type="spellEnd"/>
      <w:r w:rsidRPr="002749FA">
        <w:rPr>
          <w:rFonts w:ascii="Times New Roman" w:eastAsia="Times New Roman" w:hAnsi="Times New Roman" w:cs="Times New Roman"/>
          <w:sz w:val="24"/>
          <w:szCs w:val="24"/>
        </w:rPr>
        <w:t xml:space="preserve"> indekso (toliau – EHMI) pritaikymo tarpinių vandenų ekologinei būklei (ir ekologiniam potencialui) vertinti galimybes. Įvertinti rodiklio ryšį su biologinių vandens kokybės elementų rodikliais ir nustatyti EHMI kriterijus. Pagrįsti, jei rodiklis netinkamas tarpinių vandenų kategorijos vandens telkinių ekologinei būklei (potencialui) vertinti.</w:t>
      </w:r>
    </w:p>
    <w:p w14:paraId="20E1FB55" w14:textId="77777777" w:rsidR="00746FC0" w:rsidRPr="002749FA" w:rsidRDefault="00746FC0" w:rsidP="00746FC0">
      <w:pPr>
        <w:ind w:left="20"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3.2. Patikslinti tarpinių ir priekrantės vandenų kategorijų vandens telkinių tipų ekologinės būklės klasių maistingųjų medžiagų (bendro azoto (mg/l) ir bendro fosforo (mg/l)) koncentracijų ribines vertes naudojant valstybinio monitoringo ir/arba mokslinių tyrimų metu surinktus biologinių rodiklių (</w:t>
      </w:r>
      <w:proofErr w:type="spellStart"/>
      <w:r w:rsidRPr="002749FA">
        <w:rPr>
          <w:rFonts w:ascii="Times New Roman" w:eastAsia="Times New Roman" w:hAnsi="Times New Roman" w:cs="Times New Roman"/>
          <w:sz w:val="24"/>
          <w:szCs w:val="24"/>
        </w:rPr>
        <w:t>fitoplanktono</w:t>
      </w:r>
      <w:proofErr w:type="spellEnd"/>
      <w:r>
        <w:rPr>
          <w:rFonts w:ascii="Times New Roman" w:eastAsia="Times New Roman" w:hAnsi="Times New Roman" w:cs="Times New Roman"/>
          <w:sz w:val="24"/>
          <w:szCs w:val="24"/>
        </w:rPr>
        <w:t xml:space="preserve"> (ar chlorofilo „a“</w:t>
      </w:r>
      <w:r w:rsidRPr="002749FA">
        <w:rPr>
          <w:rFonts w:ascii="Times New Roman" w:eastAsia="Times New Roman" w:hAnsi="Times New Roman" w:cs="Times New Roman"/>
          <w:sz w:val="24"/>
          <w:szCs w:val="24"/>
        </w:rPr>
        <w:t xml:space="preserve">) duomenis. Rekomenduojama </w:t>
      </w:r>
      <w:proofErr w:type="spellStart"/>
      <w:r w:rsidRPr="002749FA">
        <w:rPr>
          <w:rFonts w:ascii="Times New Roman" w:eastAsia="Times New Roman" w:hAnsi="Times New Roman" w:cs="Times New Roman"/>
          <w:sz w:val="24"/>
          <w:szCs w:val="24"/>
        </w:rPr>
        <w:t>maistmedžiagių</w:t>
      </w:r>
      <w:proofErr w:type="spellEnd"/>
      <w:r w:rsidRPr="002749FA">
        <w:rPr>
          <w:rFonts w:ascii="Times New Roman" w:eastAsia="Times New Roman" w:hAnsi="Times New Roman" w:cs="Times New Roman"/>
          <w:sz w:val="24"/>
          <w:szCs w:val="24"/>
        </w:rPr>
        <w:t xml:space="preserve"> ribines vertes nustatyti naudojant statistinės duomenų analizės programos „R“ („R </w:t>
      </w:r>
      <w:proofErr w:type="spellStart"/>
      <w:r w:rsidRPr="002749FA">
        <w:rPr>
          <w:rFonts w:ascii="Times New Roman" w:eastAsia="Times New Roman" w:hAnsi="Times New Roman" w:cs="Times New Roman"/>
          <w:sz w:val="24"/>
          <w:szCs w:val="24"/>
        </w:rPr>
        <w:t>Development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Core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Team</w:t>
      </w:r>
      <w:proofErr w:type="spellEnd"/>
      <w:r w:rsidRPr="002749FA">
        <w:rPr>
          <w:rFonts w:ascii="Times New Roman" w:eastAsia="Times New Roman" w:hAnsi="Times New Roman" w:cs="Times New Roman"/>
          <w:sz w:val="24"/>
          <w:szCs w:val="24"/>
        </w:rPr>
        <w:t xml:space="preserve">“) specialiai tam tikslui parengtais </w:t>
      </w:r>
      <w:proofErr w:type="spellStart"/>
      <w:r w:rsidRPr="002749FA">
        <w:rPr>
          <w:rFonts w:ascii="Times New Roman" w:eastAsia="Times New Roman" w:hAnsi="Times New Roman" w:cs="Times New Roman"/>
          <w:sz w:val="24"/>
          <w:szCs w:val="24"/>
        </w:rPr>
        <w:t>skriptais</w:t>
      </w:r>
      <w:proofErr w:type="spellEnd"/>
      <w:r w:rsidRPr="002749FA">
        <w:rPr>
          <w:rFonts w:ascii="Times New Roman" w:eastAsia="Times New Roman" w:hAnsi="Times New Roman" w:cs="Times New Roman"/>
          <w:sz w:val="24"/>
          <w:szCs w:val="24"/>
        </w:rPr>
        <w:t xml:space="preserve"> bei R programos paketu „</w:t>
      </w:r>
      <w:proofErr w:type="spellStart"/>
      <w:r w:rsidRPr="002749FA">
        <w:rPr>
          <w:rFonts w:ascii="Times New Roman" w:eastAsia="Times New Roman" w:hAnsi="Times New Roman" w:cs="Times New Roman"/>
          <w:sz w:val="24"/>
          <w:szCs w:val="24"/>
        </w:rPr>
        <w:t>Shiny</w:t>
      </w:r>
      <w:proofErr w:type="spellEnd"/>
      <w:r w:rsidRPr="002749FA">
        <w:rPr>
          <w:rFonts w:ascii="Times New Roman" w:eastAsia="Times New Roman" w:hAnsi="Times New Roman" w:cs="Times New Roman"/>
          <w:sz w:val="24"/>
          <w:szCs w:val="24"/>
        </w:rPr>
        <w:t>“ specialiai šiam tikslui sukurtą „</w:t>
      </w:r>
      <w:proofErr w:type="spellStart"/>
      <w:r w:rsidRPr="002749FA">
        <w:rPr>
          <w:rFonts w:ascii="Times New Roman" w:eastAsia="Times New Roman" w:hAnsi="Times New Roman" w:cs="Times New Roman"/>
          <w:sz w:val="24"/>
          <w:szCs w:val="24"/>
        </w:rPr>
        <w:t>Shiny</w:t>
      </w:r>
      <w:proofErr w:type="spellEnd"/>
      <w:r w:rsidRPr="002749FA">
        <w:rPr>
          <w:rFonts w:ascii="Times New Roman" w:eastAsia="Times New Roman" w:hAnsi="Times New Roman" w:cs="Times New Roman"/>
          <w:sz w:val="24"/>
          <w:szCs w:val="24"/>
        </w:rPr>
        <w:t>“ aplikaciją pagal BVPD CIS rekomendacinį dokumentą (</w:t>
      </w:r>
      <w:hyperlink r:id="rId20" w:history="1">
        <w:r w:rsidRPr="002749FA">
          <w:rPr>
            <w:rStyle w:val="Hipersaitas"/>
            <w:rFonts w:ascii="Times New Roman" w:eastAsia="Times New Roman" w:hAnsi="Times New Roman" w:cs="Times New Roman"/>
            <w:sz w:val="24"/>
            <w:szCs w:val="24"/>
          </w:rPr>
          <w:t>https://circabc.europa.eu/sd/a/5aa80709-9ce8-411d-94e8-</w:t>
        </w:r>
        <w:r w:rsidRPr="002749FA">
          <w:rPr>
            <w:rStyle w:val="Hipersaitas"/>
            <w:rFonts w:ascii="Times New Roman" w:eastAsia="Times New Roman" w:hAnsi="Times New Roman" w:cs="Times New Roman"/>
            <w:sz w:val="24"/>
            <w:szCs w:val="24"/>
          </w:rPr>
          <w:lastRenderedPageBreak/>
          <w:t>f0577f3632fa/CIS_Guidance_for_Ecostat_Oct18.pdf</w:t>
        </w:r>
      </w:hyperlink>
      <w:r w:rsidRPr="002749FA">
        <w:rPr>
          <w:rFonts w:ascii="Times New Roman" w:eastAsia="Times New Roman" w:hAnsi="Times New Roman" w:cs="Times New Roman"/>
          <w:sz w:val="24"/>
          <w:szCs w:val="24"/>
        </w:rPr>
        <w:t>) ir statistinių priemonių rinkinio naudojimosi instrukciją (</w:t>
      </w:r>
      <w:hyperlink r:id="rId21">
        <w:r w:rsidRPr="002749FA">
          <w:rPr>
            <w:rFonts w:ascii="Times New Roman" w:eastAsia="Times New Roman" w:hAnsi="Times New Roman" w:cs="Times New Roman"/>
            <w:color w:val="1155CC"/>
            <w:sz w:val="24"/>
            <w:szCs w:val="24"/>
            <w:u w:val="single"/>
          </w:rPr>
          <w:t>https://circabc.europa.eu/sd/a/bd4ac1b0-19e2-4b3e-8e07-3a2c109a73fb/Nutrient_standard_Guidance_Toolkit_Instructions_Nov2018_Final.pdf</w:t>
        </w:r>
      </w:hyperlink>
      <w:r w:rsidRPr="002749FA">
        <w:rPr>
          <w:rFonts w:ascii="Times New Roman" w:eastAsia="Times New Roman" w:hAnsi="Times New Roman" w:cs="Times New Roman"/>
          <w:sz w:val="24"/>
          <w:szCs w:val="24"/>
        </w:rPr>
        <w:t>).</w:t>
      </w:r>
    </w:p>
    <w:p w14:paraId="1873A4C1"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3.3. Vadovaujantis Lietuvos Respublikos aplinkos ministro 2007 m. balandžio 12 d. įsakymu Nr. D1-210 „Dėl Paviršinių vandens telkinių būklės nustatymo metodikos patvirtinimo“ (toliau – Būklės nustatymo metodika), peržiūrėti ir </w:t>
      </w:r>
      <w:r>
        <w:rPr>
          <w:rFonts w:ascii="Times New Roman" w:eastAsia="Times New Roman" w:hAnsi="Times New Roman" w:cs="Times New Roman"/>
          <w:sz w:val="24"/>
          <w:szCs w:val="24"/>
        </w:rPr>
        <w:t>patikslinti</w:t>
      </w:r>
      <w:r w:rsidRPr="002749FA">
        <w:rPr>
          <w:rFonts w:ascii="Times New Roman" w:eastAsia="Times New Roman" w:hAnsi="Times New Roman" w:cs="Times New Roman"/>
          <w:sz w:val="24"/>
          <w:szCs w:val="24"/>
        </w:rPr>
        <w:t xml:space="preserve"> tarpinių vandenų (Klaipėdos sąsiauris ir Kuršių marių vandenų išplitimo Baltijos jūroje zonos) ekologinės būklės (ekologinio potencialo) kriterijų taikymą druskingumo atžvilgiu.</w:t>
      </w:r>
    </w:p>
    <w:p w14:paraId="27842E6C"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3.</w:t>
      </w:r>
      <w:r w:rsidRPr="009F5B93">
        <w:rPr>
          <w:rFonts w:ascii="Times New Roman" w:eastAsia="Times New Roman" w:hAnsi="Times New Roman" w:cs="Times New Roman"/>
          <w:sz w:val="24"/>
          <w:szCs w:val="24"/>
        </w:rPr>
        <w:t>4</w:t>
      </w:r>
      <w:r w:rsidRPr="002749FA">
        <w:rPr>
          <w:rFonts w:ascii="Times New Roman" w:eastAsia="Times New Roman" w:hAnsi="Times New Roman" w:cs="Times New Roman"/>
          <w:sz w:val="24"/>
          <w:szCs w:val="24"/>
        </w:rPr>
        <w:t xml:space="preserve">. Vadovaujantis Lietuvos Respublikos aplinkos ministro 2003 m. rugsėjo 15 d. įsakymu Nr. 457 „Dėl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tikslų nustatymo tvarkos patvirtinimo“ ir Būklės nustatymo metodika, nustatyti tarpinių vandenų kategorij</w:t>
      </w:r>
      <w:r>
        <w:rPr>
          <w:rFonts w:ascii="Times New Roman" w:eastAsia="Times New Roman" w:hAnsi="Times New Roman" w:cs="Times New Roman"/>
          <w:sz w:val="24"/>
          <w:szCs w:val="24"/>
        </w:rPr>
        <w:t>os</w:t>
      </w:r>
      <w:r w:rsidRPr="002749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vandens </w:t>
      </w:r>
      <w:r w:rsidRPr="002749FA">
        <w:rPr>
          <w:rFonts w:ascii="Times New Roman" w:eastAsia="Times New Roman" w:hAnsi="Times New Roman" w:cs="Times New Roman"/>
          <w:sz w:val="24"/>
          <w:szCs w:val="24"/>
        </w:rPr>
        <w:t>telkinių ekologinės būklės pagal biologinių kokybės elementų rodiklių kriterijus:</w:t>
      </w:r>
    </w:p>
    <w:p w14:paraId="14F5A274" w14:textId="77777777" w:rsidR="00746FC0" w:rsidRPr="00D660F0" w:rsidRDefault="00746FC0" w:rsidP="00746FC0">
      <w:pPr>
        <w:ind w:right="-80" w:firstLine="54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3.</w:t>
      </w:r>
      <w:r w:rsidRPr="009F5B93">
        <w:rPr>
          <w:rFonts w:ascii="Times New Roman" w:eastAsia="Times New Roman" w:hAnsi="Times New Roman" w:cs="Times New Roman"/>
          <w:sz w:val="24"/>
          <w:szCs w:val="24"/>
        </w:rPr>
        <w:t>4</w:t>
      </w:r>
      <w:r w:rsidRPr="00D660F0">
        <w:rPr>
          <w:rFonts w:ascii="Times New Roman" w:eastAsia="Times New Roman" w:hAnsi="Times New Roman" w:cs="Times New Roman"/>
          <w:sz w:val="24"/>
          <w:szCs w:val="24"/>
        </w:rPr>
        <w:t xml:space="preserve">.1. nustatyti tarpinių vandenų kategorijos (Kuršių marių) ekologinės būklės kriterijus pagal biologinių kokybės elementų rodiklius: </w:t>
      </w:r>
      <w:proofErr w:type="spellStart"/>
      <w:r w:rsidRPr="00D660F0">
        <w:rPr>
          <w:rFonts w:ascii="Times New Roman" w:eastAsia="Times New Roman" w:hAnsi="Times New Roman" w:cs="Times New Roman"/>
          <w:sz w:val="24"/>
          <w:szCs w:val="24"/>
        </w:rPr>
        <w:t>makrodumblių</w:t>
      </w:r>
      <w:proofErr w:type="spellEnd"/>
      <w:r w:rsidRPr="00D660F0">
        <w:rPr>
          <w:rFonts w:ascii="Times New Roman" w:eastAsia="Times New Roman" w:hAnsi="Times New Roman" w:cs="Times New Roman"/>
          <w:sz w:val="24"/>
          <w:szCs w:val="24"/>
        </w:rPr>
        <w:t xml:space="preserve"> ir </w:t>
      </w:r>
      <w:proofErr w:type="spellStart"/>
      <w:r w:rsidRPr="00D660F0">
        <w:rPr>
          <w:rFonts w:ascii="Times New Roman" w:eastAsia="Times New Roman" w:hAnsi="Times New Roman" w:cs="Times New Roman"/>
          <w:sz w:val="24"/>
          <w:szCs w:val="24"/>
        </w:rPr>
        <w:t>gaubtasėklių</w:t>
      </w:r>
      <w:proofErr w:type="spellEnd"/>
      <w:r w:rsidRPr="00D660F0">
        <w:rPr>
          <w:rFonts w:ascii="Times New Roman" w:eastAsia="Times New Roman" w:hAnsi="Times New Roman" w:cs="Times New Roman"/>
          <w:sz w:val="24"/>
          <w:szCs w:val="24"/>
        </w:rPr>
        <w:t xml:space="preserve"> </w:t>
      </w:r>
      <w:proofErr w:type="spellStart"/>
      <w:r w:rsidRPr="00D660F0">
        <w:rPr>
          <w:rFonts w:ascii="Times New Roman" w:eastAsia="Times New Roman" w:hAnsi="Times New Roman" w:cs="Times New Roman"/>
          <w:sz w:val="24"/>
          <w:szCs w:val="24"/>
        </w:rPr>
        <w:t>taksonominė</w:t>
      </w:r>
      <w:proofErr w:type="spellEnd"/>
      <w:r w:rsidRPr="00D660F0">
        <w:rPr>
          <w:rFonts w:ascii="Times New Roman" w:eastAsia="Times New Roman" w:hAnsi="Times New Roman" w:cs="Times New Roman"/>
          <w:sz w:val="24"/>
          <w:szCs w:val="24"/>
        </w:rPr>
        <w:t xml:space="preserve"> sudėtis ir gausa; </w:t>
      </w:r>
      <w:proofErr w:type="spellStart"/>
      <w:r w:rsidRPr="00D660F0">
        <w:rPr>
          <w:rFonts w:ascii="Times New Roman" w:eastAsia="Times New Roman" w:hAnsi="Times New Roman" w:cs="Times New Roman"/>
          <w:sz w:val="24"/>
          <w:szCs w:val="24"/>
        </w:rPr>
        <w:t>makrobestuburių</w:t>
      </w:r>
      <w:proofErr w:type="spellEnd"/>
      <w:r w:rsidRPr="00D660F0">
        <w:rPr>
          <w:rFonts w:ascii="Times New Roman" w:eastAsia="Times New Roman" w:hAnsi="Times New Roman" w:cs="Times New Roman"/>
          <w:sz w:val="24"/>
          <w:szCs w:val="24"/>
        </w:rPr>
        <w:t xml:space="preserve"> </w:t>
      </w:r>
      <w:proofErr w:type="spellStart"/>
      <w:r w:rsidRPr="00D660F0">
        <w:rPr>
          <w:rFonts w:ascii="Times New Roman" w:eastAsia="Times New Roman" w:hAnsi="Times New Roman" w:cs="Times New Roman"/>
          <w:sz w:val="24"/>
          <w:szCs w:val="24"/>
        </w:rPr>
        <w:t>taksonominė</w:t>
      </w:r>
      <w:proofErr w:type="spellEnd"/>
      <w:r w:rsidRPr="00D660F0">
        <w:rPr>
          <w:rFonts w:ascii="Times New Roman" w:eastAsia="Times New Roman" w:hAnsi="Times New Roman" w:cs="Times New Roman"/>
          <w:sz w:val="24"/>
          <w:szCs w:val="24"/>
        </w:rPr>
        <w:t xml:space="preserve"> sudėtis ir gausa. </w:t>
      </w:r>
    </w:p>
    <w:p w14:paraId="2E65FEFA"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D660F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D660F0">
        <w:rPr>
          <w:rFonts w:ascii="Times New Roman" w:eastAsia="Times New Roman" w:hAnsi="Times New Roman" w:cs="Times New Roman"/>
          <w:sz w:val="24"/>
          <w:szCs w:val="24"/>
        </w:rPr>
        <w:t>.</w:t>
      </w:r>
      <w:r w:rsidRPr="002749FA">
        <w:rPr>
          <w:rFonts w:ascii="Times New Roman" w:eastAsia="Times New Roman" w:hAnsi="Times New Roman" w:cs="Times New Roman"/>
          <w:sz w:val="24"/>
          <w:szCs w:val="24"/>
        </w:rPr>
        <w:t xml:space="preserve"> atsižvelgiant į 3.6.1. veiklą, suderinti Kuršių marių biologinių kokybės elementų (</w:t>
      </w:r>
      <w:proofErr w:type="spellStart"/>
      <w:r w:rsidRPr="002749FA">
        <w:rPr>
          <w:rFonts w:ascii="Times New Roman" w:eastAsia="Times New Roman" w:hAnsi="Times New Roman" w:cs="Times New Roman"/>
          <w:sz w:val="24"/>
          <w:szCs w:val="24"/>
        </w:rPr>
        <w:t>makrodumblių</w:t>
      </w:r>
      <w:proofErr w:type="spellEnd"/>
      <w:r w:rsidRPr="002749FA">
        <w:rPr>
          <w:rFonts w:ascii="Times New Roman" w:eastAsia="Times New Roman" w:hAnsi="Times New Roman" w:cs="Times New Roman"/>
          <w:sz w:val="24"/>
          <w:szCs w:val="24"/>
        </w:rPr>
        <w:t xml:space="preserve"> ir </w:t>
      </w:r>
      <w:proofErr w:type="spellStart"/>
      <w:r w:rsidRPr="002749FA">
        <w:rPr>
          <w:rFonts w:ascii="Times New Roman" w:eastAsia="Times New Roman" w:hAnsi="Times New Roman" w:cs="Times New Roman"/>
          <w:sz w:val="24"/>
          <w:szCs w:val="24"/>
        </w:rPr>
        <w:t>gaubtasėklių</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taksonominė</w:t>
      </w:r>
      <w:proofErr w:type="spellEnd"/>
      <w:r w:rsidRPr="002749FA">
        <w:rPr>
          <w:rFonts w:ascii="Times New Roman" w:eastAsia="Times New Roman" w:hAnsi="Times New Roman" w:cs="Times New Roman"/>
          <w:sz w:val="24"/>
          <w:szCs w:val="24"/>
        </w:rPr>
        <w:t xml:space="preserve"> sudėtis ir gausa; </w:t>
      </w:r>
      <w:proofErr w:type="spellStart"/>
      <w:r w:rsidRPr="002749FA">
        <w:rPr>
          <w:rFonts w:ascii="Times New Roman" w:eastAsia="Times New Roman" w:hAnsi="Times New Roman" w:cs="Times New Roman"/>
          <w:sz w:val="24"/>
          <w:szCs w:val="24"/>
        </w:rPr>
        <w:t>makrobestuburių</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taksonominė</w:t>
      </w:r>
      <w:proofErr w:type="spellEnd"/>
      <w:r w:rsidRPr="002749FA">
        <w:rPr>
          <w:rFonts w:ascii="Times New Roman" w:eastAsia="Times New Roman" w:hAnsi="Times New Roman" w:cs="Times New Roman"/>
          <w:sz w:val="24"/>
          <w:szCs w:val="24"/>
        </w:rPr>
        <w:t xml:space="preserve"> sudėtis ir gausa) rodiklių labai geros ir geros būklės, taip pat geros ir vidutiniškos būklės klasių ribų vertes su nustatytomis Lenkijos tarpiniams vandenims (atsakingų specialistų kontaktus pateiks Perkančioji organizacija), parengti </w:t>
      </w:r>
      <w:proofErr w:type="spellStart"/>
      <w:r w:rsidRPr="002749FA">
        <w:rPr>
          <w:rFonts w:ascii="Times New Roman" w:eastAsia="Times New Roman" w:hAnsi="Times New Roman" w:cs="Times New Roman"/>
          <w:sz w:val="24"/>
          <w:szCs w:val="24"/>
        </w:rPr>
        <w:t>interkalibracijos</w:t>
      </w:r>
      <w:proofErr w:type="spellEnd"/>
      <w:r w:rsidRPr="002749FA">
        <w:rPr>
          <w:rFonts w:ascii="Times New Roman" w:eastAsia="Times New Roman" w:hAnsi="Times New Roman" w:cs="Times New Roman"/>
          <w:sz w:val="24"/>
          <w:szCs w:val="24"/>
        </w:rPr>
        <w:t xml:space="preserve"> ataskaitas. </w:t>
      </w:r>
      <w:proofErr w:type="spellStart"/>
      <w:r w:rsidRPr="002749FA">
        <w:rPr>
          <w:rFonts w:ascii="Times New Roman" w:eastAsia="Times New Roman" w:hAnsi="Times New Roman" w:cs="Times New Roman"/>
          <w:sz w:val="24"/>
          <w:szCs w:val="24"/>
        </w:rPr>
        <w:t>Interkalibracijos</w:t>
      </w:r>
      <w:proofErr w:type="spellEnd"/>
      <w:r w:rsidRPr="002749FA">
        <w:rPr>
          <w:rFonts w:ascii="Times New Roman" w:eastAsia="Times New Roman" w:hAnsi="Times New Roman" w:cs="Times New Roman"/>
          <w:sz w:val="24"/>
          <w:szCs w:val="24"/>
        </w:rPr>
        <w:t xml:space="preserve"> procese vadovautis BVPD bendrosios įgyvendinimo strategijos (toliau – CIS) rekomendacijomis Nr. 14 „</w:t>
      </w:r>
      <w:proofErr w:type="spellStart"/>
      <w:r w:rsidRPr="002749FA">
        <w:rPr>
          <w:rFonts w:ascii="Times New Roman" w:eastAsia="Times New Roman" w:hAnsi="Times New Roman" w:cs="Times New Roman"/>
          <w:sz w:val="24"/>
          <w:szCs w:val="24"/>
        </w:rPr>
        <w:t>Guidance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document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intercalibration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process</w:t>
      </w:r>
      <w:proofErr w:type="spellEnd"/>
      <w:r w:rsidRPr="002749FA">
        <w:rPr>
          <w:rFonts w:ascii="Times New Roman" w:eastAsia="Times New Roman" w:hAnsi="Times New Roman" w:cs="Times New Roman"/>
          <w:sz w:val="24"/>
          <w:szCs w:val="24"/>
        </w:rPr>
        <w:t xml:space="preserve"> 2008-2011“ ir Nr. 30 „</w:t>
      </w:r>
      <w:proofErr w:type="spellStart"/>
      <w:r w:rsidRPr="002749FA">
        <w:rPr>
          <w:rFonts w:ascii="Times New Roman" w:eastAsia="Times New Roman" w:hAnsi="Times New Roman" w:cs="Times New Roman"/>
          <w:sz w:val="24"/>
          <w:szCs w:val="24"/>
        </w:rPr>
        <w:t>Procedure</w:t>
      </w:r>
      <w:proofErr w:type="spellEnd"/>
      <w:r w:rsidRPr="002749FA">
        <w:rPr>
          <w:rFonts w:ascii="Times New Roman" w:eastAsia="Times New Roman" w:hAnsi="Times New Roman" w:cs="Times New Roman"/>
          <w:sz w:val="24"/>
          <w:szCs w:val="24"/>
        </w:rPr>
        <w:t xml:space="preserve"> to </w:t>
      </w:r>
      <w:proofErr w:type="spellStart"/>
      <w:r w:rsidRPr="002749FA">
        <w:rPr>
          <w:rFonts w:ascii="Times New Roman" w:eastAsia="Times New Roman" w:hAnsi="Times New Roman" w:cs="Times New Roman"/>
          <w:sz w:val="24"/>
          <w:szCs w:val="24"/>
        </w:rPr>
        <w:t>fit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new</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updated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classification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methods</w:t>
      </w:r>
      <w:proofErr w:type="spellEnd"/>
      <w:r w:rsidRPr="002749FA">
        <w:rPr>
          <w:rFonts w:ascii="Times New Roman" w:eastAsia="Times New Roman" w:hAnsi="Times New Roman" w:cs="Times New Roman"/>
          <w:sz w:val="24"/>
          <w:szCs w:val="24"/>
        </w:rPr>
        <w:t xml:space="preserve"> to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results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a </w:t>
      </w:r>
      <w:proofErr w:type="spellStart"/>
      <w:r w:rsidRPr="002749FA">
        <w:rPr>
          <w:rFonts w:ascii="Times New Roman" w:eastAsia="Times New Roman" w:hAnsi="Times New Roman" w:cs="Times New Roman"/>
          <w:sz w:val="24"/>
          <w:szCs w:val="24"/>
        </w:rPr>
        <w:t>completed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intercalibration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exercise</w:t>
      </w:r>
      <w:proofErr w:type="spellEnd"/>
      <w:r w:rsidRPr="002749FA">
        <w:rPr>
          <w:rFonts w:ascii="Times New Roman" w:eastAsia="Times New Roman" w:hAnsi="Times New Roman" w:cs="Times New Roman"/>
          <w:sz w:val="24"/>
          <w:szCs w:val="24"/>
        </w:rPr>
        <w:t xml:space="preserve">“ taip pat 2018 m. vasario 12 d. Komisijos sprendimu (ES) 2018/229, kuriuo pagal Europos Parlamento ir Tarybos direktyvą 2000/60/EB nustatomos atlikus bendrą kalibravimą gautos valstybių narių monitoringo sistemų klasių vertės ir panaikinamas Komisijos sprendimas 2013/480/ES (toliau - </w:t>
      </w:r>
      <w:proofErr w:type="spellStart"/>
      <w:r w:rsidRPr="002749FA">
        <w:rPr>
          <w:rFonts w:ascii="Times New Roman" w:eastAsia="Times New Roman" w:hAnsi="Times New Roman" w:cs="Times New Roman"/>
          <w:sz w:val="24"/>
          <w:szCs w:val="24"/>
        </w:rPr>
        <w:t>Interkalibracijos</w:t>
      </w:r>
      <w:proofErr w:type="spellEnd"/>
      <w:r w:rsidRPr="002749FA">
        <w:rPr>
          <w:rFonts w:ascii="Times New Roman" w:eastAsia="Times New Roman" w:hAnsi="Times New Roman" w:cs="Times New Roman"/>
          <w:sz w:val="24"/>
          <w:szCs w:val="24"/>
        </w:rPr>
        <w:t xml:space="preserve"> sprendimas) https://eur-lex.europa.eu/legal-content/LT/ALL/?uri=OJ:L:2018:047:TOC.</w:t>
      </w:r>
    </w:p>
    <w:p w14:paraId="19F39790" w14:textId="77777777" w:rsidR="00746FC0" w:rsidRPr="00A8792D" w:rsidRDefault="00746FC0" w:rsidP="00746FC0">
      <w:pPr>
        <w:ind w:right="-80" w:firstLine="547"/>
        <w:jc w:val="both"/>
        <w:rPr>
          <w:rFonts w:ascii="Times New Roman" w:eastAsia="Times New Roman" w:hAnsi="Times New Roman" w:cs="Times New Roman"/>
          <w:sz w:val="24"/>
          <w:szCs w:val="24"/>
        </w:rPr>
      </w:pPr>
      <w:r w:rsidRPr="00A8792D">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A8792D">
        <w:rPr>
          <w:rFonts w:ascii="Times New Roman" w:eastAsia="Times New Roman" w:hAnsi="Times New Roman" w:cs="Times New Roman"/>
          <w:sz w:val="24"/>
          <w:szCs w:val="24"/>
        </w:rPr>
        <w:t>. Pateikti pasiūlymus tarpinių vandenų (Kuršių marių vandenų išplitimo Baltijos jūroje zonos) ekologinės būklės nustatymo metodikai pagal biologin</w:t>
      </w:r>
      <w:r>
        <w:rPr>
          <w:rFonts w:ascii="Times New Roman" w:eastAsia="Times New Roman" w:hAnsi="Times New Roman" w:cs="Times New Roman"/>
          <w:sz w:val="24"/>
          <w:szCs w:val="24"/>
        </w:rPr>
        <w:t>į</w:t>
      </w:r>
      <w:r w:rsidRPr="00A8792D">
        <w:rPr>
          <w:rFonts w:ascii="Times New Roman" w:eastAsia="Times New Roman" w:hAnsi="Times New Roman" w:cs="Times New Roman"/>
          <w:sz w:val="24"/>
          <w:szCs w:val="24"/>
        </w:rPr>
        <w:t xml:space="preserve"> kokybės element</w:t>
      </w:r>
      <w:r>
        <w:rPr>
          <w:rFonts w:ascii="Times New Roman" w:eastAsia="Times New Roman" w:hAnsi="Times New Roman" w:cs="Times New Roman"/>
          <w:sz w:val="24"/>
          <w:szCs w:val="24"/>
        </w:rPr>
        <w:t>ą</w:t>
      </w:r>
      <w:r w:rsidRPr="00A879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ichtiofaunos</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taksonominė</w:t>
      </w:r>
      <w:proofErr w:type="spellEnd"/>
      <w:r w:rsidRPr="00A8792D">
        <w:rPr>
          <w:rFonts w:ascii="Times New Roman" w:eastAsia="Times New Roman" w:hAnsi="Times New Roman" w:cs="Times New Roman"/>
          <w:sz w:val="24"/>
          <w:szCs w:val="24"/>
        </w:rPr>
        <w:t xml:space="preserve"> sudėtis ir gausa</w:t>
      </w:r>
      <w:r>
        <w:rPr>
          <w:rFonts w:ascii="Times New Roman" w:eastAsia="Times New Roman" w:hAnsi="Times New Roman" w:cs="Times New Roman"/>
          <w:sz w:val="24"/>
          <w:szCs w:val="24"/>
        </w:rPr>
        <w:t xml:space="preserve">. </w:t>
      </w:r>
    </w:p>
    <w:p w14:paraId="6CB49340" w14:textId="3C142172" w:rsidR="00746FC0" w:rsidRPr="002749FA" w:rsidRDefault="00746FC0" w:rsidP="00A41088">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2749FA">
        <w:rPr>
          <w:rFonts w:ascii="Times New Roman" w:eastAsia="Times New Roman" w:hAnsi="Times New Roman" w:cs="Times New Roman"/>
          <w:sz w:val="24"/>
          <w:szCs w:val="24"/>
        </w:rPr>
        <w:t>. Vykdant šį uždavinį turi būti vadovaujamasi esamais (turimais ar prieinamais) duomenimis, pap</w:t>
      </w:r>
      <w:r w:rsidR="00A41088">
        <w:rPr>
          <w:rFonts w:ascii="Times New Roman" w:eastAsia="Times New Roman" w:hAnsi="Times New Roman" w:cs="Times New Roman"/>
          <w:sz w:val="24"/>
          <w:szCs w:val="24"/>
        </w:rPr>
        <w:t>ildomų tyrimų atlikti nereikia.</w:t>
      </w:r>
    </w:p>
    <w:p w14:paraId="6681F755" w14:textId="77777777" w:rsidR="00746FC0" w:rsidRPr="002749FA" w:rsidRDefault="00746FC0" w:rsidP="00746FC0">
      <w:pPr>
        <w:ind w:right="-80" w:firstLine="54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4 uždavinys. Atlikti ekspertinį tarpinių ir priekrantės vandenų kategorijų vandens telkinių ekologinės būklės įvertinimą ir pateikti pasiūlymus naujų rodiklių monitoringui</w:t>
      </w:r>
    </w:p>
    <w:p w14:paraId="22FA661A" w14:textId="77777777" w:rsidR="00746FC0" w:rsidRPr="002749FA" w:rsidRDefault="00746FC0" w:rsidP="00746FC0">
      <w:pPr>
        <w:shd w:val="clear" w:color="auto" w:fill="FFFFFF"/>
        <w:ind w:left="20" w:right="-80" w:firstLine="547"/>
        <w:jc w:val="both"/>
        <w:rPr>
          <w:rFonts w:ascii="Times New Roman" w:eastAsia="Times New Roman" w:hAnsi="Times New Roman" w:cs="Times New Roman"/>
          <w:sz w:val="24"/>
          <w:szCs w:val="24"/>
          <w:u w:val="single"/>
        </w:rPr>
      </w:pPr>
      <w:r w:rsidRPr="002749FA">
        <w:rPr>
          <w:rFonts w:ascii="Times New Roman" w:eastAsia="Times New Roman" w:hAnsi="Times New Roman" w:cs="Times New Roman"/>
          <w:sz w:val="24"/>
          <w:szCs w:val="24"/>
          <w:u w:val="single"/>
        </w:rPr>
        <w:t>4 uždavinio veiklos:</w:t>
      </w:r>
    </w:p>
    <w:p w14:paraId="7B2BAE56" w14:textId="77777777" w:rsidR="00746FC0" w:rsidRPr="00D660F0" w:rsidRDefault="00746FC0" w:rsidP="00746FC0">
      <w:pPr>
        <w:ind w:right="-80" w:firstLine="54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 xml:space="preserve">4.1. Atsižvelgiant į 3 uždavinio veiklas, ir vadovaujantis Būklės nustatymo metodika, įvertinti tarpinių ir priekrantės vandenų kategorijų vandens telkinių tipų ekologinę būklę, ekologinį </w:t>
      </w:r>
      <w:r w:rsidRPr="00D660F0">
        <w:rPr>
          <w:rFonts w:ascii="Times New Roman" w:eastAsia="Times New Roman" w:hAnsi="Times New Roman" w:cs="Times New Roman"/>
          <w:sz w:val="24"/>
          <w:szCs w:val="24"/>
        </w:rPr>
        <w:lastRenderedPageBreak/>
        <w:t xml:space="preserve">potencialą ir pasikliovimo lygį pagal naujai pasiūlytus </w:t>
      </w:r>
      <w:proofErr w:type="spellStart"/>
      <w:r w:rsidRPr="00D660F0">
        <w:rPr>
          <w:rFonts w:ascii="Times New Roman" w:eastAsia="Times New Roman" w:hAnsi="Times New Roman" w:cs="Times New Roman"/>
          <w:sz w:val="24"/>
          <w:szCs w:val="24"/>
        </w:rPr>
        <w:t>hidromorfologinių</w:t>
      </w:r>
      <w:proofErr w:type="spellEnd"/>
      <w:r w:rsidRPr="00D660F0">
        <w:rPr>
          <w:rFonts w:ascii="Times New Roman" w:eastAsia="Times New Roman" w:hAnsi="Times New Roman" w:cs="Times New Roman"/>
          <w:sz w:val="24"/>
          <w:szCs w:val="24"/>
        </w:rPr>
        <w:t xml:space="preserve"> ir biologinių kokybės elementų rodiklius.</w:t>
      </w:r>
    </w:p>
    <w:p w14:paraId="55CC109A"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4.2.</w:t>
      </w:r>
      <w:r w:rsidRPr="002749FA">
        <w:rPr>
          <w:rFonts w:ascii="Times New Roman" w:eastAsia="Times New Roman" w:hAnsi="Times New Roman" w:cs="Times New Roman"/>
          <w:sz w:val="24"/>
          <w:szCs w:val="24"/>
        </w:rPr>
        <w:t xml:space="preserve"> Atsižvelgiant į 3-4 ir 5 uždavinių veiklas ir vadovaujantis Lietuvos Respublikos aplinkos ministro 2003 m. gruodžio 31 d. įsakymu Nr. 726 „Dėl bendrųjų reikalavimų vandens telkinių monitoringui patvirtinimo“, pateikti pasiūlymus tarpinių ir priekrantės vandenų kategorijų vandens telkinių naujų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ir biologinių kokybės elementų rodiklių monitoringui.  Pateikti pagrindimą, jeigu tam tikrus kokybės elementus ir jų rodiklius siūloma tirti kitokiu dažnumu nei nurodyta aukščiau minėtame teisės akte.</w:t>
      </w:r>
    </w:p>
    <w:p w14:paraId="4379C227" w14:textId="0D592E43" w:rsidR="00746FC0" w:rsidRPr="002749FA" w:rsidRDefault="00746FC0" w:rsidP="00A41088">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4.3. Vykdant šį uždavinį turi būti vadovaujamasi esamais (turimais ar prieinamais) duomenimis, pap</w:t>
      </w:r>
      <w:r w:rsidR="00A41088">
        <w:rPr>
          <w:rFonts w:ascii="Times New Roman" w:eastAsia="Times New Roman" w:hAnsi="Times New Roman" w:cs="Times New Roman"/>
          <w:sz w:val="24"/>
          <w:szCs w:val="24"/>
        </w:rPr>
        <w:t>ildomų tyrimų atlikti nereikia.</w:t>
      </w:r>
    </w:p>
    <w:p w14:paraId="311A3CCB" w14:textId="77777777" w:rsidR="00746FC0" w:rsidRPr="002749FA" w:rsidRDefault="00746FC0" w:rsidP="00746FC0">
      <w:pPr>
        <w:ind w:right="-80" w:firstLine="54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 xml:space="preserve">5 uždavinys. Įvertinti </w:t>
      </w:r>
      <w:proofErr w:type="spellStart"/>
      <w:r w:rsidRPr="002749FA">
        <w:rPr>
          <w:rFonts w:ascii="Times New Roman" w:eastAsia="Times New Roman" w:hAnsi="Times New Roman" w:cs="Times New Roman"/>
          <w:b/>
          <w:sz w:val="24"/>
          <w:szCs w:val="24"/>
        </w:rPr>
        <w:t>hidromorfologinių</w:t>
      </w:r>
      <w:proofErr w:type="spellEnd"/>
      <w:r w:rsidRPr="002749FA">
        <w:rPr>
          <w:rFonts w:ascii="Times New Roman" w:eastAsia="Times New Roman" w:hAnsi="Times New Roman" w:cs="Times New Roman"/>
          <w:b/>
          <w:sz w:val="24"/>
          <w:szCs w:val="24"/>
        </w:rPr>
        <w:t xml:space="preserve"> vandens telkinių charakteristikų pakeitimų poveikį paviršiniams vandens telkiniams. </w:t>
      </w:r>
    </w:p>
    <w:p w14:paraId="569AFD6E" w14:textId="77777777" w:rsidR="00746FC0" w:rsidRPr="002749FA" w:rsidRDefault="00746FC0" w:rsidP="00746FC0">
      <w:pPr>
        <w:ind w:right="-80" w:firstLine="547"/>
        <w:jc w:val="both"/>
        <w:rPr>
          <w:rFonts w:ascii="Times New Roman" w:eastAsia="Times New Roman" w:hAnsi="Times New Roman" w:cs="Times New Roman"/>
          <w:sz w:val="24"/>
          <w:szCs w:val="24"/>
          <w:u w:val="single"/>
        </w:rPr>
      </w:pPr>
      <w:r w:rsidRPr="002749FA">
        <w:rPr>
          <w:rFonts w:ascii="Times New Roman" w:eastAsia="Times New Roman" w:hAnsi="Times New Roman" w:cs="Times New Roman"/>
          <w:sz w:val="24"/>
          <w:szCs w:val="24"/>
          <w:u w:val="single"/>
        </w:rPr>
        <w:t>5 uždavinio veiklos:</w:t>
      </w:r>
    </w:p>
    <w:p w14:paraId="12F93BF5"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5.1. Peržiūrėti ir atnaujinti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poveikių tipus ir jų reikšmingumo kriterijus.</w:t>
      </w:r>
    </w:p>
    <w:p w14:paraId="7E7DD50E"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5.2. Pagal atnaujintus reikšmingumo kriterijus atnaujinti žmogaus veiklos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poveikių reikšmingumo vertinimą ir identifikuoti šių poveikių reikšmingai paveiktus paviršinio vandens telkinius. Reikšmingumo kriterijų parinkimas ir jo vertinimas turi būti pagrįstas naujausiais prieinamais monitoringo duomenimis.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poveikių reikšmingai paveiktus vandens telkinius suskirstyti į tris grupes: a) vandens telkinius, kuriuose dėl reikšmingo </w:t>
      </w:r>
      <w:proofErr w:type="spellStart"/>
      <w:r w:rsidRPr="002749FA">
        <w:rPr>
          <w:rFonts w:ascii="Times New Roman" w:eastAsia="Times New Roman" w:hAnsi="Times New Roman" w:cs="Times New Roman"/>
          <w:sz w:val="24"/>
          <w:szCs w:val="24"/>
        </w:rPr>
        <w:t>hidromorfologinio</w:t>
      </w:r>
      <w:proofErr w:type="spellEnd"/>
      <w:r w:rsidRPr="002749FA">
        <w:rPr>
          <w:rFonts w:ascii="Times New Roman" w:eastAsia="Times New Roman" w:hAnsi="Times New Roman" w:cs="Times New Roman"/>
          <w:sz w:val="24"/>
          <w:szCs w:val="24"/>
        </w:rPr>
        <w:t xml:space="preserve"> poveikio yra rizika nepasiekti geros būklės (toliau – rizikos vandens telkinius); b) dėl reikšmingo </w:t>
      </w:r>
      <w:proofErr w:type="spellStart"/>
      <w:r w:rsidRPr="002749FA">
        <w:rPr>
          <w:rFonts w:ascii="Times New Roman" w:eastAsia="Times New Roman" w:hAnsi="Times New Roman" w:cs="Times New Roman"/>
          <w:sz w:val="24"/>
          <w:szCs w:val="24"/>
        </w:rPr>
        <w:t>hidromorfologinio</w:t>
      </w:r>
      <w:proofErr w:type="spellEnd"/>
      <w:r w:rsidRPr="002749FA">
        <w:rPr>
          <w:rFonts w:ascii="Times New Roman" w:eastAsia="Times New Roman" w:hAnsi="Times New Roman" w:cs="Times New Roman"/>
          <w:sz w:val="24"/>
          <w:szCs w:val="24"/>
        </w:rPr>
        <w:t xml:space="preserve"> poveikio labai pakeistus vandens telkinius (toliau – LPVT); c) dirbtinius vandens telkinius.</w:t>
      </w:r>
    </w:p>
    <w:p w14:paraId="3C637CFC"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5.3. Įgyvendinant 5.1-5.2 veiklas, turi būti laikomasi šių sąlygų:</w:t>
      </w:r>
    </w:p>
    <w:p w14:paraId="4FBEB5F9"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5.3.1. Įvertinta morfologinių poveikių vertinimo, LPVT išskyrimo, GEP nustatymo praktika kaimyninėje Lenkijoje, Latvijoje ir Estijoje, po paskutinio UBR valdymo planavimo ciklo atsiradusius ES rekomendacinius dokumentus ir kitokią informacinę medžiagą, naujausias Europos Komisijos ir ES šalių politines kryptis šiais klausimais ir į visą tai atsižvelgta vykdant veiklas projekte. Įvertintinų dokumentų nebaigtinis sąrašas:</w:t>
      </w:r>
    </w:p>
    <w:p w14:paraId="6257F6E8"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5.3.1.1. </w:t>
      </w:r>
      <w:proofErr w:type="spellStart"/>
      <w:r w:rsidRPr="002749FA">
        <w:rPr>
          <w:rFonts w:ascii="Times New Roman" w:eastAsia="Times New Roman" w:hAnsi="Times New Roman" w:cs="Times New Roman"/>
          <w:sz w:val="24"/>
          <w:szCs w:val="24"/>
        </w:rPr>
        <w:t>Peer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review</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report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Lithuanian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RBMPs</w:t>
      </w:r>
      <w:proofErr w:type="spellEnd"/>
      <w:r w:rsidRPr="002749FA">
        <w:rPr>
          <w:rFonts w:ascii="Times New Roman" w:eastAsia="Times New Roman" w:hAnsi="Times New Roman" w:cs="Times New Roman"/>
          <w:sz w:val="24"/>
          <w:szCs w:val="24"/>
        </w:rPr>
        <w:t xml:space="preserve"> (2nd </w:t>
      </w:r>
      <w:proofErr w:type="spellStart"/>
      <w:r w:rsidRPr="002749FA">
        <w:rPr>
          <w:rFonts w:ascii="Times New Roman" w:eastAsia="Times New Roman" w:hAnsi="Times New Roman" w:cs="Times New Roman"/>
          <w:sz w:val="24"/>
          <w:szCs w:val="24"/>
        </w:rPr>
        <w:t>cycle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Final</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report</w:t>
      </w:r>
      <w:proofErr w:type="spellEnd"/>
      <w:r w:rsidRPr="002749FA">
        <w:rPr>
          <w:rFonts w:ascii="Times New Roman" w:eastAsia="Times New Roman" w:hAnsi="Times New Roman" w:cs="Times New Roman"/>
          <w:sz w:val="24"/>
          <w:szCs w:val="24"/>
        </w:rPr>
        <w:t>;</w:t>
      </w:r>
    </w:p>
    <w:p w14:paraId="63A8203C" w14:textId="77777777" w:rsidR="00746FC0" w:rsidRPr="00A8792D" w:rsidRDefault="00746FC0" w:rsidP="00746FC0">
      <w:pPr>
        <w:ind w:right="-80" w:firstLine="547"/>
        <w:jc w:val="both"/>
        <w:rPr>
          <w:rFonts w:ascii="Times New Roman" w:eastAsia="Times New Roman" w:hAnsi="Times New Roman" w:cs="Times New Roman"/>
          <w:sz w:val="24"/>
          <w:szCs w:val="24"/>
        </w:rPr>
      </w:pPr>
      <w:r w:rsidRPr="00A8792D">
        <w:rPr>
          <w:rFonts w:ascii="Times New Roman" w:eastAsia="Times New Roman" w:hAnsi="Times New Roman" w:cs="Times New Roman"/>
          <w:sz w:val="24"/>
          <w:szCs w:val="24"/>
        </w:rPr>
        <w:t xml:space="preserve">5.3.1.2.  </w:t>
      </w:r>
      <w:proofErr w:type="spellStart"/>
      <w:r w:rsidRPr="00A8792D">
        <w:rPr>
          <w:rFonts w:ascii="Times New Roman" w:hAnsi="Times New Roman" w:cs="Times New Roman"/>
          <w:sz w:val="24"/>
          <w:szCs w:val="24"/>
        </w:rPr>
        <w:t>Guidance</w:t>
      </w:r>
      <w:proofErr w:type="spellEnd"/>
      <w:r w:rsidRPr="00A8792D">
        <w:rPr>
          <w:rFonts w:ascii="Times New Roman" w:hAnsi="Times New Roman" w:cs="Times New Roman"/>
          <w:sz w:val="24"/>
          <w:szCs w:val="24"/>
        </w:rPr>
        <w:t xml:space="preserve"> </w:t>
      </w:r>
      <w:proofErr w:type="spellStart"/>
      <w:r w:rsidRPr="00A8792D">
        <w:rPr>
          <w:rFonts w:ascii="Times New Roman" w:hAnsi="Times New Roman" w:cs="Times New Roman"/>
          <w:sz w:val="24"/>
          <w:szCs w:val="24"/>
        </w:rPr>
        <w:t>No</w:t>
      </w:r>
      <w:proofErr w:type="spellEnd"/>
      <w:r>
        <w:rPr>
          <w:rFonts w:ascii="Times New Roman" w:hAnsi="Times New Roman" w:cs="Times New Roman"/>
          <w:sz w:val="24"/>
          <w:szCs w:val="24"/>
        </w:rPr>
        <w:t>.</w:t>
      </w:r>
      <w:r w:rsidRPr="00A8792D">
        <w:rPr>
          <w:rFonts w:ascii="Times New Roman" w:hAnsi="Times New Roman" w:cs="Times New Roman"/>
          <w:sz w:val="24"/>
          <w:szCs w:val="24"/>
        </w:rPr>
        <w:t xml:space="preserve"> 37</w:t>
      </w:r>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Steps</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for</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defining</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and</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assessing</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ecological</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potential</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for</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improving</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comparability</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of</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Heavily</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Modified</w:t>
      </w:r>
      <w:proofErr w:type="spellEnd"/>
      <w:r w:rsidRPr="00A8792D">
        <w:rPr>
          <w:rFonts w:ascii="Times New Roman" w:eastAsia="Times New Roman" w:hAnsi="Times New Roman" w:cs="Times New Roman"/>
          <w:sz w:val="24"/>
          <w:szCs w:val="24"/>
        </w:rPr>
        <w:t xml:space="preserve"> </w:t>
      </w:r>
      <w:proofErr w:type="spellStart"/>
      <w:r w:rsidRPr="00A8792D">
        <w:rPr>
          <w:rFonts w:ascii="Times New Roman" w:eastAsia="Times New Roman" w:hAnsi="Times New Roman" w:cs="Times New Roman"/>
          <w:sz w:val="24"/>
          <w:szCs w:val="24"/>
        </w:rPr>
        <w:t>Water</w:t>
      </w:r>
      <w:proofErr w:type="spellEnd"/>
      <w:r w:rsidRPr="00A8792D">
        <w:rPr>
          <w:rFonts w:ascii="Times New Roman" w:eastAsia="Times New Roman" w:hAnsi="Times New Roman" w:cs="Times New Roman"/>
          <w:sz w:val="24"/>
          <w:szCs w:val="24"/>
        </w:rPr>
        <w:t xml:space="preserve"> Bodies“;</w:t>
      </w:r>
      <w:r w:rsidRPr="00A8792D">
        <w:t xml:space="preserve"> </w:t>
      </w:r>
    </w:p>
    <w:p w14:paraId="43E98499" w14:textId="77777777" w:rsidR="00746FC0" w:rsidRPr="00043247" w:rsidRDefault="00746FC0" w:rsidP="00746FC0">
      <w:pPr>
        <w:ind w:right="-80" w:firstLine="547"/>
        <w:jc w:val="both"/>
        <w:rPr>
          <w:rFonts w:ascii="Times New Roman" w:eastAsia="Times New Roman" w:hAnsi="Times New Roman" w:cs="Times New Roman"/>
          <w:sz w:val="24"/>
          <w:szCs w:val="24"/>
        </w:rPr>
      </w:pPr>
      <w:r w:rsidRPr="00A8792D">
        <w:rPr>
          <w:rFonts w:ascii="Times New Roman" w:eastAsia="Times New Roman" w:hAnsi="Times New Roman" w:cs="Times New Roman"/>
          <w:sz w:val="24"/>
          <w:szCs w:val="24"/>
        </w:rPr>
        <w:t>5.3.1.3</w:t>
      </w:r>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No</w:t>
      </w:r>
      <w:proofErr w:type="spellEnd"/>
      <w:r w:rsidRPr="00043247">
        <w:rPr>
          <w:rFonts w:ascii="Times New Roman" w:eastAsia="Times New Roman" w:hAnsi="Times New Roman" w:cs="Times New Roman"/>
          <w:sz w:val="24"/>
          <w:szCs w:val="24"/>
        </w:rPr>
        <w:t>. 31 ,,</w:t>
      </w:r>
      <w:proofErr w:type="spellStart"/>
      <w:r w:rsidRPr="00043247">
        <w:rPr>
          <w:rFonts w:ascii="Times New Roman" w:eastAsia="Times New Roman" w:hAnsi="Times New Roman" w:cs="Times New Roman"/>
          <w:sz w:val="24"/>
          <w:szCs w:val="24"/>
        </w:rPr>
        <w:t>Ecological</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flows</w:t>
      </w:r>
      <w:proofErr w:type="spellEnd"/>
      <w:r w:rsidRPr="00043247">
        <w:rPr>
          <w:rFonts w:ascii="Times New Roman" w:eastAsia="Times New Roman" w:hAnsi="Times New Roman" w:cs="Times New Roman"/>
          <w:sz w:val="24"/>
          <w:szCs w:val="24"/>
        </w:rPr>
        <w:t>“;</w:t>
      </w:r>
    </w:p>
    <w:p w14:paraId="7090C383" w14:textId="77777777" w:rsidR="00746FC0" w:rsidRPr="00043247" w:rsidRDefault="00746FC0" w:rsidP="00746FC0">
      <w:pPr>
        <w:ind w:right="-80" w:firstLine="547"/>
        <w:jc w:val="both"/>
        <w:rPr>
          <w:rFonts w:ascii="Times New Roman" w:eastAsia="Times New Roman" w:hAnsi="Times New Roman" w:cs="Times New Roman"/>
          <w:sz w:val="24"/>
          <w:szCs w:val="24"/>
        </w:rPr>
      </w:pPr>
      <w:r w:rsidRPr="00043247">
        <w:rPr>
          <w:rFonts w:ascii="Times New Roman" w:eastAsia="Times New Roman" w:hAnsi="Times New Roman" w:cs="Times New Roman"/>
          <w:sz w:val="24"/>
          <w:szCs w:val="24"/>
        </w:rPr>
        <w:t xml:space="preserve">5.3.1.4. JRC </w:t>
      </w:r>
      <w:proofErr w:type="spellStart"/>
      <w:r w:rsidRPr="00043247">
        <w:rPr>
          <w:rFonts w:ascii="Times New Roman" w:eastAsia="Times New Roman" w:hAnsi="Times New Roman" w:cs="Times New Roman"/>
          <w:sz w:val="24"/>
          <w:szCs w:val="24"/>
        </w:rPr>
        <w:t>Technical</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Report</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Water</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storage</w:t>
      </w:r>
      <w:proofErr w:type="spellEnd"/>
      <w:r w:rsidRPr="00043247">
        <w:rPr>
          <w:rFonts w:ascii="Times New Roman" w:eastAsia="Times New Roman" w:hAnsi="Times New Roman" w:cs="Times New Roman"/>
          <w:sz w:val="24"/>
          <w:szCs w:val="24"/>
        </w:rPr>
        <w:t xml:space="preserve"> (2016);</w:t>
      </w:r>
    </w:p>
    <w:p w14:paraId="7CA961F0" w14:textId="77777777" w:rsidR="00746FC0" w:rsidRPr="00043247" w:rsidRDefault="00746FC0" w:rsidP="00746FC0">
      <w:pPr>
        <w:ind w:right="-80" w:firstLine="547"/>
        <w:jc w:val="both"/>
        <w:rPr>
          <w:rFonts w:ascii="Times New Roman" w:eastAsia="Times New Roman" w:hAnsi="Times New Roman" w:cs="Times New Roman"/>
          <w:sz w:val="24"/>
          <w:szCs w:val="24"/>
        </w:rPr>
      </w:pPr>
      <w:r w:rsidRPr="00043247">
        <w:rPr>
          <w:rFonts w:ascii="Times New Roman" w:eastAsia="Times New Roman" w:hAnsi="Times New Roman" w:cs="Times New Roman"/>
          <w:sz w:val="24"/>
          <w:szCs w:val="24"/>
        </w:rPr>
        <w:t xml:space="preserve">5.3.1.5. WFD </w:t>
      </w:r>
      <w:proofErr w:type="spellStart"/>
      <w:r w:rsidRPr="00043247">
        <w:rPr>
          <w:rFonts w:ascii="Times New Roman" w:eastAsia="Times New Roman" w:hAnsi="Times New Roman" w:cs="Times New Roman"/>
          <w:sz w:val="24"/>
          <w:szCs w:val="24"/>
        </w:rPr>
        <w:t>Article</w:t>
      </w:r>
      <w:proofErr w:type="spellEnd"/>
      <w:r w:rsidRPr="00043247">
        <w:rPr>
          <w:rFonts w:ascii="Times New Roman" w:eastAsia="Times New Roman" w:hAnsi="Times New Roman" w:cs="Times New Roman"/>
          <w:sz w:val="24"/>
          <w:szCs w:val="24"/>
        </w:rPr>
        <w:t xml:space="preserve"> 4(7) </w:t>
      </w:r>
      <w:proofErr w:type="spellStart"/>
      <w:r w:rsidRPr="00043247">
        <w:rPr>
          <w:rFonts w:ascii="Times New Roman" w:eastAsia="Times New Roman" w:hAnsi="Times New Roman" w:cs="Times New Roman"/>
          <w:sz w:val="24"/>
          <w:szCs w:val="24"/>
        </w:rPr>
        <w:t>Guidance</w:t>
      </w:r>
      <w:proofErr w:type="spellEnd"/>
      <w:r w:rsidRPr="00043247">
        <w:rPr>
          <w:rFonts w:ascii="Times New Roman" w:eastAsia="Times New Roman" w:hAnsi="Times New Roman" w:cs="Times New Roman"/>
          <w:sz w:val="24"/>
          <w:szCs w:val="24"/>
        </w:rPr>
        <w:t xml:space="preserve"> (2017);</w:t>
      </w:r>
    </w:p>
    <w:p w14:paraId="091F1CDE" w14:textId="77777777" w:rsidR="00746FC0" w:rsidRPr="00043247" w:rsidRDefault="00746FC0" w:rsidP="00746FC0">
      <w:pPr>
        <w:ind w:right="-80" w:firstLine="547"/>
        <w:jc w:val="both"/>
        <w:rPr>
          <w:rFonts w:ascii="Times New Roman" w:eastAsia="Times New Roman" w:hAnsi="Times New Roman" w:cs="Times New Roman"/>
          <w:sz w:val="24"/>
          <w:szCs w:val="24"/>
        </w:rPr>
      </w:pPr>
      <w:r w:rsidRPr="00043247">
        <w:rPr>
          <w:rFonts w:ascii="Times New Roman" w:eastAsia="Times New Roman" w:hAnsi="Times New Roman" w:cs="Times New Roman"/>
          <w:sz w:val="24"/>
          <w:szCs w:val="24"/>
        </w:rPr>
        <w:t xml:space="preserve">5.3.1.6. Rubrika „ICPDR </w:t>
      </w:r>
      <w:proofErr w:type="spellStart"/>
      <w:r w:rsidRPr="00043247">
        <w:rPr>
          <w:rFonts w:ascii="Times New Roman" w:eastAsia="Times New Roman" w:hAnsi="Times New Roman" w:cs="Times New Roman"/>
          <w:sz w:val="24"/>
          <w:szCs w:val="24"/>
        </w:rPr>
        <w:t>Hydropower</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Guiding</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Principles</w:t>
      </w:r>
      <w:proofErr w:type="spellEnd"/>
      <w:r w:rsidRPr="00043247">
        <w:rPr>
          <w:rFonts w:ascii="Times New Roman" w:eastAsia="Times New Roman" w:hAnsi="Times New Roman" w:cs="Times New Roman"/>
          <w:sz w:val="24"/>
          <w:szCs w:val="24"/>
        </w:rPr>
        <w:t>“;</w:t>
      </w:r>
    </w:p>
    <w:p w14:paraId="09A31AB0" w14:textId="77777777" w:rsidR="00746FC0" w:rsidRPr="00043247" w:rsidRDefault="00746FC0" w:rsidP="00746FC0">
      <w:pPr>
        <w:ind w:right="-80" w:firstLine="547"/>
        <w:jc w:val="both"/>
        <w:rPr>
          <w:rFonts w:ascii="Times New Roman" w:eastAsia="Times New Roman" w:hAnsi="Times New Roman" w:cs="Times New Roman"/>
          <w:sz w:val="24"/>
          <w:szCs w:val="24"/>
        </w:rPr>
      </w:pPr>
      <w:r w:rsidRPr="00043247">
        <w:rPr>
          <w:rFonts w:ascii="Times New Roman" w:eastAsia="Times New Roman" w:hAnsi="Times New Roman" w:cs="Times New Roman"/>
          <w:sz w:val="24"/>
          <w:szCs w:val="24"/>
        </w:rPr>
        <w:lastRenderedPageBreak/>
        <w:t xml:space="preserve">5.3.1.7. </w:t>
      </w:r>
      <w:proofErr w:type="spellStart"/>
      <w:r w:rsidRPr="00043247">
        <w:rPr>
          <w:rFonts w:ascii="Times New Roman" w:eastAsia="Times New Roman" w:hAnsi="Times New Roman" w:cs="Times New Roman"/>
          <w:sz w:val="24"/>
          <w:szCs w:val="24"/>
        </w:rPr>
        <w:t>No</w:t>
      </w:r>
      <w:proofErr w:type="spellEnd"/>
      <w:r w:rsidRPr="00043247">
        <w:rPr>
          <w:rFonts w:ascii="Times New Roman" w:eastAsia="Times New Roman" w:hAnsi="Times New Roman" w:cs="Times New Roman"/>
          <w:sz w:val="24"/>
          <w:szCs w:val="24"/>
        </w:rPr>
        <w:t>. 34 “</w:t>
      </w:r>
      <w:proofErr w:type="spellStart"/>
      <w:r w:rsidRPr="00043247">
        <w:rPr>
          <w:rFonts w:ascii="Times New Roman" w:eastAsia="Times New Roman" w:hAnsi="Times New Roman" w:cs="Times New Roman"/>
          <w:sz w:val="24"/>
          <w:szCs w:val="24"/>
        </w:rPr>
        <w:t>On</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the</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application</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of</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water</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balances</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for</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supporting</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the</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implementation</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of</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the</w:t>
      </w:r>
      <w:proofErr w:type="spellEnd"/>
      <w:r w:rsidRPr="00043247">
        <w:rPr>
          <w:rFonts w:ascii="Times New Roman" w:eastAsia="Times New Roman" w:hAnsi="Times New Roman" w:cs="Times New Roman"/>
          <w:sz w:val="24"/>
          <w:szCs w:val="24"/>
        </w:rPr>
        <w:t xml:space="preserve"> WFD”. WFD CIS </w:t>
      </w:r>
      <w:proofErr w:type="spellStart"/>
      <w:r w:rsidRPr="00043247">
        <w:rPr>
          <w:rFonts w:ascii="Times New Roman" w:eastAsia="Times New Roman" w:hAnsi="Times New Roman" w:cs="Times New Roman"/>
          <w:sz w:val="24"/>
          <w:szCs w:val="24"/>
        </w:rPr>
        <w:t>working</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group</w:t>
      </w:r>
      <w:proofErr w:type="spellEnd"/>
      <w:r w:rsidRPr="00043247">
        <w:rPr>
          <w:rFonts w:ascii="Times New Roman" w:eastAsia="Times New Roman" w:hAnsi="Times New Roman" w:cs="Times New Roman"/>
          <w:sz w:val="24"/>
          <w:szCs w:val="24"/>
        </w:rPr>
        <w:t xml:space="preserve"> ECOSTAT </w:t>
      </w:r>
      <w:proofErr w:type="spellStart"/>
      <w:r w:rsidRPr="00043247">
        <w:rPr>
          <w:rFonts w:ascii="Times New Roman" w:eastAsia="Times New Roman" w:hAnsi="Times New Roman" w:cs="Times New Roman"/>
          <w:sz w:val="24"/>
          <w:szCs w:val="24"/>
        </w:rPr>
        <w:t>on</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Common</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understanding</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of</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using</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mitigation</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measures</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for</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reaching</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good</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ecological</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potential</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for</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heavily</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modified</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water</w:t>
      </w:r>
      <w:proofErr w:type="spellEnd"/>
      <w:r w:rsidRPr="00043247">
        <w:rPr>
          <w:rFonts w:ascii="Times New Roman" w:eastAsia="Times New Roman" w:hAnsi="Times New Roman" w:cs="Times New Roman"/>
          <w:sz w:val="24"/>
          <w:szCs w:val="24"/>
        </w:rPr>
        <w:t xml:space="preserve"> bodies </w:t>
      </w:r>
      <w:proofErr w:type="spellStart"/>
      <w:r w:rsidRPr="00043247">
        <w:rPr>
          <w:rFonts w:ascii="Times New Roman" w:eastAsia="Times New Roman" w:hAnsi="Times New Roman" w:cs="Times New Roman"/>
          <w:sz w:val="24"/>
          <w:szCs w:val="24"/>
        </w:rPr>
        <w:t>impacted</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by</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water</w:t>
      </w:r>
      <w:proofErr w:type="spellEnd"/>
      <w:r w:rsidRPr="00043247">
        <w:rPr>
          <w:rFonts w:ascii="Times New Roman" w:eastAsia="Times New Roman" w:hAnsi="Times New Roman" w:cs="Times New Roman"/>
          <w:sz w:val="24"/>
          <w:szCs w:val="24"/>
        </w:rPr>
        <w:t xml:space="preserve"> </w:t>
      </w:r>
      <w:proofErr w:type="spellStart"/>
      <w:r w:rsidRPr="00043247">
        <w:rPr>
          <w:rFonts w:ascii="Times New Roman" w:eastAsia="Times New Roman" w:hAnsi="Times New Roman" w:cs="Times New Roman"/>
          <w:sz w:val="24"/>
          <w:szCs w:val="24"/>
        </w:rPr>
        <w:t>storage</w:t>
      </w:r>
      <w:proofErr w:type="spellEnd"/>
      <w:r w:rsidRPr="00043247">
        <w:rPr>
          <w:rFonts w:ascii="Times New Roman" w:eastAsia="Times New Roman" w:hAnsi="Times New Roman" w:cs="Times New Roman"/>
          <w:sz w:val="24"/>
          <w:szCs w:val="24"/>
        </w:rPr>
        <w:t>.</w:t>
      </w:r>
    </w:p>
    <w:p w14:paraId="51438197" w14:textId="77777777" w:rsidR="00746FC0" w:rsidRPr="00C16975" w:rsidRDefault="00746FC0" w:rsidP="00746FC0">
      <w:pPr>
        <w:ind w:right="-80" w:firstLine="547"/>
        <w:jc w:val="both"/>
        <w:rPr>
          <w:rFonts w:ascii="Times New Roman" w:eastAsia="Times New Roman" w:hAnsi="Times New Roman" w:cs="Times New Roman"/>
          <w:sz w:val="24"/>
          <w:szCs w:val="24"/>
        </w:rPr>
      </w:pPr>
      <w:r w:rsidRPr="00043247">
        <w:rPr>
          <w:rFonts w:ascii="Times New Roman" w:eastAsia="Times New Roman" w:hAnsi="Times New Roman" w:cs="Times New Roman"/>
          <w:sz w:val="24"/>
          <w:szCs w:val="24"/>
        </w:rPr>
        <w:t xml:space="preserve">5.3.1.8.  </w:t>
      </w:r>
      <w:hyperlink r:id="rId22" w:tgtFrame="_blank" w:history="1">
        <w:proofErr w:type="spellStart"/>
        <w:r w:rsidRPr="00043247">
          <w:rPr>
            <w:rFonts w:ascii="Times New Roman" w:eastAsia="Times New Roman" w:hAnsi="Times New Roman" w:cs="Times New Roman"/>
            <w:bCs/>
            <w:sz w:val="24"/>
            <w:szCs w:val="24"/>
          </w:rPr>
          <w:t>No</w:t>
        </w:r>
        <w:proofErr w:type="spellEnd"/>
        <w:r w:rsidRPr="00043247">
          <w:rPr>
            <w:rFonts w:ascii="Times New Roman" w:eastAsia="Times New Roman" w:hAnsi="Times New Roman" w:cs="Times New Roman"/>
            <w:bCs/>
            <w:sz w:val="24"/>
            <w:szCs w:val="24"/>
          </w:rPr>
          <w:t>. 37 ,,</w:t>
        </w:r>
        <w:proofErr w:type="spellStart"/>
        <w:r w:rsidRPr="00043247">
          <w:rPr>
            <w:rFonts w:ascii="Times New Roman" w:eastAsia="Times New Roman" w:hAnsi="Times New Roman" w:cs="Times New Roman"/>
            <w:bCs/>
            <w:sz w:val="24"/>
            <w:szCs w:val="24"/>
          </w:rPr>
          <w:t>Mitigation</w:t>
        </w:r>
        <w:proofErr w:type="spellEnd"/>
        <w:r w:rsidRPr="00043247">
          <w:rPr>
            <w:rFonts w:ascii="Times New Roman" w:eastAsia="Times New Roman" w:hAnsi="Times New Roman" w:cs="Times New Roman"/>
            <w:bCs/>
            <w:sz w:val="24"/>
            <w:szCs w:val="24"/>
          </w:rPr>
          <w:t xml:space="preserve"> </w:t>
        </w:r>
        <w:proofErr w:type="spellStart"/>
        <w:r w:rsidRPr="00043247">
          <w:rPr>
            <w:rFonts w:ascii="Times New Roman" w:eastAsia="Times New Roman" w:hAnsi="Times New Roman" w:cs="Times New Roman"/>
            <w:bCs/>
            <w:sz w:val="24"/>
            <w:szCs w:val="24"/>
          </w:rPr>
          <w:t>Measures</w:t>
        </w:r>
        <w:proofErr w:type="spellEnd"/>
        <w:r w:rsidRPr="00043247">
          <w:rPr>
            <w:rFonts w:ascii="Times New Roman" w:eastAsia="Times New Roman" w:hAnsi="Times New Roman" w:cs="Times New Roman"/>
            <w:bCs/>
            <w:sz w:val="24"/>
            <w:szCs w:val="24"/>
          </w:rPr>
          <w:t xml:space="preserve"> </w:t>
        </w:r>
        <w:proofErr w:type="spellStart"/>
        <w:r w:rsidRPr="00043247">
          <w:rPr>
            <w:rFonts w:ascii="Times New Roman" w:eastAsia="Times New Roman" w:hAnsi="Times New Roman" w:cs="Times New Roman"/>
            <w:bCs/>
            <w:sz w:val="24"/>
            <w:szCs w:val="24"/>
          </w:rPr>
          <w:t>Library</w:t>
        </w:r>
        <w:proofErr w:type="spellEnd"/>
      </w:hyperlink>
      <w:r w:rsidRPr="00043247">
        <w:rPr>
          <w:rFonts w:ascii="Times New Roman" w:eastAsia="Times New Roman" w:hAnsi="Times New Roman" w:cs="Times New Roman"/>
          <w:sz w:val="24"/>
          <w:szCs w:val="24"/>
        </w:rPr>
        <w:t>“.</w:t>
      </w:r>
    </w:p>
    <w:p w14:paraId="25CF6BC7"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5.3.2. GEP nustatomas individualizuotas kiekvienam LPVT, atsižvelgiant į konkretaus vandens telkinio specifines sąlygas, pritaikytinų </w:t>
      </w:r>
      <w:proofErr w:type="spellStart"/>
      <w:r w:rsidRPr="002749FA">
        <w:rPr>
          <w:rFonts w:ascii="Times New Roman" w:eastAsia="Times New Roman" w:hAnsi="Times New Roman" w:cs="Times New Roman"/>
          <w:sz w:val="24"/>
          <w:szCs w:val="24"/>
        </w:rPr>
        <w:t>hidromorfologinio</w:t>
      </w:r>
      <w:proofErr w:type="spellEnd"/>
      <w:r w:rsidRPr="002749FA">
        <w:rPr>
          <w:rFonts w:ascii="Times New Roman" w:eastAsia="Times New Roman" w:hAnsi="Times New Roman" w:cs="Times New Roman"/>
          <w:sz w:val="24"/>
          <w:szCs w:val="24"/>
        </w:rPr>
        <w:t xml:space="preserve"> poveikio švelninimo priemonių (angl. </w:t>
      </w:r>
      <w:proofErr w:type="spellStart"/>
      <w:r w:rsidRPr="002749FA">
        <w:rPr>
          <w:rFonts w:ascii="Times New Roman" w:eastAsia="Times New Roman" w:hAnsi="Times New Roman" w:cs="Times New Roman"/>
          <w:sz w:val="24"/>
          <w:szCs w:val="24"/>
        </w:rPr>
        <w:t>mitigation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measures</w:t>
      </w:r>
      <w:proofErr w:type="spellEnd"/>
      <w:r w:rsidRPr="002749FA">
        <w:rPr>
          <w:rFonts w:ascii="Times New Roman" w:eastAsia="Times New Roman" w:hAnsi="Times New Roman" w:cs="Times New Roman"/>
          <w:sz w:val="24"/>
          <w:szCs w:val="24"/>
        </w:rPr>
        <w:t xml:space="preserve">) teigiamą efektą, esamus monitoringo duomenis ir ekspertinį vertinimą. Vertinant individualų kiekvienam LPVT neigiamo poveikio švelninimo priemonių rinkinį turi būti įvertintas EK parengtas priemonių, skirtų sušvelninti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pakitimų daromą neigiamą poveikį, sąrašas, atsižvelgiant į sąraše esančių priemonių reikalingumą, aktualumą ir pritaikomumą Lietuvoje. Švelninimo priemonės parenkamos iš dokumento „</w:t>
      </w:r>
      <w:proofErr w:type="spellStart"/>
      <w:r w:rsidRPr="002749FA">
        <w:rPr>
          <w:rFonts w:ascii="Times New Roman" w:eastAsia="Times New Roman" w:hAnsi="Times New Roman" w:cs="Times New Roman"/>
          <w:sz w:val="24"/>
          <w:szCs w:val="24"/>
        </w:rPr>
        <w:t>Appendix</w:t>
      </w:r>
      <w:proofErr w:type="spellEnd"/>
      <w:r w:rsidRPr="002749FA">
        <w:rPr>
          <w:rFonts w:ascii="Times New Roman" w:eastAsia="Times New Roman" w:hAnsi="Times New Roman" w:cs="Times New Roman"/>
          <w:sz w:val="24"/>
          <w:szCs w:val="24"/>
        </w:rPr>
        <w:t xml:space="preserve"> to </w:t>
      </w:r>
      <w:proofErr w:type="spellStart"/>
      <w:r w:rsidRPr="002749FA">
        <w:rPr>
          <w:rFonts w:ascii="Times New Roman" w:eastAsia="Times New Roman" w:hAnsi="Times New Roman" w:cs="Times New Roman"/>
          <w:sz w:val="24"/>
          <w:szCs w:val="24"/>
        </w:rPr>
        <w:t>Guidance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Document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No</w:t>
      </w:r>
      <w:proofErr w:type="spellEnd"/>
      <w:r w:rsidRPr="002749FA">
        <w:rPr>
          <w:rFonts w:ascii="Times New Roman" w:eastAsia="Times New Roman" w:hAnsi="Times New Roman" w:cs="Times New Roman"/>
          <w:sz w:val="24"/>
          <w:szCs w:val="24"/>
        </w:rPr>
        <w:t>. 4 „</w:t>
      </w:r>
      <w:proofErr w:type="spellStart"/>
      <w:r w:rsidRPr="002749FA">
        <w:rPr>
          <w:rFonts w:ascii="Times New Roman" w:eastAsia="Times New Roman" w:hAnsi="Times New Roman" w:cs="Times New Roman"/>
          <w:sz w:val="24"/>
          <w:szCs w:val="24"/>
        </w:rPr>
        <w:t>Steps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for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defining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and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assessing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ecological</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potential</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for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improving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comparability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Heavily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Modified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Water</w:t>
      </w:r>
      <w:proofErr w:type="spellEnd"/>
      <w:r w:rsidRPr="002749FA">
        <w:rPr>
          <w:rFonts w:ascii="Times New Roman" w:eastAsia="Times New Roman" w:hAnsi="Times New Roman" w:cs="Times New Roman"/>
          <w:sz w:val="24"/>
          <w:szCs w:val="24"/>
        </w:rPr>
        <w:t xml:space="preserve"> Bodies“</w:t>
      </w:r>
      <w:r>
        <w:rPr>
          <w:rFonts w:ascii="Times New Roman" w:eastAsia="Times New Roman" w:hAnsi="Times New Roman" w:cs="Times New Roman"/>
          <w:sz w:val="24"/>
          <w:szCs w:val="24"/>
        </w:rPr>
        <w:t>,</w:t>
      </w:r>
      <w:r w:rsidRPr="00C16975">
        <w:rPr>
          <w:rFonts w:ascii="Times New Roman" w:eastAsia="Times New Roman" w:hAnsi="Times New Roman" w:cs="Times New Roman"/>
          <w:sz w:val="24"/>
          <w:szCs w:val="24"/>
        </w:rPr>
        <w:t xml:space="preserve"> </w:t>
      </w:r>
      <w:hyperlink r:id="rId23" w:tgtFrame="_blank" w:history="1">
        <w:proofErr w:type="spellStart"/>
        <w:r w:rsidRPr="00043247">
          <w:rPr>
            <w:rFonts w:ascii="Times New Roman" w:eastAsia="Times New Roman" w:hAnsi="Times New Roman" w:cs="Times New Roman"/>
            <w:bCs/>
            <w:sz w:val="24"/>
            <w:szCs w:val="24"/>
          </w:rPr>
          <w:t>No</w:t>
        </w:r>
        <w:proofErr w:type="spellEnd"/>
        <w:r w:rsidRPr="00043247">
          <w:rPr>
            <w:rFonts w:ascii="Times New Roman" w:eastAsia="Times New Roman" w:hAnsi="Times New Roman" w:cs="Times New Roman"/>
            <w:bCs/>
            <w:sz w:val="24"/>
            <w:szCs w:val="24"/>
          </w:rPr>
          <w:t>. 37 ,,</w:t>
        </w:r>
        <w:proofErr w:type="spellStart"/>
        <w:r w:rsidRPr="00043247">
          <w:rPr>
            <w:rFonts w:ascii="Times New Roman" w:eastAsia="Times New Roman" w:hAnsi="Times New Roman" w:cs="Times New Roman"/>
            <w:bCs/>
            <w:sz w:val="24"/>
            <w:szCs w:val="24"/>
          </w:rPr>
          <w:t>Mitigation</w:t>
        </w:r>
        <w:proofErr w:type="spellEnd"/>
        <w:r w:rsidRPr="00043247">
          <w:rPr>
            <w:rFonts w:ascii="Times New Roman" w:eastAsia="Times New Roman" w:hAnsi="Times New Roman" w:cs="Times New Roman"/>
            <w:bCs/>
            <w:sz w:val="24"/>
            <w:szCs w:val="24"/>
          </w:rPr>
          <w:t xml:space="preserve"> </w:t>
        </w:r>
        <w:proofErr w:type="spellStart"/>
        <w:r w:rsidRPr="00043247">
          <w:rPr>
            <w:rFonts w:ascii="Times New Roman" w:eastAsia="Times New Roman" w:hAnsi="Times New Roman" w:cs="Times New Roman"/>
            <w:bCs/>
            <w:sz w:val="24"/>
            <w:szCs w:val="24"/>
          </w:rPr>
          <w:t>Measures</w:t>
        </w:r>
        <w:proofErr w:type="spellEnd"/>
        <w:r w:rsidRPr="00043247">
          <w:rPr>
            <w:rFonts w:ascii="Times New Roman" w:eastAsia="Times New Roman" w:hAnsi="Times New Roman" w:cs="Times New Roman"/>
            <w:bCs/>
            <w:sz w:val="24"/>
            <w:szCs w:val="24"/>
          </w:rPr>
          <w:t xml:space="preserve"> </w:t>
        </w:r>
        <w:proofErr w:type="spellStart"/>
        <w:r w:rsidRPr="00043247">
          <w:rPr>
            <w:rFonts w:ascii="Times New Roman" w:eastAsia="Times New Roman" w:hAnsi="Times New Roman" w:cs="Times New Roman"/>
            <w:bCs/>
            <w:sz w:val="24"/>
            <w:szCs w:val="24"/>
          </w:rPr>
          <w:t>Library</w:t>
        </w:r>
        <w:proofErr w:type="spellEnd"/>
      </w:hyperlink>
      <w:r w:rsidRPr="000432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749FA">
        <w:rPr>
          <w:rFonts w:ascii="Times New Roman" w:eastAsia="Times New Roman" w:hAnsi="Times New Roman" w:cs="Times New Roman"/>
          <w:sz w:val="24"/>
          <w:szCs w:val="24"/>
        </w:rPr>
        <w:t>ar kitų papildomų šaltinių, apžvelgiant kuo didesnę įmanomų priemonių imtį ir jų tinkamumą konkrečioje vietoje ir situacijoje. Svarbiausios jų turi užtikrinti kaip galimą natūralesnį hidrologinį režimą (vandens praleidimą pagal tranzitinio debito sampratą t.y. kad per užtvankas praleidžiamas upės debitas būtų artimas atitekančiam vandens debitui, ir jo kitimas priklausytų tik nuo gamtinių sąlygų), vientisumą (žuvų migraciją pirmyn ir atgal, kitų organizmų migracijos galimybes) ir kt. Švelninančių priemonių turi reikšmingai nepaveikti vandens naudojimo, susijusio su atlikta modifikacija, tačiau maksimaliai pagerinti vandens telkinio būklę.</w:t>
      </w:r>
    </w:p>
    <w:p w14:paraId="216676AE"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5.3.3. LPVT nustatymo pagrindas – konkretaus vandens telkinio realiai fiksuojamas neatitikimas gerai ekologinei būklei dėl </w:t>
      </w:r>
      <w:proofErr w:type="spellStart"/>
      <w:r w:rsidRPr="002749FA">
        <w:rPr>
          <w:rFonts w:ascii="Times New Roman" w:eastAsia="Times New Roman" w:hAnsi="Times New Roman" w:cs="Times New Roman"/>
          <w:sz w:val="24"/>
          <w:szCs w:val="24"/>
        </w:rPr>
        <w:t>hidromorfologinio</w:t>
      </w:r>
      <w:proofErr w:type="spellEnd"/>
      <w:r w:rsidRPr="002749FA">
        <w:rPr>
          <w:rFonts w:ascii="Times New Roman" w:eastAsia="Times New Roman" w:hAnsi="Times New Roman" w:cs="Times New Roman"/>
          <w:sz w:val="24"/>
          <w:szCs w:val="24"/>
        </w:rPr>
        <w:t xml:space="preserve"> poveikio, kur jį galima atskirti išskirti (jeigu nėra kitų poveikių arba kiti poveikiai netrukdo atskirti </w:t>
      </w:r>
      <w:proofErr w:type="spellStart"/>
      <w:r w:rsidRPr="002749FA">
        <w:rPr>
          <w:rFonts w:ascii="Times New Roman" w:eastAsia="Times New Roman" w:hAnsi="Times New Roman" w:cs="Times New Roman"/>
          <w:sz w:val="24"/>
          <w:szCs w:val="24"/>
        </w:rPr>
        <w:t>hidromorfologinio</w:t>
      </w:r>
      <w:proofErr w:type="spellEnd"/>
      <w:r w:rsidRPr="002749FA">
        <w:rPr>
          <w:rFonts w:ascii="Times New Roman" w:eastAsia="Times New Roman" w:hAnsi="Times New Roman" w:cs="Times New Roman"/>
          <w:sz w:val="24"/>
          <w:szCs w:val="24"/>
        </w:rPr>
        <w:t xml:space="preserve"> poveikio);</w:t>
      </w:r>
    </w:p>
    <w:p w14:paraId="72E3AC54"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5.3.4. </w:t>
      </w:r>
      <w:proofErr w:type="spellStart"/>
      <w:r w:rsidRPr="002749FA">
        <w:rPr>
          <w:rFonts w:ascii="Times New Roman" w:eastAsia="Times New Roman" w:hAnsi="Times New Roman" w:cs="Times New Roman"/>
          <w:sz w:val="24"/>
          <w:szCs w:val="24"/>
        </w:rPr>
        <w:t>Hidromorfologinio</w:t>
      </w:r>
      <w:proofErr w:type="spellEnd"/>
      <w:r w:rsidRPr="002749FA">
        <w:rPr>
          <w:rFonts w:ascii="Times New Roman" w:eastAsia="Times New Roman" w:hAnsi="Times New Roman" w:cs="Times New Roman"/>
          <w:sz w:val="24"/>
          <w:szCs w:val="24"/>
        </w:rPr>
        <w:t xml:space="preserve"> poveikio vandens telkiniams vertinimo procesas turi atsižvelgti tiek į lokalius, tiek ir baseino lygmens bei kumuliatyvius poveikius;</w:t>
      </w:r>
    </w:p>
    <w:p w14:paraId="2356F86C"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5.3.5. Vertinant </w:t>
      </w:r>
      <w:proofErr w:type="spellStart"/>
      <w:r w:rsidRPr="002749FA">
        <w:rPr>
          <w:rFonts w:ascii="Times New Roman" w:eastAsia="Times New Roman" w:hAnsi="Times New Roman" w:cs="Times New Roman"/>
          <w:sz w:val="24"/>
          <w:szCs w:val="24"/>
        </w:rPr>
        <w:t>hidromorfologinius</w:t>
      </w:r>
      <w:proofErr w:type="spellEnd"/>
      <w:r w:rsidRPr="002749FA">
        <w:rPr>
          <w:rFonts w:ascii="Times New Roman" w:eastAsia="Times New Roman" w:hAnsi="Times New Roman" w:cs="Times New Roman"/>
          <w:sz w:val="24"/>
          <w:szCs w:val="24"/>
        </w:rPr>
        <w:t xml:space="preserve"> poveikius būtina atsižvelgti į poveikius upių išilginiam bei horizontaliam (su salpomis) vientisumui. Išilginio vientisumo kontekste turi būti vertinamos žuvų migracijos galimybės tiek „į viršų“, tiek ir „žemyn“, bei migracijos galimybės dugno bestuburių, makrofitų ir kitų biologinių kokybės elementų atžvilgiu. Horizontalaus vientisumo vertinimo pagrindas – galimybės upių vandeniui natūraliai išsilieti savo slėniuose. </w:t>
      </w:r>
    </w:p>
    <w:p w14:paraId="5A84FBE8"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5.3.6. Vandens telkinio priskyrimo LPVT pagrįstumo procese turi būti įvertintos vandens telkinio restauravimo priemonių (pašalinant atliktas </w:t>
      </w:r>
      <w:proofErr w:type="spellStart"/>
      <w:r w:rsidRPr="002749FA">
        <w:rPr>
          <w:rFonts w:ascii="Times New Roman" w:eastAsia="Times New Roman" w:hAnsi="Times New Roman" w:cs="Times New Roman"/>
          <w:sz w:val="24"/>
          <w:szCs w:val="24"/>
        </w:rPr>
        <w:t>hidromorfologines</w:t>
      </w:r>
      <w:proofErr w:type="spellEnd"/>
      <w:r w:rsidRPr="002749FA">
        <w:rPr>
          <w:rFonts w:ascii="Times New Roman" w:eastAsia="Times New Roman" w:hAnsi="Times New Roman" w:cs="Times New Roman"/>
          <w:sz w:val="24"/>
          <w:szCs w:val="24"/>
        </w:rPr>
        <w:t xml:space="preserve"> modifikacijas) pritaikymo galimybės, </w:t>
      </w:r>
      <w:proofErr w:type="spellStart"/>
      <w:r w:rsidRPr="002749FA">
        <w:rPr>
          <w:rFonts w:ascii="Times New Roman" w:eastAsia="Times New Roman" w:hAnsi="Times New Roman" w:cs="Times New Roman"/>
          <w:sz w:val="24"/>
          <w:szCs w:val="24"/>
        </w:rPr>
        <w:t>hidromorfologinių</w:t>
      </w:r>
      <w:proofErr w:type="spellEnd"/>
      <w:r w:rsidRPr="002749FA">
        <w:rPr>
          <w:rFonts w:ascii="Times New Roman" w:eastAsia="Times New Roman" w:hAnsi="Times New Roman" w:cs="Times New Roman"/>
          <w:sz w:val="24"/>
          <w:szCs w:val="24"/>
        </w:rPr>
        <w:t xml:space="preserve"> modifikacijų tvarumas, sukuriami kaštai (žala), modifikacijų pašalinimo poveikis jų teikiamai naudai, dabartiniam vandens naudojimui, </w:t>
      </w:r>
      <w:r w:rsidRPr="00043247">
        <w:rPr>
          <w:rFonts w:ascii="Times New Roman" w:eastAsia="Times New Roman" w:hAnsi="Times New Roman" w:cs="Times New Roman"/>
          <w:sz w:val="24"/>
          <w:szCs w:val="24"/>
        </w:rPr>
        <w:t xml:space="preserve">platesnei aplinkai bei tos pačios naudos sukūrimo palankesnėmis aplinkai priemonėmis galimybės. Šiame procese modifikacijų svarba ir jų panaikinimo poveikis turi būti įvertinti ne tik lokaliu, bet regioniniu-nacionaliniu lygmeniu, taip pat atsižvelgiant ne į poveikį konkrečiam ekonominiam vienetui, bet į poveikį vietinėms bendruomenėms ir vietinei ekonomikai (lokalus lygmuo) bei visam atitinkamam nacionaliniam-regioniniam sektoriui, visuomenei (nacionalinis-regioninis lygmuo). </w:t>
      </w:r>
      <w:proofErr w:type="spellStart"/>
      <w:r w:rsidRPr="00043247">
        <w:rPr>
          <w:rFonts w:ascii="Times New Roman" w:eastAsia="Times New Roman" w:hAnsi="Times New Roman" w:cs="Times New Roman"/>
          <w:sz w:val="24"/>
          <w:szCs w:val="24"/>
        </w:rPr>
        <w:lastRenderedPageBreak/>
        <w:t>Hidromorfologinių</w:t>
      </w:r>
      <w:proofErr w:type="spellEnd"/>
      <w:r w:rsidRPr="00043247">
        <w:rPr>
          <w:rFonts w:ascii="Times New Roman" w:eastAsia="Times New Roman" w:hAnsi="Times New Roman" w:cs="Times New Roman"/>
          <w:sz w:val="24"/>
          <w:szCs w:val="24"/>
        </w:rPr>
        <w:t xml:space="preserve"> modifikacijų tvarumas turi būti įvertintas pagal tvarios raidos nuostatas, vyravusias modifikacijų planavimo metu, jeigu jos vyko iki 2003 m. Nuo 2003 m. vykdytam</w:t>
      </w:r>
      <w:r w:rsidRPr="002749FA">
        <w:rPr>
          <w:rFonts w:ascii="Times New Roman" w:eastAsia="Times New Roman" w:hAnsi="Times New Roman" w:cs="Times New Roman"/>
          <w:sz w:val="24"/>
          <w:szCs w:val="24"/>
        </w:rPr>
        <w:t xml:space="preserve"> modifikacijų planavimui ir vykdymui taikytina pagal BVPD principus apibrėžta tvarumo koncepcija. Alternatyvų techninis-ekonominis proporcingumas suteikti tą pačią naudą, kurią sukuria modifikacijos, turi būti įvertintos ir pagrįstos atsižvelgiant į naujausius technologinius pasiekimus, jų paplitimą ir prieinamumą užsienyje ir Lietuvoje, pavyzdžiui, alternatyvas hidroenergijai (vėjo, biomasės, saulės).</w:t>
      </w:r>
    </w:p>
    <w:p w14:paraId="3AC0E7B8"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5.3.7. Atsižvelgiant į šio uždavinio vykdymo metu nustatytas skirtingas tipines situacijas, parengti rekomendacijas dėl </w:t>
      </w:r>
      <w:proofErr w:type="spellStart"/>
      <w:r w:rsidRPr="002749FA">
        <w:rPr>
          <w:rFonts w:ascii="Times New Roman" w:eastAsia="Times New Roman" w:hAnsi="Times New Roman" w:cs="Times New Roman"/>
          <w:sz w:val="24"/>
          <w:szCs w:val="24"/>
        </w:rPr>
        <w:t>hidromorfologinį</w:t>
      </w:r>
      <w:proofErr w:type="spellEnd"/>
      <w:r w:rsidRPr="002749FA">
        <w:rPr>
          <w:rFonts w:ascii="Times New Roman" w:eastAsia="Times New Roman" w:hAnsi="Times New Roman" w:cs="Times New Roman"/>
          <w:sz w:val="24"/>
          <w:szCs w:val="24"/>
        </w:rPr>
        <w:t xml:space="preserve"> poveikį švelninančių priemonių parinkimo užtvankoms ir HE bei tranzitinio debito praleidimo užtikrinimo, nurodant gaires kaip atitekantį tranzitinį debitą mažiausiomis išlaidomis bet pakankamai tiksliai nustatyti, jį praleisti ir jo praleidimo užtikrinimą sukontroliuoti. </w:t>
      </w:r>
    </w:p>
    <w:p w14:paraId="5F6B5466" w14:textId="791E4C13" w:rsidR="00746FC0" w:rsidRPr="00A41088" w:rsidRDefault="00746FC0" w:rsidP="00A41088">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5.3.8. Visos šio uždavinio veiklos turi būti vykdomos vadovaujantis esamais surinktais duomenimis, todėl papildomų tik</w:t>
      </w:r>
      <w:r w:rsidR="00A41088">
        <w:rPr>
          <w:rFonts w:ascii="Times New Roman" w:eastAsia="Times New Roman" w:hAnsi="Times New Roman" w:cs="Times New Roman"/>
          <w:sz w:val="24"/>
          <w:szCs w:val="24"/>
        </w:rPr>
        <w:t>slinių tyrimų atlikti nereikia.</w:t>
      </w:r>
    </w:p>
    <w:p w14:paraId="3391AD30" w14:textId="77777777" w:rsidR="00746FC0" w:rsidRPr="002749FA" w:rsidRDefault="00746FC0" w:rsidP="00746FC0">
      <w:pPr>
        <w:spacing w:line="240" w:lineRule="auto"/>
        <w:ind w:right="-80" w:firstLine="544"/>
        <w:jc w:val="both"/>
        <w:rPr>
          <w:rFonts w:ascii="Times New Roman" w:eastAsia="Times New Roman" w:hAnsi="Times New Roman" w:cs="Times New Roman"/>
          <w:sz w:val="24"/>
          <w:szCs w:val="24"/>
        </w:rPr>
      </w:pPr>
      <w:r w:rsidRPr="002749FA">
        <w:rPr>
          <w:rFonts w:ascii="Times New Roman" w:eastAsia="Times New Roman" w:hAnsi="Times New Roman" w:cs="Times New Roman"/>
          <w:b/>
          <w:sz w:val="24"/>
          <w:szCs w:val="24"/>
        </w:rPr>
        <w:t>6 uždavinys. Išsiaiškinti geros būklės neatitikimo priežastis ežerų ir tvenkinių, tarpinių, priekrantės bei, atskirais atvejais, upių kategorijos vandens telkiniuose ir jų baseinuose</w:t>
      </w:r>
    </w:p>
    <w:p w14:paraId="76ADE5FF" w14:textId="77777777" w:rsidR="00746FC0" w:rsidRPr="002749FA" w:rsidRDefault="00746FC0" w:rsidP="00746FC0">
      <w:pPr>
        <w:spacing w:line="240" w:lineRule="auto"/>
        <w:ind w:firstLine="544"/>
        <w:jc w:val="both"/>
        <w:rPr>
          <w:rFonts w:ascii="Times New Roman" w:eastAsia="Times New Roman" w:hAnsi="Times New Roman" w:cs="Times New Roman"/>
          <w:sz w:val="24"/>
          <w:szCs w:val="24"/>
          <w:u w:val="single"/>
        </w:rPr>
      </w:pPr>
      <w:r w:rsidRPr="002749FA">
        <w:rPr>
          <w:rFonts w:ascii="Times New Roman" w:eastAsia="Times New Roman" w:hAnsi="Times New Roman" w:cs="Times New Roman"/>
          <w:sz w:val="24"/>
          <w:szCs w:val="24"/>
          <w:u w:val="single"/>
        </w:rPr>
        <w:t>6 uždavinio veiklos:</w:t>
      </w:r>
    </w:p>
    <w:p w14:paraId="085D667E" w14:textId="77777777" w:rsidR="00746FC0" w:rsidRPr="002749FA" w:rsidRDefault="00746FC0" w:rsidP="00746FC0">
      <w:pPr>
        <w:ind w:right="-80" w:firstLine="544"/>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 xml:space="preserve">6.1. </w:t>
      </w:r>
      <w:proofErr w:type="spellStart"/>
      <w:r w:rsidRPr="00D660F0">
        <w:rPr>
          <w:rFonts w:ascii="Times New Roman" w:eastAsia="Times New Roman" w:hAnsi="Times New Roman" w:cs="Times New Roman"/>
          <w:sz w:val="24"/>
          <w:szCs w:val="24"/>
        </w:rPr>
        <w:t>Ekspertiškai</w:t>
      </w:r>
      <w:proofErr w:type="spellEnd"/>
      <w:r w:rsidRPr="00D660F0">
        <w:rPr>
          <w:rFonts w:ascii="Times New Roman" w:eastAsia="Times New Roman" w:hAnsi="Times New Roman" w:cs="Times New Roman"/>
          <w:sz w:val="24"/>
          <w:szCs w:val="24"/>
        </w:rPr>
        <w:t xml:space="preserve"> nustatyti ežerų ir tvenkinių, kurie pagal 2.3 ir 2.5 veiklų, vykdytų įgyvendinant</w:t>
      </w:r>
      <w:r w:rsidRPr="002749FA">
        <w:rPr>
          <w:rFonts w:ascii="Times New Roman" w:eastAsia="Times New Roman" w:hAnsi="Times New Roman" w:cs="Times New Roman"/>
          <w:sz w:val="24"/>
          <w:szCs w:val="24"/>
        </w:rPr>
        <w:t xml:space="preserve"> 2 uždavinį, rezultatus neatitinka geros būklės, geros būklės neatitikimo priežastis. Vykdant šią veiklą turi būti įvertinta Perkančiosios organizacijos pateikta informacija apie: a) jos atliktą geros būklės neatitikimo priežasčių preliminarų vertinimą, kiek tai siejasi su tarša ir padidintomis teršiančių medžiagų koncentracijomis ežerų ar tvenkinių vandenyje; b) sutelktosios ir pasklidosios taršos patekimą į geros būklės neatitinkančius vandens telkinius iš jų surinkimo baseinų; c) šiuose baseinuose esančią žemėnaudą ir pasėlius; d) sumodeliuotas preliminarias biogeninių azoto ir fosforo junginių koncentracijas į šiuos vandens telkinius įtekančiose upėse; e) kitą galimai pateiktą kontekstinę su poveikio vertinimu susijusią informaciją.</w:t>
      </w:r>
    </w:p>
    <w:p w14:paraId="0231B72F" w14:textId="77777777" w:rsidR="00746FC0" w:rsidRPr="002749FA" w:rsidRDefault="00746FC0" w:rsidP="00746FC0">
      <w:pPr>
        <w:ind w:right="-80" w:firstLine="544"/>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 xml:space="preserve">6.2. </w:t>
      </w:r>
      <w:proofErr w:type="spellStart"/>
      <w:r w:rsidRPr="00D660F0">
        <w:rPr>
          <w:rFonts w:ascii="Times New Roman" w:eastAsia="Times New Roman" w:hAnsi="Times New Roman" w:cs="Times New Roman"/>
          <w:sz w:val="24"/>
          <w:szCs w:val="24"/>
        </w:rPr>
        <w:t>Ekspertiškai</w:t>
      </w:r>
      <w:proofErr w:type="spellEnd"/>
      <w:r w:rsidRPr="00D660F0">
        <w:rPr>
          <w:rFonts w:ascii="Times New Roman" w:eastAsia="Times New Roman" w:hAnsi="Times New Roman" w:cs="Times New Roman"/>
          <w:sz w:val="24"/>
          <w:szCs w:val="24"/>
        </w:rPr>
        <w:t xml:space="preserve"> nustatyti pagal upių kategorijos vandens telkinių, kuriuose 2.3 ir 2.5 veiklų, vykdytų</w:t>
      </w:r>
      <w:r w:rsidRPr="002749FA">
        <w:rPr>
          <w:rFonts w:ascii="Times New Roman" w:eastAsia="Times New Roman" w:hAnsi="Times New Roman" w:cs="Times New Roman"/>
          <w:sz w:val="24"/>
          <w:szCs w:val="24"/>
        </w:rPr>
        <w:t xml:space="preserve"> įgyvendinant 2 uždavinį, rezultatus gera būklė nepasiekiama dėl geros būklės neatitinkančių biologinių kokybės elementų, geros būklės neatitikimo priežastis. Vykdant šią veiklą turi būti įvertinta Perkančiosios organizacijos pateikta informacija apie: a) Perkančiosios organizacijos atliktą geros būklės neatitikimo priežasčių preliminarų vertinimą, kiek tai siejasi su tarša ir padidintomis teršiančių medžiagų koncentracijomis upių vandenyje; b) sutelktosios ir pasklidosios taršos patekimą į geros būklės neatitinkančius vandens telkinius iš jų surinkimo baseinų; c) šiuose baseinuose esančią žemėnaudą ir pasėlius; d) sumodeliuotas preliminarias biogeninių azoto ir fosforo junginių koncentracijas upėse; e) kitą galimai pateiktą su poveikio vertinimu susijusią informaciją.</w:t>
      </w:r>
    </w:p>
    <w:p w14:paraId="484D3D85" w14:textId="77777777" w:rsidR="00746FC0" w:rsidRPr="00D660F0" w:rsidRDefault="00746FC0" w:rsidP="00746FC0">
      <w:pPr>
        <w:ind w:right="-80" w:firstLine="54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6.3. Vadovaujantis 2 uždavinyje atliktu integruotu ežerų ekologinės būklės vertinimu,  Perkančiosios organizacijos pateikta žmogaus veiklos poveikio vertinimo informacija ir ekspertinėmis žiniomis apie ežerų ekosistemų funkcionavimą, pateikti ekspertines išvadas dėl priežasčių, kurios lėmė geros būklės neatitikimą ežeruose.</w:t>
      </w:r>
    </w:p>
    <w:p w14:paraId="563E010B" w14:textId="77777777" w:rsidR="00746FC0" w:rsidRPr="00D660F0" w:rsidRDefault="00746FC0" w:rsidP="00746FC0">
      <w:pPr>
        <w:ind w:right="-80" w:firstLine="54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lastRenderedPageBreak/>
        <w:t xml:space="preserve">6.4. Pagal Perkančiosios organizacijos pateiktus duomenis ir informaciją, Paslaugų teikėjui prieinamą mokslinių institucijų turimą iki šiol įvykdytų mokslinių tyrimų ir atliktų studijų informaciją, nustatyti pagrindines geros būklės neatitikimo tarpiniuose ir priekrantės vandenyse priežastis – kiek lemia </w:t>
      </w:r>
      <w:proofErr w:type="spellStart"/>
      <w:r w:rsidRPr="00D660F0">
        <w:rPr>
          <w:rFonts w:ascii="Times New Roman" w:eastAsia="Times New Roman" w:hAnsi="Times New Roman" w:cs="Times New Roman"/>
          <w:sz w:val="24"/>
          <w:szCs w:val="24"/>
        </w:rPr>
        <w:t>prietaka</w:t>
      </w:r>
      <w:proofErr w:type="spellEnd"/>
      <w:r w:rsidRPr="00D660F0">
        <w:rPr>
          <w:rFonts w:ascii="Times New Roman" w:eastAsia="Times New Roman" w:hAnsi="Times New Roman" w:cs="Times New Roman"/>
          <w:sz w:val="24"/>
          <w:szCs w:val="24"/>
        </w:rPr>
        <w:t xml:space="preserve"> iš baseino; kiek susikaupę teršalai vandens telkinio dugno nuosėdose ir kiti vidiniai procesai vandens ekosistemose; nusėdimas iš atmosferos; azoto fiksavimas; azoto, fosforo ir silicio santykis; tarptautinė tarša ar kitos priežastys.</w:t>
      </w:r>
    </w:p>
    <w:p w14:paraId="23BAD8CB"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6.5.</w:t>
      </w:r>
      <w:r w:rsidRPr="002749FA">
        <w:rPr>
          <w:rFonts w:ascii="Times New Roman" w:eastAsia="Times New Roman" w:hAnsi="Times New Roman" w:cs="Times New Roman"/>
          <w:sz w:val="24"/>
          <w:szCs w:val="24"/>
        </w:rPr>
        <w:t xml:space="preserve"> Atsižvelgiant į atnaujintą informaciją apie vandens telkinių būklę ir poveikius jiems bei monitoringo programos atnaujinimo poreikius atlikti vandens telkinių pergrupavimą (išskyrimo atnaujinimą) pagal vandens telkinio tipą, žmogaus veiklos poveikio pobūdį ir intensyvumą. </w:t>
      </w:r>
    </w:p>
    <w:p w14:paraId="076598CE" w14:textId="72D7B69B" w:rsidR="00746FC0" w:rsidRPr="002749FA" w:rsidRDefault="00746FC0" w:rsidP="00A41088">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6.6. Visos šio uždavinio veiklos turi būti vykdomos vadovaujantis esamais surinktais duomenimis, todėl papildomų tik</w:t>
      </w:r>
      <w:r w:rsidR="00A41088">
        <w:rPr>
          <w:rFonts w:ascii="Times New Roman" w:eastAsia="Times New Roman" w:hAnsi="Times New Roman" w:cs="Times New Roman"/>
          <w:sz w:val="24"/>
          <w:szCs w:val="24"/>
        </w:rPr>
        <w:t>slinių tyrimų atlikti nereikia.</w:t>
      </w:r>
    </w:p>
    <w:p w14:paraId="5FA3D0D4" w14:textId="77777777" w:rsidR="00746FC0" w:rsidRPr="002749FA" w:rsidRDefault="00746FC0" w:rsidP="00746FC0">
      <w:pPr>
        <w:ind w:right="-80" w:firstLine="54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7 uždavinys. Atlikti vandens naudojimo ir sąnaudų susigrąžinimo už vandens paslaugų teikimą Nemuno, Ventos, Lielupės ir Dauguvos UBR analizę</w:t>
      </w:r>
    </w:p>
    <w:p w14:paraId="2A8F457C"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u w:val="single"/>
        </w:rPr>
        <w:t>7 uždavinio veiklos</w:t>
      </w:r>
      <w:r w:rsidRPr="002749FA">
        <w:rPr>
          <w:rFonts w:ascii="Times New Roman" w:eastAsia="Times New Roman" w:hAnsi="Times New Roman" w:cs="Times New Roman"/>
          <w:sz w:val="24"/>
          <w:szCs w:val="24"/>
        </w:rPr>
        <w:t>:</w:t>
      </w:r>
    </w:p>
    <w:p w14:paraId="5569722C"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7.1. Įvertinti kaimyninių šalių (Latvijos, Estijos ir Lenkijos) metodikas, taikomas atliekant vandens naudojimo ekonominę analizę ir vertinant sąnaudų, patirtų teikiant vandens paslaugas, susigrąžinimą, ir pateikti išvadas dėl šių metodikų aspektų, tinkamų ir tikslingų pritaikyti Lietuvos atveju;</w:t>
      </w:r>
    </w:p>
    <w:p w14:paraId="494DF0CE"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7.2. Įvertinti Komisijos atliktą šalių narių antrojo ciklo UBR valdymo planų ekonominės dalies įvertinimą, jeigu toks iki šios veiklos vykdymo pradžios jau bus atliktas, ir pateikti išvadas dėl reikalingų pokyčių Lietuvos naudotoje metodikoje;</w:t>
      </w:r>
    </w:p>
    <w:p w14:paraId="4E1BDB1D"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7.3. Atlikti vandens naudojimo ir sąnaudų susigrąžinimo už vandens paslaugų teikimą situacijos upių baseinų rajonuose analizę. Nebaigtinis dokumentų, šaltinių, į kuriuos turi būti atsižvelgta atliekant vandens naudojimo ir sąnaudų susigrąžinimo už vandens paslaugų teikimą vertinimą, sąrašas:</w:t>
      </w:r>
    </w:p>
    <w:p w14:paraId="1DB1BDEE"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7.3.1. Šio uždavinio 7.1-7.2 veiklų punktų rezultatai;</w:t>
      </w:r>
    </w:p>
    <w:p w14:paraId="46D0177F"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7.3.2. Aplinkos ministro 2003 m. rugsėjo 25 d. įsakymu Nr. 472 „Dėl Upių baseinų rajonų apibūdinimo, žmogaus veiklos poveikio vandens telkinių būklei įvertinimo, vandens naudojimo ekonominės analizės ir duomenų apie upių baseinų rajonus rinkimo tvarkos patvirtinimo“ patvirtinta tvarka;</w:t>
      </w:r>
    </w:p>
    <w:p w14:paraId="38223A47"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7.3.3. </w:t>
      </w:r>
      <w:proofErr w:type="spellStart"/>
      <w:r w:rsidRPr="002749FA">
        <w:rPr>
          <w:rFonts w:ascii="Times New Roman" w:eastAsia="Times New Roman" w:hAnsi="Times New Roman" w:cs="Times New Roman"/>
          <w:sz w:val="24"/>
          <w:szCs w:val="24"/>
        </w:rPr>
        <w:t>Economics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and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environment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implementation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challenge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Water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Framework</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Directive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Guidance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document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no</w:t>
      </w:r>
      <w:proofErr w:type="spellEnd"/>
      <w:r w:rsidRPr="002749FA">
        <w:rPr>
          <w:rFonts w:ascii="Times New Roman" w:eastAsia="Times New Roman" w:hAnsi="Times New Roman" w:cs="Times New Roman"/>
          <w:sz w:val="24"/>
          <w:szCs w:val="24"/>
        </w:rPr>
        <w:t xml:space="preserve">. 1 </w:t>
      </w:r>
      <w:proofErr w:type="spellStart"/>
      <w:r w:rsidRPr="002749FA">
        <w:rPr>
          <w:rFonts w:ascii="Times New Roman" w:eastAsia="Times New Roman" w:hAnsi="Times New Roman" w:cs="Times New Roman"/>
          <w:sz w:val="24"/>
          <w:szCs w:val="24"/>
        </w:rPr>
        <w:t>prepared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by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Working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Group</w:t>
      </w:r>
      <w:proofErr w:type="spellEnd"/>
      <w:r w:rsidRPr="002749FA">
        <w:rPr>
          <w:rFonts w:ascii="Times New Roman" w:eastAsia="Times New Roman" w:hAnsi="Times New Roman" w:cs="Times New Roman"/>
          <w:sz w:val="24"/>
          <w:szCs w:val="24"/>
        </w:rPr>
        <w:t xml:space="preserve"> 2.6 – WATECO </w:t>
      </w:r>
      <w:proofErr w:type="spellStart"/>
      <w:r w:rsidRPr="002749FA">
        <w:rPr>
          <w:rFonts w:ascii="Times New Roman" w:eastAsia="Times New Roman" w:hAnsi="Times New Roman" w:cs="Times New Roman"/>
          <w:sz w:val="24"/>
          <w:szCs w:val="24"/>
        </w:rPr>
        <w:t>Common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Implementation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Strategy</w:t>
      </w:r>
      <w:proofErr w:type="spellEnd"/>
      <w:r w:rsidRPr="002749FA">
        <w:rPr>
          <w:rFonts w:ascii="Times New Roman" w:eastAsia="Times New Roman" w:hAnsi="Times New Roman" w:cs="Times New Roman"/>
          <w:sz w:val="24"/>
          <w:szCs w:val="24"/>
        </w:rPr>
        <w:t>. 2003;</w:t>
      </w:r>
    </w:p>
    <w:p w14:paraId="14229927"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7.3.4. CIS </w:t>
      </w:r>
      <w:proofErr w:type="spellStart"/>
      <w:r w:rsidRPr="002749FA">
        <w:rPr>
          <w:rFonts w:ascii="Times New Roman" w:eastAsia="Times New Roman" w:hAnsi="Times New Roman" w:cs="Times New Roman"/>
          <w:sz w:val="24"/>
          <w:szCs w:val="24"/>
        </w:rPr>
        <w:t>guidance</w:t>
      </w:r>
      <w:proofErr w:type="spellEnd"/>
      <w:r w:rsidRPr="002749FA">
        <w:rPr>
          <w:rFonts w:ascii="Times New Roman" w:eastAsia="Times New Roman" w:hAnsi="Times New Roman" w:cs="Times New Roman"/>
          <w:sz w:val="24"/>
          <w:szCs w:val="24"/>
        </w:rPr>
        <w:t xml:space="preserve"> No.3. </w:t>
      </w:r>
      <w:proofErr w:type="spellStart"/>
      <w:r w:rsidRPr="002749FA">
        <w:rPr>
          <w:rFonts w:ascii="Times New Roman" w:eastAsia="Times New Roman" w:hAnsi="Times New Roman" w:cs="Times New Roman"/>
          <w:sz w:val="24"/>
          <w:szCs w:val="24"/>
        </w:rPr>
        <w:t>Analysis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pressures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and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impacts</w:t>
      </w:r>
      <w:proofErr w:type="spellEnd"/>
      <w:r w:rsidRPr="002749FA">
        <w:rPr>
          <w:rFonts w:ascii="Times New Roman" w:eastAsia="Times New Roman" w:hAnsi="Times New Roman" w:cs="Times New Roman"/>
          <w:sz w:val="24"/>
          <w:szCs w:val="24"/>
        </w:rPr>
        <w:t>;</w:t>
      </w:r>
    </w:p>
    <w:p w14:paraId="0E5A1B1A"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lastRenderedPageBreak/>
        <w:t xml:space="preserve">7.3.5. </w:t>
      </w:r>
      <w:proofErr w:type="spellStart"/>
      <w:r w:rsidRPr="002749FA">
        <w:rPr>
          <w:rFonts w:ascii="Times New Roman" w:eastAsia="Times New Roman" w:hAnsi="Times New Roman" w:cs="Times New Roman"/>
          <w:sz w:val="24"/>
          <w:szCs w:val="24"/>
        </w:rPr>
        <w:t>Information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Sheet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Assessment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Recovery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Costs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for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Water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Services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for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2004 </w:t>
      </w:r>
      <w:proofErr w:type="spellStart"/>
      <w:r w:rsidRPr="002749FA">
        <w:rPr>
          <w:rFonts w:ascii="Times New Roman" w:eastAsia="Times New Roman" w:hAnsi="Times New Roman" w:cs="Times New Roman"/>
          <w:sz w:val="24"/>
          <w:szCs w:val="24"/>
        </w:rPr>
        <w:t>River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Basin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Characterisation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Report</w:t>
      </w:r>
      <w:proofErr w:type="spellEnd"/>
      <w:r w:rsidRPr="002749FA">
        <w:rPr>
          <w:rFonts w:ascii="Times New Roman" w:eastAsia="Times New Roman" w:hAnsi="Times New Roman" w:cs="Times New Roman"/>
          <w:sz w:val="24"/>
          <w:szCs w:val="24"/>
        </w:rPr>
        <w:t xml:space="preserve"> (Art 9). </w:t>
      </w:r>
      <w:proofErr w:type="spellStart"/>
      <w:r w:rsidRPr="002749FA">
        <w:rPr>
          <w:rFonts w:ascii="Times New Roman" w:eastAsia="Times New Roman" w:hAnsi="Times New Roman" w:cs="Times New Roman"/>
          <w:sz w:val="24"/>
          <w:szCs w:val="24"/>
        </w:rPr>
        <w:t>Information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sheet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prepared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by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Drafting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Group</w:t>
      </w:r>
      <w:proofErr w:type="spellEnd"/>
      <w:r w:rsidRPr="002749FA">
        <w:rPr>
          <w:rFonts w:ascii="Times New Roman" w:eastAsia="Times New Roman" w:hAnsi="Times New Roman" w:cs="Times New Roman"/>
          <w:sz w:val="24"/>
          <w:szCs w:val="24"/>
        </w:rPr>
        <w:t xml:space="preserve"> ECO1 </w:t>
      </w:r>
      <w:proofErr w:type="spellStart"/>
      <w:r w:rsidRPr="002749FA">
        <w:rPr>
          <w:rFonts w:ascii="Times New Roman" w:eastAsia="Times New Roman" w:hAnsi="Times New Roman" w:cs="Times New Roman"/>
          <w:sz w:val="24"/>
          <w:szCs w:val="24"/>
        </w:rPr>
        <w:t>Common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Implementation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Strategy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Working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Group</w:t>
      </w:r>
      <w:proofErr w:type="spellEnd"/>
      <w:r w:rsidRPr="002749FA">
        <w:rPr>
          <w:rFonts w:ascii="Times New Roman" w:eastAsia="Times New Roman" w:hAnsi="Times New Roman" w:cs="Times New Roman"/>
          <w:sz w:val="24"/>
          <w:szCs w:val="24"/>
        </w:rPr>
        <w:t xml:space="preserve"> 2B. </w:t>
      </w:r>
      <w:proofErr w:type="spellStart"/>
      <w:r w:rsidRPr="002749FA">
        <w:rPr>
          <w:rFonts w:ascii="Times New Roman" w:eastAsia="Times New Roman" w:hAnsi="Times New Roman" w:cs="Times New Roman"/>
          <w:sz w:val="24"/>
          <w:szCs w:val="24"/>
        </w:rPr>
        <w:t>May</w:t>
      </w:r>
      <w:proofErr w:type="spellEnd"/>
      <w:r w:rsidRPr="002749FA">
        <w:rPr>
          <w:rFonts w:ascii="Times New Roman" w:eastAsia="Times New Roman" w:hAnsi="Times New Roman" w:cs="Times New Roman"/>
          <w:sz w:val="24"/>
          <w:szCs w:val="24"/>
        </w:rPr>
        <w:t xml:space="preserve"> 2004;</w:t>
      </w:r>
    </w:p>
    <w:p w14:paraId="31CE752F"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7.3.6. </w:t>
      </w:r>
      <w:proofErr w:type="spellStart"/>
      <w:r w:rsidRPr="002749FA">
        <w:rPr>
          <w:rFonts w:ascii="Times New Roman" w:eastAsia="Times New Roman" w:hAnsi="Times New Roman" w:cs="Times New Roman"/>
          <w:sz w:val="24"/>
          <w:szCs w:val="24"/>
        </w:rPr>
        <w:t>Assessment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Environmental</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and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Resource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Costs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Water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Framework</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Directive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Information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sheet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prepared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by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Drafting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Group</w:t>
      </w:r>
      <w:proofErr w:type="spellEnd"/>
      <w:r w:rsidRPr="002749FA">
        <w:rPr>
          <w:rFonts w:ascii="Times New Roman" w:eastAsia="Times New Roman" w:hAnsi="Times New Roman" w:cs="Times New Roman"/>
          <w:sz w:val="24"/>
          <w:szCs w:val="24"/>
        </w:rPr>
        <w:t xml:space="preserve"> ECO2 </w:t>
      </w:r>
      <w:proofErr w:type="spellStart"/>
      <w:r w:rsidRPr="002749FA">
        <w:rPr>
          <w:rFonts w:ascii="Times New Roman" w:eastAsia="Times New Roman" w:hAnsi="Times New Roman" w:cs="Times New Roman"/>
          <w:sz w:val="24"/>
          <w:szCs w:val="24"/>
        </w:rPr>
        <w:t>Common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Implementation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Strategy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Working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Group</w:t>
      </w:r>
      <w:proofErr w:type="spellEnd"/>
      <w:r w:rsidRPr="002749FA">
        <w:rPr>
          <w:rFonts w:ascii="Times New Roman" w:eastAsia="Times New Roman" w:hAnsi="Times New Roman" w:cs="Times New Roman"/>
          <w:sz w:val="24"/>
          <w:szCs w:val="24"/>
        </w:rPr>
        <w:t xml:space="preserve"> 2B. June 2004;</w:t>
      </w:r>
    </w:p>
    <w:p w14:paraId="58726384"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7.3.7. </w:t>
      </w:r>
      <w:proofErr w:type="spellStart"/>
      <w:r w:rsidRPr="002749FA">
        <w:rPr>
          <w:rFonts w:ascii="Times New Roman" w:eastAsia="Times New Roman" w:hAnsi="Times New Roman" w:cs="Times New Roman"/>
          <w:sz w:val="24"/>
          <w:szCs w:val="24"/>
        </w:rPr>
        <w:t>Assessment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cost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recovery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through</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water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pricing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Technical</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report</w:t>
      </w:r>
      <w:proofErr w:type="spellEnd"/>
      <w:r w:rsidRPr="002749FA">
        <w:rPr>
          <w:rFonts w:ascii="Times New Roman" w:eastAsia="Times New Roman" w:hAnsi="Times New Roman" w:cs="Times New Roman"/>
          <w:sz w:val="24"/>
          <w:szCs w:val="24"/>
        </w:rPr>
        <w:t xml:space="preserve"> No16/2013 </w:t>
      </w:r>
      <w:proofErr w:type="spellStart"/>
      <w:r w:rsidRPr="002749FA">
        <w:rPr>
          <w:rFonts w:ascii="Times New Roman" w:eastAsia="Times New Roman" w:hAnsi="Times New Roman" w:cs="Times New Roman"/>
          <w:sz w:val="24"/>
          <w:szCs w:val="24"/>
        </w:rPr>
        <w:t>prepared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by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European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Environment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Agency</w:t>
      </w:r>
      <w:proofErr w:type="spellEnd"/>
      <w:r w:rsidRPr="002749FA">
        <w:rPr>
          <w:rFonts w:ascii="Times New Roman" w:eastAsia="Times New Roman" w:hAnsi="Times New Roman" w:cs="Times New Roman"/>
          <w:sz w:val="24"/>
          <w:szCs w:val="24"/>
        </w:rPr>
        <w:t>, 2013;</w:t>
      </w:r>
    </w:p>
    <w:p w14:paraId="376097D2"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7.3.8. </w:t>
      </w:r>
      <w:proofErr w:type="spellStart"/>
      <w:r w:rsidRPr="002749FA">
        <w:rPr>
          <w:rFonts w:ascii="Times New Roman" w:eastAsia="Times New Roman" w:hAnsi="Times New Roman" w:cs="Times New Roman"/>
          <w:sz w:val="24"/>
          <w:szCs w:val="24"/>
        </w:rPr>
        <w:t>Draft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guidance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for</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assessing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recovery</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environmental</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and</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resource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costs</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in</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context</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of</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the</w:t>
      </w:r>
      <w:proofErr w:type="spellEnd"/>
      <w:r w:rsidRPr="002749FA">
        <w:rPr>
          <w:rFonts w:ascii="Times New Roman" w:eastAsia="Times New Roman" w:hAnsi="Times New Roman" w:cs="Times New Roman"/>
          <w:sz w:val="24"/>
          <w:szCs w:val="24"/>
        </w:rPr>
        <w:t xml:space="preserve"> WFD, </w:t>
      </w:r>
      <w:proofErr w:type="spellStart"/>
      <w:r w:rsidRPr="002749FA">
        <w:rPr>
          <w:rFonts w:ascii="Times New Roman" w:eastAsia="Times New Roman" w:hAnsi="Times New Roman" w:cs="Times New Roman"/>
          <w:sz w:val="24"/>
          <w:szCs w:val="24"/>
        </w:rPr>
        <w:t>April</w:t>
      </w:r>
      <w:proofErr w:type="spellEnd"/>
      <w:r w:rsidRPr="002749FA">
        <w:rPr>
          <w:rFonts w:ascii="Times New Roman" w:eastAsia="Times New Roman" w:hAnsi="Times New Roman" w:cs="Times New Roman"/>
          <w:sz w:val="24"/>
          <w:szCs w:val="24"/>
        </w:rPr>
        <w:t xml:space="preserve"> 2015.</w:t>
      </w:r>
    </w:p>
    <w:p w14:paraId="0FAD171A"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7.4. Sąnaudų susigrąžinimo įvertinimas bei vandens naudojimo ekonominė analizė turi būti atliekama atskirai žemės ūkio, pramonės, buities, rekreacijos, žuvininkystės, energetikos bei kitiems galimai poveikį darantiems sektoriams upių baseinų rajonų lygmenyje;</w:t>
      </w:r>
    </w:p>
    <w:p w14:paraId="7E5C02AE"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7.5. Atliekant vandens naudojimo ekonominę analizę žemės ūkio, pramonės, buities, rekreacijos, žuvininkystės, energetikos ir kituose galimai poveikį darančiuose ekonominiuose sektoriuose būtina atlikti šių sektorių atnešamos ekonominės ir socialinės naudos (sukuriamas BVP, darbo vietų skaičius, sumokami mokesčiai ir kt.) palyginimą su visuminiu jų poveikiu vandens telkiniams, šių sektorių poveikio mastu ir reikšmingumu regioniniu ir šalies mastu, ir pateiktos išvados dėl sektorių tvarumo (darnumo, perspektyvumo);</w:t>
      </w:r>
    </w:p>
    <w:p w14:paraId="2ADFBCEE"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7.6. Vertinant sąnaudų susigrąžinimo lygį turi būti nustatytos vandens paslaugos, nustatyti vandens tiekėjai, naudotojai ir teršėjai, įvertintas finansinis sąnaudų susigrąžinimo lygis, nustatytos aplinkos (</w:t>
      </w:r>
      <w:proofErr w:type="spellStart"/>
      <w:r w:rsidRPr="002749FA">
        <w:rPr>
          <w:rFonts w:ascii="Times New Roman" w:eastAsia="Times New Roman" w:hAnsi="Times New Roman" w:cs="Times New Roman"/>
          <w:sz w:val="24"/>
          <w:szCs w:val="24"/>
        </w:rPr>
        <w:t>ang</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environmental</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costs</w:t>
      </w:r>
      <w:proofErr w:type="spellEnd"/>
      <w:r w:rsidRPr="002749FA">
        <w:rPr>
          <w:rFonts w:ascii="Times New Roman" w:eastAsia="Times New Roman" w:hAnsi="Times New Roman" w:cs="Times New Roman"/>
          <w:sz w:val="24"/>
          <w:szCs w:val="24"/>
        </w:rPr>
        <w:t xml:space="preserve">) ir išteklių (angl. </w:t>
      </w:r>
      <w:proofErr w:type="spellStart"/>
      <w:r w:rsidRPr="002749FA">
        <w:rPr>
          <w:rFonts w:ascii="Times New Roman" w:eastAsia="Times New Roman" w:hAnsi="Times New Roman" w:cs="Times New Roman"/>
          <w:sz w:val="24"/>
          <w:szCs w:val="24"/>
        </w:rPr>
        <w:t>resource</w:t>
      </w:r>
      <w:proofErr w:type="spellEnd"/>
      <w:r w:rsidRPr="002749FA">
        <w:rPr>
          <w:rFonts w:ascii="Times New Roman" w:eastAsia="Times New Roman" w:hAnsi="Times New Roman" w:cs="Times New Roman"/>
          <w:sz w:val="24"/>
          <w:szCs w:val="24"/>
        </w:rPr>
        <w:t xml:space="preserve"> </w:t>
      </w:r>
      <w:proofErr w:type="spellStart"/>
      <w:r w:rsidRPr="002749FA">
        <w:rPr>
          <w:rFonts w:ascii="Times New Roman" w:eastAsia="Times New Roman" w:hAnsi="Times New Roman" w:cs="Times New Roman"/>
          <w:sz w:val="24"/>
          <w:szCs w:val="24"/>
        </w:rPr>
        <w:t>costs</w:t>
      </w:r>
      <w:proofErr w:type="spellEnd"/>
      <w:r w:rsidRPr="002749FA">
        <w:rPr>
          <w:rFonts w:ascii="Times New Roman" w:eastAsia="Times New Roman" w:hAnsi="Times New Roman" w:cs="Times New Roman"/>
          <w:sz w:val="24"/>
          <w:szCs w:val="24"/>
        </w:rPr>
        <w:t xml:space="preserve">) sąnaudos, nustatytas sąnaudų susigrąžinimo mechanizmas, apskaičiuotas sąnaudų susigrąžinimo lygis, nustatyti sąnaudų paskirstymą </w:t>
      </w:r>
      <w:proofErr w:type="spellStart"/>
      <w:r w:rsidRPr="002749FA">
        <w:rPr>
          <w:rFonts w:ascii="Times New Roman" w:eastAsia="Times New Roman" w:hAnsi="Times New Roman" w:cs="Times New Roman"/>
          <w:sz w:val="24"/>
          <w:szCs w:val="24"/>
        </w:rPr>
        <w:t>naudotajams</w:t>
      </w:r>
      <w:proofErr w:type="spellEnd"/>
      <w:r w:rsidRPr="002749FA">
        <w:rPr>
          <w:rFonts w:ascii="Times New Roman" w:eastAsia="Times New Roman" w:hAnsi="Times New Roman" w:cs="Times New Roman"/>
          <w:sz w:val="24"/>
          <w:szCs w:val="24"/>
        </w:rPr>
        <w:t xml:space="preserve"> ir teršėjams;</w:t>
      </w:r>
    </w:p>
    <w:p w14:paraId="645FC9B4"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7.7. Vertinant sąnaudų susigrąžinimą už vandens naudojimą ir vandens tiekimo/nuotekų valymo paslaugų teikimą, be kitų vandens naudotojų kategorijų atskirai įvertinti sąnaudų susigrąžinimą dėl ūkininkų naudojamo paviršinių ir požeminių (gręžinių) vandenų, taip pat hidroelektrinių naudojamo vandens veiklos vykdymui;</w:t>
      </w:r>
    </w:p>
    <w:p w14:paraId="64168BF3" w14:textId="0F7EC14F" w:rsidR="00746FC0" w:rsidRPr="002749FA" w:rsidRDefault="00746FC0" w:rsidP="00A41088">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7.8. Aprašyti metodiką, pagal kurią vykdant šio uždavinio veiklas buvo atlikta vandens naudojimo ir</w:t>
      </w:r>
      <w:r w:rsidR="00A41088">
        <w:rPr>
          <w:rFonts w:ascii="Times New Roman" w:eastAsia="Times New Roman" w:hAnsi="Times New Roman" w:cs="Times New Roman"/>
          <w:sz w:val="24"/>
          <w:szCs w:val="24"/>
        </w:rPr>
        <w:t xml:space="preserve"> sąnaudų susigrąžinimo analizė.</w:t>
      </w:r>
    </w:p>
    <w:p w14:paraId="5003E343" w14:textId="77777777" w:rsidR="00746FC0" w:rsidRPr="002749FA" w:rsidRDefault="00746FC0" w:rsidP="00746FC0">
      <w:pPr>
        <w:ind w:right="-80" w:firstLine="54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8 uždavinys. Parengti bazinį scenarijų pagal BVPD reikalavimus</w:t>
      </w:r>
    </w:p>
    <w:p w14:paraId="40325017"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u w:val="single"/>
        </w:rPr>
        <w:t>8 uždavinio veiklos</w:t>
      </w:r>
      <w:r w:rsidRPr="002749FA">
        <w:rPr>
          <w:rFonts w:ascii="Times New Roman" w:eastAsia="Times New Roman" w:hAnsi="Times New Roman" w:cs="Times New Roman"/>
          <w:sz w:val="24"/>
          <w:szCs w:val="24"/>
        </w:rPr>
        <w:t>:</w:t>
      </w:r>
    </w:p>
    <w:p w14:paraId="65375885"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8.1. Parengti Nemuno, Lielupės Ventos ir Dauguvos UBR bazinį scenarijų, kuris apimtų BVPD direktyvoje (VI priedo A dalis) nurodytas priemones ir kitas įgyvendinamas papildomas, vandens telkinių būklei gerinti, priemones nurodytas Lietuvos Respublikos aplinkos ministro ir Lietuvos Respublikos žemės ūkio ministro 2017 m. gegužės 5 d. įsakyme Nr. D1-375/3D-312 ,,Dėl vandenų srities plėtros 2017-2023 m. programos įgyvendinimo veiksmų plano“, bei kitus priimtus </w:t>
      </w:r>
      <w:r w:rsidRPr="002749FA">
        <w:rPr>
          <w:rFonts w:ascii="Times New Roman" w:eastAsia="Times New Roman" w:hAnsi="Times New Roman" w:cs="Times New Roman"/>
          <w:sz w:val="24"/>
          <w:szCs w:val="24"/>
        </w:rPr>
        <w:lastRenderedPageBreak/>
        <w:t>strateginius ir kitokius dokumentus, kurie galį daryti reikšmingą poveikį vandens telkinių būklei. Rengiant bazinį scenarijų turi būti atlikti šie veiksmai bei užtikrintos šios sąlygos:</w:t>
      </w:r>
    </w:p>
    <w:p w14:paraId="174BE22D"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8.1.1. Turi būti atlikta įgyvendinamų vandens telkinių būklės gerinimo priemonių analizė (BVPD VI priedo A dalis ir papildomas priemones (2017 m. gegužės 5 d. įsakymas Nr. D1-375/3D-312), kurioje būtų pateikta informacija apie priemonių įgyvendinimo progresą ir galimai pasiektas kiekybinis arba kokybinis poveikis vandens telkinių būklei siekiant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tikslų;</w:t>
      </w:r>
    </w:p>
    <w:p w14:paraId="43E3BEA4" w14:textId="53DB6DC5" w:rsidR="00746FC0" w:rsidRPr="002749FA" w:rsidRDefault="00746FC0" w:rsidP="00A41088">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8.1.2. Turi būti išanalizuotos 7 uždavinio vykdymo metu identifikuotų svarbių poveikio vandens aplinkai atžvilgiu ūkio sektorių Nemuno, Lielupės, Ventos ir Dauguvos UBR plėtros strateginiai dokumentai ir tendencijos, bendrosios socialinių ekonominių rodiklių tendencijos, vandens tiekimo plėtros ir paklausos tendencijos. Baziniame scenarijuje analizuojamos priemonės ir jų poveikis turi būti suderintos su perkančiąja organizacija. Tarp sektorių tendencijų, be kitų, turi būti analizuojami pramonės, žemės ūkio (trąšų sunaudojimas, melioracijos plėtra ar rekonstrukcija ir kt.), laivybos,  hidroenergetikos, geriamojo vandens tiekimo ir nuotekų tva</w:t>
      </w:r>
      <w:r w:rsidR="00A41088">
        <w:rPr>
          <w:rFonts w:ascii="Times New Roman" w:eastAsia="Times New Roman" w:hAnsi="Times New Roman" w:cs="Times New Roman"/>
          <w:sz w:val="24"/>
          <w:szCs w:val="24"/>
        </w:rPr>
        <w:t>rkymo sektorių plėtros trendai;</w:t>
      </w:r>
    </w:p>
    <w:p w14:paraId="13157871" w14:textId="77777777" w:rsidR="00746FC0" w:rsidRPr="002749FA" w:rsidRDefault="00746FC0" w:rsidP="00746FC0">
      <w:pPr>
        <w:ind w:right="-80" w:firstLine="54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 xml:space="preserve">9 uždavinys. Nustatyti suderintus </w:t>
      </w:r>
      <w:proofErr w:type="spellStart"/>
      <w:r w:rsidRPr="002749FA">
        <w:rPr>
          <w:rFonts w:ascii="Times New Roman" w:eastAsia="Times New Roman" w:hAnsi="Times New Roman" w:cs="Times New Roman"/>
          <w:b/>
          <w:sz w:val="24"/>
          <w:szCs w:val="24"/>
        </w:rPr>
        <w:t>vandensaugos</w:t>
      </w:r>
      <w:proofErr w:type="spellEnd"/>
      <w:r w:rsidRPr="002749FA">
        <w:rPr>
          <w:rFonts w:ascii="Times New Roman" w:eastAsia="Times New Roman" w:hAnsi="Times New Roman" w:cs="Times New Roman"/>
          <w:b/>
          <w:sz w:val="24"/>
          <w:szCs w:val="24"/>
        </w:rPr>
        <w:t xml:space="preserve"> tikslus upių, ežerų, tarpinių, priekrantės, labai pakeistiems ir dirbtiniams vandens telkiniams</w:t>
      </w:r>
    </w:p>
    <w:p w14:paraId="39BA38E1" w14:textId="77777777" w:rsidR="00746FC0" w:rsidRPr="002749FA" w:rsidRDefault="00746FC0" w:rsidP="00746FC0">
      <w:pPr>
        <w:ind w:right="-80" w:firstLine="547"/>
        <w:jc w:val="both"/>
        <w:rPr>
          <w:rFonts w:ascii="Times New Roman" w:eastAsia="Times New Roman" w:hAnsi="Times New Roman" w:cs="Times New Roman"/>
          <w:sz w:val="24"/>
          <w:szCs w:val="24"/>
          <w:u w:val="single"/>
        </w:rPr>
      </w:pPr>
      <w:r w:rsidRPr="002749FA">
        <w:rPr>
          <w:rFonts w:ascii="Times New Roman" w:eastAsia="Times New Roman" w:hAnsi="Times New Roman" w:cs="Times New Roman"/>
          <w:sz w:val="24"/>
          <w:szCs w:val="24"/>
          <w:u w:val="single"/>
        </w:rPr>
        <w:t>9 uždavinio veiklos:</w:t>
      </w:r>
    </w:p>
    <w:p w14:paraId="3824E190"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9.1. Perkančiosios organizacijos pateikto preliminarių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tikslų visiems šalies vandens telkiniams sąrašo ir 1-8 uždavinių veiklų rezultatų pagrindu: </w:t>
      </w:r>
    </w:p>
    <w:p w14:paraId="79EE1246"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9.1.1. Nustatyti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tikslų švelninimo ir atidėjimo poreikį, dėl to, kad tikslų neleidžia pasiekti gamtinės sąlygos, techninės galimybės arba neproporcingai didelės sąnaudos;</w:t>
      </w:r>
    </w:p>
    <w:p w14:paraId="3D3FF3C7"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9.1.2. Nustatyti galutinius tarpusavyje suderintus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tikslus visiems šalies paviršiniams vandens telkiniams.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tikslai turi būti suderinti tarp visų tarpusavyje susijusių vandens telkinių – upių, jų intakų, įtekamų/pratekamų ežerų ar tvenkinių, tarpinių ir priekrantės vandenų. Upėms turi būti nustatyti tokie tikslai (teršalų koncentracijos, krūviai, medžiagų tarpusavio santykis), kad į tarpinius vandenis įtekančių vandentakių teršalų kiekiai, koncentracijos, maistinių medžiagų tarpusavio santykis būtų toks, kad galimai leistų pasiekti gerą tarpinių vandens telkinių būklę (ar kitus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tikslus) arba neužkirstų kelio jai pasiekti. Derinant tikslus, reikia įvertinti ir taršos sumažinimo poreikį pagal įsipareigojimus pagal Helsinkio konvencijos (HELCOM) rėmuose patvirtintą Baltijos veiksmų planą, bei suderinamumą su tikslais pagal Jūrų strategijos pagrindų direktyvą. Su siūlomais tikslais turi būti nurodyta, kurių vandens telkinių baseinuose reikalingas papildomas taršos mažinimas, kuriuose jis turėtų būti atliekamas prioriteto tvarka, kokia būtų preliminari papildomo taršos mažinimo kiekybinė išraiška. </w:t>
      </w:r>
    </w:p>
    <w:p w14:paraId="5977E5CB"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 xml:space="preserve">9.2. Nustatant 9.1. punkte nurodytus galutinius </w:t>
      </w:r>
      <w:proofErr w:type="spellStart"/>
      <w:r w:rsidRPr="00D660F0">
        <w:rPr>
          <w:rFonts w:ascii="Times New Roman" w:eastAsia="Times New Roman" w:hAnsi="Times New Roman" w:cs="Times New Roman"/>
          <w:sz w:val="24"/>
          <w:szCs w:val="24"/>
        </w:rPr>
        <w:t>vandensaugos</w:t>
      </w:r>
      <w:proofErr w:type="spellEnd"/>
      <w:r w:rsidRPr="00D660F0">
        <w:rPr>
          <w:rFonts w:ascii="Times New Roman" w:eastAsia="Times New Roman" w:hAnsi="Times New Roman" w:cs="Times New Roman"/>
          <w:sz w:val="24"/>
          <w:szCs w:val="24"/>
        </w:rPr>
        <w:t xml:space="preserve"> tikslus visa informacija turi būti sudėta į aiškiai struktūruotą lentelę, kur informacija susiejama pagal vandens telkinio kodą, ir kiekvienam vandens telkiniui nurodomos koordinatės LKS94 sistemoje (ežerams, tvenkiniams, tarpiniams</w:t>
      </w:r>
      <w:r w:rsidRPr="002749FA">
        <w:rPr>
          <w:rFonts w:ascii="Times New Roman" w:eastAsia="Times New Roman" w:hAnsi="Times New Roman" w:cs="Times New Roman"/>
          <w:sz w:val="24"/>
          <w:szCs w:val="24"/>
        </w:rPr>
        <w:t xml:space="preserve"> ir priekrantės vandenims – </w:t>
      </w:r>
      <w:proofErr w:type="spellStart"/>
      <w:r w:rsidRPr="002749FA">
        <w:rPr>
          <w:rFonts w:ascii="Times New Roman" w:eastAsia="Times New Roman" w:hAnsi="Times New Roman" w:cs="Times New Roman"/>
          <w:sz w:val="24"/>
          <w:szCs w:val="24"/>
        </w:rPr>
        <w:t>centroido</w:t>
      </w:r>
      <w:proofErr w:type="spellEnd"/>
      <w:r w:rsidRPr="002749FA">
        <w:rPr>
          <w:rFonts w:ascii="Times New Roman" w:eastAsia="Times New Roman" w:hAnsi="Times New Roman" w:cs="Times New Roman"/>
          <w:sz w:val="24"/>
          <w:szCs w:val="24"/>
        </w:rPr>
        <w:t xml:space="preserve"> koordinatės, upėms ir kanalams – telkinio pradžios ir pabaigos koordinatės). Taip pat, vadovaujantis Perkančiosios organizacijos pateiktais bei Paslaugų teikėjo turimais duomenimis, šioje lentelėje turi būti ir ši informacija:</w:t>
      </w:r>
    </w:p>
    <w:p w14:paraId="67B7880B"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lastRenderedPageBreak/>
        <w:t>9.2.1. Esama ir siektina ekologinė ir cheminė vandens telkinio būklė, labai pakeistiems vandens telkiniams - ekologinis potencialas ir cheminė būklė;</w:t>
      </w:r>
    </w:p>
    <w:p w14:paraId="06EAEC09"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9.2.2. Esama ir siektina ekologinė ir cheminė vandens telkinio būklė ar ekologinis potencialas pagal kiekvieną vandens telkinio būklę apibūdinantį kokybės elemento rodiklį vadovaujantis Lietuvos Respublikos aplinkos ministro 2007 m. balandžio 12 d. įsakymu Nr. D1-210 „Dėl Paviršinių vandens telkinių būklės nustatymo metodikos patvirtinimo“;</w:t>
      </w:r>
    </w:p>
    <w:p w14:paraId="7D6DC72B"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9.2.3. Įvardinimas, kokie kokybės elementų rodikliai neatitiko geros ekologinės ir/ar cheminės būklės kriterijų ir kurie iš jų nulėmė, kad vandens telkinys neatitinka geros ekologinės ir/ar cheminės būklės reikalavimų;</w:t>
      </w:r>
    </w:p>
    <w:p w14:paraId="777EBBC5"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9.2.4. Įvardinimas kokybės elementų rodiklių geros ekologinės ir/ar cheminės būklės neatitikimo priežasčių kiekviename vandens telkinyje (822 upių kategorijos vandens telkiniams, ne mažiau kaip 357 ežerų kategorijos vandens telkiniams, 4 tarpiniams vandens telkiniams ir 2 priekrantės vandens telkiniams).</w:t>
      </w:r>
    </w:p>
    <w:p w14:paraId="3254AB05" w14:textId="709B3A13" w:rsidR="00746FC0" w:rsidRPr="002749FA" w:rsidRDefault="00746FC0" w:rsidP="00A41088">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9.3. Vykdant šį uždavinį turi būti vadovaujamasi esamais (turimais ar prieinamais) duomenimis, papildomų tyrimų </w:t>
      </w:r>
      <w:r w:rsidR="00A41088">
        <w:rPr>
          <w:rFonts w:ascii="Times New Roman" w:eastAsia="Times New Roman" w:hAnsi="Times New Roman" w:cs="Times New Roman"/>
          <w:sz w:val="24"/>
          <w:szCs w:val="24"/>
        </w:rPr>
        <w:t>atlikti nereikia.</w:t>
      </w:r>
    </w:p>
    <w:p w14:paraId="7531AAA4" w14:textId="77777777" w:rsidR="00746FC0" w:rsidRPr="002749FA" w:rsidRDefault="00746FC0" w:rsidP="00746FC0">
      <w:pPr>
        <w:ind w:right="-80" w:firstLine="56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10 uždavinys. Padėti suderinti upių baseinų rajonų valdymo planus su nacionalinėmis ir kaimyninių šalių institucijomis bei visuomene</w:t>
      </w:r>
    </w:p>
    <w:p w14:paraId="0D6C4EE4" w14:textId="77777777" w:rsidR="00746FC0" w:rsidRPr="002749FA" w:rsidRDefault="00746FC0" w:rsidP="00746FC0">
      <w:pPr>
        <w:ind w:right="-80" w:firstLine="567"/>
        <w:jc w:val="both"/>
        <w:rPr>
          <w:rFonts w:ascii="Times New Roman" w:eastAsia="Times New Roman" w:hAnsi="Times New Roman" w:cs="Times New Roman"/>
          <w:sz w:val="24"/>
          <w:szCs w:val="24"/>
          <w:u w:val="single"/>
        </w:rPr>
      </w:pPr>
      <w:r w:rsidRPr="002749FA">
        <w:rPr>
          <w:rFonts w:ascii="Times New Roman" w:eastAsia="Times New Roman" w:hAnsi="Times New Roman" w:cs="Times New Roman"/>
          <w:sz w:val="24"/>
          <w:szCs w:val="24"/>
          <w:u w:val="single"/>
        </w:rPr>
        <w:t>10 uždavinio veiklos:</w:t>
      </w:r>
    </w:p>
    <w:p w14:paraId="0F1B374E" w14:textId="77777777" w:rsidR="00746FC0" w:rsidRPr="002749FA" w:rsidRDefault="00746FC0" w:rsidP="00746FC0">
      <w:pPr>
        <w:ind w:firstLine="544"/>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10.1. Paslaugų teikėjas turi dalyvauti visame parengtos informacijos (</w:t>
      </w:r>
      <w:proofErr w:type="spellStart"/>
      <w:r w:rsidRPr="00D660F0">
        <w:rPr>
          <w:rFonts w:ascii="Times New Roman" w:eastAsia="Times New Roman" w:hAnsi="Times New Roman" w:cs="Times New Roman"/>
          <w:sz w:val="24"/>
          <w:szCs w:val="24"/>
        </w:rPr>
        <w:t>vandensaugos</w:t>
      </w:r>
      <w:proofErr w:type="spellEnd"/>
      <w:r w:rsidRPr="00D660F0">
        <w:rPr>
          <w:rFonts w:ascii="Times New Roman" w:eastAsia="Times New Roman" w:hAnsi="Times New Roman" w:cs="Times New Roman"/>
          <w:sz w:val="24"/>
          <w:szCs w:val="24"/>
        </w:rPr>
        <w:t xml:space="preserve"> tikslų, priemonių programos, UBR valdymo planų ir su jais susijusios kitos reikalingos informacijos pagal poreikį</w:t>
      </w:r>
      <w:r w:rsidRPr="002749FA">
        <w:rPr>
          <w:rFonts w:ascii="Times New Roman" w:eastAsia="Times New Roman" w:hAnsi="Times New Roman" w:cs="Times New Roman"/>
          <w:sz w:val="24"/>
          <w:szCs w:val="24"/>
        </w:rPr>
        <w:t xml:space="preserve">) derinimo su visuomene, ministerijomis ir LR Vyriausybe procese: a) teikti informaciją ir rengti medžiagą jo kompetencijos apimtyje; b) susisteminti derinimo procese gautus komentarus; c) analizuoti gautus komentarus, kurie susiję su Paslaugų teikėjo pagal kompetenciją vykdytomis veiklomis, ir teikti argumentuotus pasiūlymus dėl jų priėmimo ar atmetimo. Perkančiajai organizacijai pritarus Paslaugų teikėjo argumentuotiems pasiūlymams, Paslaugų teikėjas turi atitinkamai pakoreguoti parengtą medžiagą, susijusią su Paslaugų teikėjo pagal kompetenciją vykdytomis veiklomis, arba argumentuotai atmesti pateiktus visuomenės pasiūlymus. Paslaugų teikėjas, analizuodamas visuomenės pastabas, turi įvertinti kaip teikiamose pastabose ir komentaruose pateiktų pasiūlymų įgyvendinimas gali turėti įtakos nustatytiems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tikslams, ir tuo pagrindu siūlyti sprendimus. </w:t>
      </w:r>
    </w:p>
    <w:p w14:paraId="222560D6" w14:textId="77777777" w:rsidR="00746FC0" w:rsidRPr="002749FA" w:rsidRDefault="00746FC0" w:rsidP="00746FC0">
      <w:pPr>
        <w:ind w:firstLine="544"/>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10.2. Paslaugų teikėjas turi organizuoti ne mažiau kaip keturis Perkančiosios organizacijos nurodytus visuomenės</w:t>
      </w:r>
      <w:r w:rsidRPr="002749FA">
        <w:rPr>
          <w:rFonts w:ascii="Times New Roman" w:eastAsia="Times New Roman" w:hAnsi="Times New Roman" w:cs="Times New Roman"/>
          <w:sz w:val="24"/>
          <w:szCs w:val="24"/>
        </w:rPr>
        <w:t xml:space="preserve"> informavimo renginius (seminarus-diskusijas), skirtus nustatytų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problemų ir siūlomų priemonių joms spręsti aptarimui. Paslaugų teikėjas taip pat turi pagal šią techninę užduotį atliktų veiklų rezultatus parengti informacinę medžiagą ir tuose renginiuose ją pristatyti. </w:t>
      </w:r>
    </w:p>
    <w:p w14:paraId="0F00BFBF" w14:textId="77777777" w:rsidR="00746FC0" w:rsidRPr="002749FA" w:rsidRDefault="00746FC0" w:rsidP="00746FC0">
      <w:pPr>
        <w:ind w:firstLine="544"/>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10.3. Paslaugų teikėjas turi teikti ekspertinę pagalbą Perkančiajai organizacijai vykdant tarptautinio bendradarbiavimo su Lenkija ir Latvija veiklas suderintų upių baseinų rajonų valdymo planų rengimo procese (pasilyginant tarpvalstybinių vandens telkinių būklės vertinimais ir juos </w:t>
      </w:r>
      <w:r w:rsidRPr="002749FA">
        <w:rPr>
          <w:rFonts w:ascii="Times New Roman" w:eastAsia="Times New Roman" w:hAnsi="Times New Roman" w:cs="Times New Roman"/>
          <w:sz w:val="24"/>
          <w:szCs w:val="24"/>
        </w:rPr>
        <w:lastRenderedPageBreak/>
        <w:t>pagal galimybes harmonizuojant, derinantis pasienio vandens telkinių monitoringo programas, harmonizuojant tarpvalstybiniams vandens telkiniams keliamus tikslus bei priemones jiems pasiekti). Bus reikalingi ne mažiau kaip du tarpvalstybiniai ekspertiniai susitikimai.</w:t>
      </w:r>
    </w:p>
    <w:p w14:paraId="71770B22" w14:textId="0E0FE8EF" w:rsidR="00746FC0" w:rsidRPr="00A41088" w:rsidRDefault="00746FC0" w:rsidP="00A41088">
      <w:pPr>
        <w:ind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10.4. Vykdant šį uždavinį reikia vadovautis esamais (turimais ar prieinamais) duomenimis, jokių papildomų tyrimų atlikti nereikia. </w:t>
      </w:r>
    </w:p>
    <w:p w14:paraId="7EF31D78" w14:textId="77777777" w:rsidR="00746FC0" w:rsidRPr="002749FA" w:rsidRDefault="00746FC0" w:rsidP="00746FC0">
      <w:pPr>
        <w:ind w:firstLine="547"/>
        <w:jc w:val="both"/>
        <w:rPr>
          <w:rFonts w:ascii="Times New Roman" w:eastAsia="Times New Roman" w:hAnsi="Times New Roman" w:cs="Times New Roman"/>
          <w:b/>
          <w:sz w:val="28"/>
          <w:szCs w:val="28"/>
        </w:rPr>
      </w:pPr>
      <w:r w:rsidRPr="002749FA">
        <w:rPr>
          <w:rFonts w:ascii="Times New Roman" w:eastAsia="Times New Roman" w:hAnsi="Times New Roman" w:cs="Times New Roman"/>
          <w:b/>
          <w:sz w:val="24"/>
          <w:szCs w:val="24"/>
        </w:rPr>
        <w:t>11 uždavinys. Parengti erdvinę informaciją</w:t>
      </w:r>
    </w:p>
    <w:p w14:paraId="4FBE8A0A" w14:textId="77777777" w:rsidR="00746FC0" w:rsidRPr="002749FA" w:rsidRDefault="00746FC0" w:rsidP="00746FC0">
      <w:pPr>
        <w:spacing w:line="240" w:lineRule="auto"/>
        <w:ind w:firstLine="544"/>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u w:val="single"/>
        </w:rPr>
        <w:t>11 uždavinio veiklos</w:t>
      </w:r>
      <w:r w:rsidRPr="002749FA">
        <w:rPr>
          <w:rFonts w:ascii="Times New Roman" w:eastAsia="Times New Roman" w:hAnsi="Times New Roman" w:cs="Times New Roman"/>
          <w:sz w:val="24"/>
          <w:szCs w:val="24"/>
        </w:rPr>
        <w:t>:</w:t>
      </w:r>
    </w:p>
    <w:p w14:paraId="5BC28ECD"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11.1. Parengti upių ir ežerų kategorijos vandens telkinių ekologinės būklės, ekologinio potencialo ir jų pokyčių erdvinių duomenų rinkinį (GIS sluoksnius), pagal 2 uždavinio 2.3.1 ir 2.3.2 papunkčiuose nurodytų veiklų rezultatus;</w:t>
      </w:r>
    </w:p>
    <w:p w14:paraId="51ED4143"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11.2. Atsižvelgiant į 4 uždavinio vykdymo rezultatus, monitoringo (pateiks Perkančioji organizacija) ir esamų mokslinių tyrimų duomenis, parengti  tarpinių ir priekrantės vandenų kategorijų vandens telkinių būklės (ekologinės ir cheminės) ir jos pokyčių (lyginant su 2-uoju Nemuno UBR valdymo planu) erdvinių duomenų rinkinį (GIS sluoksnius).</w:t>
      </w:r>
    </w:p>
    <w:p w14:paraId="15ED8BAC"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11.3. Atsižvelgiant į 1-9 uždavinių vykdymo metu atliktus vandens telkinių būklės vertinimo sistemos ir būklės vertinimo, tam tikrų žmogaus veiklos poveikių vertinimo atnaujinimus, ekonominius vertinimus bei nustatytus tarpusavyje suderintus </w:t>
      </w:r>
      <w:proofErr w:type="spellStart"/>
      <w:r w:rsidRPr="002749FA">
        <w:rPr>
          <w:rFonts w:ascii="Times New Roman" w:eastAsia="Times New Roman" w:hAnsi="Times New Roman" w:cs="Times New Roman"/>
          <w:sz w:val="24"/>
          <w:szCs w:val="24"/>
        </w:rPr>
        <w:t>vandensaugos</w:t>
      </w:r>
      <w:proofErr w:type="spellEnd"/>
      <w:r w:rsidRPr="002749FA">
        <w:rPr>
          <w:rFonts w:ascii="Times New Roman" w:eastAsia="Times New Roman" w:hAnsi="Times New Roman" w:cs="Times New Roman"/>
          <w:sz w:val="24"/>
          <w:szCs w:val="24"/>
        </w:rPr>
        <w:t xml:space="preserve"> tikslus, Paslaugų teikėjo turimą ir Perkančiosios organizacijos pateiktą informaciją: </w:t>
      </w:r>
    </w:p>
    <w:p w14:paraId="55140147"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11.3.1. atsižvelgiant į 6.5 veiklos rezultatus ir kitą reikalingą informaciją patikslinti paviršinių vandens telkinių išskyrimą, nustatant patikslintų vandens telkinių sąsajas su pirmame ir antrame upių baseinų rajonų valdymo planų rengimo laikotarpiuose išskirtais vandens telkiniais. </w:t>
      </w:r>
    </w:p>
    <w:p w14:paraId="7B81D8AE"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11.3.2. parengti galutinę rizikos, LPTV ir likusių paviršinių vandens telkinių upių, ežerų-tvenkinių, tarpinių ir priekrantės vandenų kategorijoms erdvinę informaciją (GIS sluoksnį ar sluoksnius), atributuose nurodant rizikos priežastis.</w:t>
      </w:r>
    </w:p>
    <w:p w14:paraId="3F628DE3"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11.4. Pagal 5-6 uždavinių vykdymo rezultatus ir Perkančiosios organizacijos pateiktą informaciją parengti kiekvieną reikšmingo žmogaus veiklos poveikio tipą ir to tipo poveikio mastą reprezentuojančią erdvinę informaciją (GIS sluoksnius). Tikslus sluoksnių sąrašas turi būti suderinamas su Perkančiąja organizacija.</w:t>
      </w:r>
    </w:p>
    <w:p w14:paraId="42EA0EE9" w14:textId="77777777" w:rsidR="00746FC0" w:rsidRPr="002749FA" w:rsidRDefault="00746FC0" w:rsidP="00746FC0">
      <w:pPr>
        <w:ind w:right="-80" w:firstLine="54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11.5. Patikslinti Perkančios organizacijos turimą ir Paslaugų teikėjui pateiktą hidrografinį tinklą, pilnai nurodant vandens telkinių tarpusavio sąsajas ir hierarchiją (kas į ką įteka, eiliškumą), o taip pat išskirtų vandens telkinių baseinų ribas – išbrėžti ribas, jeigu jos telkiniui neišskirtos ar išskirtos nepilnai (ar netiksliai), vadovaujantis esamais vandentakiais ir reljefu (prireikus – tikslinti skaitmeninį aukščio modelį DEM ar/ir jo pagrindu – ribų išskyrimą, kur reikia). Šis darbas atliekamas pagal Perkančiosios organizacijos nurodytus nustatytų problemų tipus, ir tik ten, kur netikslumo problemos fiksuojamos. </w:t>
      </w:r>
    </w:p>
    <w:p w14:paraId="284AEB7E" w14:textId="77777777" w:rsidR="00746FC0" w:rsidRPr="002749FA" w:rsidRDefault="00746FC0" w:rsidP="00746FC0">
      <w:pPr>
        <w:ind w:right="-80" w:firstLine="547"/>
        <w:jc w:val="both"/>
        <w:rPr>
          <w:rFonts w:ascii="Times New Roman" w:hAnsi="Times New Roman" w:cs="Times New Roman"/>
          <w:sz w:val="24"/>
          <w:szCs w:val="24"/>
        </w:rPr>
      </w:pPr>
      <w:r w:rsidRPr="002749FA">
        <w:rPr>
          <w:rFonts w:ascii="Times New Roman" w:hAnsi="Times New Roman" w:cs="Times New Roman"/>
          <w:sz w:val="24"/>
          <w:szCs w:val="24"/>
        </w:rPr>
        <w:lastRenderedPageBreak/>
        <w:t>11.6. 11.1-11.5 punktuose nurodyta erdvinė informacija turi būti parengta: atskiri GIS sluoksniai - „*.</w:t>
      </w:r>
      <w:proofErr w:type="spellStart"/>
      <w:r w:rsidRPr="002749FA">
        <w:rPr>
          <w:rFonts w:ascii="Times New Roman" w:hAnsi="Times New Roman" w:cs="Times New Roman"/>
          <w:sz w:val="24"/>
          <w:szCs w:val="24"/>
        </w:rPr>
        <w:t>shp</w:t>
      </w:r>
      <w:proofErr w:type="spellEnd"/>
      <w:r w:rsidRPr="002749FA">
        <w:rPr>
          <w:rFonts w:ascii="Times New Roman" w:hAnsi="Times New Roman" w:cs="Times New Roman"/>
          <w:sz w:val="24"/>
          <w:szCs w:val="24"/>
        </w:rPr>
        <w:t>“ ir „*.</w:t>
      </w:r>
      <w:proofErr w:type="spellStart"/>
      <w:r w:rsidRPr="002749FA">
        <w:rPr>
          <w:rFonts w:ascii="Times New Roman" w:hAnsi="Times New Roman" w:cs="Times New Roman"/>
          <w:sz w:val="24"/>
          <w:szCs w:val="24"/>
        </w:rPr>
        <w:t>mdb</w:t>
      </w:r>
      <w:proofErr w:type="spellEnd"/>
      <w:r w:rsidRPr="002749FA">
        <w:rPr>
          <w:rFonts w:ascii="Times New Roman" w:hAnsi="Times New Roman" w:cs="Times New Roman"/>
          <w:sz w:val="24"/>
          <w:szCs w:val="24"/>
        </w:rPr>
        <w:t xml:space="preserve">“ formatu; visų GIS sluoksnių rinkinys turi būti sudėtas į parengtą į vieną erdvinių duomenų bazės rinkinį. </w:t>
      </w:r>
    </w:p>
    <w:p w14:paraId="72DB8969" w14:textId="1367E03C" w:rsidR="00746FC0" w:rsidRPr="002749FA" w:rsidRDefault="00746FC0" w:rsidP="00A41088">
      <w:pPr>
        <w:ind w:right="-80" w:firstLine="547"/>
        <w:jc w:val="both"/>
        <w:rPr>
          <w:rFonts w:ascii="Times New Roman" w:hAnsi="Times New Roman" w:cs="Times New Roman"/>
          <w:sz w:val="24"/>
          <w:szCs w:val="24"/>
        </w:rPr>
      </w:pPr>
      <w:r w:rsidRPr="002749FA">
        <w:rPr>
          <w:rFonts w:ascii="Times New Roman" w:hAnsi="Times New Roman" w:cs="Times New Roman"/>
          <w:sz w:val="24"/>
          <w:szCs w:val="24"/>
        </w:rPr>
        <w:t xml:space="preserve">11.7. </w:t>
      </w:r>
      <w:r w:rsidRPr="002749FA">
        <w:rPr>
          <w:rFonts w:ascii="Times New Roman" w:eastAsia="Times New Roman" w:hAnsi="Times New Roman" w:cs="Times New Roman"/>
          <w:sz w:val="24"/>
          <w:szCs w:val="24"/>
        </w:rPr>
        <w:t>Vykdant šį uždavinį turi būti vadovaujamasi esamais (turimais ar prieinamais) duomenimis, papildomų tyrimų atlikti nereikia.</w:t>
      </w:r>
    </w:p>
    <w:p w14:paraId="6B337E0C" w14:textId="77777777" w:rsidR="00746FC0" w:rsidRPr="002749FA" w:rsidRDefault="00746FC0" w:rsidP="00746FC0">
      <w:pPr>
        <w:ind w:right="-80" w:firstLine="547"/>
        <w:jc w:val="both"/>
        <w:rPr>
          <w:rFonts w:ascii="Times New Roman" w:eastAsia="Times New Roman" w:hAnsi="Times New Roman" w:cs="Times New Roman"/>
          <w:b/>
          <w:sz w:val="24"/>
          <w:szCs w:val="24"/>
        </w:rPr>
      </w:pPr>
      <w:r w:rsidRPr="002749FA">
        <w:rPr>
          <w:rFonts w:ascii="Times New Roman" w:eastAsia="Times New Roman" w:hAnsi="Times New Roman" w:cs="Times New Roman"/>
          <w:b/>
          <w:sz w:val="24"/>
          <w:szCs w:val="24"/>
        </w:rPr>
        <w:t>12 uždavinys. Parengti technines ataskaitas Europos Komisijai dėl BVPD įgyvendinimo</w:t>
      </w:r>
    </w:p>
    <w:p w14:paraId="31778AC5" w14:textId="77777777" w:rsidR="00746FC0" w:rsidRPr="002749FA" w:rsidRDefault="00746FC0" w:rsidP="00746FC0">
      <w:pPr>
        <w:ind w:right="-80" w:firstLine="567"/>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u w:val="single"/>
        </w:rPr>
        <w:t>12 uždavinio veiklos</w:t>
      </w:r>
      <w:r w:rsidRPr="002749FA">
        <w:rPr>
          <w:rFonts w:ascii="Times New Roman" w:eastAsia="Times New Roman" w:hAnsi="Times New Roman" w:cs="Times New Roman"/>
          <w:sz w:val="24"/>
          <w:szCs w:val="24"/>
        </w:rPr>
        <w:t>:</w:t>
      </w:r>
    </w:p>
    <w:p w14:paraId="52137D82" w14:textId="77777777" w:rsidR="00746FC0" w:rsidRPr="002749FA" w:rsidRDefault="00746FC0" w:rsidP="00746FC0">
      <w:pPr>
        <w:ind w:right="-80" w:firstLine="567"/>
        <w:jc w:val="both"/>
        <w:rPr>
          <w:rFonts w:ascii="Times New Roman" w:eastAsia="Times New Roman" w:hAnsi="Times New Roman" w:cs="Times New Roman"/>
          <w:sz w:val="24"/>
          <w:szCs w:val="24"/>
        </w:rPr>
      </w:pPr>
      <w:r w:rsidRPr="00D660F0">
        <w:rPr>
          <w:rFonts w:ascii="Times New Roman" w:eastAsia="Times New Roman" w:hAnsi="Times New Roman" w:cs="Times New Roman"/>
          <w:sz w:val="24"/>
          <w:szCs w:val="24"/>
        </w:rPr>
        <w:t>12.1.</w:t>
      </w:r>
      <w:r w:rsidRPr="002749FA">
        <w:rPr>
          <w:rFonts w:ascii="Times New Roman" w:eastAsia="Times New Roman" w:hAnsi="Times New Roman" w:cs="Times New Roman"/>
          <w:sz w:val="24"/>
          <w:szCs w:val="24"/>
        </w:rPr>
        <w:t xml:space="preserve"> Parengti technines ataskaitas, skirtas pateikti Europos Komisijai informaciją apie parengtus trečiuosius Nemuno, Ventos, Lielupės, Dauguvos upių baseinų rajonų valdymo planus pagal Lietuvos Respublikos aplinkos ministro ir Lietuvos Respublikos žemės ūkio ministro 2017 m. gegužės 5 d. įsakymu Nr. D1-375/3D-312, patvirtinto „Vandenų srities plėtros 2017-2023 metų programos įgyvendinimo veiksmų plano“, priemonę Nr. 18.5. „pagal 2000 m. spalio 23 d. Europos Parlamento ir Tarybos direktyvos 2000/60/EB, nustatančios Bendrijos veiksmų vandens politikos srityje pagrindus reikalavimus parengti trečiuosius Nemuno, Ventos, Lielupės, Dauguvos upių baseinų rajonų valdymo planus“. Rengiant ataskaitas, turi būti vadovaujamasi šiais reikalavimais:</w:t>
      </w:r>
    </w:p>
    <w:p w14:paraId="50C2CB2D"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12.1.1. Parengti technines ataskaitas, </w:t>
      </w:r>
      <w:r w:rsidRPr="0041237B">
        <w:rPr>
          <w:rFonts w:ascii="Times New Roman" w:eastAsia="Times New Roman" w:hAnsi="Times New Roman" w:cs="Times New Roman"/>
          <w:sz w:val="24"/>
          <w:szCs w:val="24"/>
        </w:rPr>
        <w:t>kurios turi būti pateiktos Europos Komisijai iki 2022 m. kovo 22 d., dėl</w:t>
      </w:r>
      <w:r w:rsidRPr="002749FA">
        <w:rPr>
          <w:rFonts w:ascii="Times New Roman" w:eastAsia="Times New Roman" w:hAnsi="Times New Roman" w:cs="Times New Roman"/>
          <w:sz w:val="24"/>
          <w:szCs w:val="24"/>
        </w:rPr>
        <w:t xml:space="preserve"> BVPD įgyvendinimo Lietuvos Respublikoje</w:t>
      </w:r>
      <w:r>
        <w:rPr>
          <w:rFonts w:ascii="Times New Roman" w:eastAsia="Times New Roman" w:hAnsi="Times New Roman" w:cs="Times New Roman"/>
          <w:sz w:val="24"/>
          <w:szCs w:val="24"/>
        </w:rPr>
        <w:t>;</w:t>
      </w:r>
    </w:p>
    <w:p w14:paraId="5BF96D37"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12.1.2. Techninės ataskaitos turi būti parengtos, vadovaujantis Europos Komisijos techninių ataskaitų rengimo dokumentacija</w:t>
      </w:r>
      <w:r w:rsidRPr="002749FA">
        <w:rPr>
          <w:rStyle w:val="Puslapioinaosnuoroda"/>
          <w:rFonts w:ascii="Times New Roman" w:eastAsia="Times New Roman" w:hAnsi="Times New Roman" w:cs="Times New Roman"/>
          <w:sz w:val="24"/>
          <w:szCs w:val="24"/>
        </w:rPr>
        <w:footnoteReference w:id="1"/>
      </w:r>
      <w:r w:rsidRPr="002749FA">
        <w:rPr>
          <w:rFonts w:ascii="Times New Roman" w:eastAsia="Times New Roman" w:hAnsi="Times New Roman" w:cs="Times New Roman"/>
          <w:sz w:val="24"/>
          <w:szCs w:val="24"/>
        </w:rPr>
        <w:t>;</w:t>
      </w:r>
    </w:p>
    <w:p w14:paraId="0ADFB817"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12.1.3. Techninės ataskaitos susideda iš dviejų esminių dalių: erdvinės informacijos ir aprašomosios informacijos (duomenys).</w:t>
      </w:r>
    </w:p>
    <w:p w14:paraId="43A60D6B"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12.1.4. Erdvinė informacija naudota techninių ataskaitų parengimui 2016 m. („GIS“; „*.</w:t>
      </w:r>
      <w:proofErr w:type="spellStart"/>
      <w:r w:rsidRPr="002749FA">
        <w:rPr>
          <w:rFonts w:ascii="Times New Roman" w:eastAsia="Times New Roman" w:hAnsi="Times New Roman" w:cs="Times New Roman"/>
          <w:sz w:val="24"/>
          <w:szCs w:val="24"/>
        </w:rPr>
        <w:t>shp</w:t>
      </w:r>
      <w:proofErr w:type="spellEnd"/>
      <w:r w:rsidRPr="002749FA">
        <w:rPr>
          <w:rFonts w:ascii="Times New Roman" w:eastAsia="Times New Roman" w:hAnsi="Times New Roman" w:cs="Times New Roman"/>
          <w:sz w:val="24"/>
          <w:szCs w:val="24"/>
        </w:rPr>
        <w:t xml:space="preserve">“ ir „GML“ formatais) bus pateikta tiekėjui </w:t>
      </w:r>
      <w:r w:rsidRPr="002749FA">
        <w:rPr>
          <w:rStyle w:val="Puslapioinaosnuoroda"/>
          <w:rFonts w:ascii="Times New Roman" w:eastAsia="Times New Roman" w:hAnsi="Times New Roman" w:cs="Times New Roman"/>
          <w:sz w:val="24"/>
          <w:szCs w:val="24"/>
        </w:rPr>
        <w:footnoteReference w:id="2"/>
      </w:r>
      <w:r w:rsidRPr="002749FA">
        <w:rPr>
          <w:rFonts w:ascii="Times New Roman" w:eastAsia="Times New Roman" w:hAnsi="Times New Roman" w:cs="Times New Roman"/>
          <w:sz w:val="24"/>
          <w:szCs w:val="24"/>
        </w:rPr>
        <w:t xml:space="preserve">: </w:t>
      </w:r>
    </w:p>
    <w:p w14:paraId="545D8B26"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12.1.4.1. Informacija turi būti atnaujinta pagal parengtus trečiuosius upių baseinų rajonų valdymo planus, vadovaujantis naujausia Europos Komisijos techninių ataskaitų rengimo dokumentacija. Atnaujinta informacija turi būti konvertuota į „GML“</w:t>
      </w:r>
      <w:r w:rsidRPr="002749FA">
        <w:rPr>
          <w:rStyle w:val="Puslapioinaosnuoroda"/>
          <w:rFonts w:ascii="Times New Roman" w:eastAsia="Times New Roman" w:hAnsi="Times New Roman" w:cs="Times New Roman"/>
          <w:sz w:val="24"/>
          <w:szCs w:val="24"/>
        </w:rPr>
        <w:footnoteReference w:id="3"/>
      </w:r>
      <w:r w:rsidRPr="002749FA">
        <w:rPr>
          <w:rFonts w:ascii="Times New Roman" w:eastAsia="Times New Roman" w:hAnsi="Times New Roman" w:cs="Times New Roman"/>
          <w:sz w:val="24"/>
          <w:szCs w:val="24"/>
        </w:rPr>
        <w:t xml:space="preserve">  formatą, naudojant Europos Komisijos parengtus įrankius (EIONET sistemoje </w:t>
      </w:r>
      <w:r w:rsidRPr="002749FA">
        <w:rPr>
          <w:rStyle w:val="Puslapioinaosnuoroda"/>
          <w:rFonts w:ascii="Times New Roman" w:eastAsia="Times New Roman" w:hAnsi="Times New Roman" w:cs="Times New Roman"/>
          <w:sz w:val="24"/>
          <w:szCs w:val="24"/>
        </w:rPr>
        <w:footnoteReference w:id="4"/>
      </w:r>
      <w:r w:rsidRPr="002749FA">
        <w:rPr>
          <w:rFonts w:ascii="Times New Roman" w:eastAsia="Times New Roman" w:hAnsi="Times New Roman" w:cs="Times New Roman"/>
          <w:sz w:val="24"/>
          <w:szCs w:val="24"/>
        </w:rPr>
        <w:t>);</w:t>
      </w:r>
    </w:p>
    <w:p w14:paraId="23B0235F"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lastRenderedPageBreak/>
        <w:t>12.1.4.2. Parengti metaduomenis pagal Europos Komisijos techninių ataskaitų rengimo dokumentacijos reikalavimus („*.</w:t>
      </w:r>
      <w:proofErr w:type="spellStart"/>
      <w:r w:rsidRPr="002749FA">
        <w:rPr>
          <w:rFonts w:ascii="Times New Roman" w:eastAsia="Times New Roman" w:hAnsi="Times New Roman" w:cs="Times New Roman"/>
          <w:sz w:val="24"/>
          <w:szCs w:val="24"/>
        </w:rPr>
        <w:t>xml</w:t>
      </w:r>
      <w:proofErr w:type="spellEnd"/>
      <w:r w:rsidRPr="002749FA">
        <w:rPr>
          <w:rFonts w:ascii="Times New Roman" w:eastAsia="Times New Roman" w:hAnsi="Times New Roman" w:cs="Times New Roman"/>
          <w:sz w:val="24"/>
          <w:szCs w:val="24"/>
        </w:rPr>
        <w:t xml:space="preserve">“ formatu </w:t>
      </w:r>
      <w:r w:rsidRPr="002749FA">
        <w:rPr>
          <w:rStyle w:val="Puslapioinaosnuoroda"/>
          <w:rFonts w:ascii="Times New Roman" w:eastAsia="Times New Roman" w:hAnsi="Times New Roman" w:cs="Times New Roman"/>
          <w:sz w:val="24"/>
          <w:szCs w:val="24"/>
        </w:rPr>
        <w:footnoteReference w:id="5"/>
      </w:r>
      <w:r w:rsidRPr="002749FA">
        <w:rPr>
          <w:rFonts w:ascii="Times New Roman" w:eastAsia="Times New Roman" w:hAnsi="Times New Roman" w:cs="Times New Roman"/>
          <w:sz w:val="24"/>
          <w:szCs w:val="24"/>
        </w:rPr>
        <w:t>);</w:t>
      </w:r>
    </w:p>
    <w:p w14:paraId="3749C2F0"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12.1.4.3. Parengti GML duomenų rinkiniai ir metaduomenys turi būti įkelti į EIONET sistemą. Jiems turi būti atlikti visi Europos Komisijos prašomi kokybės kontrolės testai ir procedūros. Visos klaidos, iškilusios atliekant raportavimo kokybės kontrolę, turi būti ištaisytos. Parengti ir perkančiajai organizacijai teikiami duomenys negali turėti jokių klaidų, dėl kurių negalima užbaigti duomenų pateikimo EIONET sistemoje; </w:t>
      </w:r>
    </w:p>
    <w:p w14:paraId="23C83958"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12.1.4.4. Perkančiajai organizacijai pateiki atnaujintus GIS duomenų rinkinius („*.</w:t>
      </w:r>
      <w:proofErr w:type="spellStart"/>
      <w:r w:rsidRPr="002749FA">
        <w:rPr>
          <w:rFonts w:ascii="Times New Roman" w:eastAsia="Times New Roman" w:hAnsi="Times New Roman" w:cs="Times New Roman"/>
          <w:sz w:val="24"/>
          <w:szCs w:val="24"/>
        </w:rPr>
        <w:t>shp</w:t>
      </w:r>
      <w:proofErr w:type="spellEnd"/>
      <w:r w:rsidRPr="002749FA">
        <w:rPr>
          <w:rFonts w:ascii="Times New Roman" w:eastAsia="Times New Roman" w:hAnsi="Times New Roman" w:cs="Times New Roman"/>
          <w:sz w:val="24"/>
          <w:szCs w:val="24"/>
        </w:rPr>
        <w:t>“ formatu), konvertuotus  į „GML“ duomenis ir parengtus metaduomenis („*.</w:t>
      </w:r>
      <w:proofErr w:type="spellStart"/>
      <w:r w:rsidRPr="002749FA">
        <w:rPr>
          <w:rFonts w:ascii="Times New Roman" w:eastAsia="Times New Roman" w:hAnsi="Times New Roman" w:cs="Times New Roman"/>
          <w:sz w:val="24"/>
          <w:szCs w:val="24"/>
        </w:rPr>
        <w:t>xml</w:t>
      </w:r>
      <w:proofErr w:type="spellEnd"/>
      <w:r w:rsidRPr="002749FA">
        <w:rPr>
          <w:rFonts w:ascii="Times New Roman" w:eastAsia="Times New Roman" w:hAnsi="Times New Roman" w:cs="Times New Roman"/>
          <w:sz w:val="24"/>
          <w:szCs w:val="24"/>
        </w:rPr>
        <w:t xml:space="preserve">“ formatu).  </w:t>
      </w:r>
    </w:p>
    <w:p w14:paraId="534CBBBC"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12.1.5.  Visa aprašomoji informacija (duomenys), reikalinga parengti technines ataskaitas, bus pateikta Paslaugų teikėjui, tačiau nestruktūrizuota forma (tekstinė medžiaga, duomenų lentelės ir pan.). Paslaugų teikėjui nereikės atlikti jokių tyrimų, analizių ar vertinimų trūkstamų duomenų surinkimui ar sukūrimui </w:t>
      </w:r>
      <w:r w:rsidRPr="002749FA">
        <w:rPr>
          <w:rStyle w:val="Puslapioinaosnuoroda"/>
          <w:rFonts w:ascii="Times New Roman" w:eastAsia="Times New Roman" w:hAnsi="Times New Roman" w:cs="Times New Roman"/>
          <w:sz w:val="24"/>
          <w:szCs w:val="24"/>
        </w:rPr>
        <w:footnoteReference w:id="6"/>
      </w:r>
      <w:r w:rsidRPr="002749FA">
        <w:rPr>
          <w:rFonts w:ascii="Times New Roman" w:eastAsia="Times New Roman" w:hAnsi="Times New Roman" w:cs="Times New Roman"/>
          <w:sz w:val="24"/>
          <w:szCs w:val="24"/>
        </w:rPr>
        <w:t xml:space="preserve">, tačiau techninių ataskaitų parengimui dalis informacijos (techniniai laukai lentelėse ir pan.) turės būti parengta Paslaugų teikėjo, o Perkančiosios organizacijos pateikta informacija turės būti pertvarkoma ir modifikuojama, kad atitiktų techninių ataskaitų turinio ir struktūros reikalavimus: </w:t>
      </w:r>
    </w:p>
    <w:p w14:paraId="41CB022C"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12.1.5.1.  Aprašomoji informacija (duomenys), naudota techninių ataskaitų parengimui 2016 m. („Access“; „*.</w:t>
      </w:r>
      <w:proofErr w:type="spellStart"/>
      <w:r w:rsidRPr="002749FA">
        <w:rPr>
          <w:rFonts w:ascii="Times New Roman" w:eastAsia="Times New Roman" w:hAnsi="Times New Roman" w:cs="Times New Roman"/>
          <w:sz w:val="24"/>
          <w:szCs w:val="24"/>
        </w:rPr>
        <w:t>mdb</w:t>
      </w:r>
      <w:proofErr w:type="spellEnd"/>
      <w:r w:rsidRPr="002749FA">
        <w:rPr>
          <w:rFonts w:ascii="Times New Roman" w:eastAsia="Times New Roman" w:hAnsi="Times New Roman" w:cs="Times New Roman"/>
          <w:sz w:val="24"/>
          <w:szCs w:val="24"/>
        </w:rPr>
        <w:t xml:space="preserve">” formatu) bus pateikta Paslaugų teikėjui </w:t>
      </w:r>
      <w:r w:rsidRPr="002749FA">
        <w:rPr>
          <w:rStyle w:val="Puslapioinaosnuoroda"/>
          <w:rFonts w:ascii="Times New Roman" w:eastAsia="Times New Roman" w:hAnsi="Times New Roman" w:cs="Times New Roman"/>
          <w:sz w:val="24"/>
          <w:szCs w:val="24"/>
        </w:rPr>
        <w:footnoteReference w:id="7"/>
      </w:r>
      <w:r w:rsidRPr="002749FA">
        <w:rPr>
          <w:rFonts w:ascii="Times New Roman" w:eastAsia="Times New Roman" w:hAnsi="Times New Roman" w:cs="Times New Roman"/>
          <w:sz w:val="24"/>
          <w:szCs w:val="24"/>
        </w:rPr>
        <w:t xml:space="preserve">; </w:t>
      </w:r>
    </w:p>
    <w:p w14:paraId="241F3AE3" w14:textId="77777777" w:rsidR="00746FC0" w:rsidRPr="0041237B"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 xml:space="preserve">12.1.5.2.  Aprašomoji informacija (duomenys) turi būti užpildyta į Europos Komisijos parengtas „Access“ duomenų bazes </w:t>
      </w:r>
      <w:r w:rsidRPr="002749FA">
        <w:rPr>
          <w:rStyle w:val="Puslapioinaosnuoroda"/>
          <w:rFonts w:ascii="Times New Roman" w:eastAsia="Times New Roman" w:hAnsi="Times New Roman" w:cs="Times New Roman"/>
          <w:sz w:val="24"/>
          <w:szCs w:val="24"/>
        </w:rPr>
        <w:footnoteReference w:id="8"/>
      </w:r>
      <w:r w:rsidRPr="002749FA">
        <w:rPr>
          <w:rFonts w:ascii="Times New Roman" w:eastAsia="Times New Roman" w:hAnsi="Times New Roman" w:cs="Times New Roman"/>
          <w:sz w:val="24"/>
          <w:szCs w:val="24"/>
        </w:rPr>
        <w:t>. „Access“ duomenų bazių duomenys turi būti eksportuoti į „*.</w:t>
      </w:r>
      <w:proofErr w:type="spellStart"/>
      <w:r w:rsidRPr="002749FA">
        <w:rPr>
          <w:rFonts w:ascii="Times New Roman" w:eastAsia="Times New Roman" w:hAnsi="Times New Roman" w:cs="Times New Roman"/>
          <w:sz w:val="24"/>
          <w:szCs w:val="24"/>
        </w:rPr>
        <w:t>xml</w:t>
      </w:r>
      <w:proofErr w:type="spellEnd"/>
      <w:r w:rsidRPr="002749FA">
        <w:rPr>
          <w:rFonts w:ascii="Times New Roman" w:eastAsia="Times New Roman" w:hAnsi="Times New Roman" w:cs="Times New Roman"/>
          <w:sz w:val="24"/>
          <w:szCs w:val="24"/>
        </w:rPr>
        <w:t>“ formato duomenų rinkinius, naudojant Europos Komisijos įrankius (EIONET sistemoje)</w:t>
      </w:r>
      <w:r w:rsidRPr="002749FA">
        <w:rPr>
          <w:rStyle w:val="Puslapioinaosnuoroda"/>
          <w:rFonts w:ascii="Times New Roman" w:eastAsia="Times New Roman" w:hAnsi="Times New Roman" w:cs="Times New Roman"/>
          <w:sz w:val="24"/>
          <w:szCs w:val="24"/>
        </w:rPr>
        <w:footnoteReference w:id="9"/>
      </w:r>
      <w:r w:rsidRPr="002749FA">
        <w:rPr>
          <w:rFonts w:ascii="Times New Roman" w:eastAsia="Times New Roman" w:hAnsi="Times New Roman" w:cs="Times New Roman"/>
          <w:sz w:val="24"/>
          <w:szCs w:val="24"/>
        </w:rPr>
        <w:t>;</w:t>
      </w:r>
      <w:r w:rsidRPr="0041237B">
        <w:rPr>
          <w:b/>
          <w:bCs/>
        </w:rPr>
        <w:t xml:space="preserve"> </w:t>
      </w:r>
    </w:p>
    <w:p w14:paraId="5D22D554"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12.1.5.3.  Parengti „*.</w:t>
      </w:r>
      <w:proofErr w:type="spellStart"/>
      <w:r w:rsidRPr="002749FA">
        <w:rPr>
          <w:rFonts w:ascii="Times New Roman" w:eastAsia="Times New Roman" w:hAnsi="Times New Roman" w:cs="Times New Roman"/>
          <w:sz w:val="24"/>
          <w:szCs w:val="24"/>
        </w:rPr>
        <w:t>xml</w:t>
      </w:r>
      <w:proofErr w:type="spellEnd"/>
      <w:r w:rsidRPr="002749FA">
        <w:rPr>
          <w:rFonts w:ascii="Times New Roman" w:eastAsia="Times New Roman" w:hAnsi="Times New Roman" w:cs="Times New Roman"/>
          <w:sz w:val="24"/>
          <w:szCs w:val="24"/>
        </w:rPr>
        <w:t xml:space="preserve">“ duomenų rinkiniai turi būti įkelti į EIONET sistemą. Jiems turi būti  atlikti visi kokybės kontrolės testai ir procedūros. Visos klaidos, iškilusios atliekant raportavimo kokybės kontrolę, turi būti ištaisytos. Parengti ir perkančiajai organizacijai teikiami duomenys negali turėti jokių klaidų, dėl kurių negalima užbaigti duomenų pateikimo EIONET sistemoje;  </w:t>
      </w:r>
    </w:p>
    <w:p w14:paraId="1C5EE091" w14:textId="77777777" w:rsidR="00746FC0"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lastRenderedPageBreak/>
        <w:t>12.1.5.4.  Perkančiajai organizacijai turi būti pateiktos užpildytos „Access“ duomenų bazės („*.</w:t>
      </w:r>
      <w:proofErr w:type="spellStart"/>
      <w:r w:rsidRPr="002749FA">
        <w:rPr>
          <w:rFonts w:ascii="Times New Roman" w:eastAsia="Times New Roman" w:hAnsi="Times New Roman" w:cs="Times New Roman"/>
          <w:sz w:val="24"/>
          <w:szCs w:val="24"/>
        </w:rPr>
        <w:t>mdb</w:t>
      </w:r>
      <w:proofErr w:type="spellEnd"/>
      <w:r w:rsidRPr="002749FA">
        <w:rPr>
          <w:rFonts w:ascii="Times New Roman" w:eastAsia="Times New Roman" w:hAnsi="Times New Roman" w:cs="Times New Roman"/>
          <w:sz w:val="24"/>
          <w:szCs w:val="24"/>
        </w:rPr>
        <w:t>” formatu) ir eksportuotos į „*.</w:t>
      </w:r>
      <w:proofErr w:type="spellStart"/>
      <w:r w:rsidRPr="002749FA">
        <w:rPr>
          <w:rFonts w:ascii="Times New Roman" w:eastAsia="Times New Roman" w:hAnsi="Times New Roman" w:cs="Times New Roman"/>
          <w:sz w:val="24"/>
          <w:szCs w:val="24"/>
        </w:rPr>
        <w:t>xml</w:t>
      </w:r>
      <w:proofErr w:type="spellEnd"/>
      <w:r w:rsidRPr="002749FA">
        <w:rPr>
          <w:rFonts w:ascii="Times New Roman" w:eastAsia="Times New Roman" w:hAnsi="Times New Roman" w:cs="Times New Roman"/>
          <w:sz w:val="24"/>
          <w:szCs w:val="24"/>
        </w:rPr>
        <w:t xml:space="preserve">“ duomenų rinkinius. </w:t>
      </w:r>
    </w:p>
    <w:p w14:paraId="7ED9E779"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65458F">
        <w:rPr>
          <w:rFonts w:ascii="Times New Roman" w:hAnsi="Times New Roman" w:cs="Times New Roman"/>
          <w:sz w:val="24"/>
          <w:szCs w:val="24"/>
        </w:rPr>
        <w:t xml:space="preserve">12.1.6. </w:t>
      </w:r>
      <w:bookmarkStart w:id="3" w:name="_Hlk53524318"/>
      <w:r w:rsidRPr="0065458F">
        <w:rPr>
          <w:rFonts w:ascii="Times New Roman" w:hAnsi="Times New Roman" w:cs="Times New Roman"/>
          <w:sz w:val="24"/>
          <w:szCs w:val="24"/>
        </w:rPr>
        <w:t>Esant Europos Komisijos parengtoms kitokioms raportavimo apie BVPD įgyvendinimą duomenų bazėms ir įrankiams negu nurodyta šioje techninėje užduotyje, gavęs Perkančiosios organizacijos pritarimą Paslaugų tiekėjas gali pasirinkti ir kitą raportavimo būdą.</w:t>
      </w:r>
    </w:p>
    <w:bookmarkEnd w:id="3"/>
    <w:p w14:paraId="08921422" w14:textId="77777777" w:rsidR="00746FC0" w:rsidRPr="002749FA" w:rsidRDefault="00746FC0" w:rsidP="00746FC0">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2749FA">
        <w:rPr>
          <w:rFonts w:ascii="Times New Roman" w:eastAsia="Times New Roman" w:hAnsi="Times New Roman" w:cs="Times New Roman"/>
          <w:sz w:val="24"/>
          <w:szCs w:val="24"/>
        </w:rPr>
        <w:t>.  Visi parengti ir perkančiajai organizacijai teikiami duomenys turi atitikti 2007 m. kovo 14 d. Europos Parlamento ir Tarybos direktyvos 2007/2/EB, sukuriančios Europos bendrijos erdvinės informacijos infrastruktūrą (INSPIRE), reikalavimus (išskyrus atvejus, jei duomenų turinys ar struktūra prieštarautų Europos Komisijos techninių ataskaitų rengimo dokumentacijos reikalavimams);</w:t>
      </w:r>
    </w:p>
    <w:p w14:paraId="12639EE6" w14:textId="37C5D540" w:rsidR="00746FC0" w:rsidRPr="002749FA" w:rsidRDefault="00746FC0" w:rsidP="00A41088">
      <w:pPr>
        <w:ind w:right="-80" w:firstLine="720"/>
        <w:jc w:val="both"/>
        <w:rPr>
          <w:rFonts w:ascii="Times New Roman" w:eastAsia="Times New Roman" w:hAnsi="Times New Roman" w:cs="Times New Roman"/>
          <w:sz w:val="24"/>
          <w:szCs w:val="24"/>
        </w:rPr>
      </w:pPr>
      <w:r w:rsidRPr="002749FA">
        <w:rPr>
          <w:rFonts w:ascii="Times New Roman" w:eastAsia="Times New Roman" w:hAnsi="Times New Roman" w:cs="Times New Roman"/>
          <w:sz w:val="24"/>
          <w:szCs w:val="24"/>
        </w:rPr>
        <w:t>12.1.</w:t>
      </w:r>
      <w:r>
        <w:rPr>
          <w:rFonts w:ascii="Times New Roman" w:eastAsia="Times New Roman" w:hAnsi="Times New Roman" w:cs="Times New Roman"/>
          <w:sz w:val="24"/>
          <w:szCs w:val="24"/>
        </w:rPr>
        <w:t>8</w:t>
      </w:r>
      <w:r w:rsidRPr="002749FA">
        <w:rPr>
          <w:rFonts w:ascii="Times New Roman" w:eastAsia="Times New Roman" w:hAnsi="Times New Roman" w:cs="Times New Roman"/>
          <w:sz w:val="24"/>
          <w:szCs w:val="24"/>
        </w:rPr>
        <w:t>. Vykdant šį uždavinį turi būti vadovaujamasi esamais (turimais ar prieinamais) duomenimis, pap</w:t>
      </w:r>
      <w:r w:rsidR="00A41088">
        <w:rPr>
          <w:rFonts w:ascii="Times New Roman" w:eastAsia="Times New Roman" w:hAnsi="Times New Roman" w:cs="Times New Roman"/>
          <w:sz w:val="24"/>
          <w:szCs w:val="24"/>
        </w:rPr>
        <w:t>ildomų tyrimų atlikti nereikia.</w:t>
      </w:r>
    </w:p>
    <w:p w14:paraId="12D3A843" w14:textId="77777777" w:rsidR="00746FC0" w:rsidRPr="002749FA" w:rsidRDefault="00746FC0" w:rsidP="00746FC0">
      <w:pPr>
        <w:spacing w:before="240" w:after="240"/>
        <w:ind w:firstLine="544"/>
        <w:jc w:val="both"/>
        <w:rPr>
          <w:rFonts w:ascii="Times New Roman" w:eastAsia="Times New Roman" w:hAnsi="Times New Roman" w:cs="Times New Roman"/>
          <w:b/>
          <w:sz w:val="28"/>
          <w:szCs w:val="28"/>
        </w:rPr>
      </w:pPr>
      <w:r w:rsidRPr="002749FA">
        <w:rPr>
          <w:rFonts w:ascii="Times New Roman" w:eastAsia="Times New Roman" w:hAnsi="Times New Roman" w:cs="Times New Roman"/>
          <w:b/>
          <w:sz w:val="28"/>
          <w:szCs w:val="28"/>
        </w:rPr>
        <w:t>Atskaitomybės reikalavimai</w:t>
      </w:r>
    </w:p>
    <w:p w14:paraId="5CEAC97C" w14:textId="77777777" w:rsidR="00746FC0" w:rsidRPr="0065458F" w:rsidRDefault="00746FC0" w:rsidP="00746FC0">
      <w:pPr>
        <w:spacing w:before="120"/>
        <w:ind w:firstLine="544"/>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 xml:space="preserve">13.1. Paslaugų teikėjas rengia ir teikia 1 </w:t>
      </w:r>
      <w:r w:rsidRPr="0065458F">
        <w:rPr>
          <w:rFonts w:ascii="Times New Roman" w:eastAsia="Times New Roman" w:hAnsi="Times New Roman" w:cs="Times New Roman"/>
          <w:i/>
          <w:sz w:val="24"/>
          <w:szCs w:val="24"/>
        </w:rPr>
        <w:t>Įvadinę ataskaitą, 2 Tarpines ataskaitas</w:t>
      </w:r>
      <w:r w:rsidRPr="0065458F">
        <w:rPr>
          <w:rFonts w:ascii="Times New Roman" w:eastAsia="Times New Roman" w:hAnsi="Times New Roman" w:cs="Times New Roman"/>
          <w:sz w:val="24"/>
          <w:szCs w:val="24"/>
        </w:rPr>
        <w:t xml:space="preserve"> ir 1 </w:t>
      </w:r>
      <w:r w:rsidRPr="0065458F">
        <w:rPr>
          <w:rFonts w:ascii="Times New Roman" w:eastAsia="Times New Roman" w:hAnsi="Times New Roman" w:cs="Times New Roman"/>
          <w:i/>
          <w:sz w:val="24"/>
          <w:szCs w:val="24"/>
        </w:rPr>
        <w:t xml:space="preserve">Galutinę ataskaitą. </w:t>
      </w:r>
      <w:r w:rsidRPr="0065458F">
        <w:rPr>
          <w:rFonts w:ascii="Times New Roman" w:eastAsia="Times New Roman" w:hAnsi="Times New Roman" w:cs="Times New Roman"/>
          <w:sz w:val="24"/>
          <w:szCs w:val="24"/>
        </w:rPr>
        <w:t>Ir su tarpinėmis, ir su galutine ataskaitomis turi būti pateikiami paslaugų priėmimo-perdavimo aktai ir sąskaitos faktūros.</w:t>
      </w:r>
    </w:p>
    <w:p w14:paraId="36408E43"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 Ataskaitų turinys, pateikimas ir tvirtinimas:</w:t>
      </w:r>
    </w:p>
    <w:p w14:paraId="659E6F9D"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13.2.1. Įvadinėje ataskaitoje</w:t>
      </w:r>
      <w:r w:rsidRPr="0065458F">
        <w:rPr>
          <w:rFonts w:ascii="Times New Roman" w:eastAsia="Times New Roman" w:hAnsi="Times New Roman" w:cs="Times New Roman"/>
          <w:b/>
          <w:sz w:val="24"/>
          <w:szCs w:val="24"/>
        </w:rPr>
        <w:t xml:space="preserve"> </w:t>
      </w:r>
      <w:r w:rsidRPr="0065458F">
        <w:rPr>
          <w:rFonts w:ascii="Times New Roman" w:eastAsia="Times New Roman" w:hAnsi="Times New Roman" w:cs="Times New Roman"/>
          <w:sz w:val="24"/>
          <w:szCs w:val="24"/>
        </w:rPr>
        <w:t>turi būti pateiktas Paslaugų teikėjo planuojamas visų uždavinių visų veiklų įgyvendinimo ir rezultato pasiekimo grafikas paslaugų teikimo laikotarpiu - paslaugų teikimo planas, įskaitant darbo grafiką. Visos veiklos ir rezultatai turi būti aiškiai sunumeruoti ir turi būti nurodyta kuris(-</w:t>
      </w:r>
      <w:proofErr w:type="spellStart"/>
      <w:r w:rsidRPr="0065458F">
        <w:rPr>
          <w:rFonts w:ascii="Times New Roman" w:eastAsia="Times New Roman" w:hAnsi="Times New Roman" w:cs="Times New Roman"/>
          <w:sz w:val="24"/>
          <w:szCs w:val="24"/>
        </w:rPr>
        <w:t>ie</w:t>
      </w:r>
      <w:proofErr w:type="spellEnd"/>
      <w:r w:rsidRPr="0065458F">
        <w:rPr>
          <w:rFonts w:ascii="Times New Roman" w:eastAsia="Times New Roman" w:hAnsi="Times New Roman" w:cs="Times New Roman"/>
          <w:sz w:val="24"/>
          <w:szCs w:val="24"/>
        </w:rPr>
        <w:t xml:space="preserve">) ekspertas(-ai) yra atsakingas(-i) už kiekvieną </w:t>
      </w:r>
      <w:r w:rsidRPr="0065458F">
        <w:rPr>
          <w:rFonts w:ascii="Times New Roman" w:hAnsi="Times New Roman"/>
          <w:bCs/>
          <w:sz w:val="24"/>
          <w:szCs w:val="24"/>
        </w:rPr>
        <w:t>paslaugų teikimo plane</w:t>
      </w:r>
      <w:r w:rsidRPr="0065458F">
        <w:rPr>
          <w:rFonts w:ascii="Times New Roman" w:eastAsia="Times New Roman" w:hAnsi="Times New Roman" w:cs="Times New Roman"/>
          <w:sz w:val="24"/>
          <w:szCs w:val="24"/>
        </w:rPr>
        <w:t xml:space="preserve"> nurodytą veiklą. Tarpinėse ir galutinėje ataskaitose visi teiktų paslaugų rezultatai turi turėti aiškią nuorodą į atitinkamą veiklą (rezultato identifikacinį numerį), pateiktą įvadinėje ataskaitoje. Patvirtinus įvadinę ataskaitą paslaugų teikimo planas turi būti laikomas pagrindiniu dokumentu, kuriuo turi būti vadovaujamasi teikiant paslaugas. </w:t>
      </w:r>
    </w:p>
    <w:p w14:paraId="0A2CBA9F"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13.2.2. Tarpinėje ataskaitoje turi būti pateikta:</w:t>
      </w:r>
    </w:p>
    <w:p w14:paraId="71001E68"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 xml:space="preserve">13.2.2.1. </w:t>
      </w:r>
      <w:bookmarkStart w:id="4" w:name="_Hlk53484400"/>
      <w:r w:rsidRPr="0065458F">
        <w:rPr>
          <w:rFonts w:ascii="Times New Roman" w:eastAsia="Times New Roman" w:hAnsi="Times New Roman" w:cs="Times New Roman"/>
          <w:sz w:val="24"/>
          <w:szCs w:val="24"/>
        </w:rPr>
        <w:t>Atliktos veiklos/ pasiekti rezultatai, jų aprašymai</w:t>
      </w:r>
      <w:bookmarkEnd w:id="4"/>
      <w:r w:rsidRPr="0065458F">
        <w:rPr>
          <w:rFonts w:ascii="Times New Roman" w:eastAsia="Times New Roman" w:hAnsi="Times New Roman" w:cs="Times New Roman"/>
          <w:sz w:val="24"/>
          <w:szCs w:val="24"/>
        </w:rPr>
        <w:t>;</w:t>
      </w:r>
    </w:p>
    <w:p w14:paraId="2C9B61E9"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13.2.2.2. Atliekamos veiklos (ir pasiekta pažanga);</w:t>
      </w:r>
    </w:p>
    <w:p w14:paraId="6007F14C"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13.2.2.3. Kylančios problemos ir siūlomi sprendimai;</w:t>
      </w:r>
    </w:p>
    <w:p w14:paraId="2BC0DFA8"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13.2.2.4. Rekomendacijos dėl darbo plano pakeitimo ar pakoregavimo;</w:t>
      </w:r>
    </w:p>
    <w:p w14:paraId="2150EADA"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13.2.2.5. Galimi prašymai dėl Priežiūros komiteto patarimų;</w:t>
      </w:r>
    </w:p>
    <w:p w14:paraId="384E773A"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13.2.2.6. Darbų eigos lentelė.</w:t>
      </w:r>
    </w:p>
    <w:p w14:paraId="3540B13B" w14:textId="77777777" w:rsidR="00746FC0" w:rsidRPr="0065458F" w:rsidRDefault="00746FC0" w:rsidP="00746FC0">
      <w:pPr>
        <w:ind w:firstLine="547"/>
        <w:jc w:val="both"/>
        <w:rPr>
          <w:rFonts w:ascii="Times New Roman" w:eastAsia="Times New Roman" w:hAnsi="Times New Roman" w:cs="Times New Roman"/>
          <w:strike/>
          <w:sz w:val="24"/>
          <w:szCs w:val="24"/>
        </w:rPr>
      </w:pPr>
      <w:r w:rsidRPr="0065458F">
        <w:rPr>
          <w:rFonts w:ascii="Times New Roman" w:eastAsia="Times New Roman" w:hAnsi="Times New Roman" w:cs="Times New Roman"/>
          <w:sz w:val="24"/>
          <w:szCs w:val="24"/>
        </w:rPr>
        <w:t>13.2.3. Galutinėje ataskaitoje turi būti pateiktos atliktos veiklos/ pasiekti rezultatai, jų aprašymai.</w:t>
      </w:r>
    </w:p>
    <w:p w14:paraId="0DDBF104"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lastRenderedPageBreak/>
        <w:t>13.2.4. Ataskaitų teikimo terminai:</w:t>
      </w:r>
    </w:p>
    <w:p w14:paraId="49B9CBFE"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 xml:space="preserve">13.2.4.1. Įvadinė ataskaita turi būti pateikta per 30 </w:t>
      </w:r>
      <w:r>
        <w:rPr>
          <w:rFonts w:ascii="Times New Roman" w:eastAsia="Times New Roman" w:hAnsi="Times New Roman" w:cs="Times New Roman"/>
          <w:sz w:val="24"/>
          <w:szCs w:val="24"/>
        </w:rPr>
        <w:t xml:space="preserve">kalendorinių </w:t>
      </w:r>
      <w:r w:rsidRPr="0065458F">
        <w:rPr>
          <w:rFonts w:ascii="Times New Roman" w:eastAsia="Times New Roman" w:hAnsi="Times New Roman" w:cs="Times New Roman"/>
          <w:sz w:val="24"/>
          <w:szCs w:val="24"/>
        </w:rPr>
        <w:t xml:space="preserve">dienų nuo sutarties įsigaliojimo </w:t>
      </w:r>
      <w:r>
        <w:rPr>
          <w:rFonts w:ascii="Times New Roman" w:eastAsia="Times New Roman" w:hAnsi="Times New Roman" w:cs="Times New Roman"/>
          <w:sz w:val="24"/>
          <w:szCs w:val="24"/>
        </w:rPr>
        <w:t>dienos</w:t>
      </w:r>
      <w:r w:rsidRPr="0065458F">
        <w:rPr>
          <w:rFonts w:ascii="Times New Roman" w:eastAsia="Times New Roman" w:hAnsi="Times New Roman" w:cs="Times New Roman"/>
          <w:sz w:val="24"/>
          <w:szCs w:val="24"/>
        </w:rPr>
        <w:t>.</w:t>
      </w:r>
    </w:p>
    <w:p w14:paraId="77D3A92F" w14:textId="77777777" w:rsidR="00746FC0" w:rsidRPr="0065458F" w:rsidRDefault="00746FC0" w:rsidP="00746FC0">
      <w:pPr>
        <w:ind w:firstLine="547"/>
        <w:jc w:val="both"/>
        <w:rPr>
          <w:rFonts w:ascii="Times New Roman" w:hAnsi="Times New Roman" w:cs="Times New Roman"/>
          <w:color w:val="000000"/>
          <w:sz w:val="24"/>
          <w:szCs w:val="24"/>
          <w:shd w:val="clear" w:color="auto" w:fill="E6B8AF"/>
        </w:rPr>
      </w:pPr>
      <w:r w:rsidRPr="0065458F">
        <w:rPr>
          <w:rFonts w:ascii="Times New Roman" w:hAnsi="Times New Roman" w:cs="Times New Roman"/>
          <w:color w:val="000000"/>
          <w:sz w:val="24"/>
          <w:szCs w:val="24"/>
        </w:rPr>
        <w:t>13.2.4.2. Pirma tarpinė ataskaita turi būti pateikta ne vėliau kaip po 9 mėnesių nuo sutarties įsigaliojimo dienos. Ataskaitoje turi būti pateikti: 1 uždavinio 1.2-1.5 veiklų, 3 uždavinio 3.1, 3.2, 3.3, 3.5 veiklų; 2, 5, 6, 7, 8, 9 ir 10 uždavinių visų veiklų galutiniai rezultatai; 3 uždavinio 3.4 veiklos, 4 uždavinio visų veiklų tarpiniai rezultatai. Erdvinė informacija, nurodyta 11 uždavinyje, pateikiama tik ta, kuri atitinka veiklų, už kurias atsiskaitoma, rezultatus.</w:t>
      </w:r>
    </w:p>
    <w:p w14:paraId="0E0E6F15"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 xml:space="preserve">13.2.4.3. Antra tarpinė ataskaita turi būti pateikta ne vėliau kaip po 14 mėnesių nuo sutarties įsigaliojimo dienos. Ataskaitoje turi būti pateikti 12 uždavinio visų veiklų galutiniai rezultatai; 1 uždavinio 1.1 veiklos, 3 uždavinio 3.4 veiklos, 4 uždavinio visų veiklų tarpiniai rezultatai. </w:t>
      </w:r>
      <w:r w:rsidRPr="0065458F">
        <w:rPr>
          <w:rFonts w:ascii="Times New Roman" w:hAnsi="Times New Roman" w:cs="Times New Roman"/>
          <w:color w:val="000000"/>
          <w:sz w:val="24"/>
          <w:szCs w:val="24"/>
        </w:rPr>
        <w:t xml:space="preserve">Erdvinė informacija, nurodyta 11 uždavinyje, pateikiama tik ta, kuri atitinka veiklų, už kurias atsiskaitoma, rezultatus. </w:t>
      </w:r>
      <w:r w:rsidRPr="0065458F">
        <w:rPr>
          <w:rFonts w:ascii="Times New Roman" w:eastAsia="Times New Roman" w:hAnsi="Times New Roman" w:cs="Times New Roman"/>
          <w:sz w:val="24"/>
          <w:szCs w:val="24"/>
        </w:rPr>
        <w:t>Ataskaitoje taip pat turi būti pateikti pakoreguoti pirmoje tarpinėje ataskaitoje pateiktų veiklų rezultatai pagal derinimo su Europos Komisija, nacionalinėmis ir kaimyninių valstybių institucijomis, visuomene rezultatus bei galutines nustatyta tvarka tvirtinamas UBR priemonių programas.</w:t>
      </w:r>
    </w:p>
    <w:p w14:paraId="5AC8279C" w14:textId="77777777" w:rsidR="00746FC0" w:rsidRPr="0065458F"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 xml:space="preserve">13.2.4.4. Galutinė ataskaita turi būti pateikta ne vėliau kaip po 17 mėn. nuo sutarties įsigaliojimo dienos. Ataskaitoje turi būti pateikti: 1 uždavinio 1.1 veiklos, 3 uždavinio 3.4 veiklos, 4 uždavinio visų veiklų galutiniai rezultatai. Ataskaitoje taip pat turi būti  pateikti pakoreguoti pirmoje ir/arba antroje tarpinėje ataskaitoje pateiktų veiklų rezultatai pagal derinimo su Europos Komisija, nacionalinėmis ir kaimyninių valstybių institucijomis rezultatus.  </w:t>
      </w:r>
    </w:p>
    <w:p w14:paraId="4BA4613D" w14:textId="77777777" w:rsidR="00746FC0" w:rsidRPr="00734645" w:rsidRDefault="00746FC0" w:rsidP="00746FC0">
      <w:pPr>
        <w:ind w:firstLine="547"/>
        <w:jc w:val="both"/>
        <w:rPr>
          <w:rFonts w:ascii="Times New Roman" w:eastAsia="Times New Roman" w:hAnsi="Times New Roman" w:cs="Times New Roman"/>
          <w:sz w:val="24"/>
          <w:szCs w:val="24"/>
        </w:rPr>
      </w:pPr>
      <w:r w:rsidRPr="0065458F">
        <w:rPr>
          <w:rFonts w:ascii="Times New Roman" w:eastAsia="Times New Roman" w:hAnsi="Times New Roman" w:cs="Times New Roman"/>
          <w:sz w:val="24"/>
          <w:szCs w:val="24"/>
        </w:rPr>
        <w:t>13.2.4.5. Ataskaitų teikimo ir/arba pačios sutarties vykdymo terminai, esant pagrįstoms objektyvioms priežastims, šalių susitarimu gali būti keičiami.</w:t>
      </w:r>
    </w:p>
    <w:p w14:paraId="7FC52190" w14:textId="77777777" w:rsidR="00BD69A5" w:rsidRDefault="00BD69A5"/>
    <w:p w14:paraId="4F20E94D" w14:textId="77777777" w:rsidR="00165140" w:rsidRDefault="00165140"/>
    <w:p w14:paraId="3CA30DE8" w14:textId="77777777" w:rsidR="00165140" w:rsidRDefault="00165140"/>
    <w:p w14:paraId="56595C70" w14:textId="77777777" w:rsidR="00165140" w:rsidRDefault="00165140"/>
    <w:p w14:paraId="3D3C28C0" w14:textId="77777777" w:rsidR="00165140" w:rsidRDefault="00165140"/>
    <w:p w14:paraId="47F43573" w14:textId="77777777" w:rsidR="00165140" w:rsidRDefault="00165140"/>
    <w:p w14:paraId="7EB36599" w14:textId="77777777" w:rsidR="00165140" w:rsidRDefault="00165140"/>
    <w:p w14:paraId="434DA335" w14:textId="77777777" w:rsidR="00165140" w:rsidRDefault="00165140"/>
    <w:p w14:paraId="147AEF10" w14:textId="77777777" w:rsidR="00165140" w:rsidRDefault="00165140"/>
    <w:p w14:paraId="4B32053D" w14:textId="77777777" w:rsidR="00165140" w:rsidRDefault="00165140"/>
    <w:p w14:paraId="48A59D6E" w14:textId="77777777" w:rsidR="00BD69A5" w:rsidRDefault="00BD69A5"/>
    <w:p w14:paraId="77463E7E" w14:textId="120E7604" w:rsidR="00050744" w:rsidRPr="00050744" w:rsidRDefault="00050744" w:rsidP="00050744">
      <w:pPr>
        <w:spacing w:after="160" w:line="256" w:lineRule="auto"/>
        <w:jc w:val="right"/>
        <w:rPr>
          <w:rFonts w:ascii="Times New Roman" w:eastAsia="Times New Roman" w:hAnsi="Times New Roman" w:cs="Times New Roman"/>
          <w:sz w:val="24"/>
          <w:szCs w:val="24"/>
        </w:rPr>
      </w:pPr>
      <w:r w:rsidRPr="00050744">
        <w:rPr>
          <w:rFonts w:ascii="Times New Roman" w:eastAsia="Times New Roman" w:hAnsi="Times New Roman" w:cs="Times New Roman"/>
          <w:sz w:val="24"/>
          <w:szCs w:val="24"/>
        </w:rPr>
        <w:lastRenderedPageBreak/>
        <w:t>Sutarties 2 priedas</w:t>
      </w:r>
    </w:p>
    <w:p w14:paraId="5864A6FB" w14:textId="77777777" w:rsidR="00050744" w:rsidRPr="00050744" w:rsidRDefault="00050744" w:rsidP="00050744">
      <w:pPr>
        <w:spacing w:after="160" w:line="256" w:lineRule="auto"/>
        <w:jc w:val="center"/>
        <w:rPr>
          <w:rFonts w:ascii="Times New Roman" w:eastAsia="Times New Roman" w:hAnsi="Times New Roman" w:cs="Times New Roman"/>
          <w:b/>
          <w:iCs/>
          <w:sz w:val="24"/>
          <w:szCs w:val="24"/>
          <w:shd w:val="clear" w:color="auto" w:fill="FFFFFF"/>
          <w:lang w:eastAsia="ar-SA"/>
        </w:rPr>
      </w:pPr>
      <w:r w:rsidRPr="00050744">
        <w:rPr>
          <w:rFonts w:ascii="Times New Roman" w:eastAsia="Times New Roman" w:hAnsi="Times New Roman" w:cs="Times New Roman"/>
          <w:b/>
          <w:sz w:val="24"/>
          <w:szCs w:val="24"/>
        </w:rPr>
        <w:t>DOKUMENTŲ, REIKALINGŲ PARENGTI TREČIUOSIUS NEMUNO, LIELUPĖS, VENTOS IR DAUGUVOS UPIŲ BASEINŲ RAJONŲ VALDYMO PLANUS/ PRIEMONIŲ PROGRAMAS IR ATASKAITAS EUROPOS KOMISIJAI, ĮSIGIJIMO</w:t>
      </w:r>
      <w:r w:rsidRPr="00050744">
        <w:rPr>
          <w:rFonts w:ascii="Times New Roman" w:eastAsia="Calibri" w:hAnsi="Times New Roman" w:cs="Times New Roman"/>
          <w:b/>
          <w:sz w:val="24"/>
          <w:szCs w:val="24"/>
        </w:rPr>
        <w:t>, PASLAUGŲ</w:t>
      </w:r>
    </w:p>
    <w:p w14:paraId="2866C001" w14:textId="77777777" w:rsidR="00050744" w:rsidRPr="00050744" w:rsidRDefault="00050744" w:rsidP="00050744">
      <w:pPr>
        <w:spacing w:after="160" w:line="256" w:lineRule="auto"/>
        <w:jc w:val="center"/>
        <w:rPr>
          <w:rFonts w:ascii="Times New Roman" w:eastAsia="Calibri" w:hAnsi="Times New Roman" w:cs="Times New Roman"/>
          <w:b/>
          <w:sz w:val="24"/>
          <w:szCs w:val="24"/>
        </w:rPr>
      </w:pPr>
      <w:r w:rsidRPr="00050744">
        <w:rPr>
          <w:rFonts w:ascii="Times New Roman" w:eastAsia="Times New Roman" w:hAnsi="Times New Roman" w:cs="Times New Roman"/>
          <w:b/>
          <w:iCs/>
          <w:sz w:val="24"/>
          <w:szCs w:val="24"/>
          <w:shd w:val="clear" w:color="auto" w:fill="FFFFFF"/>
          <w:lang w:eastAsia="ar-SA"/>
        </w:rPr>
        <w:t xml:space="preserve">PERDAVIMO-PRIĖMIMO AKTAS Nr. </w:t>
      </w:r>
    </w:p>
    <w:p w14:paraId="08E0B185" w14:textId="77777777" w:rsidR="00050744" w:rsidRPr="00050744" w:rsidRDefault="00050744" w:rsidP="00050744">
      <w:pPr>
        <w:spacing w:after="0" w:line="240" w:lineRule="auto"/>
        <w:jc w:val="center"/>
        <w:rPr>
          <w:rFonts w:ascii="Times New Roman" w:eastAsia="Calibri" w:hAnsi="Times New Roman" w:cs="Times New Roman"/>
          <w:sz w:val="24"/>
          <w:szCs w:val="24"/>
        </w:rPr>
      </w:pPr>
      <w:r w:rsidRPr="00050744">
        <w:rPr>
          <w:rFonts w:ascii="Times New Roman" w:eastAsia="Calibri" w:hAnsi="Times New Roman" w:cs="Times New Roman"/>
          <w:sz w:val="24"/>
          <w:szCs w:val="24"/>
        </w:rPr>
        <w:t>________</w:t>
      </w:r>
    </w:p>
    <w:p w14:paraId="3914C722" w14:textId="781FECF7" w:rsidR="00050744" w:rsidRDefault="00050744" w:rsidP="005E56B7">
      <w:pPr>
        <w:spacing w:after="0" w:line="240" w:lineRule="auto"/>
        <w:jc w:val="center"/>
        <w:rPr>
          <w:rFonts w:ascii="Times New Roman" w:eastAsia="Calibri" w:hAnsi="Times New Roman" w:cs="Times New Roman"/>
          <w:sz w:val="24"/>
          <w:szCs w:val="24"/>
        </w:rPr>
      </w:pPr>
      <w:r w:rsidRPr="00050744">
        <w:rPr>
          <w:rFonts w:ascii="Times New Roman" w:eastAsia="Calibri" w:hAnsi="Times New Roman" w:cs="Times New Roman"/>
          <w:sz w:val="24"/>
          <w:szCs w:val="24"/>
        </w:rPr>
        <w:t>(data)</w:t>
      </w:r>
    </w:p>
    <w:p w14:paraId="60289517" w14:textId="77777777" w:rsidR="00D1304B" w:rsidRPr="00050744" w:rsidRDefault="00D1304B" w:rsidP="005E56B7">
      <w:pPr>
        <w:spacing w:after="0" w:line="240" w:lineRule="auto"/>
        <w:jc w:val="center"/>
        <w:rPr>
          <w:rFonts w:ascii="Times New Roman" w:eastAsia="Calibri" w:hAnsi="Times New Roman" w:cs="Times New Roman"/>
          <w:sz w:val="24"/>
          <w:szCs w:val="24"/>
        </w:rPr>
      </w:pPr>
    </w:p>
    <w:p w14:paraId="3A8140D4" w14:textId="20286176" w:rsidR="00050744" w:rsidRPr="00050744" w:rsidRDefault="00050744" w:rsidP="006B102C">
      <w:pPr>
        <w:spacing w:after="160" w:line="256" w:lineRule="auto"/>
        <w:jc w:val="both"/>
        <w:rPr>
          <w:rFonts w:ascii="Times New Roman" w:eastAsia="Calibri" w:hAnsi="Times New Roman" w:cs="Times New Roman"/>
          <w:sz w:val="24"/>
          <w:szCs w:val="24"/>
        </w:rPr>
      </w:pPr>
      <w:r w:rsidRPr="00050744">
        <w:rPr>
          <w:rFonts w:ascii="Times New Roman" w:eastAsia="Calibri" w:hAnsi="Times New Roman" w:cs="Times New Roman"/>
          <w:sz w:val="24"/>
          <w:szCs w:val="24"/>
        </w:rPr>
        <w:t>Vadovaudamasis (</w:t>
      </w:r>
      <w:r w:rsidRPr="00050744">
        <w:rPr>
          <w:rFonts w:ascii="Times New Roman" w:eastAsia="Calibri" w:hAnsi="Times New Roman" w:cs="Times New Roman"/>
          <w:i/>
          <w:sz w:val="24"/>
          <w:szCs w:val="24"/>
        </w:rPr>
        <w:t>data</w:t>
      </w:r>
      <w:r w:rsidRPr="00050744">
        <w:rPr>
          <w:rFonts w:ascii="Times New Roman" w:eastAsia="Calibri" w:hAnsi="Times New Roman" w:cs="Times New Roman"/>
          <w:sz w:val="24"/>
          <w:szCs w:val="24"/>
        </w:rPr>
        <w:t>) sutarties „</w:t>
      </w:r>
      <w:r w:rsidRPr="00050744">
        <w:rPr>
          <w:rFonts w:ascii="Times New Roman" w:eastAsia="Times New Roman" w:hAnsi="Times New Roman" w:cs="Times New Roman"/>
          <w:sz w:val="24"/>
          <w:szCs w:val="24"/>
        </w:rPr>
        <w:t>Dokumentų, reikalingų parengti trečiuosius Nemuno, Lielupės, Ventos ir Dauguvos upių baseinų rajonų valdymo planus/priemonių ir ataskaitas Europos Komisijai, įsigijimas</w:t>
      </w:r>
      <w:r w:rsidRPr="00050744">
        <w:rPr>
          <w:rFonts w:ascii="Times New Roman" w:eastAsia="Calibri" w:hAnsi="Times New Roman" w:cs="Times New Roman"/>
          <w:bCs/>
          <w:sz w:val="24"/>
          <w:szCs w:val="24"/>
        </w:rPr>
        <w:t>“</w:t>
      </w:r>
      <w:r w:rsidRPr="00050744">
        <w:rPr>
          <w:rFonts w:ascii="Times New Roman" w:eastAsia="Calibri" w:hAnsi="Times New Roman" w:cs="Times New Roman"/>
          <w:bCs/>
          <w:sz w:val="24"/>
        </w:rPr>
        <w:t xml:space="preserve"> (sutarties Nr.) reikalavimais, </w:t>
      </w:r>
      <w:r w:rsidRPr="00050744">
        <w:rPr>
          <w:rFonts w:ascii="Times New Roman" w:eastAsia="Calibri" w:hAnsi="Times New Roman" w:cs="Times New Roman"/>
          <w:sz w:val="24"/>
          <w:szCs w:val="24"/>
        </w:rPr>
        <w:t>Teikėjas atliko paslaugas ir</w:t>
      </w:r>
      <w:r w:rsidRPr="00050744">
        <w:rPr>
          <w:rFonts w:ascii="Times New Roman" w:eastAsia="Calibri" w:hAnsi="Times New Roman" w:cs="Times New Roman"/>
          <w:bCs/>
          <w:sz w:val="24"/>
        </w:rPr>
        <w:t xml:space="preserve"> parengė ataskaitą (</w:t>
      </w:r>
      <w:r w:rsidRPr="00050744">
        <w:rPr>
          <w:rFonts w:ascii="Times New Roman" w:eastAsia="Calibri" w:hAnsi="Times New Roman" w:cs="Times New Roman"/>
          <w:bCs/>
          <w:i/>
          <w:sz w:val="24"/>
        </w:rPr>
        <w:t xml:space="preserve">nurodyti: įvadinė ataskaita, </w:t>
      </w:r>
      <w:r w:rsidRPr="00050744">
        <w:rPr>
          <w:rFonts w:ascii="Times New Roman" w:eastAsia="Times New Roman" w:hAnsi="Times New Roman" w:cs="Times New Roman"/>
          <w:i/>
          <w:sz w:val="24"/>
          <w:szCs w:val="24"/>
        </w:rPr>
        <w:t xml:space="preserve">pirmoji tarpinė ataskaita; </w:t>
      </w:r>
      <w:r w:rsidR="00F320E6">
        <w:rPr>
          <w:rFonts w:ascii="Times New Roman" w:eastAsia="Times New Roman" w:hAnsi="Times New Roman" w:cs="Times New Roman"/>
          <w:i/>
          <w:sz w:val="24"/>
          <w:szCs w:val="24"/>
        </w:rPr>
        <w:t>antroji</w:t>
      </w:r>
      <w:r w:rsidRPr="00050744">
        <w:rPr>
          <w:rFonts w:ascii="Times New Roman" w:eastAsia="Times New Roman" w:hAnsi="Times New Roman" w:cs="Times New Roman"/>
          <w:i/>
          <w:sz w:val="24"/>
          <w:szCs w:val="24"/>
        </w:rPr>
        <w:t xml:space="preserve"> tarpinė ataskaita; galutinė ataskaita</w:t>
      </w:r>
      <w:r w:rsidRPr="00050744">
        <w:rPr>
          <w:rFonts w:ascii="Times New Roman" w:eastAsia="Calibri" w:hAnsi="Times New Roman" w:cs="Times New Roman"/>
          <w:bCs/>
          <w:sz w:val="24"/>
        </w:rPr>
        <w:t>)</w:t>
      </w:r>
      <w:r w:rsidRPr="00050744">
        <w:rPr>
          <w:rFonts w:ascii="Times New Roman" w:eastAsia="Calibri" w:hAnsi="Times New Roman" w:cs="Times New Roman"/>
          <w:sz w:val="24"/>
          <w:szCs w:val="24"/>
        </w:rPr>
        <w:t>, kurią Užsakovas priėmė.</w:t>
      </w:r>
    </w:p>
    <w:tbl>
      <w:tblPr>
        <w:tblStyle w:val="Lentelstinklelis"/>
        <w:tblW w:w="0" w:type="auto"/>
        <w:tblInd w:w="0" w:type="dxa"/>
        <w:tblLook w:val="04A0" w:firstRow="1" w:lastRow="0" w:firstColumn="1" w:lastColumn="0" w:noHBand="0" w:noVBand="1"/>
      </w:tblPr>
      <w:tblGrid>
        <w:gridCol w:w="5382"/>
        <w:gridCol w:w="3969"/>
      </w:tblGrid>
      <w:tr w:rsidR="00050744" w:rsidRPr="00050744" w14:paraId="53F602A2" w14:textId="77777777" w:rsidTr="001A49AA">
        <w:tc>
          <w:tcPr>
            <w:tcW w:w="5382" w:type="dxa"/>
            <w:tcBorders>
              <w:top w:val="single" w:sz="4" w:space="0" w:color="auto"/>
              <w:left w:val="single" w:sz="4" w:space="0" w:color="auto"/>
              <w:bottom w:val="single" w:sz="4" w:space="0" w:color="auto"/>
              <w:right w:val="single" w:sz="4" w:space="0" w:color="auto"/>
            </w:tcBorders>
            <w:hideMark/>
          </w:tcPr>
          <w:p w14:paraId="0BA0DB90" w14:textId="77777777" w:rsidR="00050744" w:rsidRPr="00050744" w:rsidRDefault="00050744" w:rsidP="00050744">
            <w:pPr>
              <w:jc w:val="center"/>
              <w:rPr>
                <w:rFonts w:ascii="Times New Roman" w:hAnsi="Times New Roman"/>
                <w:b/>
                <w:sz w:val="24"/>
                <w:szCs w:val="24"/>
              </w:rPr>
            </w:pPr>
            <w:r w:rsidRPr="00050744">
              <w:rPr>
                <w:rFonts w:ascii="Times New Roman" w:hAnsi="Times New Roman"/>
                <w:b/>
                <w:sz w:val="24"/>
                <w:szCs w:val="24"/>
              </w:rPr>
              <w:t>Paslaugų pavadinimas</w:t>
            </w:r>
          </w:p>
        </w:tc>
        <w:tc>
          <w:tcPr>
            <w:tcW w:w="3969" w:type="dxa"/>
            <w:tcBorders>
              <w:top w:val="single" w:sz="4" w:space="0" w:color="auto"/>
              <w:left w:val="single" w:sz="4" w:space="0" w:color="auto"/>
              <w:bottom w:val="single" w:sz="4" w:space="0" w:color="auto"/>
              <w:right w:val="single" w:sz="4" w:space="0" w:color="auto"/>
            </w:tcBorders>
            <w:hideMark/>
          </w:tcPr>
          <w:p w14:paraId="3513CEEC" w14:textId="77777777" w:rsidR="00050744" w:rsidRPr="00050744" w:rsidRDefault="00050744" w:rsidP="00050744">
            <w:pPr>
              <w:jc w:val="center"/>
              <w:rPr>
                <w:rFonts w:ascii="Times New Roman" w:hAnsi="Times New Roman"/>
                <w:b/>
                <w:sz w:val="24"/>
                <w:szCs w:val="24"/>
              </w:rPr>
            </w:pPr>
            <w:r w:rsidRPr="00050744">
              <w:rPr>
                <w:rFonts w:ascii="Times New Roman" w:hAnsi="Times New Roman"/>
                <w:b/>
                <w:sz w:val="24"/>
                <w:szCs w:val="24"/>
              </w:rPr>
              <w:t>Suma, EUR su PVM</w:t>
            </w:r>
          </w:p>
        </w:tc>
      </w:tr>
      <w:tr w:rsidR="00050744" w:rsidRPr="00050744" w14:paraId="27D0B4D7" w14:textId="77777777" w:rsidTr="001A49AA">
        <w:tc>
          <w:tcPr>
            <w:tcW w:w="5382" w:type="dxa"/>
            <w:tcBorders>
              <w:top w:val="single" w:sz="4" w:space="0" w:color="auto"/>
              <w:left w:val="single" w:sz="4" w:space="0" w:color="auto"/>
              <w:bottom w:val="single" w:sz="4" w:space="0" w:color="auto"/>
              <w:right w:val="single" w:sz="4" w:space="0" w:color="auto"/>
            </w:tcBorders>
            <w:hideMark/>
          </w:tcPr>
          <w:p w14:paraId="1FCFE4F5" w14:textId="77777777" w:rsidR="00050744" w:rsidRPr="00050744" w:rsidRDefault="00050744" w:rsidP="00050744">
            <w:pPr>
              <w:jc w:val="both"/>
              <w:rPr>
                <w:rFonts w:ascii="Times New Roman" w:hAnsi="Times New Roman"/>
                <w:bCs/>
                <w:i/>
                <w:sz w:val="24"/>
              </w:rPr>
            </w:pPr>
            <w:r w:rsidRPr="00050744">
              <w:rPr>
                <w:rFonts w:ascii="Times New Roman" w:hAnsi="Times New Roman"/>
                <w:sz w:val="24"/>
                <w:szCs w:val="24"/>
              </w:rPr>
              <w:t>„D</w:t>
            </w:r>
            <w:r w:rsidRPr="00050744">
              <w:rPr>
                <w:rFonts w:ascii="Times New Roman" w:eastAsia="Times New Roman" w:hAnsi="Times New Roman"/>
                <w:sz w:val="24"/>
                <w:szCs w:val="24"/>
              </w:rPr>
              <w:t>okumentų, reikalingų parengti trečiuosius Nemuno, Lielupės, Ventos ir Dauguvos upių baseinų rajonų valdymo planus/priemonių programas ir ataskaitas Europos Komisijai, įsigijimas</w:t>
            </w:r>
            <w:r w:rsidRPr="00050744">
              <w:rPr>
                <w:rFonts w:ascii="Times New Roman" w:hAnsi="Times New Roman"/>
                <w:bCs/>
                <w:sz w:val="24"/>
                <w:szCs w:val="24"/>
              </w:rPr>
              <w:t>“</w:t>
            </w:r>
            <w:r w:rsidRPr="00050744">
              <w:rPr>
                <w:rFonts w:ascii="Times New Roman" w:hAnsi="Times New Roman"/>
                <w:bCs/>
                <w:sz w:val="24"/>
              </w:rPr>
              <w:t xml:space="preserve"> (</w:t>
            </w:r>
            <w:r w:rsidRPr="00050744">
              <w:rPr>
                <w:rFonts w:ascii="Times New Roman" w:hAnsi="Times New Roman"/>
                <w:bCs/>
                <w:i/>
                <w:sz w:val="24"/>
              </w:rPr>
              <w:t>sutarties Nr.)</w:t>
            </w:r>
          </w:p>
          <w:p w14:paraId="058F5842" w14:textId="783A6504" w:rsidR="00050744" w:rsidRPr="00050744" w:rsidRDefault="00050744" w:rsidP="00050744">
            <w:pPr>
              <w:jc w:val="both"/>
              <w:rPr>
                <w:rFonts w:ascii="Times New Roman" w:hAnsi="Times New Roman"/>
                <w:sz w:val="24"/>
                <w:szCs w:val="24"/>
              </w:rPr>
            </w:pPr>
            <w:r w:rsidRPr="00050744">
              <w:rPr>
                <w:rFonts w:ascii="Times New Roman" w:hAnsi="Times New Roman"/>
                <w:bCs/>
                <w:sz w:val="24"/>
              </w:rPr>
              <w:t xml:space="preserve"> (</w:t>
            </w:r>
            <w:r w:rsidRPr="00050744">
              <w:rPr>
                <w:rFonts w:ascii="Times New Roman" w:hAnsi="Times New Roman"/>
                <w:bCs/>
                <w:i/>
                <w:sz w:val="24"/>
              </w:rPr>
              <w:t xml:space="preserve">nurodyti: įvadinė ataskaita, </w:t>
            </w:r>
            <w:r w:rsidRPr="00050744">
              <w:rPr>
                <w:rFonts w:ascii="Times New Roman" w:eastAsia="Times New Roman" w:hAnsi="Times New Roman"/>
                <w:i/>
                <w:sz w:val="24"/>
                <w:szCs w:val="24"/>
              </w:rPr>
              <w:t xml:space="preserve">pirmoji tarpinė ataskaita; </w:t>
            </w:r>
            <w:r w:rsidR="00F320E6">
              <w:rPr>
                <w:rFonts w:ascii="Times New Roman" w:eastAsia="Times New Roman" w:hAnsi="Times New Roman"/>
                <w:i/>
                <w:sz w:val="24"/>
                <w:szCs w:val="24"/>
              </w:rPr>
              <w:t>antroji</w:t>
            </w:r>
            <w:r w:rsidRPr="00050744">
              <w:rPr>
                <w:rFonts w:ascii="Times New Roman" w:eastAsia="Times New Roman" w:hAnsi="Times New Roman"/>
                <w:i/>
                <w:sz w:val="24"/>
                <w:szCs w:val="24"/>
              </w:rPr>
              <w:t xml:space="preserve"> tarpinė ataskaita; galutinė ataskaita</w:t>
            </w:r>
            <w:r w:rsidRPr="00050744">
              <w:rPr>
                <w:rFonts w:ascii="Times New Roman" w:hAnsi="Times New Roman"/>
                <w:bCs/>
                <w:sz w:val="24"/>
              </w:rPr>
              <w:t>)</w:t>
            </w:r>
          </w:p>
        </w:tc>
        <w:tc>
          <w:tcPr>
            <w:tcW w:w="3969" w:type="dxa"/>
            <w:tcBorders>
              <w:top w:val="single" w:sz="4" w:space="0" w:color="auto"/>
              <w:left w:val="single" w:sz="4" w:space="0" w:color="auto"/>
              <w:bottom w:val="single" w:sz="4" w:space="0" w:color="auto"/>
              <w:right w:val="single" w:sz="4" w:space="0" w:color="auto"/>
            </w:tcBorders>
          </w:tcPr>
          <w:p w14:paraId="673999DE" w14:textId="77777777" w:rsidR="00050744" w:rsidRPr="00050744" w:rsidRDefault="00050744" w:rsidP="00050744">
            <w:pPr>
              <w:rPr>
                <w:rFonts w:ascii="Times New Roman" w:hAnsi="Times New Roman"/>
                <w:sz w:val="24"/>
                <w:szCs w:val="24"/>
              </w:rPr>
            </w:pPr>
          </w:p>
        </w:tc>
      </w:tr>
    </w:tbl>
    <w:p w14:paraId="0CB651C2" w14:textId="77777777" w:rsidR="00050744" w:rsidRPr="00050744" w:rsidRDefault="00050744" w:rsidP="00050744">
      <w:pPr>
        <w:spacing w:after="0" w:line="256" w:lineRule="auto"/>
        <w:rPr>
          <w:rFonts w:ascii="Times New Roman" w:eastAsia="Calibri" w:hAnsi="Times New Roman" w:cs="Times New Roman"/>
          <w:sz w:val="24"/>
          <w:szCs w:val="24"/>
        </w:rPr>
      </w:pPr>
    </w:p>
    <w:p w14:paraId="496B350D" w14:textId="77777777" w:rsidR="00050744" w:rsidRPr="00050744" w:rsidRDefault="00050744" w:rsidP="00050744">
      <w:pPr>
        <w:spacing w:after="0" w:line="256" w:lineRule="auto"/>
        <w:rPr>
          <w:rFonts w:ascii="Times New Roman" w:eastAsia="Calibri" w:hAnsi="Times New Roman" w:cs="Times New Roman"/>
          <w:sz w:val="24"/>
          <w:szCs w:val="24"/>
        </w:rPr>
      </w:pPr>
    </w:p>
    <w:tbl>
      <w:tblPr>
        <w:tblW w:w="9975" w:type="dxa"/>
        <w:tblInd w:w="2" w:type="dxa"/>
        <w:tblLayout w:type="fixed"/>
        <w:tblLook w:val="00A0" w:firstRow="1" w:lastRow="0" w:firstColumn="1" w:lastColumn="0" w:noHBand="0" w:noVBand="0"/>
      </w:tblPr>
      <w:tblGrid>
        <w:gridCol w:w="2523"/>
        <w:gridCol w:w="2012"/>
        <w:gridCol w:w="709"/>
        <w:gridCol w:w="2344"/>
        <w:gridCol w:w="851"/>
        <w:gridCol w:w="207"/>
        <w:gridCol w:w="620"/>
        <w:gridCol w:w="231"/>
        <w:gridCol w:w="478"/>
      </w:tblGrid>
      <w:tr w:rsidR="00050744" w:rsidRPr="00050744" w14:paraId="5088A00B" w14:textId="77777777" w:rsidTr="001A49AA">
        <w:trPr>
          <w:gridAfter w:val="2"/>
          <w:wAfter w:w="709" w:type="dxa"/>
          <w:trHeight w:val="253"/>
        </w:trPr>
        <w:tc>
          <w:tcPr>
            <w:tcW w:w="4534" w:type="dxa"/>
            <w:gridSpan w:val="2"/>
            <w:hideMark/>
          </w:tcPr>
          <w:p w14:paraId="30DF08B1" w14:textId="77777777" w:rsidR="00050744" w:rsidRPr="00050744" w:rsidRDefault="00050744" w:rsidP="00050744">
            <w:pPr>
              <w:suppressAutoHyphens/>
              <w:snapToGrid w:val="0"/>
              <w:spacing w:after="0" w:line="240" w:lineRule="auto"/>
              <w:rPr>
                <w:rFonts w:ascii="Times New Roman" w:eastAsia="Times New Roman" w:hAnsi="Times New Roman" w:cs="Times New Roman"/>
                <w:b/>
                <w:bCs/>
                <w:sz w:val="24"/>
                <w:szCs w:val="24"/>
                <w:lang w:eastAsia="zh-CN"/>
              </w:rPr>
            </w:pPr>
            <w:r w:rsidRPr="00050744">
              <w:rPr>
                <w:rFonts w:ascii="Times New Roman" w:eastAsia="Times New Roman" w:hAnsi="Times New Roman" w:cs="Times New Roman"/>
                <w:b/>
                <w:bCs/>
                <w:sz w:val="24"/>
                <w:szCs w:val="24"/>
                <w:lang w:eastAsia="ar-SA"/>
              </w:rPr>
              <w:t xml:space="preserve">              Teikėjo vardu</w:t>
            </w:r>
          </w:p>
        </w:tc>
        <w:tc>
          <w:tcPr>
            <w:tcW w:w="4731" w:type="dxa"/>
            <w:gridSpan w:val="5"/>
            <w:hideMark/>
          </w:tcPr>
          <w:p w14:paraId="775D4763" w14:textId="77777777" w:rsidR="00050744" w:rsidRPr="00050744" w:rsidRDefault="00050744" w:rsidP="00050744">
            <w:pPr>
              <w:suppressAutoHyphens/>
              <w:snapToGrid w:val="0"/>
              <w:spacing w:after="0" w:line="240" w:lineRule="auto"/>
              <w:jc w:val="center"/>
              <w:rPr>
                <w:rFonts w:ascii="Times New Roman" w:eastAsia="Times New Roman" w:hAnsi="Times New Roman" w:cs="Times New Roman"/>
                <w:sz w:val="24"/>
                <w:szCs w:val="24"/>
                <w:lang w:eastAsia="zh-CN"/>
              </w:rPr>
            </w:pPr>
            <w:r w:rsidRPr="00050744">
              <w:rPr>
                <w:rFonts w:ascii="Times New Roman" w:eastAsia="Times New Roman" w:hAnsi="Times New Roman" w:cs="Times New Roman"/>
                <w:b/>
                <w:bCs/>
                <w:sz w:val="24"/>
                <w:szCs w:val="24"/>
                <w:lang w:eastAsia="ar-SA"/>
              </w:rPr>
              <w:t>Užsakovo vardu</w:t>
            </w:r>
          </w:p>
        </w:tc>
      </w:tr>
      <w:tr w:rsidR="00050744" w:rsidRPr="00050744" w14:paraId="382B9145" w14:textId="77777777" w:rsidTr="001A49AA">
        <w:trPr>
          <w:gridAfter w:val="4"/>
          <w:wAfter w:w="1536" w:type="dxa"/>
          <w:trHeight w:val="253"/>
        </w:trPr>
        <w:tc>
          <w:tcPr>
            <w:tcW w:w="2522" w:type="dxa"/>
            <w:hideMark/>
          </w:tcPr>
          <w:p w14:paraId="2470A23C"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Vardas,</w:t>
            </w:r>
            <w:r w:rsidRPr="00050744">
              <w:rPr>
                <w:rFonts w:ascii="Times New Roman" w:eastAsia="Times New Roman" w:hAnsi="Times New Roman" w:cs="Times New Roman"/>
                <w:sz w:val="24"/>
                <w:szCs w:val="24"/>
                <w:lang w:eastAsia="ar-SA"/>
              </w:rPr>
              <w:br/>
              <w:t>pavardė:</w:t>
            </w:r>
          </w:p>
        </w:tc>
        <w:tc>
          <w:tcPr>
            <w:tcW w:w="2721" w:type="dxa"/>
            <w:gridSpan w:val="2"/>
            <w:vAlign w:val="center"/>
          </w:tcPr>
          <w:p w14:paraId="100CA247"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p>
        </w:tc>
        <w:tc>
          <w:tcPr>
            <w:tcW w:w="3195" w:type="dxa"/>
            <w:gridSpan w:val="2"/>
            <w:hideMark/>
          </w:tcPr>
          <w:p w14:paraId="4FBA4666"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Vardas,</w:t>
            </w:r>
            <w:r w:rsidRPr="00050744">
              <w:rPr>
                <w:rFonts w:ascii="Times New Roman" w:eastAsia="Times New Roman" w:hAnsi="Times New Roman" w:cs="Times New Roman"/>
                <w:sz w:val="24"/>
                <w:szCs w:val="24"/>
                <w:lang w:eastAsia="ar-SA"/>
              </w:rPr>
              <w:br/>
              <w:t>pavardė:</w:t>
            </w:r>
            <w:r w:rsidRPr="00050744">
              <w:rPr>
                <w:rFonts w:ascii="Times New Roman" w:eastAsia="Calibri" w:hAnsi="Times New Roman" w:cs="Times New Roman"/>
                <w:sz w:val="24"/>
                <w:lang w:eastAsia="ar-SA"/>
              </w:rPr>
              <w:t xml:space="preserve"> </w:t>
            </w:r>
          </w:p>
        </w:tc>
      </w:tr>
      <w:tr w:rsidR="00050744" w:rsidRPr="00050744" w14:paraId="434B6752" w14:textId="77777777" w:rsidTr="001A49AA">
        <w:trPr>
          <w:trHeight w:val="253"/>
        </w:trPr>
        <w:tc>
          <w:tcPr>
            <w:tcW w:w="2522" w:type="dxa"/>
            <w:hideMark/>
          </w:tcPr>
          <w:p w14:paraId="7A70D237"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Pareigos:</w:t>
            </w:r>
          </w:p>
        </w:tc>
        <w:tc>
          <w:tcPr>
            <w:tcW w:w="2721" w:type="dxa"/>
            <w:gridSpan w:val="2"/>
          </w:tcPr>
          <w:p w14:paraId="553D7321"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p>
        </w:tc>
        <w:tc>
          <w:tcPr>
            <w:tcW w:w="2344" w:type="dxa"/>
            <w:hideMark/>
          </w:tcPr>
          <w:p w14:paraId="3176893D"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 xml:space="preserve">Pareigos:  </w:t>
            </w:r>
          </w:p>
        </w:tc>
        <w:tc>
          <w:tcPr>
            <w:tcW w:w="2387" w:type="dxa"/>
            <w:gridSpan w:val="5"/>
          </w:tcPr>
          <w:p w14:paraId="2B7BB13E" w14:textId="77777777" w:rsidR="00050744" w:rsidRPr="00050744" w:rsidRDefault="00050744" w:rsidP="00050744">
            <w:pPr>
              <w:suppressAutoHyphens/>
              <w:spacing w:after="0" w:line="240" w:lineRule="auto"/>
              <w:ind w:left="207"/>
              <w:jc w:val="both"/>
              <w:rPr>
                <w:rFonts w:ascii="Times New Roman" w:eastAsia="Times New Roman" w:hAnsi="Times New Roman" w:cs="Times New Roman"/>
                <w:sz w:val="24"/>
                <w:szCs w:val="24"/>
                <w:lang w:eastAsia="zh-CN"/>
              </w:rPr>
            </w:pPr>
          </w:p>
        </w:tc>
      </w:tr>
      <w:tr w:rsidR="00050744" w:rsidRPr="00050744" w14:paraId="56232EA3" w14:textId="77777777" w:rsidTr="001A49AA">
        <w:trPr>
          <w:trHeight w:val="253"/>
        </w:trPr>
        <w:tc>
          <w:tcPr>
            <w:tcW w:w="2522" w:type="dxa"/>
            <w:hideMark/>
          </w:tcPr>
          <w:p w14:paraId="3EC79FC9"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Adresas:</w:t>
            </w:r>
          </w:p>
        </w:tc>
        <w:tc>
          <w:tcPr>
            <w:tcW w:w="2721" w:type="dxa"/>
            <w:gridSpan w:val="2"/>
          </w:tcPr>
          <w:p w14:paraId="0B49CA8C"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p>
        </w:tc>
        <w:tc>
          <w:tcPr>
            <w:tcW w:w="4253" w:type="dxa"/>
            <w:gridSpan w:val="5"/>
            <w:hideMark/>
          </w:tcPr>
          <w:p w14:paraId="28EC1F3F"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Adresas:</w:t>
            </w:r>
            <w:r w:rsidRPr="00050744">
              <w:rPr>
                <w:rFonts w:ascii="Times New Roman" w:eastAsia="Calibri" w:hAnsi="Times New Roman" w:cs="Times New Roman"/>
                <w:sz w:val="24"/>
                <w:lang w:eastAsia="ar-SA"/>
              </w:rPr>
              <w:t xml:space="preserve"> </w:t>
            </w:r>
          </w:p>
        </w:tc>
        <w:tc>
          <w:tcPr>
            <w:tcW w:w="478" w:type="dxa"/>
          </w:tcPr>
          <w:p w14:paraId="05778B2F" w14:textId="77777777" w:rsidR="00050744" w:rsidRPr="00050744" w:rsidRDefault="00050744" w:rsidP="00050744">
            <w:pPr>
              <w:suppressAutoHyphens/>
              <w:spacing w:after="0" w:line="240" w:lineRule="auto"/>
              <w:ind w:left="207"/>
              <w:jc w:val="both"/>
              <w:rPr>
                <w:rFonts w:ascii="Times New Roman" w:eastAsia="Times New Roman" w:hAnsi="Times New Roman" w:cs="Times New Roman"/>
                <w:sz w:val="24"/>
                <w:szCs w:val="24"/>
                <w:lang w:eastAsia="zh-CN"/>
              </w:rPr>
            </w:pPr>
          </w:p>
        </w:tc>
      </w:tr>
      <w:tr w:rsidR="00050744" w:rsidRPr="00050744" w14:paraId="29F5DF75" w14:textId="77777777" w:rsidTr="001A49AA">
        <w:trPr>
          <w:gridAfter w:val="3"/>
          <w:wAfter w:w="1329" w:type="dxa"/>
          <w:trHeight w:val="253"/>
        </w:trPr>
        <w:tc>
          <w:tcPr>
            <w:tcW w:w="2522" w:type="dxa"/>
            <w:hideMark/>
          </w:tcPr>
          <w:p w14:paraId="1EC115A2" w14:textId="4B3471CB"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Įmonės kodas</w:t>
            </w:r>
            <w:r w:rsidR="009F024A">
              <w:rPr>
                <w:rFonts w:ascii="Times New Roman" w:eastAsia="Times New Roman" w:hAnsi="Times New Roman" w:cs="Times New Roman"/>
                <w:sz w:val="24"/>
                <w:szCs w:val="24"/>
                <w:lang w:eastAsia="ar-SA"/>
              </w:rPr>
              <w:t>:</w:t>
            </w:r>
          </w:p>
        </w:tc>
        <w:tc>
          <w:tcPr>
            <w:tcW w:w="2721" w:type="dxa"/>
            <w:gridSpan w:val="2"/>
          </w:tcPr>
          <w:p w14:paraId="7067A956"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hideMark/>
          </w:tcPr>
          <w:p w14:paraId="53D83F01"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 xml:space="preserve">Įmonės kodas: </w:t>
            </w:r>
          </w:p>
        </w:tc>
      </w:tr>
      <w:tr w:rsidR="00050744" w:rsidRPr="00050744" w14:paraId="6592A7B3" w14:textId="77777777" w:rsidTr="001A49AA">
        <w:trPr>
          <w:gridAfter w:val="3"/>
          <w:wAfter w:w="1329" w:type="dxa"/>
          <w:trHeight w:val="253"/>
        </w:trPr>
        <w:tc>
          <w:tcPr>
            <w:tcW w:w="2522" w:type="dxa"/>
            <w:hideMark/>
          </w:tcPr>
          <w:p w14:paraId="588A5A07" w14:textId="35FE43C0"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Banko pavadinimas ir kodas</w:t>
            </w:r>
            <w:r w:rsidR="009F024A">
              <w:rPr>
                <w:rFonts w:ascii="Times New Roman" w:eastAsia="Times New Roman" w:hAnsi="Times New Roman" w:cs="Times New Roman"/>
                <w:sz w:val="24"/>
                <w:szCs w:val="24"/>
                <w:lang w:eastAsia="ar-SA"/>
              </w:rPr>
              <w:t>:</w:t>
            </w:r>
          </w:p>
        </w:tc>
        <w:tc>
          <w:tcPr>
            <w:tcW w:w="2721" w:type="dxa"/>
            <w:gridSpan w:val="2"/>
          </w:tcPr>
          <w:p w14:paraId="4EACA62B"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hideMark/>
          </w:tcPr>
          <w:p w14:paraId="506FA17A"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 xml:space="preserve">Banko pavadinimas ir kodas: </w:t>
            </w:r>
          </w:p>
        </w:tc>
      </w:tr>
      <w:tr w:rsidR="00050744" w:rsidRPr="00050744" w14:paraId="5051A663" w14:textId="77777777" w:rsidTr="001A49AA">
        <w:trPr>
          <w:gridAfter w:val="3"/>
          <w:wAfter w:w="1329" w:type="dxa"/>
          <w:trHeight w:val="253"/>
        </w:trPr>
        <w:tc>
          <w:tcPr>
            <w:tcW w:w="2522" w:type="dxa"/>
            <w:hideMark/>
          </w:tcPr>
          <w:p w14:paraId="46386AD3"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Atsiskaitomosios sąskaitos Nr.</w:t>
            </w:r>
          </w:p>
        </w:tc>
        <w:tc>
          <w:tcPr>
            <w:tcW w:w="2721" w:type="dxa"/>
            <w:gridSpan w:val="2"/>
          </w:tcPr>
          <w:p w14:paraId="7D66F099"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hideMark/>
          </w:tcPr>
          <w:p w14:paraId="71291683"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 xml:space="preserve">Atsiskaitomosios sąskaitos Nr. </w:t>
            </w:r>
          </w:p>
        </w:tc>
      </w:tr>
      <w:tr w:rsidR="00050744" w:rsidRPr="00050744" w14:paraId="3BB8C91A" w14:textId="77777777" w:rsidTr="001A49AA">
        <w:trPr>
          <w:gridAfter w:val="3"/>
          <w:wAfter w:w="1329" w:type="dxa"/>
          <w:trHeight w:val="253"/>
        </w:trPr>
        <w:tc>
          <w:tcPr>
            <w:tcW w:w="2522" w:type="dxa"/>
            <w:hideMark/>
          </w:tcPr>
          <w:p w14:paraId="6768F51C"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PVM kodas</w:t>
            </w:r>
          </w:p>
        </w:tc>
        <w:tc>
          <w:tcPr>
            <w:tcW w:w="2721" w:type="dxa"/>
            <w:gridSpan w:val="2"/>
          </w:tcPr>
          <w:p w14:paraId="40902883" w14:textId="77777777" w:rsidR="00050744" w:rsidRPr="00050744" w:rsidRDefault="00050744" w:rsidP="00050744">
            <w:pPr>
              <w:suppressAutoHyphens/>
              <w:snapToGrid w:val="0"/>
              <w:spacing w:after="0" w:line="240" w:lineRule="auto"/>
              <w:rPr>
                <w:rFonts w:ascii="Times New Roman" w:eastAsia="Times New Roman" w:hAnsi="Times New Roman" w:cs="Times New Roman"/>
                <w:b/>
                <w:sz w:val="24"/>
                <w:szCs w:val="24"/>
                <w:lang w:eastAsia="zh-CN"/>
              </w:rPr>
            </w:pPr>
          </w:p>
        </w:tc>
        <w:tc>
          <w:tcPr>
            <w:tcW w:w="3402" w:type="dxa"/>
            <w:gridSpan w:val="3"/>
            <w:hideMark/>
          </w:tcPr>
          <w:p w14:paraId="756EEE4C"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 xml:space="preserve">PVM kodas: </w:t>
            </w:r>
          </w:p>
        </w:tc>
      </w:tr>
      <w:tr w:rsidR="00050744" w:rsidRPr="00050744" w14:paraId="1DC5363A" w14:textId="77777777" w:rsidTr="001A49AA">
        <w:trPr>
          <w:gridAfter w:val="3"/>
          <w:wAfter w:w="1329" w:type="dxa"/>
          <w:trHeight w:val="253"/>
        </w:trPr>
        <w:tc>
          <w:tcPr>
            <w:tcW w:w="2522" w:type="dxa"/>
            <w:hideMark/>
          </w:tcPr>
          <w:p w14:paraId="3B07CF13"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Parašas:</w:t>
            </w:r>
          </w:p>
        </w:tc>
        <w:tc>
          <w:tcPr>
            <w:tcW w:w="2721" w:type="dxa"/>
            <w:gridSpan w:val="2"/>
          </w:tcPr>
          <w:p w14:paraId="359FE392"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hideMark/>
          </w:tcPr>
          <w:p w14:paraId="51EA1F72"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 xml:space="preserve">Parašas: </w:t>
            </w:r>
          </w:p>
        </w:tc>
      </w:tr>
      <w:tr w:rsidR="00050744" w:rsidRPr="00050744" w14:paraId="4D1396BC" w14:textId="77777777" w:rsidTr="001A49AA">
        <w:trPr>
          <w:gridAfter w:val="3"/>
          <w:wAfter w:w="1329" w:type="dxa"/>
          <w:trHeight w:val="253"/>
        </w:trPr>
        <w:tc>
          <w:tcPr>
            <w:tcW w:w="2522" w:type="dxa"/>
          </w:tcPr>
          <w:p w14:paraId="31BE126F"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Data:</w:t>
            </w:r>
          </w:p>
          <w:p w14:paraId="63D5EB1D"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ar-SA"/>
              </w:rPr>
            </w:pPr>
          </w:p>
          <w:p w14:paraId="20A9999E"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ar-SA"/>
              </w:rPr>
            </w:pPr>
          </w:p>
          <w:p w14:paraId="25771353"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ar-SA"/>
              </w:rPr>
            </w:pPr>
          </w:p>
          <w:p w14:paraId="642D1138"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A.V.</w:t>
            </w:r>
          </w:p>
        </w:tc>
        <w:tc>
          <w:tcPr>
            <w:tcW w:w="2721" w:type="dxa"/>
            <w:gridSpan w:val="2"/>
          </w:tcPr>
          <w:p w14:paraId="2FFA88C8"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tcPr>
          <w:p w14:paraId="395E28AA"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Data:</w:t>
            </w:r>
          </w:p>
          <w:p w14:paraId="6C4ACA96"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ar-SA"/>
              </w:rPr>
            </w:pPr>
          </w:p>
          <w:p w14:paraId="0C4ACB9D"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ar-SA"/>
              </w:rPr>
            </w:pPr>
          </w:p>
          <w:p w14:paraId="2C7207E6"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ar-SA"/>
              </w:rPr>
            </w:pPr>
          </w:p>
          <w:p w14:paraId="2DA5CF6F" w14:textId="77777777" w:rsidR="00050744" w:rsidRPr="00050744" w:rsidRDefault="00050744" w:rsidP="00050744">
            <w:pPr>
              <w:suppressAutoHyphens/>
              <w:snapToGrid w:val="0"/>
              <w:spacing w:after="0" w:line="240" w:lineRule="auto"/>
              <w:rPr>
                <w:rFonts w:ascii="Times New Roman" w:eastAsia="Times New Roman" w:hAnsi="Times New Roman" w:cs="Times New Roman"/>
                <w:sz w:val="24"/>
                <w:szCs w:val="24"/>
                <w:lang w:eastAsia="zh-CN"/>
              </w:rPr>
            </w:pPr>
            <w:r w:rsidRPr="00050744">
              <w:rPr>
                <w:rFonts w:ascii="Times New Roman" w:eastAsia="Times New Roman" w:hAnsi="Times New Roman" w:cs="Times New Roman"/>
                <w:sz w:val="24"/>
                <w:szCs w:val="24"/>
                <w:lang w:eastAsia="ar-SA"/>
              </w:rPr>
              <w:t>A.V.</w:t>
            </w:r>
          </w:p>
        </w:tc>
      </w:tr>
    </w:tbl>
    <w:p w14:paraId="038A9A18" w14:textId="77777777" w:rsidR="00050744" w:rsidRPr="00050744" w:rsidRDefault="00050744" w:rsidP="00050744">
      <w:pPr>
        <w:spacing w:after="0" w:line="256" w:lineRule="auto"/>
        <w:rPr>
          <w:rFonts w:ascii="Times New Roman" w:eastAsia="Calibri" w:hAnsi="Times New Roman" w:cs="Times New Roman"/>
          <w:b/>
          <w:sz w:val="24"/>
          <w:szCs w:val="24"/>
        </w:rPr>
      </w:pPr>
    </w:p>
    <w:p w14:paraId="040A9B8B" w14:textId="77777777" w:rsidR="00BD69A5" w:rsidRDefault="00BD69A5"/>
    <w:sectPr w:rsidR="00BD69A5">
      <w:footerReference w:type="default" r:id="rId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030D" w14:textId="77777777" w:rsidR="007B6097" w:rsidRDefault="007B6097" w:rsidP="00872BC3">
      <w:pPr>
        <w:spacing w:after="0" w:line="240" w:lineRule="auto"/>
      </w:pPr>
      <w:r>
        <w:separator/>
      </w:r>
    </w:p>
  </w:endnote>
  <w:endnote w:type="continuationSeparator" w:id="0">
    <w:p w14:paraId="2CB1DD0B" w14:textId="77777777" w:rsidR="007B6097" w:rsidRDefault="007B6097" w:rsidP="0087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86765"/>
      <w:docPartObj>
        <w:docPartGallery w:val="Page Numbers (Bottom of Page)"/>
        <w:docPartUnique/>
      </w:docPartObj>
    </w:sdtPr>
    <w:sdtEndPr/>
    <w:sdtContent>
      <w:p w14:paraId="352C5823" w14:textId="77777777" w:rsidR="007212B3" w:rsidRDefault="007212B3">
        <w:pPr>
          <w:pStyle w:val="Porat"/>
          <w:jc w:val="right"/>
        </w:pPr>
        <w:r>
          <w:fldChar w:fldCharType="begin"/>
        </w:r>
        <w:r>
          <w:instrText>PAGE   \* MERGEFORMAT</w:instrText>
        </w:r>
        <w:r>
          <w:fldChar w:fldCharType="separate"/>
        </w:r>
        <w:r w:rsidR="00F53DCA">
          <w:rPr>
            <w:noProof/>
          </w:rPr>
          <w:t>9</w:t>
        </w:r>
        <w:r>
          <w:fldChar w:fldCharType="end"/>
        </w:r>
      </w:p>
    </w:sdtContent>
  </w:sdt>
  <w:p w14:paraId="013E0099" w14:textId="77777777" w:rsidR="007212B3" w:rsidRDefault="007212B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ECBBB" w14:textId="77777777" w:rsidR="007B6097" w:rsidRDefault="007B6097" w:rsidP="00872BC3">
      <w:pPr>
        <w:spacing w:after="0" w:line="240" w:lineRule="auto"/>
      </w:pPr>
      <w:r>
        <w:separator/>
      </w:r>
    </w:p>
  </w:footnote>
  <w:footnote w:type="continuationSeparator" w:id="0">
    <w:p w14:paraId="23CA7AF0" w14:textId="77777777" w:rsidR="007B6097" w:rsidRDefault="007B6097" w:rsidP="00872BC3">
      <w:pPr>
        <w:spacing w:after="0" w:line="240" w:lineRule="auto"/>
      </w:pPr>
      <w:r>
        <w:continuationSeparator/>
      </w:r>
    </w:p>
  </w:footnote>
  <w:footnote w:id="1">
    <w:p w14:paraId="7C334BA1" w14:textId="77777777" w:rsidR="007212B3" w:rsidRPr="00E41B53" w:rsidRDefault="007212B3" w:rsidP="00746FC0">
      <w:pPr>
        <w:pStyle w:val="Puslapioinaostekstas"/>
        <w:jc w:val="both"/>
        <w:rPr>
          <w:sz w:val="16"/>
          <w:szCs w:val="16"/>
        </w:rPr>
      </w:pPr>
      <w:r w:rsidRPr="00E41B53">
        <w:rPr>
          <w:rStyle w:val="Puslapioinaosnuoroda"/>
          <w:sz w:val="16"/>
          <w:szCs w:val="16"/>
        </w:rPr>
        <w:footnoteRef/>
      </w:r>
      <w:r w:rsidRPr="00E41B53">
        <w:rPr>
          <w:sz w:val="16"/>
          <w:szCs w:val="16"/>
        </w:rPr>
        <w:t xml:space="preserve"> Šiuo metu Europos Komisija dar nėra parengusi galutinės techninių ataskaitų rengimo dokumentacijos 2022 m. Darbų apimties ir laiko sąnaudų įvertinimui, siūlome naudotis reikalavimais, kurie buvo nustatyti 2016 m. ir 2018 m. techninėms ataskaitoms </w:t>
      </w:r>
      <w:hyperlink r:id="rId1" w:history="1">
        <w:r w:rsidRPr="00E41B53">
          <w:rPr>
            <w:rStyle w:val="Hipersaitas"/>
          </w:rPr>
          <w:t>http://cdr.eionet.europa.eu/help/WFD/WFD_521_2016</w:t>
        </w:r>
      </w:hyperlink>
      <w:r w:rsidRPr="00E41B53">
        <w:rPr>
          <w:sz w:val="16"/>
          <w:szCs w:val="16"/>
        </w:rPr>
        <w:t xml:space="preserve"> ir </w:t>
      </w:r>
      <w:hyperlink r:id="rId2" w:history="1">
        <w:r w:rsidRPr="00E41B53">
          <w:rPr>
            <w:rStyle w:val="Hipersaitas"/>
          </w:rPr>
          <w:t>http://cdr.eionet.europa.eu/help/msfd/Guidance/GD12%20-%20Guidance%20on%20Art%2013-14-18%20Reporting.pdf</w:t>
        </w:r>
      </w:hyperlink>
      <w:r w:rsidRPr="00E41B53">
        <w:rPr>
          <w:sz w:val="16"/>
          <w:szCs w:val="16"/>
        </w:rPr>
        <w:t>. Europos komisija yra neformaliai informavusi, kad didelių pokyčių 2022 m. techninių ataskaitų turiniui ir struktūrai nenumato. Dalyviams, pagal prašymą, bus pateiktas techninių ataskaitų rengimo dokumentacijos 2022 m. projektas (juodraštis).</w:t>
      </w:r>
    </w:p>
    <w:p w14:paraId="56E963F6" w14:textId="77777777" w:rsidR="007212B3" w:rsidRPr="00E41B53" w:rsidRDefault="007212B3" w:rsidP="00746FC0">
      <w:pPr>
        <w:pStyle w:val="Puslapioinaostekstas"/>
        <w:rPr>
          <w:sz w:val="16"/>
          <w:szCs w:val="16"/>
          <w:lang w:val="lt-LT"/>
        </w:rPr>
      </w:pPr>
    </w:p>
  </w:footnote>
  <w:footnote w:id="2">
    <w:p w14:paraId="52ACB39A" w14:textId="77777777" w:rsidR="007212B3" w:rsidRPr="00E41B53" w:rsidRDefault="007212B3" w:rsidP="00746FC0">
      <w:pPr>
        <w:pStyle w:val="Puslapioinaostekstas"/>
        <w:rPr>
          <w:sz w:val="16"/>
          <w:szCs w:val="16"/>
          <w:lang w:val="lt-LT"/>
        </w:rPr>
      </w:pPr>
      <w:r w:rsidRPr="00E41B53">
        <w:rPr>
          <w:rStyle w:val="Puslapioinaosnuoroda"/>
          <w:sz w:val="16"/>
          <w:szCs w:val="16"/>
        </w:rPr>
        <w:footnoteRef/>
      </w:r>
      <w:r w:rsidRPr="00E41B53">
        <w:rPr>
          <w:sz w:val="16"/>
          <w:szCs w:val="16"/>
        </w:rPr>
        <w:t xml:space="preserve"> Informacija konkurso dalyviams bus pateikta pagal prašymą (GIS sluoksniai; „*.shp“ ir „GML“ formatais).</w:t>
      </w:r>
    </w:p>
  </w:footnote>
  <w:footnote w:id="3">
    <w:p w14:paraId="4672EF9D" w14:textId="77777777" w:rsidR="007212B3" w:rsidRPr="00E41B53" w:rsidRDefault="007212B3" w:rsidP="00746FC0">
      <w:pPr>
        <w:pStyle w:val="Puslapioinaostekstas"/>
        <w:jc w:val="both"/>
        <w:rPr>
          <w:sz w:val="16"/>
          <w:szCs w:val="16"/>
        </w:rPr>
      </w:pPr>
      <w:r w:rsidRPr="00E41B53">
        <w:rPr>
          <w:rStyle w:val="Puslapioinaosnuoroda"/>
          <w:sz w:val="16"/>
          <w:szCs w:val="16"/>
        </w:rPr>
        <w:footnoteRef/>
      </w:r>
      <w:r w:rsidRPr="00E41B53">
        <w:rPr>
          <w:sz w:val="16"/>
          <w:szCs w:val="16"/>
        </w:rPr>
        <w:t xml:space="preserve"> Lietuvos pateiktus (2016 m. teikimas) duomenis („GML“ formatu) galima peržiūrėti http://cdr.eionet.europa.eu/lt/eu/wfd2016/spatial/envxufnga/. Šiuo metu Europos Komisija dar nėra parengusi galutinių konvertavimo („GIS“ į „GML“) įrankių 2022 m. Daugiau informacijos http://cdr.eionet.europa.eu/help/WFD/WFD_521_2016.</w:t>
      </w:r>
    </w:p>
    <w:p w14:paraId="425F3D9D" w14:textId="77777777" w:rsidR="007212B3" w:rsidRPr="00E41B53" w:rsidRDefault="007212B3" w:rsidP="00746FC0">
      <w:pPr>
        <w:pStyle w:val="Puslapioinaostekstas"/>
        <w:rPr>
          <w:sz w:val="16"/>
          <w:szCs w:val="16"/>
          <w:lang w:val="lt-LT"/>
        </w:rPr>
      </w:pPr>
    </w:p>
  </w:footnote>
  <w:footnote w:id="4">
    <w:p w14:paraId="5ACB993C" w14:textId="77777777" w:rsidR="007212B3" w:rsidRPr="00E41B53" w:rsidRDefault="007212B3" w:rsidP="00746FC0">
      <w:pPr>
        <w:pStyle w:val="Puslapioinaostekstas"/>
        <w:rPr>
          <w:sz w:val="16"/>
          <w:szCs w:val="16"/>
          <w:lang w:val="lt-LT"/>
        </w:rPr>
      </w:pPr>
      <w:r w:rsidRPr="00E41B53">
        <w:rPr>
          <w:rStyle w:val="Puslapioinaosnuoroda"/>
          <w:sz w:val="16"/>
          <w:szCs w:val="16"/>
        </w:rPr>
        <w:footnoteRef/>
      </w:r>
      <w:r w:rsidRPr="00F87288">
        <w:rPr>
          <w:sz w:val="16"/>
          <w:szCs w:val="16"/>
          <w:lang w:val="lt-LT"/>
        </w:rPr>
        <w:t xml:space="preserve"> https://www.eionet.europa.eu/. </w:t>
      </w:r>
      <w:r w:rsidRPr="00E41B53">
        <w:rPr>
          <w:sz w:val="16"/>
          <w:szCs w:val="16"/>
        </w:rPr>
        <w:t>Po sutarties įsigaliojimo tiekėjams bus pateikti prisijungimo duomenys.</w:t>
      </w:r>
    </w:p>
  </w:footnote>
  <w:footnote w:id="5">
    <w:p w14:paraId="4FC26D89" w14:textId="77777777" w:rsidR="007212B3" w:rsidRPr="00B7354B" w:rsidRDefault="007212B3" w:rsidP="00746FC0">
      <w:pPr>
        <w:pStyle w:val="Puslapioinaostekstas"/>
        <w:jc w:val="both"/>
        <w:rPr>
          <w:sz w:val="16"/>
          <w:szCs w:val="16"/>
          <w:lang w:val="en-US"/>
        </w:rPr>
      </w:pPr>
      <w:r w:rsidRPr="00E41B53">
        <w:rPr>
          <w:rStyle w:val="Puslapioinaosnuoroda"/>
          <w:sz w:val="16"/>
          <w:szCs w:val="16"/>
        </w:rPr>
        <w:footnoteRef/>
      </w:r>
      <w:r w:rsidRPr="00E41B53">
        <w:rPr>
          <w:sz w:val="16"/>
          <w:szCs w:val="16"/>
        </w:rPr>
        <w:t xml:space="preserve"> </w:t>
      </w:r>
      <w:r w:rsidRPr="00B7354B">
        <w:rPr>
          <w:sz w:val="16"/>
          <w:szCs w:val="16"/>
          <w:lang w:val="en-US"/>
        </w:rPr>
        <w:t xml:space="preserve">Lietuvos pateiktus (2016 m. teikimas)  metaduomenis („*.xml“ formatu)  galima peržiūrėti http://cdr.eionet.europa.eu/lt/eu/wfd2016/spatial/envxufnga/. 2017 metais teiktus metaduomenis  („*.xml“ formatu) dėl išimčių ir priemonių pagal JSPD galima peržiūrėti </w:t>
      </w:r>
      <w:hyperlink r:id="rId3" w:history="1">
        <w:r w:rsidRPr="00B7354B">
          <w:rPr>
            <w:rStyle w:val="Hipersaitas"/>
            <w:lang w:val="en-US"/>
          </w:rPr>
          <w:t>https://cdr.eionet.europa.eu/lt/eu/msfd_pom/ballt/envvl6ngg/</w:t>
        </w:r>
      </w:hyperlink>
      <w:r w:rsidRPr="00B7354B">
        <w:rPr>
          <w:sz w:val="16"/>
          <w:szCs w:val="16"/>
          <w:lang w:val="en-US"/>
        </w:rPr>
        <w:t xml:space="preserve"> .Specialių įrankių metaduomenų rengimui Europos komisija neturi ir nenumato ruošti.</w:t>
      </w:r>
    </w:p>
    <w:p w14:paraId="70F0F955" w14:textId="77777777" w:rsidR="007212B3" w:rsidRPr="00B7354B" w:rsidRDefault="007212B3" w:rsidP="00746FC0">
      <w:pPr>
        <w:pStyle w:val="Puslapioinaostekstas"/>
        <w:rPr>
          <w:sz w:val="16"/>
          <w:szCs w:val="16"/>
          <w:lang w:val="en-US"/>
        </w:rPr>
      </w:pPr>
    </w:p>
  </w:footnote>
  <w:footnote w:id="6">
    <w:p w14:paraId="679A268A" w14:textId="77777777" w:rsidR="007212B3" w:rsidRPr="00B7354B" w:rsidRDefault="007212B3" w:rsidP="00746FC0">
      <w:pPr>
        <w:pStyle w:val="Puslapioinaostekstas"/>
        <w:rPr>
          <w:sz w:val="16"/>
          <w:szCs w:val="16"/>
          <w:lang w:val="en-US"/>
        </w:rPr>
      </w:pPr>
      <w:r w:rsidRPr="00B7354B">
        <w:rPr>
          <w:rStyle w:val="Puslapioinaosnuoroda"/>
          <w:sz w:val="16"/>
          <w:szCs w:val="16"/>
          <w:lang w:val="en-US"/>
        </w:rPr>
        <w:footnoteRef/>
      </w:r>
      <w:r w:rsidRPr="00B7354B">
        <w:rPr>
          <w:sz w:val="16"/>
          <w:szCs w:val="16"/>
          <w:lang w:val="en-US"/>
        </w:rPr>
        <w:t xml:space="preserve"> Visi reikalingi duomenys bus parengti arba Aplinkos apsaugos agentūros, arba įgyvendinant kitus atskirus projektus.</w:t>
      </w:r>
    </w:p>
  </w:footnote>
  <w:footnote w:id="7">
    <w:p w14:paraId="1FC5754B" w14:textId="77777777" w:rsidR="007212B3" w:rsidRPr="00B7354B" w:rsidRDefault="007212B3" w:rsidP="00746FC0">
      <w:pPr>
        <w:pStyle w:val="Puslapioinaostekstas"/>
        <w:jc w:val="both"/>
        <w:rPr>
          <w:sz w:val="16"/>
          <w:szCs w:val="16"/>
          <w:lang w:val="en-US"/>
        </w:rPr>
      </w:pPr>
      <w:r w:rsidRPr="00B7354B">
        <w:rPr>
          <w:rStyle w:val="Puslapioinaosnuoroda"/>
          <w:lang w:val="en-US"/>
        </w:rPr>
        <w:footnoteRef/>
      </w:r>
      <w:r w:rsidRPr="00B7354B">
        <w:rPr>
          <w:lang w:val="en-US"/>
        </w:rPr>
        <w:t xml:space="preserve"> </w:t>
      </w:r>
      <w:r w:rsidRPr="00B7354B">
        <w:rPr>
          <w:sz w:val="16"/>
          <w:szCs w:val="16"/>
          <w:lang w:val="en-US"/>
        </w:rPr>
        <w:t xml:space="preserve">Duomenų bazės užpildytos 2016 m. duomenimis (Access; „*.mdb“ formatu) konkurso dalyviams bus pateiktos pagal prašymą.  Lietuvos pateiktus (2016 m. teikimas) duomenis „*.xml“ formatu galima peržiūrėti http://cdr.eionet.europa.eu/lt/eu/wfd2016/.2017 metais teiktus duomenis  („*.xml“ formatu) dėl išimčių ir priemonių pagal JSPD galima peržiūrėti </w:t>
      </w:r>
      <w:hyperlink r:id="rId4" w:history="1">
        <w:r w:rsidRPr="00B7354B">
          <w:rPr>
            <w:rStyle w:val="Hipersaitas"/>
            <w:lang w:val="en-US"/>
          </w:rPr>
          <w:t>https://cdr.eionet.europa.eu/lt/eu/msfd_pom/ballt/envvl6ngg/</w:t>
        </w:r>
      </w:hyperlink>
    </w:p>
  </w:footnote>
  <w:footnote w:id="8">
    <w:p w14:paraId="75318D11" w14:textId="77777777" w:rsidR="007212B3" w:rsidRPr="00B7354B" w:rsidRDefault="007212B3" w:rsidP="00746FC0">
      <w:pPr>
        <w:pStyle w:val="Puslapioinaostekstas"/>
        <w:jc w:val="both"/>
        <w:rPr>
          <w:sz w:val="16"/>
          <w:szCs w:val="16"/>
          <w:lang w:val="en-US"/>
        </w:rPr>
      </w:pPr>
      <w:r w:rsidRPr="00B7354B">
        <w:rPr>
          <w:rStyle w:val="Puslapioinaosnuoroda"/>
          <w:sz w:val="16"/>
          <w:szCs w:val="16"/>
          <w:lang w:val="en-US"/>
        </w:rPr>
        <w:footnoteRef/>
      </w:r>
      <w:r w:rsidRPr="00B7354B">
        <w:rPr>
          <w:sz w:val="16"/>
          <w:szCs w:val="16"/>
          <w:lang w:val="en-US"/>
        </w:rPr>
        <w:t xml:space="preserve"> Šiuo metu Europos Komisija dar nėra parengusi galutinių „Access“ duomenų bazių 2022 m. techninių ataskaitų teikimui. Darbų apimties ir laiko sąnaudų įvertinimui, siūlome naudotis reikalavimais, kurie buvo nustatyti 2016 m. techninėms ataskaitoms http://cdr.eionet.europa.eu/help/WFD/WFD_521_2016 (papildomai žr. išnašą Nr.1) ir 2018 metais techninėms ataskaitoms http://cdr.eionet.europa.eu/help/msfd/Guidance/GD12%20-%20Guidance%20on%20Art%2013-14-18%20Reporting.pdf.</w:t>
      </w:r>
    </w:p>
    <w:p w14:paraId="08FDC8AE" w14:textId="77777777" w:rsidR="007212B3" w:rsidRPr="00B7354B" w:rsidRDefault="007212B3" w:rsidP="00746FC0">
      <w:pPr>
        <w:pStyle w:val="Puslapioinaostekstas"/>
        <w:jc w:val="both"/>
        <w:rPr>
          <w:sz w:val="16"/>
          <w:szCs w:val="16"/>
          <w:lang w:val="en-US"/>
        </w:rPr>
      </w:pPr>
    </w:p>
  </w:footnote>
  <w:footnote w:id="9">
    <w:p w14:paraId="0B08664C" w14:textId="77777777" w:rsidR="007212B3" w:rsidRPr="00B7354B" w:rsidRDefault="007212B3" w:rsidP="00746FC0">
      <w:pPr>
        <w:pStyle w:val="Puslapioinaostekstas"/>
        <w:jc w:val="both"/>
        <w:rPr>
          <w:sz w:val="16"/>
          <w:szCs w:val="16"/>
          <w:lang w:val="en-US"/>
        </w:rPr>
      </w:pPr>
      <w:r w:rsidRPr="00B7354B">
        <w:rPr>
          <w:rStyle w:val="Puslapioinaosnuoroda"/>
          <w:sz w:val="16"/>
          <w:szCs w:val="16"/>
          <w:lang w:val="en-US"/>
        </w:rPr>
        <w:footnoteRef/>
      </w:r>
      <w:r w:rsidRPr="00B7354B">
        <w:rPr>
          <w:sz w:val="16"/>
          <w:szCs w:val="16"/>
          <w:lang w:val="en-US"/>
        </w:rPr>
        <w:t xml:space="preserve"> Lietuvos pateiktus „*.xml“ duomenis galima peržiūrėti http://cdr.eionet.europa.eu/lt/eu/wfd2016/. Šiuo metu Europos Komisija dar nėra parengusi galutinių Access duomenų bazių ir duomenų eksportavimo įrankių 2022 m. ataskaitų teikimui. Daugiau informacijos </w:t>
      </w:r>
      <w:hyperlink r:id="rId5" w:history="1">
        <w:r w:rsidRPr="00B7354B">
          <w:rPr>
            <w:rStyle w:val="Hipersaitas"/>
            <w:lang w:val="en-US"/>
          </w:rPr>
          <w:t>http://cdr.eionet.europa.eu/help/WFD/WFD_521_2016</w:t>
        </w:r>
      </w:hyperlink>
      <w:r w:rsidRPr="00B7354B">
        <w:rPr>
          <w:sz w:val="16"/>
          <w:szCs w:val="16"/>
          <w:lang w:val="en-US"/>
        </w:rPr>
        <w:t xml:space="preserve"> ir http://cdr.eionet.europa.eu/help/msfd/Guidance/GD12%20-%20Guidance%20on%20Art%2013-14-18%20Reporting.pdf.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7812"/>
    <w:multiLevelType w:val="multilevel"/>
    <w:tmpl w:val="50788EC8"/>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3082" w:hanging="1380"/>
      </w:pPr>
      <w:rPr>
        <w:rFonts w:hint="default"/>
      </w:rPr>
    </w:lvl>
    <w:lvl w:ilvl="3">
      <w:start w:val="1"/>
      <w:numFmt w:val="decimal"/>
      <w:lvlText w:val="%1.%2.%3.%4."/>
      <w:lvlJc w:val="left"/>
      <w:pPr>
        <w:ind w:left="3933" w:hanging="1380"/>
      </w:pPr>
      <w:rPr>
        <w:rFonts w:hint="default"/>
      </w:rPr>
    </w:lvl>
    <w:lvl w:ilvl="4">
      <w:start w:val="1"/>
      <w:numFmt w:val="decimal"/>
      <w:lvlText w:val="%1.%2.%3.%4.%5."/>
      <w:lvlJc w:val="left"/>
      <w:pPr>
        <w:ind w:left="4784" w:hanging="1380"/>
      </w:pPr>
      <w:rPr>
        <w:rFonts w:hint="default"/>
      </w:rPr>
    </w:lvl>
    <w:lvl w:ilvl="5">
      <w:start w:val="1"/>
      <w:numFmt w:val="decimal"/>
      <w:lvlText w:val="%1.%2.%3.%4.%5.%6."/>
      <w:lvlJc w:val="left"/>
      <w:pPr>
        <w:ind w:left="5635" w:hanging="13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4">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5871CA"/>
    <w:multiLevelType w:val="hybridMultilevel"/>
    <w:tmpl w:val="2ADCA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8">
    <w:nsid w:val="712271D7"/>
    <w:multiLevelType w:val="multilevel"/>
    <w:tmpl w:val="4886AA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3"/>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DD"/>
    <w:rsid w:val="00001A4A"/>
    <w:rsid w:val="00005A3D"/>
    <w:rsid w:val="00010AC8"/>
    <w:rsid w:val="00010B21"/>
    <w:rsid w:val="00011101"/>
    <w:rsid w:val="00013587"/>
    <w:rsid w:val="00021468"/>
    <w:rsid w:val="00022F36"/>
    <w:rsid w:val="0002383D"/>
    <w:rsid w:val="0002478E"/>
    <w:rsid w:val="00031623"/>
    <w:rsid w:val="00034C21"/>
    <w:rsid w:val="00035750"/>
    <w:rsid w:val="00040760"/>
    <w:rsid w:val="00042887"/>
    <w:rsid w:val="00043C83"/>
    <w:rsid w:val="00044133"/>
    <w:rsid w:val="000459E3"/>
    <w:rsid w:val="00050744"/>
    <w:rsid w:val="000576F7"/>
    <w:rsid w:val="00063F19"/>
    <w:rsid w:val="00064CBF"/>
    <w:rsid w:val="00065911"/>
    <w:rsid w:val="0007274A"/>
    <w:rsid w:val="000755EE"/>
    <w:rsid w:val="000817CF"/>
    <w:rsid w:val="0008587C"/>
    <w:rsid w:val="000871EA"/>
    <w:rsid w:val="000901AF"/>
    <w:rsid w:val="00094424"/>
    <w:rsid w:val="000A0E32"/>
    <w:rsid w:val="000A5BA5"/>
    <w:rsid w:val="000B0840"/>
    <w:rsid w:val="000B21E9"/>
    <w:rsid w:val="000B2207"/>
    <w:rsid w:val="000B2A37"/>
    <w:rsid w:val="000B5DE5"/>
    <w:rsid w:val="000B69E8"/>
    <w:rsid w:val="000C3B83"/>
    <w:rsid w:val="000C7484"/>
    <w:rsid w:val="000E0533"/>
    <w:rsid w:val="000E38CC"/>
    <w:rsid w:val="000E394D"/>
    <w:rsid w:val="000E7DF7"/>
    <w:rsid w:val="000F2F59"/>
    <w:rsid w:val="000F6FDF"/>
    <w:rsid w:val="00102368"/>
    <w:rsid w:val="00107865"/>
    <w:rsid w:val="00111D82"/>
    <w:rsid w:val="00120587"/>
    <w:rsid w:val="00121B4A"/>
    <w:rsid w:val="00121F48"/>
    <w:rsid w:val="0012243C"/>
    <w:rsid w:val="0012520D"/>
    <w:rsid w:val="00125B16"/>
    <w:rsid w:val="00131140"/>
    <w:rsid w:val="00135E66"/>
    <w:rsid w:val="00145E89"/>
    <w:rsid w:val="0015173C"/>
    <w:rsid w:val="00151D9C"/>
    <w:rsid w:val="001561D2"/>
    <w:rsid w:val="0016040A"/>
    <w:rsid w:val="00160551"/>
    <w:rsid w:val="0016145A"/>
    <w:rsid w:val="00165140"/>
    <w:rsid w:val="00166FD8"/>
    <w:rsid w:val="00182E8C"/>
    <w:rsid w:val="001926F6"/>
    <w:rsid w:val="00193F45"/>
    <w:rsid w:val="0019528A"/>
    <w:rsid w:val="001A08DC"/>
    <w:rsid w:val="001A0923"/>
    <w:rsid w:val="001A2990"/>
    <w:rsid w:val="001A488D"/>
    <w:rsid w:val="001A49AA"/>
    <w:rsid w:val="001A5DF1"/>
    <w:rsid w:val="001A722E"/>
    <w:rsid w:val="001B006A"/>
    <w:rsid w:val="001B0CE6"/>
    <w:rsid w:val="001B31FC"/>
    <w:rsid w:val="001B3BB6"/>
    <w:rsid w:val="001C1901"/>
    <w:rsid w:val="001C3AF0"/>
    <w:rsid w:val="001C3E67"/>
    <w:rsid w:val="001D1D5F"/>
    <w:rsid w:val="001D3451"/>
    <w:rsid w:val="001D4AB1"/>
    <w:rsid w:val="001D7611"/>
    <w:rsid w:val="001E24CD"/>
    <w:rsid w:val="001E7E3C"/>
    <w:rsid w:val="001F0FE6"/>
    <w:rsid w:val="00202915"/>
    <w:rsid w:val="002042FE"/>
    <w:rsid w:val="00205B46"/>
    <w:rsid w:val="00207544"/>
    <w:rsid w:val="0021297D"/>
    <w:rsid w:val="002149E1"/>
    <w:rsid w:val="00224073"/>
    <w:rsid w:val="00231D2D"/>
    <w:rsid w:val="00242E16"/>
    <w:rsid w:val="002469DF"/>
    <w:rsid w:val="00251B3A"/>
    <w:rsid w:val="00264BC8"/>
    <w:rsid w:val="00265903"/>
    <w:rsid w:val="00271AE6"/>
    <w:rsid w:val="00277459"/>
    <w:rsid w:val="002813F4"/>
    <w:rsid w:val="0028331C"/>
    <w:rsid w:val="002940D9"/>
    <w:rsid w:val="00296ACE"/>
    <w:rsid w:val="002A0EF4"/>
    <w:rsid w:val="002A2A47"/>
    <w:rsid w:val="002B0684"/>
    <w:rsid w:val="002B0D16"/>
    <w:rsid w:val="002B0E36"/>
    <w:rsid w:val="002B14AA"/>
    <w:rsid w:val="002B36A5"/>
    <w:rsid w:val="002C1281"/>
    <w:rsid w:val="002C6193"/>
    <w:rsid w:val="002C7659"/>
    <w:rsid w:val="002D37B6"/>
    <w:rsid w:val="002D458B"/>
    <w:rsid w:val="002D520A"/>
    <w:rsid w:val="002E112B"/>
    <w:rsid w:val="002E2F5C"/>
    <w:rsid w:val="002E3229"/>
    <w:rsid w:val="002E47AE"/>
    <w:rsid w:val="002F0872"/>
    <w:rsid w:val="002F0F73"/>
    <w:rsid w:val="002F4A38"/>
    <w:rsid w:val="002F6F01"/>
    <w:rsid w:val="00306BD6"/>
    <w:rsid w:val="0031119F"/>
    <w:rsid w:val="00315BEA"/>
    <w:rsid w:val="00315C00"/>
    <w:rsid w:val="0032494E"/>
    <w:rsid w:val="00325657"/>
    <w:rsid w:val="00326890"/>
    <w:rsid w:val="00330AFB"/>
    <w:rsid w:val="003411F6"/>
    <w:rsid w:val="003411FC"/>
    <w:rsid w:val="00343E9E"/>
    <w:rsid w:val="00345068"/>
    <w:rsid w:val="003606D8"/>
    <w:rsid w:val="00366413"/>
    <w:rsid w:val="00367714"/>
    <w:rsid w:val="00376561"/>
    <w:rsid w:val="0038114C"/>
    <w:rsid w:val="00391810"/>
    <w:rsid w:val="00395F4B"/>
    <w:rsid w:val="0039645D"/>
    <w:rsid w:val="003A0D2B"/>
    <w:rsid w:val="003A1422"/>
    <w:rsid w:val="003A3AD9"/>
    <w:rsid w:val="003A3B74"/>
    <w:rsid w:val="003A5DEA"/>
    <w:rsid w:val="003B5496"/>
    <w:rsid w:val="003C235D"/>
    <w:rsid w:val="003C653E"/>
    <w:rsid w:val="003C7121"/>
    <w:rsid w:val="003D5F31"/>
    <w:rsid w:val="003D61E1"/>
    <w:rsid w:val="003D7671"/>
    <w:rsid w:val="003E34DC"/>
    <w:rsid w:val="003F03FC"/>
    <w:rsid w:val="003F076B"/>
    <w:rsid w:val="003F1ED0"/>
    <w:rsid w:val="003F2D15"/>
    <w:rsid w:val="003F453E"/>
    <w:rsid w:val="00401257"/>
    <w:rsid w:val="004036BB"/>
    <w:rsid w:val="0040382A"/>
    <w:rsid w:val="00404012"/>
    <w:rsid w:val="0041025E"/>
    <w:rsid w:val="004165E8"/>
    <w:rsid w:val="00417372"/>
    <w:rsid w:val="00417CBF"/>
    <w:rsid w:val="004218E0"/>
    <w:rsid w:val="00426BBC"/>
    <w:rsid w:val="00427EB5"/>
    <w:rsid w:val="00430553"/>
    <w:rsid w:val="004308AC"/>
    <w:rsid w:val="00431A6F"/>
    <w:rsid w:val="0043614C"/>
    <w:rsid w:val="0043693C"/>
    <w:rsid w:val="0044076C"/>
    <w:rsid w:val="004409C6"/>
    <w:rsid w:val="00456EBA"/>
    <w:rsid w:val="00460C17"/>
    <w:rsid w:val="00461B56"/>
    <w:rsid w:val="00463A61"/>
    <w:rsid w:val="004644FA"/>
    <w:rsid w:val="004671B2"/>
    <w:rsid w:val="00470188"/>
    <w:rsid w:val="00470747"/>
    <w:rsid w:val="004708D6"/>
    <w:rsid w:val="00474C9E"/>
    <w:rsid w:val="004803A7"/>
    <w:rsid w:val="00483396"/>
    <w:rsid w:val="00491700"/>
    <w:rsid w:val="004A63BD"/>
    <w:rsid w:val="004A6525"/>
    <w:rsid w:val="004A68F8"/>
    <w:rsid w:val="004B1121"/>
    <w:rsid w:val="004B3C06"/>
    <w:rsid w:val="004B60D9"/>
    <w:rsid w:val="004C3B69"/>
    <w:rsid w:val="004C54A0"/>
    <w:rsid w:val="004D0D67"/>
    <w:rsid w:val="004D21E2"/>
    <w:rsid w:val="004D38A2"/>
    <w:rsid w:val="004D444F"/>
    <w:rsid w:val="004D5FDF"/>
    <w:rsid w:val="004D6945"/>
    <w:rsid w:val="004F1E62"/>
    <w:rsid w:val="004F2DFD"/>
    <w:rsid w:val="004F2E08"/>
    <w:rsid w:val="004F33BF"/>
    <w:rsid w:val="004F3D62"/>
    <w:rsid w:val="00512CC8"/>
    <w:rsid w:val="005133B6"/>
    <w:rsid w:val="00514A76"/>
    <w:rsid w:val="005153DD"/>
    <w:rsid w:val="00522BEC"/>
    <w:rsid w:val="005236EC"/>
    <w:rsid w:val="0054388B"/>
    <w:rsid w:val="00551E46"/>
    <w:rsid w:val="005575AD"/>
    <w:rsid w:val="0055770C"/>
    <w:rsid w:val="00563A6F"/>
    <w:rsid w:val="005660CC"/>
    <w:rsid w:val="00572C72"/>
    <w:rsid w:val="00583B7D"/>
    <w:rsid w:val="00590A2F"/>
    <w:rsid w:val="005914F4"/>
    <w:rsid w:val="005A1196"/>
    <w:rsid w:val="005B16F3"/>
    <w:rsid w:val="005B3352"/>
    <w:rsid w:val="005B766C"/>
    <w:rsid w:val="005D1BA6"/>
    <w:rsid w:val="005D2E84"/>
    <w:rsid w:val="005D318E"/>
    <w:rsid w:val="005D48B4"/>
    <w:rsid w:val="005D521E"/>
    <w:rsid w:val="005E56B7"/>
    <w:rsid w:val="005E5846"/>
    <w:rsid w:val="006057E0"/>
    <w:rsid w:val="00607420"/>
    <w:rsid w:val="00607E42"/>
    <w:rsid w:val="00611B84"/>
    <w:rsid w:val="00613195"/>
    <w:rsid w:val="00622A54"/>
    <w:rsid w:val="00622F1A"/>
    <w:rsid w:val="00624DFF"/>
    <w:rsid w:val="00626510"/>
    <w:rsid w:val="00626BE6"/>
    <w:rsid w:val="0063178C"/>
    <w:rsid w:val="00632F38"/>
    <w:rsid w:val="00637CD8"/>
    <w:rsid w:val="00640576"/>
    <w:rsid w:val="00641E32"/>
    <w:rsid w:val="0064631F"/>
    <w:rsid w:val="00651FED"/>
    <w:rsid w:val="00656790"/>
    <w:rsid w:val="00667632"/>
    <w:rsid w:val="00677C2C"/>
    <w:rsid w:val="0068708E"/>
    <w:rsid w:val="00690D3D"/>
    <w:rsid w:val="00691732"/>
    <w:rsid w:val="00691ABB"/>
    <w:rsid w:val="00694A2C"/>
    <w:rsid w:val="00694A8B"/>
    <w:rsid w:val="00697422"/>
    <w:rsid w:val="006A09F2"/>
    <w:rsid w:val="006A0A08"/>
    <w:rsid w:val="006A1C98"/>
    <w:rsid w:val="006A2AA5"/>
    <w:rsid w:val="006A4023"/>
    <w:rsid w:val="006A70A8"/>
    <w:rsid w:val="006B102C"/>
    <w:rsid w:val="006B18A7"/>
    <w:rsid w:val="006B6258"/>
    <w:rsid w:val="006B72C7"/>
    <w:rsid w:val="006C34DE"/>
    <w:rsid w:val="006C357D"/>
    <w:rsid w:val="006C46B7"/>
    <w:rsid w:val="006C75B2"/>
    <w:rsid w:val="006C7B0A"/>
    <w:rsid w:val="006D71A2"/>
    <w:rsid w:val="006E7651"/>
    <w:rsid w:val="006F1D36"/>
    <w:rsid w:val="006F1D65"/>
    <w:rsid w:val="00702D00"/>
    <w:rsid w:val="0070732A"/>
    <w:rsid w:val="00710245"/>
    <w:rsid w:val="00710E89"/>
    <w:rsid w:val="0071512F"/>
    <w:rsid w:val="00716D2A"/>
    <w:rsid w:val="007212B3"/>
    <w:rsid w:val="0072791A"/>
    <w:rsid w:val="00736841"/>
    <w:rsid w:val="0073772D"/>
    <w:rsid w:val="007400A2"/>
    <w:rsid w:val="00740FAD"/>
    <w:rsid w:val="00746FC0"/>
    <w:rsid w:val="007526CB"/>
    <w:rsid w:val="0075344E"/>
    <w:rsid w:val="00753B20"/>
    <w:rsid w:val="007543F7"/>
    <w:rsid w:val="00754427"/>
    <w:rsid w:val="007555C7"/>
    <w:rsid w:val="007621D7"/>
    <w:rsid w:val="00763446"/>
    <w:rsid w:val="00763C01"/>
    <w:rsid w:val="0077500B"/>
    <w:rsid w:val="00780E23"/>
    <w:rsid w:val="0078226E"/>
    <w:rsid w:val="00782834"/>
    <w:rsid w:val="00786638"/>
    <w:rsid w:val="0078718C"/>
    <w:rsid w:val="00790DBF"/>
    <w:rsid w:val="007922F0"/>
    <w:rsid w:val="007925DF"/>
    <w:rsid w:val="007950DB"/>
    <w:rsid w:val="00795777"/>
    <w:rsid w:val="0079741C"/>
    <w:rsid w:val="007A36EE"/>
    <w:rsid w:val="007B0A4B"/>
    <w:rsid w:val="007B2172"/>
    <w:rsid w:val="007B6097"/>
    <w:rsid w:val="007C39FC"/>
    <w:rsid w:val="007C6561"/>
    <w:rsid w:val="007D01A7"/>
    <w:rsid w:val="007D06F7"/>
    <w:rsid w:val="007D15AC"/>
    <w:rsid w:val="007D16E7"/>
    <w:rsid w:val="007D2785"/>
    <w:rsid w:val="007D6E7F"/>
    <w:rsid w:val="007D739D"/>
    <w:rsid w:val="007E0046"/>
    <w:rsid w:val="007E038C"/>
    <w:rsid w:val="007E1A06"/>
    <w:rsid w:val="007E4E9D"/>
    <w:rsid w:val="007F02A2"/>
    <w:rsid w:val="007F7386"/>
    <w:rsid w:val="007F7947"/>
    <w:rsid w:val="008022A0"/>
    <w:rsid w:val="00807C88"/>
    <w:rsid w:val="008124CB"/>
    <w:rsid w:val="00814785"/>
    <w:rsid w:val="0081715E"/>
    <w:rsid w:val="00817DDE"/>
    <w:rsid w:val="00821BE2"/>
    <w:rsid w:val="00822598"/>
    <w:rsid w:val="00822B13"/>
    <w:rsid w:val="00832122"/>
    <w:rsid w:val="0084173F"/>
    <w:rsid w:val="00846EFC"/>
    <w:rsid w:val="00851FA0"/>
    <w:rsid w:val="0085723C"/>
    <w:rsid w:val="00861C9F"/>
    <w:rsid w:val="008655BF"/>
    <w:rsid w:val="00870ABE"/>
    <w:rsid w:val="00872739"/>
    <w:rsid w:val="00872BC3"/>
    <w:rsid w:val="008766AB"/>
    <w:rsid w:val="00877741"/>
    <w:rsid w:val="00881F41"/>
    <w:rsid w:val="00882C5D"/>
    <w:rsid w:val="008838BD"/>
    <w:rsid w:val="00886190"/>
    <w:rsid w:val="0089153D"/>
    <w:rsid w:val="008950D6"/>
    <w:rsid w:val="008A45E8"/>
    <w:rsid w:val="008A60F5"/>
    <w:rsid w:val="008B6029"/>
    <w:rsid w:val="008D5D5B"/>
    <w:rsid w:val="008E0122"/>
    <w:rsid w:val="008E4747"/>
    <w:rsid w:val="008F1860"/>
    <w:rsid w:val="008F4F70"/>
    <w:rsid w:val="008F54D7"/>
    <w:rsid w:val="00901218"/>
    <w:rsid w:val="009161F9"/>
    <w:rsid w:val="009179F9"/>
    <w:rsid w:val="00921043"/>
    <w:rsid w:val="00921D97"/>
    <w:rsid w:val="009246D5"/>
    <w:rsid w:val="009278D3"/>
    <w:rsid w:val="00927A75"/>
    <w:rsid w:val="00932565"/>
    <w:rsid w:val="00933517"/>
    <w:rsid w:val="0093634B"/>
    <w:rsid w:val="00941070"/>
    <w:rsid w:val="00955420"/>
    <w:rsid w:val="00955B62"/>
    <w:rsid w:val="00957CA3"/>
    <w:rsid w:val="009610A9"/>
    <w:rsid w:val="009628BB"/>
    <w:rsid w:val="009655EF"/>
    <w:rsid w:val="00967B87"/>
    <w:rsid w:val="00971210"/>
    <w:rsid w:val="00972212"/>
    <w:rsid w:val="00973833"/>
    <w:rsid w:val="00974C7E"/>
    <w:rsid w:val="00974E29"/>
    <w:rsid w:val="00974F74"/>
    <w:rsid w:val="00976001"/>
    <w:rsid w:val="00976846"/>
    <w:rsid w:val="00977CD2"/>
    <w:rsid w:val="00977E5C"/>
    <w:rsid w:val="00986389"/>
    <w:rsid w:val="00997EC1"/>
    <w:rsid w:val="009A3C90"/>
    <w:rsid w:val="009A4D52"/>
    <w:rsid w:val="009B63AE"/>
    <w:rsid w:val="009C26F2"/>
    <w:rsid w:val="009D2566"/>
    <w:rsid w:val="009D6210"/>
    <w:rsid w:val="009E5C9C"/>
    <w:rsid w:val="009E68AF"/>
    <w:rsid w:val="009F024A"/>
    <w:rsid w:val="009F5446"/>
    <w:rsid w:val="00A007E5"/>
    <w:rsid w:val="00A01179"/>
    <w:rsid w:val="00A1218C"/>
    <w:rsid w:val="00A1245E"/>
    <w:rsid w:val="00A14AA2"/>
    <w:rsid w:val="00A1535A"/>
    <w:rsid w:val="00A22561"/>
    <w:rsid w:val="00A237A3"/>
    <w:rsid w:val="00A31BC5"/>
    <w:rsid w:val="00A36866"/>
    <w:rsid w:val="00A40322"/>
    <w:rsid w:val="00A41088"/>
    <w:rsid w:val="00A41D66"/>
    <w:rsid w:val="00A42856"/>
    <w:rsid w:val="00A43055"/>
    <w:rsid w:val="00A4390C"/>
    <w:rsid w:val="00A43C31"/>
    <w:rsid w:val="00A47237"/>
    <w:rsid w:val="00A620C3"/>
    <w:rsid w:val="00A62C0A"/>
    <w:rsid w:val="00A64E2B"/>
    <w:rsid w:val="00A66F3C"/>
    <w:rsid w:val="00A73399"/>
    <w:rsid w:val="00A82195"/>
    <w:rsid w:val="00A822BD"/>
    <w:rsid w:val="00A86CC9"/>
    <w:rsid w:val="00A906B4"/>
    <w:rsid w:val="00A92A14"/>
    <w:rsid w:val="00A94E31"/>
    <w:rsid w:val="00A94FAA"/>
    <w:rsid w:val="00A9783E"/>
    <w:rsid w:val="00AA0437"/>
    <w:rsid w:val="00AA1074"/>
    <w:rsid w:val="00AA7C88"/>
    <w:rsid w:val="00AB3C50"/>
    <w:rsid w:val="00AB6131"/>
    <w:rsid w:val="00AB692B"/>
    <w:rsid w:val="00AB71BE"/>
    <w:rsid w:val="00AC3D72"/>
    <w:rsid w:val="00AE1A7B"/>
    <w:rsid w:val="00AE3B86"/>
    <w:rsid w:val="00AE6D2B"/>
    <w:rsid w:val="00AF20DF"/>
    <w:rsid w:val="00B01284"/>
    <w:rsid w:val="00B01531"/>
    <w:rsid w:val="00B01743"/>
    <w:rsid w:val="00B04F3A"/>
    <w:rsid w:val="00B07CCF"/>
    <w:rsid w:val="00B1228F"/>
    <w:rsid w:val="00B15420"/>
    <w:rsid w:val="00B229EA"/>
    <w:rsid w:val="00B22AC6"/>
    <w:rsid w:val="00B22F5F"/>
    <w:rsid w:val="00B23855"/>
    <w:rsid w:val="00B27BD8"/>
    <w:rsid w:val="00B32244"/>
    <w:rsid w:val="00B323C7"/>
    <w:rsid w:val="00B3388F"/>
    <w:rsid w:val="00B3449B"/>
    <w:rsid w:val="00B355F0"/>
    <w:rsid w:val="00B36B1D"/>
    <w:rsid w:val="00B375A3"/>
    <w:rsid w:val="00B40BE1"/>
    <w:rsid w:val="00B4259D"/>
    <w:rsid w:val="00B429DF"/>
    <w:rsid w:val="00B4315A"/>
    <w:rsid w:val="00B4381E"/>
    <w:rsid w:val="00B46E4F"/>
    <w:rsid w:val="00B477F5"/>
    <w:rsid w:val="00B53B4B"/>
    <w:rsid w:val="00B57006"/>
    <w:rsid w:val="00B57EB4"/>
    <w:rsid w:val="00B60867"/>
    <w:rsid w:val="00B673D6"/>
    <w:rsid w:val="00B72BFC"/>
    <w:rsid w:val="00B7354B"/>
    <w:rsid w:val="00B75A0F"/>
    <w:rsid w:val="00B773E7"/>
    <w:rsid w:val="00B77499"/>
    <w:rsid w:val="00B80283"/>
    <w:rsid w:val="00B82D88"/>
    <w:rsid w:val="00B8327B"/>
    <w:rsid w:val="00B845B6"/>
    <w:rsid w:val="00B94388"/>
    <w:rsid w:val="00B9599C"/>
    <w:rsid w:val="00B977A9"/>
    <w:rsid w:val="00BA0116"/>
    <w:rsid w:val="00BA27CD"/>
    <w:rsid w:val="00BA3C7C"/>
    <w:rsid w:val="00BB00A9"/>
    <w:rsid w:val="00BC3BC6"/>
    <w:rsid w:val="00BC65EA"/>
    <w:rsid w:val="00BD139B"/>
    <w:rsid w:val="00BD2968"/>
    <w:rsid w:val="00BD4D1A"/>
    <w:rsid w:val="00BD4D2F"/>
    <w:rsid w:val="00BD690A"/>
    <w:rsid w:val="00BD69A5"/>
    <w:rsid w:val="00BE0F01"/>
    <w:rsid w:val="00BE4B85"/>
    <w:rsid w:val="00BE7CA4"/>
    <w:rsid w:val="00BF39AC"/>
    <w:rsid w:val="00C00A4E"/>
    <w:rsid w:val="00C025F5"/>
    <w:rsid w:val="00C107A4"/>
    <w:rsid w:val="00C129B1"/>
    <w:rsid w:val="00C12BA9"/>
    <w:rsid w:val="00C17B96"/>
    <w:rsid w:val="00C210AA"/>
    <w:rsid w:val="00C21FF8"/>
    <w:rsid w:val="00C22017"/>
    <w:rsid w:val="00C259A8"/>
    <w:rsid w:val="00C27410"/>
    <w:rsid w:val="00C301CF"/>
    <w:rsid w:val="00C35565"/>
    <w:rsid w:val="00C467F6"/>
    <w:rsid w:val="00C53C1C"/>
    <w:rsid w:val="00C5445D"/>
    <w:rsid w:val="00C5782C"/>
    <w:rsid w:val="00C63804"/>
    <w:rsid w:val="00C63D23"/>
    <w:rsid w:val="00C6540B"/>
    <w:rsid w:val="00C66487"/>
    <w:rsid w:val="00C707E6"/>
    <w:rsid w:val="00C719C4"/>
    <w:rsid w:val="00C72FC7"/>
    <w:rsid w:val="00C759E4"/>
    <w:rsid w:val="00C77E28"/>
    <w:rsid w:val="00C818A7"/>
    <w:rsid w:val="00C86E75"/>
    <w:rsid w:val="00C92D31"/>
    <w:rsid w:val="00C9662F"/>
    <w:rsid w:val="00C96D1C"/>
    <w:rsid w:val="00CA37EF"/>
    <w:rsid w:val="00CA3A2D"/>
    <w:rsid w:val="00CA4393"/>
    <w:rsid w:val="00CB0E4B"/>
    <w:rsid w:val="00CB317E"/>
    <w:rsid w:val="00CB3184"/>
    <w:rsid w:val="00CB7280"/>
    <w:rsid w:val="00CD0DA4"/>
    <w:rsid w:val="00CD1A3E"/>
    <w:rsid w:val="00CD3905"/>
    <w:rsid w:val="00CE2F1F"/>
    <w:rsid w:val="00CF553A"/>
    <w:rsid w:val="00CF5DF4"/>
    <w:rsid w:val="00D01609"/>
    <w:rsid w:val="00D02523"/>
    <w:rsid w:val="00D02B4E"/>
    <w:rsid w:val="00D052F5"/>
    <w:rsid w:val="00D06C18"/>
    <w:rsid w:val="00D112D6"/>
    <w:rsid w:val="00D1304B"/>
    <w:rsid w:val="00D179A7"/>
    <w:rsid w:val="00D25C0B"/>
    <w:rsid w:val="00D313B4"/>
    <w:rsid w:val="00D32101"/>
    <w:rsid w:val="00D332E4"/>
    <w:rsid w:val="00D37EA7"/>
    <w:rsid w:val="00D41104"/>
    <w:rsid w:val="00D427E5"/>
    <w:rsid w:val="00D44449"/>
    <w:rsid w:val="00D46072"/>
    <w:rsid w:val="00D47811"/>
    <w:rsid w:val="00D54386"/>
    <w:rsid w:val="00D55058"/>
    <w:rsid w:val="00D56BF0"/>
    <w:rsid w:val="00D57FE6"/>
    <w:rsid w:val="00D62357"/>
    <w:rsid w:val="00D74FAD"/>
    <w:rsid w:val="00D76961"/>
    <w:rsid w:val="00D81CD1"/>
    <w:rsid w:val="00D83A8F"/>
    <w:rsid w:val="00D86A80"/>
    <w:rsid w:val="00D86FD1"/>
    <w:rsid w:val="00D905D8"/>
    <w:rsid w:val="00D9301F"/>
    <w:rsid w:val="00D94620"/>
    <w:rsid w:val="00D94EB9"/>
    <w:rsid w:val="00D9759E"/>
    <w:rsid w:val="00DA0E39"/>
    <w:rsid w:val="00DA624F"/>
    <w:rsid w:val="00DB159B"/>
    <w:rsid w:val="00DB223C"/>
    <w:rsid w:val="00DC7F0C"/>
    <w:rsid w:val="00DD4A4C"/>
    <w:rsid w:val="00DD5114"/>
    <w:rsid w:val="00DE06A6"/>
    <w:rsid w:val="00DE2B8D"/>
    <w:rsid w:val="00DE3962"/>
    <w:rsid w:val="00DE3FFA"/>
    <w:rsid w:val="00DF1BAC"/>
    <w:rsid w:val="00DF1DDD"/>
    <w:rsid w:val="00E004B4"/>
    <w:rsid w:val="00E029D5"/>
    <w:rsid w:val="00E047E7"/>
    <w:rsid w:val="00E07F25"/>
    <w:rsid w:val="00E1291D"/>
    <w:rsid w:val="00E13F79"/>
    <w:rsid w:val="00E1449B"/>
    <w:rsid w:val="00E21FF4"/>
    <w:rsid w:val="00E31E50"/>
    <w:rsid w:val="00E33A12"/>
    <w:rsid w:val="00E42F56"/>
    <w:rsid w:val="00E4530B"/>
    <w:rsid w:val="00E45674"/>
    <w:rsid w:val="00E50E50"/>
    <w:rsid w:val="00E52AA6"/>
    <w:rsid w:val="00E52CCA"/>
    <w:rsid w:val="00E55025"/>
    <w:rsid w:val="00E63377"/>
    <w:rsid w:val="00E662CD"/>
    <w:rsid w:val="00E82694"/>
    <w:rsid w:val="00E82CE7"/>
    <w:rsid w:val="00E8455B"/>
    <w:rsid w:val="00E86ABF"/>
    <w:rsid w:val="00E86D20"/>
    <w:rsid w:val="00E87A23"/>
    <w:rsid w:val="00E90402"/>
    <w:rsid w:val="00E93548"/>
    <w:rsid w:val="00E93A12"/>
    <w:rsid w:val="00E952ED"/>
    <w:rsid w:val="00E9631B"/>
    <w:rsid w:val="00E97394"/>
    <w:rsid w:val="00E97AA1"/>
    <w:rsid w:val="00EA3827"/>
    <w:rsid w:val="00EA5225"/>
    <w:rsid w:val="00EB2356"/>
    <w:rsid w:val="00EB36E7"/>
    <w:rsid w:val="00EB6E82"/>
    <w:rsid w:val="00EC398D"/>
    <w:rsid w:val="00ED39D1"/>
    <w:rsid w:val="00ED4932"/>
    <w:rsid w:val="00ED4FC5"/>
    <w:rsid w:val="00ED5088"/>
    <w:rsid w:val="00ED61E0"/>
    <w:rsid w:val="00ED6348"/>
    <w:rsid w:val="00EE025E"/>
    <w:rsid w:val="00EE7AF2"/>
    <w:rsid w:val="00EF61A7"/>
    <w:rsid w:val="00EF7427"/>
    <w:rsid w:val="00EF7575"/>
    <w:rsid w:val="00F05F9D"/>
    <w:rsid w:val="00F22476"/>
    <w:rsid w:val="00F31154"/>
    <w:rsid w:val="00F320E6"/>
    <w:rsid w:val="00F3304F"/>
    <w:rsid w:val="00F33409"/>
    <w:rsid w:val="00F37020"/>
    <w:rsid w:val="00F417F7"/>
    <w:rsid w:val="00F46C91"/>
    <w:rsid w:val="00F504F3"/>
    <w:rsid w:val="00F51810"/>
    <w:rsid w:val="00F53DCA"/>
    <w:rsid w:val="00F60764"/>
    <w:rsid w:val="00F61EEE"/>
    <w:rsid w:val="00F6690B"/>
    <w:rsid w:val="00F67267"/>
    <w:rsid w:val="00F67A55"/>
    <w:rsid w:val="00F74BFB"/>
    <w:rsid w:val="00F82E38"/>
    <w:rsid w:val="00F836A7"/>
    <w:rsid w:val="00F91187"/>
    <w:rsid w:val="00FA53D8"/>
    <w:rsid w:val="00FA546F"/>
    <w:rsid w:val="00FA6243"/>
    <w:rsid w:val="00FA6AE4"/>
    <w:rsid w:val="00FB13A7"/>
    <w:rsid w:val="00FB1862"/>
    <w:rsid w:val="00FB6C33"/>
    <w:rsid w:val="00FC363D"/>
    <w:rsid w:val="00FC48B0"/>
    <w:rsid w:val="00FD0EF1"/>
    <w:rsid w:val="00FD4672"/>
    <w:rsid w:val="00FD5E3C"/>
    <w:rsid w:val="00FE1F18"/>
    <w:rsid w:val="00FE277D"/>
    <w:rsid w:val="00FE4CC6"/>
    <w:rsid w:val="00FF0BBD"/>
    <w:rsid w:val="00FF1566"/>
    <w:rsid w:val="00FF4685"/>
    <w:rsid w:val="00FF6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872B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BC3"/>
  </w:style>
  <w:style w:type="paragraph" w:styleId="Porat">
    <w:name w:val="footer"/>
    <w:basedOn w:val="prastasis"/>
    <w:link w:val="PoratDiagrama"/>
    <w:uiPriority w:val="99"/>
    <w:unhideWhenUsed/>
    <w:rsid w:val="00872B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2BC3"/>
  </w:style>
  <w:style w:type="paragraph" w:customStyle="1" w:styleId="WW-BodyTextIndent2">
    <w:name w:val="WW-Body Text Indent 2"/>
    <w:basedOn w:val="prastasis"/>
    <w:rsid w:val="00EA5225"/>
    <w:pPr>
      <w:widowControl w:val="0"/>
      <w:suppressAutoHyphens/>
      <w:spacing w:after="0" w:line="240" w:lineRule="auto"/>
      <w:ind w:firstLine="426"/>
    </w:pPr>
    <w:rPr>
      <w:rFonts w:ascii="Arial" w:eastAsia="Lucida Sans Unicode" w:hAnsi="Arial" w:cs="Arial"/>
      <w:kern w:val="1"/>
      <w:sz w:val="24"/>
      <w:szCs w:val="24"/>
      <w:lang w:eastAsia="zh-CN"/>
    </w:rPr>
  </w:style>
  <w:style w:type="character" w:customStyle="1" w:styleId="Komentaronuoroda1">
    <w:name w:val="Komentaro nuoroda1"/>
    <w:rsid w:val="006B6258"/>
    <w:rPr>
      <w:sz w:val="16"/>
      <w:szCs w:val="16"/>
    </w:rPr>
  </w:style>
  <w:style w:type="table" w:styleId="Lentelstinklelis">
    <w:name w:val="Table Grid"/>
    <w:basedOn w:val="prastojilentel"/>
    <w:uiPriority w:val="39"/>
    <w:rsid w:val="000507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C818A7"/>
  </w:style>
  <w:style w:type="character" w:styleId="Hipersaitas">
    <w:name w:val="Hyperlink"/>
    <w:uiPriority w:val="99"/>
    <w:unhideWhenUsed/>
    <w:rsid w:val="00746FC0"/>
    <w:rPr>
      <w:color w:val="0000FF"/>
      <w:u w:val="single"/>
    </w:rPr>
  </w:style>
  <w:style w:type="paragraph" w:styleId="Puslapioinaostekstas">
    <w:name w:val="footnote text"/>
    <w:basedOn w:val="prastasis"/>
    <w:link w:val="PuslapioinaostekstasDiagrama"/>
    <w:unhideWhenUsed/>
    <w:rsid w:val="00746FC0"/>
    <w:pPr>
      <w:spacing w:after="0" w:line="240" w:lineRule="auto"/>
    </w:pPr>
    <w:rPr>
      <w:rFonts w:ascii="Arial" w:eastAsia="Arial" w:hAnsi="Arial" w:cs="Arial"/>
      <w:sz w:val="20"/>
      <w:szCs w:val="20"/>
      <w:lang w:val="en"/>
    </w:rPr>
  </w:style>
  <w:style w:type="character" w:customStyle="1" w:styleId="PuslapioinaostekstasDiagrama">
    <w:name w:val="Puslapio išnašos tekstas Diagrama"/>
    <w:basedOn w:val="Numatytasispastraiposriftas"/>
    <w:link w:val="Puslapioinaostekstas"/>
    <w:rsid w:val="00746FC0"/>
    <w:rPr>
      <w:rFonts w:ascii="Arial" w:eastAsia="Arial" w:hAnsi="Arial" w:cs="Arial"/>
      <w:sz w:val="20"/>
      <w:szCs w:val="20"/>
      <w:lang w:val="en"/>
    </w:rPr>
  </w:style>
  <w:style w:type="character" w:styleId="Puslapioinaosnuoroda">
    <w:name w:val="footnote reference"/>
    <w:uiPriority w:val="99"/>
    <w:semiHidden/>
    <w:unhideWhenUsed/>
    <w:rsid w:val="00746FC0"/>
    <w:rPr>
      <w:vertAlign w:val="superscript"/>
    </w:rPr>
  </w:style>
  <w:style w:type="character" w:customStyle="1" w:styleId="Neapdorotaspaminjimas1">
    <w:name w:val="Neapdorotas paminėjimas1"/>
    <w:basedOn w:val="Numatytasispastraiposriftas"/>
    <w:uiPriority w:val="99"/>
    <w:semiHidden/>
    <w:unhideWhenUsed/>
    <w:rsid w:val="00B75A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872B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BC3"/>
  </w:style>
  <w:style w:type="paragraph" w:styleId="Porat">
    <w:name w:val="footer"/>
    <w:basedOn w:val="prastasis"/>
    <w:link w:val="PoratDiagrama"/>
    <w:uiPriority w:val="99"/>
    <w:unhideWhenUsed/>
    <w:rsid w:val="00872B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2BC3"/>
  </w:style>
  <w:style w:type="paragraph" w:customStyle="1" w:styleId="WW-BodyTextIndent2">
    <w:name w:val="WW-Body Text Indent 2"/>
    <w:basedOn w:val="prastasis"/>
    <w:rsid w:val="00EA5225"/>
    <w:pPr>
      <w:widowControl w:val="0"/>
      <w:suppressAutoHyphens/>
      <w:spacing w:after="0" w:line="240" w:lineRule="auto"/>
      <w:ind w:firstLine="426"/>
    </w:pPr>
    <w:rPr>
      <w:rFonts w:ascii="Arial" w:eastAsia="Lucida Sans Unicode" w:hAnsi="Arial" w:cs="Arial"/>
      <w:kern w:val="1"/>
      <w:sz w:val="24"/>
      <w:szCs w:val="24"/>
      <w:lang w:eastAsia="zh-CN"/>
    </w:rPr>
  </w:style>
  <w:style w:type="character" w:customStyle="1" w:styleId="Komentaronuoroda1">
    <w:name w:val="Komentaro nuoroda1"/>
    <w:rsid w:val="006B6258"/>
    <w:rPr>
      <w:sz w:val="16"/>
      <w:szCs w:val="16"/>
    </w:rPr>
  </w:style>
  <w:style w:type="table" w:styleId="Lentelstinklelis">
    <w:name w:val="Table Grid"/>
    <w:basedOn w:val="prastojilentel"/>
    <w:uiPriority w:val="39"/>
    <w:rsid w:val="000507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C818A7"/>
  </w:style>
  <w:style w:type="character" w:styleId="Hipersaitas">
    <w:name w:val="Hyperlink"/>
    <w:uiPriority w:val="99"/>
    <w:unhideWhenUsed/>
    <w:rsid w:val="00746FC0"/>
    <w:rPr>
      <w:color w:val="0000FF"/>
      <w:u w:val="single"/>
    </w:rPr>
  </w:style>
  <w:style w:type="paragraph" w:styleId="Puslapioinaostekstas">
    <w:name w:val="footnote text"/>
    <w:basedOn w:val="prastasis"/>
    <w:link w:val="PuslapioinaostekstasDiagrama"/>
    <w:unhideWhenUsed/>
    <w:rsid w:val="00746FC0"/>
    <w:pPr>
      <w:spacing w:after="0" w:line="240" w:lineRule="auto"/>
    </w:pPr>
    <w:rPr>
      <w:rFonts w:ascii="Arial" w:eastAsia="Arial" w:hAnsi="Arial" w:cs="Arial"/>
      <w:sz w:val="20"/>
      <w:szCs w:val="20"/>
      <w:lang w:val="en"/>
    </w:rPr>
  </w:style>
  <w:style w:type="character" w:customStyle="1" w:styleId="PuslapioinaostekstasDiagrama">
    <w:name w:val="Puslapio išnašos tekstas Diagrama"/>
    <w:basedOn w:val="Numatytasispastraiposriftas"/>
    <w:link w:val="Puslapioinaostekstas"/>
    <w:rsid w:val="00746FC0"/>
    <w:rPr>
      <w:rFonts w:ascii="Arial" w:eastAsia="Arial" w:hAnsi="Arial" w:cs="Arial"/>
      <w:sz w:val="20"/>
      <w:szCs w:val="20"/>
      <w:lang w:val="en"/>
    </w:rPr>
  </w:style>
  <w:style w:type="character" w:styleId="Puslapioinaosnuoroda">
    <w:name w:val="footnote reference"/>
    <w:uiPriority w:val="99"/>
    <w:semiHidden/>
    <w:unhideWhenUsed/>
    <w:rsid w:val="00746FC0"/>
    <w:rPr>
      <w:vertAlign w:val="superscript"/>
    </w:rPr>
  </w:style>
  <w:style w:type="character" w:customStyle="1" w:styleId="Neapdorotaspaminjimas1">
    <w:name w:val="Neapdorotas paminėjimas1"/>
    <w:basedOn w:val="Numatytasispastraiposriftas"/>
    <w:uiPriority w:val="99"/>
    <w:semiHidden/>
    <w:unhideWhenUsed/>
    <w:rsid w:val="00B75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6608">
      <w:bodyDiv w:val="1"/>
      <w:marLeft w:val="0"/>
      <w:marRight w:val="0"/>
      <w:marTop w:val="0"/>
      <w:marBottom w:val="0"/>
      <w:divBdr>
        <w:top w:val="none" w:sz="0" w:space="0" w:color="auto"/>
        <w:left w:val="none" w:sz="0" w:space="0" w:color="auto"/>
        <w:bottom w:val="none" w:sz="0" w:space="0" w:color="auto"/>
        <w:right w:val="none" w:sz="0" w:space="0" w:color="auto"/>
      </w:divBdr>
    </w:div>
    <w:div w:id="595596893">
      <w:bodyDiv w:val="1"/>
      <w:marLeft w:val="0"/>
      <w:marRight w:val="0"/>
      <w:marTop w:val="0"/>
      <w:marBottom w:val="0"/>
      <w:divBdr>
        <w:top w:val="none" w:sz="0" w:space="0" w:color="auto"/>
        <w:left w:val="none" w:sz="0" w:space="0" w:color="auto"/>
        <w:bottom w:val="none" w:sz="0" w:space="0" w:color="auto"/>
        <w:right w:val="none" w:sz="0" w:space="0" w:color="auto"/>
      </w:divBdr>
    </w:div>
    <w:div w:id="998119911">
      <w:bodyDiv w:val="1"/>
      <w:marLeft w:val="0"/>
      <w:marRight w:val="0"/>
      <w:marTop w:val="0"/>
      <w:marBottom w:val="0"/>
      <w:divBdr>
        <w:top w:val="none" w:sz="0" w:space="0" w:color="auto"/>
        <w:left w:val="none" w:sz="0" w:space="0" w:color="auto"/>
        <w:bottom w:val="none" w:sz="0" w:space="0" w:color="auto"/>
        <w:right w:val="none" w:sz="0" w:space="0" w:color="auto"/>
      </w:divBdr>
    </w:div>
    <w:div w:id="1183588236">
      <w:bodyDiv w:val="1"/>
      <w:marLeft w:val="0"/>
      <w:marRight w:val="0"/>
      <w:marTop w:val="0"/>
      <w:marBottom w:val="0"/>
      <w:divBdr>
        <w:top w:val="none" w:sz="0" w:space="0" w:color="auto"/>
        <w:left w:val="none" w:sz="0" w:space="0" w:color="auto"/>
        <w:bottom w:val="none" w:sz="0" w:space="0" w:color="auto"/>
        <w:right w:val="none" w:sz="0" w:space="0" w:color="auto"/>
      </w:divBdr>
    </w:div>
    <w:div w:id="1562516136">
      <w:bodyDiv w:val="1"/>
      <w:marLeft w:val="0"/>
      <w:marRight w:val="0"/>
      <w:marTop w:val="0"/>
      <w:marBottom w:val="0"/>
      <w:divBdr>
        <w:top w:val="none" w:sz="0" w:space="0" w:color="auto"/>
        <w:left w:val="none" w:sz="0" w:space="0" w:color="auto"/>
        <w:bottom w:val="none" w:sz="0" w:space="0" w:color="auto"/>
        <w:right w:val="none" w:sz="0" w:space="0" w:color="auto"/>
      </w:divBdr>
    </w:div>
    <w:div w:id="17514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LT/ALL/?uri=OJ:L:2018:047:TOC" TargetMode="External"/><Relationship Id="rId18" Type="http://schemas.openxmlformats.org/officeDocument/2006/relationships/hyperlink" Target="http://vanduo.gamta.lt/cms/index?rubricId=ac0b650a-77c8-4d43-b453-42a0cb916a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ircabc.europa.eu/sd/a/bd4ac1b0-19e2-4b3e-8e07-3a2c109a73fb/Nutrient_standard_Guidance_Toolkit_Instructions_Nov2018_Final.pdf" TargetMode="External"/><Relationship Id="rId7" Type="http://schemas.openxmlformats.org/officeDocument/2006/relationships/footnotes" Target="footnotes.xml"/><Relationship Id="rId12" Type="http://schemas.openxmlformats.org/officeDocument/2006/relationships/hyperlink" Target="https://eur-lex.europa.eu/legal-content/LT/ALL/?uri=OJ:L:2018:047:TOC" TargetMode="External"/><Relationship Id="rId17" Type="http://schemas.openxmlformats.org/officeDocument/2006/relationships/hyperlink" Target="http://vanduo.gamta.lt/cms/index?rubricId=ac0b650a-77c8-4d43-b453-42a0cb916a3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rcabc.europa.eu/ui/group/9ab5926d-bed4-4322-9aa7-9964bbe8312d/library/d1d6c347-b528-4819-aa10-6819e6b80876/details" TargetMode="External"/><Relationship Id="rId20" Type="http://schemas.openxmlformats.org/officeDocument/2006/relationships/hyperlink" Target="https://circabc.europa.eu/sd/a/5aa80709-9ce8-411d-94e8-f0577f3632fa/CIS_Guidance_for_Ecostat_Oct1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rcabc.europa.eu/faces/jsp/extension/wai/navigation/container.jsp"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ircabc.europa.eu/sd/a/bd4ac1b0-19e2-4b3e-8e07-3a2c109a73fb/Nutrient_standard_Guidance_Toolkit_Instructions_Nov2018_Final.pdf" TargetMode="External"/><Relationship Id="rId23" Type="http://schemas.openxmlformats.org/officeDocument/2006/relationships/hyperlink" Target="https://circabc.europa.eu/ui/group/9ab5926d-bed4-4322-9aa7-9964bbe8312d/library/67f969f9-5abe-4765-a952-2f8e2bf5b664/details" TargetMode="External"/><Relationship Id="rId10" Type="http://schemas.openxmlformats.org/officeDocument/2006/relationships/hyperlink" Target="https://circabc.europa.eu/faces/jsp/extension/wai/navigation/container.jsp" TargetMode="External"/><Relationship Id="rId19" Type="http://schemas.openxmlformats.org/officeDocument/2006/relationships/hyperlink" Target="http://cdr.eionet.europa.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ircabc.europa.eu/sd/a/5aa80709-9ce8-411d-94e8-f0577f3632fa/CIS_Guidance_for_Ecostat_Oct18.pdf" TargetMode="External"/><Relationship Id="rId22" Type="http://schemas.openxmlformats.org/officeDocument/2006/relationships/hyperlink" Target="https://circabc.europa.eu/ui/group/9ab5926d-bed4-4322-9aa7-9964bbe8312d/library/67f969f9-5abe-4765-a952-2f8e2bf5b664/detail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dr.eionet.europa.eu/lt/eu/msfd_pom/ballt/envvl6ngg/" TargetMode="External"/><Relationship Id="rId2" Type="http://schemas.openxmlformats.org/officeDocument/2006/relationships/hyperlink" Target="http://cdr.eionet.europa.eu/help/msfd/Guidance/GD12%20-%20Guidance%20on%20Art%2013-14-18%20Reporting.pdf" TargetMode="External"/><Relationship Id="rId1" Type="http://schemas.openxmlformats.org/officeDocument/2006/relationships/hyperlink" Target="http://cdr.eionet.europa.eu/help/WFD/WFD_521_2016" TargetMode="External"/><Relationship Id="rId5" Type="http://schemas.openxmlformats.org/officeDocument/2006/relationships/hyperlink" Target="http://cdr.eionet.europa.eu/help/WFD/WFD_521_2016" TargetMode="External"/><Relationship Id="rId4" Type="http://schemas.openxmlformats.org/officeDocument/2006/relationships/hyperlink" Target="https://cdr.eionet.europa.eu/lt/eu/msfd_pom/ballt/envvl6ng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3BB1-7745-4BB9-B2EF-B567C401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54230</Words>
  <Characters>30912</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84973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Anželika Naruševičienė</cp:lastModifiedBy>
  <cp:revision>5</cp:revision>
  <cp:lastPrinted>2020-02-17T11:31:00Z</cp:lastPrinted>
  <dcterms:created xsi:type="dcterms:W3CDTF">2021-04-19T19:31:00Z</dcterms:created>
  <dcterms:modified xsi:type="dcterms:W3CDTF">2021-05-04T17:09:00Z</dcterms:modified>
</cp:coreProperties>
</file>