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C306C" w14:textId="77777777" w:rsidR="0073441F" w:rsidRPr="00F05F81" w:rsidRDefault="0073441F" w:rsidP="00AD6896">
      <w:pPr>
        <w:widowControl w:val="0"/>
        <w:rPr>
          <w:b/>
          <w:caps/>
          <w:lang w:eastAsia="zh-CN"/>
        </w:rPr>
      </w:pPr>
    </w:p>
    <w:p w14:paraId="546A51CF" w14:textId="77777777" w:rsidR="0073441F" w:rsidRPr="00F05F81" w:rsidRDefault="0073441F" w:rsidP="0073441F">
      <w:pPr>
        <w:widowControl w:val="0"/>
        <w:jc w:val="center"/>
        <w:rPr>
          <w:b/>
          <w:caps/>
          <w:lang w:eastAsia="zh-CN"/>
        </w:rPr>
      </w:pPr>
      <w:r w:rsidRPr="00F05F81">
        <w:rPr>
          <w:noProof/>
          <w:sz w:val="20"/>
          <w:szCs w:val="20"/>
          <w:lang w:eastAsia="lt-LT"/>
        </w:rPr>
        <w:drawing>
          <wp:inline distT="0" distB="0" distL="0" distR="0" wp14:anchorId="26094D3D" wp14:editId="4DE4EEAE">
            <wp:extent cx="3933825" cy="990600"/>
            <wp:effectExtent l="0" t="0" r="9525" b="0"/>
            <wp:docPr id="6" name="Paveikslėlis 1" descr="pilnas j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ilnas j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33825" cy="990600"/>
                    </a:xfrm>
                    <a:prstGeom prst="rect">
                      <a:avLst/>
                    </a:prstGeom>
                    <a:noFill/>
                    <a:ln>
                      <a:noFill/>
                    </a:ln>
                  </pic:spPr>
                </pic:pic>
              </a:graphicData>
            </a:graphic>
          </wp:inline>
        </w:drawing>
      </w:r>
    </w:p>
    <w:p w14:paraId="0DD16358" w14:textId="77777777" w:rsidR="0073441F" w:rsidRPr="00F05F81" w:rsidRDefault="0073441F" w:rsidP="0073441F">
      <w:pPr>
        <w:widowControl w:val="0"/>
        <w:jc w:val="center"/>
        <w:rPr>
          <w:b/>
          <w:caps/>
          <w:lang w:eastAsia="zh-CN"/>
        </w:rPr>
      </w:pPr>
    </w:p>
    <w:p w14:paraId="34DCE516" w14:textId="77777777" w:rsidR="0073441F" w:rsidRPr="00F05F81" w:rsidRDefault="0073441F" w:rsidP="0073441F">
      <w:pPr>
        <w:jc w:val="center"/>
        <w:rPr>
          <w:b/>
        </w:rPr>
      </w:pPr>
      <w:bookmarkStart w:id="0" w:name="_Hlk65153518"/>
      <w:r w:rsidRPr="00F05F81">
        <w:rPr>
          <w:b/>
        </w:rPr>
        <w:t>PRIEMONIŲ GERAI LIETUVOS BALTIJOS JŪROS</w:t>
      </w:r>
    </w:p>
    <w:p w14:paraId="194D46B9" w14:textId="77777777" w:rsidR="0073441F" w:rsidRPr="00F05F81" w:rsidRDefault="0073441F" w:rsidP="0073441F">
      <w:pPr>
        <w:widowControl w:val="0"/>
        <w:jc w:val="center"/>
        <w:rPr>
          <w:rFonts w:eastAsia="Calibri"/>
          <w:b/>
          <w:color w:val="000000"/>
          <w:lang w:eastAsia="lt-LT"/>
        </w:rPr>
      </w:pPr>
      <w:r w:rsidRPr="00F05F81">
        <w:rPr>
          <w:b/>
        </w:rPr>
        <w:t>APLINKOS BŪKLEI PASIEKTI ĮGYVENDINIMMAS</w:t>
      </w:r>
    </w:p>
    <w:p w14:paraId="449EF6DB" w14:textId="77777777" w:rsidR="0073441F" w:rsidRPr="00F05F81" w:rsidRDefault="0073441F" w:rsidP="0073441F">
      <w:pPr>
        <w:widowControl w:val="0"/>
        <w:jc w:val="center"/>
        <w:rPr>
          <w:b/>
          <w:bCs/>
        </w:rPr>
      </w:pPr>
      <w:r w:rsidRPr="00F05F81">
        <w:rPr>
          <w:rFonts w:eastAsia="Calibri"/>
          <w:b/>
          <w:color w:val="000000"/>
          <w:lang w:eastAsia="lt-LT"/>
        </w:rPr>
        <w:t>FITOPLANKTONO BIOMASĖS SURINKIMO KURŠIŲ MARIŲ AKVATORIJOJE GALIMYBIŲ STUDIJA, PANAUDOJANT PLAUKIOJANČIAS PRIEMONES IR SURINKTĄ BIOMASĘ ŠALINANT BIOREAKTORIUOSE, PRITAIKANT AGROTECHNOLOGINIAMS POREIKIAMS AR KITOMS PASKIRTIMS</w:t>
      </w:r>
      <w:r w:rsidRPr="00F05F81">
        <w:rPr>
          <w:b/>
          <w:caps/>
          <w:lang w:eastAsia="zh-CN"/>
        </w:rPr>
        <w:t xml:space="preserve"> paslaugų</w:t>
      </w:r>
      <w:bookmarkEnd w:id="0"/>
      <w:r w:rsidRPr="00F05F81">
        <w:rPr>
          <w:b/>
          <w:caps/>
          <w:lang w:eastAsia="zh-CN"/>
        </w:rPr>
        <w:t xml:space="preserve"> </w:t>
      </w:r>
      <w:r w:rsidRPr="00F05F81">
        <w:rPr>
          <w:b/>
          <w:bCs/>
          <w:kern w:val="2"/>
          <w:lang w:eastAsia="zh-CN"/>
        </w:rPr>
        <w:t xml:space="preserve">VIEŠOJO PIRKIMO </w:t>
      </w:r>
      <w:r w:rsidRPr="00F05F81">
        <w:rPr>
          <w:b/>
          <w:bCs/>
        </w:rPr>
        <w:t xml:space="preserve">– PARDAVIMO SUTARTIS NR. </w:t>
      </w:r>
    </w:p>
    <w:p w14:paraId="21710C9F" w14:textId="77777777" w:rsidR="0073441F" w:rsidRPr="00F05F81" w:rsidRDefault="0073441F" w:rsidP="0073441F">
      <w:pPr>
        <w:widowControl w:val="0"/>
        <w:jc w:val="center"/>
        <w:rPr>
          <w:bCs/>
        </w:rPr>
      </w:pPr>
      <w:r w:rsidRPr="00F05F81">
        <w:rPr>
          <w:bCs/>
        </w:rPr>
        <w:t>(2 pirkimo dalis)</w:t>
      </w:r>
    </w:p>
    <w:p w14:paraId="08FDFA2B" w14:textId="77777777" w:rsidR="0073441F" w:rsidRPr="00F05F81" w:rsidRDefault="0073441F" w:rsidP="0073441F">
      <w:pPr>
        <w:widowControl w:val="0"/>
        <w:rPr>
          <w:bCs/>
        </w:rPr>
      </w:pPr>
    </w:p>
    <w:p w14:paraId="12730543" w14:textId="087A1918" w:rsidR="0073441F" w:rsidRPr="00F05F81" w:rsidRDefault="0073441F" w:rsidP="0073441F">
      <w:pPr>
        <w:jc w:val="center"/>
      </w:pPr>
      <w:r w:rsidRPr="00F05F81">
        <w:t>202</w:t>
      </w:r>
      <w:r w:rsidR="00AD6896">
        <w:t>1</w:t>
      </w:r>
      <w:r w:rsidRPr="00F05F81">
        <w:t xml:space="preserve">   m. </w:t>
      </w:r>
      <w:r w:rsidR="00AD6896">
        <w:t>kovo</w:t>
      </w:r>
      <w:r w:rsidRPr="00F05F81">
        <w:t xml:space="preserve">     d.</w:t>
      </w:r>
    </w:p>
    <w:p w14:paraId="619D934F" w14:textId="77777777" w:rsidR="0073441F" w:rsidRPr="00F05F81" w:rsidRDefault="0073441F" w:rsidP="0073441F">
      <w:pPr>
        <w:jc w:val="center"/>
      </w:pPr>
      <w:r w:rsidRPr="00F05F81">
        <w:t>Vilnius</w:t>
      </w:r>
    </w:p>
    <w:p w14:paraId="752931D6" w14:textId="77777777" w:rsidR="0073441F" w:rsidRPr="00F05F81" w:rsidRDefault="0073441F" w:rsidP="0073441F"/>
    <w:p w14:paraId="4869CD69" w14:textId="77777777" w:rsidR="0073441F" w:rsidRPr="001229C1" w:rsidRDefault="0073441F" w:rsidP="0073441F">
      <w:pPr>
        <w:suppressAutoHyphens w:val="0"/>
        <w:rPr>
          <w:rFonts w:eastAsia="Calibri"/>
          <w:shd w:val="clear" w:color="auto" w:fill="FFFFFF"/>
        </w:rPr>
      </w:pPr>
    </w:p>
    <w:p w14:paraId="1DFA19ED" w14:textId="6C9CD496" w:rsidR="0073441F" w:rsidRPr="00F05F81" w:rsidRDefault="0073441F" w:rsidP="0073441F">
      <w:pPr>
        <w:suppressAutoHyphens w:val="0"/>
        <w:spacing w:after="200" w:line="276" w:lineRule="auto"/>
        <w:jc w:val="both"/>
      </w:pPr>
      <w:r w:rsidRPr="00F05F81">
        <w:rPr>
          <w:rFonts w:eastAsia="Calibri"/>
          <w:shd w:val="clear" w:color="auto" w:fill="FFFFFF"/>
        </w:rPr>
        <w:t xml:space="preserve">         Pirkimas vykdomas įgyvendinant projektą </w:t>
      </w:r>
      <w:r w:rsidRPr="00F05F81">
        <w:rPr>
          <w:shd w:val="clear" w:color="auto" w:fill="FFFFFF"/>
        </w:rPr>
        <w:t>„</w:t>
      </w:r>
      <w:r w:rsidRPr="00F05F81">
        <w:t>Priemonių programos atnaujinimas ir priemonių gerai Lietuvos Baltijos jūros aplinkos būklei pasiekti įgyvendinimas</w:t>
      </w:r>
      <w:r w:rsidRPr="00F05F81">
        <w:rPr>
          <w:shd w:val="clear" w:color="auto" w:fill="FFFFFF"/>
        </w:rPr>
        <w:t xml:space="preserve">“ </w:t>
      </w:r>
      <w:r w:rsidR="00AE20E1" w:rsidRPr="00F9525D">
        <w:rPr>
          <w:shd w:val="clear" w:color="auto" w:fill="FFFFFF"/>
        </w:rPr>
        <w:t>Nr. 80JB-KV-18-1-04476-PR001</w:t>
      </w:r>
      <w:r w:rsidR="00AE20E1" w:rsidRPr="00F05F81">
        <w:rPr>
          <w:shd w:val="clear" w:color="auto" w:fill="FFFFFF"/>
        </w:rPr>
        <w:t xml:space="preserve"> </w:t>
      </w:r>
      <w:r w:rsidRPr="00F05F81">
        <w:rPr>
          <w:shd w:val="clear" w:color="auto" w:fill="FFFFFF"/>
        </w:rPr>
        <w:t xml:space="preserve">(toliau – Projektas), kuris finansuojamas </w:t>
      </w:r>
      <w:r w:rsidRPr="00F05F81">
        <w:t>pagal Lietuvos žuvininkystės sektoriaus 2014–2020 metų veiksmų programos šeštojo Sąjungos prioriteto „Integruotos jūrų politikos įgyvendinimo skatinimas“ priemonę „Žinių apie jūros būklę gerinimas“</w:t>
      </w:r>
      <w:r w:rsidRPr="00F05F81">
        <w:rPr>
          <w:shd w:val="clear" w:color="auto" w:fill="FFFFFF"/>
        </w:rPr>
        <w:t xml:space="preserve">. </w:t>
      </w:r>
    </w:p>
    <w:p w14:paraId="1EC15857" w14:textId="19B6296F" w:rsidR="0073441F" w:rsidRPr="00F05F81" w:rsidRDefault="0073441F" w:rsidP="0073441F">
      <w:pPr>
        <w:suppressAutoHyphens w:val="0"/>
        <w:ind w:firstLine="567"/>
        <w:jc w:val="both"/>
        <w:rPr>
          <w:rFonts w:eastAsia="Calibri"/>
          <w:shd w:val="clear" w:color="auto" w:fill="FFFFFF"/>
        </w:rPr>
      </w:pPr>
      <w:r w:rsidRPr="00F05F81">
        <w:rPr>
          <w:shd w:val="clear" w:color="auto" w:fill="FFFFFF"/>
        </w:rPr>
        <w:t xml:space="preserve">Sutartis sudaroma </w:t>
      </w:r>
      <w:r w:rsidRPr="00F05F81">
        <w:rPr>
          <w:rFonts w:eastAsia="Calibri"/>
          <w:shd w:val="clear" w:color="auto" w:fill="FFFFFF"/>
        </w:rPr>
        <w:t xml:space="preserve">vadovaujantis </w:t>
      </w:r>
      <w:r w:rsidRPr="00F05F81">
        <w:rPr>
          <w:rFonts w:eastAsia="Calibri"/>
          <w:color w:val="000000"/>
          <w:lang w:eastAsia="lt-LT"/>
        </w:rPr>
        <w:t>Fitoplanktono biomasės surinkimo Kuršių marių akvatorijoje galimybių studija, panaudojant plaukiojančias priemones ir surinktą biomasę šalinant bioreaktoriuose, pritaikant agrotechnologiniams poreikiams ar kitoms paskirtims</w:t>
      </w:r>
      <w:r w:rsidRPr="00F05F81">
        <w:rPr>
          <w:rFonts w:eastAsia="Calibri"/>
          <w:bCs/>
          <w:iCs/>
          <w:lang w:eastAsia="en-US"/>
        </w:rPr>
        <w:t xml:space="preserve"> paslaugų</w:t>
      </w:r>
      <w:r w:rsidRPr="00F05F81">
        <w:rPr>
          <w:rFonts w:eastAsia="Calibri"/>
          <w:shd w:val="clear" w:color="auto" w:fill="FFFFFF"/>
        </w:rPr>
        <w:t xml:space="preserve"> atviro konkurso būdu CVP IS elektroninėmis priemonėmis pirkimo Nr. </w:t>
      </w:r>
      <w:r w:rsidR="00AD6896">
        <w:rPr>
          <w:rFonts w:eastAsia="Calibri"/>
          <w:shd w:val="clear" w:color="auto" w:fill="FFFFFF"/>
        </w:rPr>
        <w:t xml:space="preserve">470996 </w:t>
      </w:r>
      <w:r w:rsidRPr="00F05F81">
        <w:rPr>
          <w:rFonts w:eastAsia="Calibri"/>
          <w:shd w:val="clear" w:color="auto" w:fill="FFFFFF"/>
        </w:rPr>
        <w:t>rezultatais.</w:t>
      </w:r>
    </w:p>
    <w:p w14:paraId="52FE2420" w14:textId="77777777" w:rsidR="0073441F" w:rsidRPr="00F05F81" w:rsidRDefault="0073441F" w:rsidP="0073441F">
      <w:pPr>
        <w:ind w:firstLine="567"/>
        <w:jc w:val="both"/>
      </w:pPr>
    </w:p>
    <w:p w14:paraId="367CCC62" w14:textId="37C3299E" w:rsidR="0073441F" w:rsidRPr="00F05F81" w:rsidRDefault="00AD6896" w:rsidP="00AD6896">
      <w:pPr>
        <w:ind w:firstLine="567"/>
        <w:jc w:val="both"/>
      </w:pPr>
      <w:r w:rsidRPr="000A74FD">
        <w:t xml:space="preserve">Aplinkos apsaugos agentūra, juridinio asmens kodas 188784898, kurios registruota buveinė A. Juozapavičiaus g. 9, 09311 Vilnius, duomenys apie įstaigą kaupiami ir saugomi Lietuvos Respublikos juridinių asmenų registre, atstovaujama direktoriaus Rimgaudo Špoko, veikiančio pagal Aplinkos apsaugos agentūros nuostatus, patvirtintus Lietuvos Respublikos aplinkos ministro 2004 m. liepos 14 d. įsakymu Nr. D1-385 „Dėl Aplinkos apsaugos agentūros nuostatų patvirtinimo“, (toliau – </w:t>
      </w:r>
      <w:r>
        <w:t>Užsakovas)</w:t>
      </w:r>
      <w:r w:rsidR="0073441F" w:rsidRPr="00F05F81">
        <w:t xml:space="preserve">, </w:t>
      </w:r>
    </w:p>
    <w:p w14:paraId="6CB9A956" w14:textId="77777777" w:rsidR="0073441F" w:rsidRPr="00F05F81" w:rsidRDefault="0073441F" w:rsidP="0073441F">
      <w:pPr>
        <w:jc w:val="both"/>
      </w:pPr>
      <w:r w:rsidRPr="00F05F81">
        <w:t>ir</w:t>
      </w:r>
    </w:p>
    <w:p w14:paraId="028C6E65" w14:textId="5DBD74D2" w:rsidR="00AD6896" w:rsidRPr="005153DD" w:rsidRDefault="00AD6896" w:rsidP="00AD6896">
      <w:pPr>
        <w:jc w:val="both"/>
      </w:pPr>
      <w:r w:rsidRPr="00645FBF">
        <w:rPr>
          <w:lang w:eastAsia="lt-LT"/>
        </w:rPr>
        <w:t xml:space="preserve">Gamtos tyrimų centras, </w:t>
      </w:r>
      <w:bookmarkStart w:id="1" w:name="_Hlk65152448"/>
      <w:r w:rsidRPr="00645FBF">
        <w:t>juridinio asmens kodas 302470603</w:t>
      </w:r>
      <w:bookmarkEnd w:id="1"/>
      <w:r w:rsidRPr="00645FBF">
        <w:t xml:space="preserve">, kurio registruota buveinė yra Akademijos g. 2, LT-08412 Vilnius, </w:t>
      </w:r>
      <w:bookmarkStart w:id="2" w:name="_Hlk65152559"/>
      <w:r w:rsidRPr="00645FBF">
        <w:t>duomenys apie įstaigą kaupiami ir saugomi Lietuvos Respublikos juridinių asmenų registre,</w:t>
      </w:r>
      <w:bookmarkEnd w:id="2"/>
      <w:r w:rsidRPr="00645FBF">
        <w:t xml:space="preserve"> atstovaujamas direktoriaus Sigito Podėno, veikiančio pagal įstaigos įstatus, UAB „Senasis ežerėlis“, juridinio asmens kodas 300662327, kurio registruota buveinė yra J. Galvydžio g. 3, LT-08236</w:t>
      </w:r>
      <w:r w:rsidR="00BF694E" w:rsidRPr="00645FBF">
        <w:t>, duomenys apie įstaigą kaupiami ir saugomi Lietuvos Respublikos juridinių asmenų registre, atstovaujamas Aušrio Balevičiaus</w:t>
      </w:r>
      <w:r w:rsidRPr="00645FBF">
        <w:t>, veikian</w:t>
      </w:r>
      <w:r w:rsidR="00BF694E" w:rsidRPr="00645FBF">
        <w:t>čio</w:t>
      </w:r>
      <w:r w:rsidRPr="00645FBF">
        <w:t xml:space="preserve"> pagal </w:t>
      </w:r>
      <w:r w:rsidR="001229C1" w:rsidRPr="00645FBF">
        <w:t>įmonės įstatus</w:t>
      </w:r>
      <w:r w:rsidRPr="00645FBF">
        <w:rPr>
          <w:color w:val="0070C0"/>
        </w:rPr>
        <w:t>,</w:t>
      </w:r>
      <w:r w:rsidRPr="00645FBF">
        <w:t xml:space="preserve"> veikiantys pagal 2020-</w:t>
      </w:r>
      <w:r w:rsidR="00BF694E" w:rsidRPr="00645FBF">
        <w:t>04</w:t>
      </w:r>
      <w:r w:rsidRPr="00645FBF">
        <w:t>-1</w:t>
      </w:r>
      <w:r w:rsidR="00BF694E" w:rsidRPr="00645FBF">
        <w:t>5</w:t>
      </w:r>
      <w:r w:rsidRPr="00645FBF">
        <w:rPr>
          <w:i/>
        </w:rPr>
        <w:t xml:space="preserve"> </w:t>
      </w:r>
      <w:r w:rsidRPr="00645FBF">
        <w:t>Jungtinės veiklos sutartį Nr. 2020/SUT-1-</w:t>
      </w:r>
      <w:r w:rsidR="00BF694E" w:rsidRPr="00645FBF">
        <w:t>5</w:t>
      </w:r>
      <w:r w:rsidRPr="00645FBF">
        <w:t>, atstovaujami projekto vykdytojo direktoriaus Sigito Podėno, veikiančio 2020-</w:t>
      </w:r>
      <w:r w:rsidR="00BF694E" w:rsidRPr="00645FBF">
        <w:t>04</w:t>
      </w:r>
      <w:r w:rsidRPr="00645FBF">
        <w:t>-1</w:t>
      </w:r>
      <w:r w:rsidR="00BF694E" w:rsidRPr="00645FBF">
        <w:t>5</w:t>
      </w:r>
      <w:r w:rsidRPr="00645FBF">
        <w:rPr>
          <w:i/>
        </w:rPr>
        <w:t xml:space="preserve"> </w:t>
      </w:r>
      <w:r w:rsidRPr="00645FBF">
        <w:t>Jungtinės veiklos sutarties pagrindu</w:t>
      </w:r>
      <w:r w:rsidRPr="00645FBF">
        <w:rPr>
          <w:i/>
        </w:rPr>
        <w:t xml:space="preserve"> </w:t>
      </w:r>
      <w:r w:rsidRPr="00645FBF">
        <w:t>(toliau – Teikėjas),</w:t>
      </w:r>
    </w:p>
    <w:p w14:paraId="4D58620F" w14:textId="77777777" w:rsidR="0073441F" w:rsidRPr="00F05F81" w:rsidRDefault="0073441F" w:rsidP="0073441F">
      <w:pPr>
        <w:jc w:val="both"/>
      </w:pPr>
    </w:p>
    <w:p w14:paraId="52B6C917" w14:textId="77777777" w:rsidR="0073441F" w:rsidRPr="00F05F81" w:rsidRDefault="0073441F" w:rsidP="0073441F">
      <w:pPr>
        <w:ind w:firstLine="567"/>
        <w:jc w:val="both"/>
      </w:pPr>
      <w:r w:rsidRPr="00F05F81">
        <w:t>toliau kartu šioje paslaugų teikimo viešojo pirkimo–pardavimo sutartyje vadinami Šalimis, o kiekvienas atskirai – Šalimi,</w:t>
      </w:r>
    </w:p>
    <w:p w14:paraId="494D69EC" w14:textId="77777777" w:rsidR="0073441F" w:rsidRPr="00F05F81" w:rsidRDefault="0073441F" w:rsidP="0073441F"/>
    <w:p w14:paraId="39E55229" w14:textId="77777777" w:rsidR="0073441F" w:rsidRPr="00F05F81" w:rsidRDefault="0073441F" w:rsidP="0073441F">
      <w:pPr>
        <w:ind w:firstLine="567"/>
      </w:pPr>
      <w:r w:rsidRPr="00F05F81">
        <w:t>sudarė šią paslaugų teikimo viešojo pirkimo–pardavimo sutartį (toliau – Sutartis):</w:t>
      </w:r>
    </w:p>
    <w:p w14:paraId="2D8DB70D" w14:textId="77777777" w:rsidR="0073441F" w:rsidRPr="00F05F81" w:rsidRDefault="0073441F" w:rsidP="0073441F">
      <w:pPr>
        <w:outlineLvl w:val="1"/>
        <w:rPr>
          <w:bCs/>
        </w:rPr>
      </w:pPr>
    </w:p>
    <w:p w14:paraId="30B4447E" w14:textId="77777777" w:rsidR="0073441F" w:rsidRPr="00F05F81" w:rsidRDefault="0073441F" w:rsidP="0073441F">
      <w:pPr>
        <w:ind w:left="928"/>
        <w:jc w:val="center"/>
        <w:outlineLvl w:val="1"/>
        <w:rPr>
          <w:b/>
          <w:bCs/>
        </w:rPr>
      </w:pPr>
      <w:r w:rsidRPr="00F05F81">
        <w:rPr>
          <w:b/>
          <w:bCs/>
        </w:rPr>
        <w:t>1. SUTARTIES DALYKAS</w:t>
      </w:r>
    </w:p>
    <w:p w14:paraId="0EB4564A" w14:textId="77777777" w:rsidR="0073441F" w:rsidRPr="00F05F81" w:rsidRDefault="0073441F" w:rsidP="0073441F">
      <w:pPr>
        <w:tabs>
          <w:tab w:val="left" w:pos="567"/>
          <w:tab w:val="left" w:pos="709"/>
        </w:tabs>
        <w:suppressAutoHyphens w:val="0"/>
        <w:jc w:val="both"/>
        <w:rPr>
          <w:bCs/>
        </w:rPr>
      </w:pPr>
    </w:p>
    <w:p w14:paraId="375F176C" w14:textId="77777777" w:rsidR="0073441F" w:rsidRPr="00F05F81" w:rsidRDefault="0073441F" w:rsidP="0073441F">
      <w:pPr>
        <w:numPr>
          <w:ilvl w:val="1"/>
          <w:numId w:val="1"/>
        </w:numPr>
        <w:tabs>
          <w:tab w:val="left" w:pos="0"/>
          <w:tab w:val="left" w:pos="1134"/>
        </w:tabs>
        <w:suppressAutoHyphens w:val="0"/>
        <w:spacing w:after="160" w:line="256" w:lineRule="auto"/>
        <w:ind w:firstLine="567"/>
        <w:contextualSpacing/>
        <w:jc w:val="both"/>
        <w:rPr>
          <w:rFonts w:eastAsia="Calibri"/>
          <w:lang w:eastAsia="en-US"/>
        </w:rPr>
      </w:pPr>
      <w:r w:rsidRPr="00F05F81">
        <w:rPr>
          <w:shd w:val="clear" w:color="auto" w:fill="FFFFFF"/>
        </w:rPr>
        <w:t xml:space="preserve"> Šia Sutartimi perkamos </w:t>
      </w:r>
      <w:r w:rsidRPr="00F05F81">
        <w:rPr>
          <w:rFonts w:eastAsia="Calibri"/>
          <w:color w:val="000000"/>
          <w:lang w:eastAsia="lt-LT"/>
        </w:rPr>
        <w:t>Fitoplanktono biomasės surinkimo Kuršių marių akvatorijoje galimybių studija, panaudojant plaukiojančias priemones ir surinktą biomasę šalinant bioreaktoriuose, pritaikant agrotechnologiniams poreikiams ar kitoms paskirtims</w:t>
      </w:r>
      <w:r w:rsidRPr="00F05F81">
        <w:rPr>
          <w:rFonts w:eastAsia="Calibri"/>
          <w:bCs/>
          <w:iCs/>
          <w:lang w:eastAsia="en-US"/>
        </w:rPr>
        <w:t xml:space="preserve"> </w:t>
      </w:r>
      <w:r w:rsidRPr="00F05F81">
        <w:rPr>
          <w:shd w:val="clear" w:color="auto" w:fill="FFFFFF"/>
        </w:rPr>
        <w:t>paslaugos (toliau – Paslaugos).</w:t>
      </w:r>
    </w:p>
    <w:p w14:paraId="56124919" w14:textId="77777777" w:rsidR="0073441F" w:rsidRPr="00F05F81" w:rsidRDefault="0073441F" w:rsidP="0073441F">
      <w:pPr>
        <w:tabs>
          <w:tab w:val="left" w:pos="567"/>
          <w:tab w:val="left" w:pos="993"/>
        </w:tabs>
        <w:suppressAutoHyphens w:val="0"/>
        <w:ind w:firstLine="567"/>
        <w:contextualSpacing/>
        <w:jc w:val="both"/>
        <w:rPr>
          <w:rFonts w:eastAsia="Calibri"/>
          <w:lang w:eastAsia="en-US"/>
        </w:rPr>
      </w:pPr>
      <w:r w:rsidRPr="00F05F81">
        <w:t>1.2.</w:t>
      </w:r>
      <w:r w:rsidRPr="00F05F81">
        <w:rPr>
          <w:shd w:val="clear" w:color="auto" w:fill="FFFFFF"/>
        </w:rPr>
        <w:t xml:space="preserve"> Perkamų Paslaugų apimtys, reikalavimai, Paslaugų teikimo terminai nurodyti paslaugų </w:t>
      </w:r>
      <w:r w:rsidRPr="00F05F81">
        <w:rPr>
          <w:i/>
          <w:shd w:val="clear" w:color="auto" w:fill="FFFFFF"/>
        </w:rPr>
        <w:t>Techninėje specifikacijoje</w:t>
      </w:r>
      <w:r w:rsidRPr="00F05F81">
        <w:rPr>
          <w:shd w:val="clear" w:color="auto" w:fill="FFFFFF"/>
        </w:rPr>
        <w:t>, pateiktoje sutarties 1 priede.</w:t>
      </w:r>
    </w:p>
    <w:p w14:paraId="168B2D22" w14:textId="77777777" w:rsidR="0073441F" w:rsidRPr="00F05F81" w:rsidRDefault="0073441F" w:rsidP="0073441F">
      <w:pPr>
        <w:jc w:val="both"/>
      </w:pPr>
    </w:p>
    <w:p w14:paraId="744F3E26" w14:textId="77777777" w:rsidR="0073441F" w:rsidRPr="00F05F81" w:rsidRDefault="0073441F" w:rsidP="0073441F">
      <w:pPr>
        <w:ind w:left="928"/>
        <w:outlineLvl w:val="1"/>
        <w:rPr>
          <w:b/>
          <w:bCs/>
        </w:rPr>
      </w:pPr>
      <w:r w:rsidRPr="00F05F81">
        <w:rPr>
          <w:b/>
          <w:bCs/>
        </w:rPr>
        <w:t>2. SUTARTIES GALIOJIMAS, VYKDYMO PRADŽIA, TRUKMĖ IR TERMINAI</w:t>
      </w:r>
    </w:p>
    <w:p w14:paraId="1F103EFA" w14:textId="77777777" w:rsidR="0073441F" w:rsidRPr="00F05F81" w:rsidRDefault="0073441F" w:rsidP="0073441F">
      <w:pPr>
        <w:outlineLvl w:val="1"/>
        <w:rPr>
          <w:bCs/>
        </w:rPr>
      </w:pPr>
    </w:p>
    <w:p w14:paraId="4D4CCA5F"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 xml:space="preserve">2.1. Sutartis, abiems Šalims ją pasirašius, įsigalioja tik tada, kai bus išpildytos šios sąlygos: </w:t>
      </w:r>
    </w:p>
    <w:p w14:paraId="15FC7847"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2.1.1.  Įsigaliojus atsakingos institucijos galutiniam teigiamam sprendimui dėl Projekto finansavimo  skyrimo.</w:t>
      </w:r>
    </w:p>
    <w:p w14:paraId="119F0680"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 xml:space="preserve">2.1.2. Teikėjui pateikus Užsakovui galiojantį Sutarties įvykdymo užtikrinimą per 10 darbo dienų nuo rašytinio Užsakovo pranešimo apie 2.1.1 papunktyje nurodyto sprendimo įsigaliojimą gavimo dienos ir galioja, kol Sutarties galiojimas pasibaigia </w:t>
      </w:r>
      <w:r w:rsidRPr="00F05F81">
        <w:rPr>
          <w:lang w:eastAsia="zh-CN"/>
        </w:rPr>
        <w:t>(visiškai įvykdomi įsipareigojimai) arba kol Šalys susitaria ją nutraukti, arba nutraukiama įstatymų nustatytais pagrindais ar šioje Sutartyje nustatytais atvejais.</w:t>
      </w:r>
    </w:p>
    <w:p w14:paraId="1CC913A6"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2.1.3. Jeigu 2.1.1 ir 2.1.2 papunkčiuose nurodytos sąlygos nebus išpildytos, ši viešojo pirkimo Sutartis neįsigalios ir viešojo pirkimo laimėtojas dėl to negali turėti jokių pretenzijų.</w:t>
      </w:r>
    </w:p>
    <w:p w14:paraId="69039527"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2.2. Sutarties vykdymo pradžia laikoma Sutarties įsigaliojimo diena.</w:t>
      </w:r>
    </w:p>
    <w:p w14:paraId="497DEECE"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2.3. Teikėjas Paslaugas turi suteikti Techninėje specifikacijoje</w:t>
      </w:r>
      <w:r w:rsidRPr="00F05F81">
        <w:rPr>
          <w:i/>
          <w:shd w:val="clear" w:color="auto" w:fill="FFFFFF"/>
        </w:rPr>
        <w:t xml:space="preserve"> </w:t>
      </w:r>
      <w:r w:rsidRPr="00F05F81">
        <w:rPr>
          <w:shd w:val="clear" w:color="auto" w:fill="FFFFFF"/>
        </w:rPr>
        <w:t>nurodytais terminais ir apimtimis.</w:t>
      </w:r>
    </w:p>
    <w:p w14:paraId="7F3F356A"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2.4. Nutraukus Sutartį ar jai pasibaigus, lieka galioti Sutarties nuostatos, susijusios su atsakomybe (įskaitant atsakomybę dėl padarytos žalos (nuostolių) bei atsiskaitymais tarp Šalių pagal Sutartį, taip pat visos kitos Sutarties nuostatos, kurios, kaip aiškiai nurodyta, išlieka galioti po Sutarties nutraukimo arba turi išlikti galioti, kad būtų visiškai įvykdyta Sutartis.</w:t>
      </w:r>
    </w:p>
    <w:p w14:paraId="36F128E2"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2.5. Sutarties trukmė 20 mėnesių nuo Sutarties įsigaliojimo dienos. Sutartis gali būti pratęsta tomis pačiomis sąlygomis, vieną kartą ne daugiau nei 10 mėn. laikotarpiui. Sutarties trukmė su pratęsimu negali viršyti 30 mėn.</w:t>
      </w:r>
    </w:p>
    <w:p w14:paraId="5CBA25DD" w14:textId="77777777" w:rsidR="0073441F" w:rsidRPr="00F05F81" w:rsidRDefault="0073441F" w:rsidP="0073441F">
      <w:pPr>
        <w:jc w:val="both"/>
        <w:rPr>
          <w:i/>
          <w:iCs/>
        </w:rPr>
      </w:pPr>
    </w:p>
    <w:p w14:paraId="6C4B7F3A" w14:textId="77777777" w:rsidR="0073441F" w:rsidRPr="00F05F81" w:rsidRDefault="0073441F" w:rsidP="0073441F">
      <w:pPr>
        <w:ind w:left="928"/>
        <w:jc w:val="center"/>
        <w:outlineLvl w:val="1"/>
        <w:rPr>
          <w:rFonts w:eastAsia="Calibri"/>
          <w:b/>
          <w:bCs/>
          <w:szCs w:val="22"/>
          <w:lang w:eastAsia="en-US"/>
        </w:rPr>
      </w:pPr>
      <w:r w:rsidRPr="00F05F81">
        <w:rPr>
          <w:rFonts w:eastAsia="Calibri"/>
          <w:b/>
          <w:bCs/>
          <w:szCs w:val="22"/>
          <w:lang w:eastAsia="en-US"/>
        </w:rPr>
        <w:t>3. SUTARTIES KAINA IR MOKĖJIMO SĄLYGOS</w:t>
      </w:r>
    </w:p>
    <w:p w14:paraId="275CBC26" w14:textId="77777777" w:rsidR="0073441F" w:rsidRPr="00F05F81" w:rsidRDefault="0073441F" w:rsidP="0073441F">
      <w:pPr>
        <w:outlineLvl w:val="2"/>
        <w:rPr>
          <w:bCs/>
          <w:caps/>
        </w:rPr>
      </w:pPr>
    </w:p>
    <w:p w14:paraId="2BAABCD2" w14:textId="77777777" w:rsidR="0073441F" w:rsidRPr="00F05F81" w:rsidRDefault="0073441F" w:rsidP="0073441F">
      <w:pPr>
        <w:widowControl w:val="0"/>
        <w:ind w:firstLine="567"/>
        <w:jc w:val="both"/>
        <w:rPr>
          <w:kern w:val="2"/>
          <w:lang w:eastAsia="en-US"/>
        </w:rPr>
      </w:pPr>
      <w:r w:rsidRPr="00F05F81">
        <w:rPr>
          <w:kern w:val="2"/>
        </w:rPr>
        <w:t xml:space="preserve">3.1. Sutarčiai taikoma fiksuotos kainos kainodara. Į Sutarties kainą įskaičiuota Paslaugų kaina, darbuotojų darbo užmokestis, su Paslaugų teikimu susijusios visos išlaidos ir mokesčiai, taip pat pridėtinės vertės mokestis (toliau – PVM). Sutarties kaina apima visas Paslaugas, nurodytas Techninėje specifikacijoje. Teikėjas sudarydamas Sutartį įvertina visas paslaugų apimtis bei priima riziką dėl išlaidų dydžio svyravimo. </w:t>
      </w:r>
    </w:p>
    <w:p w14:paraId="501A94E9" w14:textId="4676D87C" w:rsidR="0073441F" w:rsidRPr="00F05F81" w:rsidRDefault="0073441F" w:rsidP="0073441F">
      <w:pPr>
        <w:widowControl w:val="0"/>
        <w:ind w:firstLine="567"/>
        <w:jc w:val="both"/>
        <w:rPr>
          <w:kern w:val="2"/>
        </w:rPr>
      </w:pPr>
      <w:r w:rsidRPr="00F05F81">
        <w:rPr>
          <w:kern w:val="2"/>
        </w:rPr>
        <w:t xml:space="preserve">3.2. Kiekvienai daliai sudaroma atskira sutartis. </w:t>
      </w:r>
      <w:r w:rsidRPr="00F05F81">
        <w:rPr>
          <w:rFonts w:eastAsia="Calibri"/>
          <w:lang w:eastAsia="en-US"/>
        </w:rPr>
        <w:t>Maksimali Sutarties kaina</w:t>
      </w:r>
      <w:r w:rsidRPr="00F05F81">
        <w:rPr>
          <w:kern w:val="2"/>
        </w:rPr>
        <w:t>:</w:t>
      </w:r>
    </w:p>
    <w:tbl>
      <w:tblPr>
        <w:tblW w:w="5000" w:type="pct"/>
        <w:tblCellSpacing w:w="7" w:type="dxa"/>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3105"/>
        <w:gridCol w:w="6861"/>
      </w:tblGrid>
      <w:tr w:rsidR="0073441F" w:rsidRPr="00F05F81" w14:paraId="246C7011" w14:textId="77777777" w:rsidTr="00624A2A">
        <w:trPr>
          <w:trHeight w:val="1009"/>
          <w:tblCellSpacing w:w="7" w:type="dxa"/>
        </w:trPr>
        <w:tc>
          <w:tcPr>
            <w:tcW w:w="1547"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26CF9992" w14:textId="77777777" w:rsidR="0073441F" w:rsidRPr="00F05F81" w:rsidRDefault="0073441F" w:rsidP="00624A2A">
            <w:pPr>
              <w:rPr>
                <w:b/>
                <w:bCs/>
                <w:lang w:eastAsia="zh-CN"/>
              </w:rPr>
            </w:pPr>
            <w:r w:rsidRPr="00F05F81">
              <w:rPr>
                <w:b/>
                <w:bCs/>
                <w:lang w:eastAsia="zh-CN"/>
              </w:rPr>
              <w:lastRenderedPageBreak/>
              <w:t>Sutarties kaina be PVM</w:t>
            </w:r>
          </w:p>
        </w:tc>
        <w:tc>
          <w:tcPr>
            <w:tcW w:w="34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6C51B1AC" w14:textId="36CE5A7E" w:rsidR="00CD49D6" w:rsidRPr="00CD49D6" w:rsidRDefault="00CD49D6" w:rsidP="00CD49D6">
            <w:pPr>
              <w:jc w:val="center"/>
              <w:rPr>
                <w:iCs/>
                <w:lang w:eastAsia="zh-CN"/>
              </w:rPr>
            </w:pPr>
            <w:r w:rsidRPr="00CD49D6">
              <w:rPr>
                <w:iCs/>
                <w:lang w:eastAsia="zh-CN"/>
              </w:rPr>
              <w:t>237</w:t>
            </w:r>
            <w:r w:rsidR="005B55F2">
              <w:rPr>
                <w:iCs/>
                <w:lang w:eastAsia="zh-CN"/>
              </w:rPr>
              <w:t xml:space="preserve"> </w:t>
            </w:r>
            <w:r w:rsidRPr="00CD49D6">
              <w:rPr>
                <w:iCs/>
                <w:lang w:eastAsia="zh-CN"/>
              </w:rPr>
              <w:t>760,00 Eur</w:t>
            </w:r>
          </w:p>
          <w:p w14:paraId="79073440" w14:textId="42F59158" w:rsidR="0073441F" w:rsidRPr="00CD49D6" w:rsidRDefault="00CD49D6" w:rsidP="00CD49D6">
            <w:pPr>
              <w:jc w:val="center"/>
              <w:rPr>
                <w:iCs/>
                <w:lang w:eastAsia="zh-CN"/>
              </w:rPr>
            </w:pPr>
            <w:r w:rsidRPr="00CD49D6">
              <w:rPr>
                <w:rStyle w:val="towords"/>
                <w:iCs/>
              </w:rPr>
              <w:t>Du šimtai trisdešimt septyni tūkstančiai septyni šimtai šešiasdešimt eurų</w:t>
            </w:r>
          </w:p>
        </w:tc>
      </w:tr>
      <w:tr w:rsidR="0073441F" w:rsidRPr="00F05F81" w14:paraId="03C440B7" w14:textId="77777777" w:rsidTr="00624A2A">
        <w:trPr>
          <w:tblCellSpacing w:w="7" w:type="dxa"/>
        </w:trPr>
        <w:tc>
          <w:tcPr>
            <w:tcW w:w="1547"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6F13F68B" w14:textId="77777777" w:rsidR="0073441F" w:rsidRPr="00F05F81" w:rsidRDefault="0073441F" w:rsidP="00624A2A">
            <w:pPr>
              <w:rPr>
                <w:b/>
                <w:bCs/>
                <w:lang w:eastAsia="zh-CN"/>
              </w:rPr>
            </w:pPr>
            <w:r w:rsidRPr="00F05F81">
              <w:rPr>
                <w:b/>
                <w:bCs/>
                <w:lang w:eastAsia="zh-CN"/>
              </w:rPr>
              <w:t xml:space="preserve">PVM </w:t>
            </w:r>
          </w:p>
        </w:tc>
        <w:tc>
          <w:tcPr>
            <w:tcW w:w="34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065209FD" w14:textId="12E17FAD" w:rsidR="00EA1BA5" w:rsidRPr="001229C1" w:rsidRDefault="00EA1BA5" w:rsidP="00CD49D6">
            <w:pPr>
              <w:jc w:val="center"/>
              <w:rPr>
                <w:iCs/>
                <w:color w:val="000000"/>
                <w:lang w:eastAsia="zh-CN"/>
              </w:rPr>
            </w:pPr>
            <w:r w:rsidRPr="00CD49D6">
              <w:rPr>
                <w:iCs/>
                <w:color w:val="000000"/>
                <w:lang w:eastAsia="zh-CN"/>
              </w:rPr>
              <w:t>21 %</w:t>
            </w:r>
          </w:p>
          <w:p w14:paraId="268D4542" w14:textId="0DB368F6" w:rsidR="00EA1BA5" w:rsidRPr="00CD49D6" w:rsidRDefault="00EA1BA5" w:rsidP="00CD49D6">
            <w:pPr>
              <w:jc w:val="center"/>
              <w:rPr>
                <w:iCs/>
                <w:color w:val="000000"/>
                <w:lang w:eastAsia="zh-CN"/>
              </w:rPr>
            </w:pPr>
            <w:r w:rsidRPr="00CD49D6">
              <w:rPr>
                <w:iCs/>
                <w:color w:val="000000"/>
                <w:lang w:eastAsia="zh-CN"/>
              </w:rPr>
              <w:t>49</w:t>
            </w:r>
            <w:r w:rsidR="005B55F2">
              <w:rPr>
                <w:iCs/>
                <w:color w:val="000000"/>
                <w:lang w:eastAsia="zh-CN"/>
              </w:rPr>
              <w:t xml:space="preserve"> </w:t>
            </w:r>
            <w:r w:rsidRPr="00CD49D6">
              <w:rPr>
                <w:iCs/>
                <w:color w:val="000000"/>
                <w:lang w:eastAsia="zh-CN"/>
              </w:rPr>
              <w:t>929,60</w:t>
            </w:r>
            <w:r w:rsidR="00CD49D6" w:rsidRPr="00CD49D6">
              <w:rPr>
                <w:iCs/>
                <w:color w:val="000000"/>
                <w:lang w:eastAsia="zh-CN"/>
              </w:rPr>
              <w:t xml:space="preserve"> Eur</w:t>
            </w:r>
          </w:p>
          <w:p w14:paraId="76511015" w14:textId="64959BEC" w:rsidR="0073441F" w:rsidRPr="00CD49D6" w:rsidRDefault="00EA1BA5" w:rsidP="00CD49D6">
            <w:pPr>
              <w:jc w:val="center"/>
              <w:rPr>
                <w:iCs/>
                <w:color w:val="000000"/>
                <w:lang w:eastAsia="zh-CN"/>
              </w:rPr>
            </w:pPr>
            <w:r w:rsidRPr="00CD49D6">
              <w:rPr>
                <w:rStyle w:val="towords"/>
                <w:iCs/>
              </w:rPr>
              <w:t>Keturiasdešimt devyni tūkstančiai devyni šimtai dvidešimt devyni eurai, 60 ct</w:t>
            </w:r>
          </w:p>
          <w:p w14:paraId="1EE2F456" w14:textId="77777777" w:rsidR="0073441F" w:rsidRPr="00CD49D6" w:rsidRDefault="0073441F" w:rsidP="00CD49D6">
            <w:pPr>
              <w:jc w:val="center"/>
              <w:rPr>
                <w:iCs/>
                <w:lang w:eastAsia="zh-CN"/>
              </w:rPr>
            </w:pPr>
          </w:p>
        </w:tc>
      </w:tr>
      <w:tr w:rsidR="0073441F" w:rsidRPr="00F05F81" w14:paraId="11C65093" w14:textId="77777777" w:rsidTr="00624A2A">
        <w:trPr>
          <w:tblCellSpacing w:w="7" w:type="dxa"/>
        </w:trPr>
        <w:tc>
          <w:tcPr>
            <w:tcW w:w="1547"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hideMark/>
          </w:tcPr>
          <w:p w14:paraId="1AF36C2C" w14:textId="77777777" w:rsidR="0073441F" w:rsidRPr="00F05F81" w:rsidRDefault="0073441F" w:rsidP="00624A2A">
            <w:pPr>
              <w:rPr>
                <w:b/>
                <w:bCs/>
                <w:lang w:eastAsia="zh-CN"/>
              </w:rPr>
            </w:pPr>
            <w:r w:rsidRPr="00F05F81">
              <w:rPr>
                <w:b/>
                <w:bCs/>
                <w:lang w:eastAsia="zh-CN"/>
              </w:rPr>
              <w:t xml:space="preserve">Bendra Sutarties kaina </w:t>
            </w:r>
          </w:p>
          <w:p w14:paraId="07899699" w14:textId="77777777" w:rsidR="0073441F" w:rsidRPr="00F05F81" w:rsidRDefault="0073441F" w:rsidP="00624A2A">
            <w:pPr>
              <w:rPr>
                <w:b/>
                <w:bCs/>
                <w:lang w:eastAsia="zh-CN"/>
              </w:rPr>
            </w:pPr>
            <w:r w:rsidRPr="00F05F81">
              <w:rPr>
                <w:b/>
                <w:bCs/>
                <w:lang w:eastAsia="zh-CN"/>
              </w:rPr>
              <w:t>(Sutarties kaina su PVM)</w:t>
            </w:r>
          </w:p>
        </w:tc>
        <w:tc>
          <w:tcPr>
            <w:tcW w:w="3432" w:type="pct"/>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vAlign w:val="center"/>
          </w:tcPr>
          <w:p w14:paraId="1C471E34" w14:textId="30A4E010" w:rsidR="00EA1BA5" w:rsidRPr="00CD49D6" w:rsidRDefault="00EA1BA5" w:rsidP="00CD49D6">
            <w:pPr>
              <w:jc w:val="center"/>
              <w:rPr>
                <w:iCs/>
                <w:lang w:eastAsia="zh-CN"/>
              </w:rPr>
            </w:pPr>
            <w:r w:rsidRPr="00CD49D6">
              <w:rPr>
                <w:iCs/>
                <w:lang w:eastAsia="zh-CN"/>
              </w:rPr>
              <w:t>287</w:t>
            </w:r>
            <w:r w:rsidR="005B55F2">
              <w:rPr>
                <w:iCs/>
                <w:lang w:eastAsia="zh-CN"/>
              </w:rPr>
              <w:t xml:space="preserve"> </w:t>
            </w:r>
            <w:r w:rsidRPr="00CD49D6">
              <w:rPr>
                <w:iCs/>
                <w:lang w:eastAsia="zh-CN"/>
              </w:rPr>
              <w:t>689,6</w:t>
            </w:r>
            <w:r w:rsidR="005B55F2">
              <w:rPr>
                <w:iCs/>
                <w:lang w:eastAsia="zh-CN"/>
              </w:rPr>
              <w:t>0</w:t>
            </w:r>
            <w:r w:rsidRPr="00CD49D6">
              <w:rPr>
                <w:iCs/>
                <w:lang w:eastAsia="zh-CN"/>
              </w:rPr>
              <w:t xml:space="preserve"> Eur</w:t>
            </w:r>
          </w:p>
          <w:p w14:paraId="362A59DD" w14:textId="49480114" w:rsidR="0073441F" w:rsidRPr="00CD49D6" w:rsidRDefault="00EA1BA5" w:rsidP="00CD49D6">
            <w:pPr>
              <w:jc w:val="center"/>
              <w:rPr>
                <w:iCs/>
                <w:lang w:eastAsia="zh-CN"/>
              </w:rPr>
            </w:pPr>
            <w:r w:rsidRPr="00CD49D6">
              <w:rPr>
                <w:rStyle w:val="towords"/>
                <w:iCs/>
              </w:rPr>
              <w:t>Du šimtai aštuoniasdešimt septyni tūkstančiai šeši šimtai aštuoniasdešimt devyni eurai, 6</w:t>
            </w:r>
            <w:r w:rsidR="009B5EA5">
              <w:rPr>
                <w:rStyle w:val="towords"/>
                <w:iCs/>
              </w:rPr>
              <w:t>0</w:t>
            </w:r>
            <w:r w:rsidRPr="00CD49D6">
              <w:rPr>
                <w:rStyle w:val="towords"/>
                <w:iCs/>
              </w:rPr>
              <w:t xml:space="preserve"> ct</w:t>
            </w:r>
          </w:p>
        </w:tc>
      </w:tr>
    </w:tbl>
    <w:p w14:paraId="000DD05A" w14:textId="77777777" w:rsidR="0073441F" w:rsidRPr="00F05F81" w:rsidRDefault="0073441F" w:rsidP="0073441F">
      <w:pPr>
        <w:widowControl w:val="0"/>
        <w:jc w:val="both"/>
        <w:rPr>
          <w:kern w:val="2"/>
        </w:rPr>
      </w:pPr>
    </w:p>
    <w:p w14:paraId="2CFEC1F9" w14:textId="77777777" w:rsidR="0073441F" w:rsidRPr="00F05F81" w:rsidRDefault="0073441F" w:rsidP="0073441F">
      <w:pPr>
        <w:widowControl w:val="0"/>
        <w:ind w:firstLine="567"/>
        <w:jc w:val="both"/>
        <w:rPr>
          <w:kern w:val="2"/>
        </w:rPr>
      </w:pPr>
      <w:r w:rsidRPr="00F05F81">
        <w:rPr>
          <w:kern w:val="2"/>
        </w:rPr>
        <w:t>3.2.1. Už Sutartyje numatytas Paslaugas mokama etapais: avansinis, 2 (du) tarpiniai mokėjimai ir galutinis mokėjimas:</w:t>
      </w:r>
    </w:p>
    <w:p w14:paraId="4464268E" w14:textId="77777777" w:rsidR="0073441F" w:rsidRPr="00F05F81" w:rsidRDefault="0073441F" w:rsidP="0073441F">
      <w:pPr>
        <w:widowControl w:val="0"/>
        <w:ind w:firstLine="567"/>
        <w:jc w:val="both"/>
        <w:rPr>
          <w:kern w:val="2"/>
        </w:rPr>
      </w:pPr>
      <w:r w:rsidRPr="00F05F81">
        <w:rPr>
          <w:kern w:val="2"/>
        </w:rPr>
        <w:t>3.2.1.1. Sutarties kainos avansinis mokėjimas – 20 procentų Sutarties kainos, atliekamas Užsakovui priėmus Teikėjo pateiktą įvadinę ataskaitą pagal paslaugų perdavimo-priėmimo aktą ir vadovaujantis 3.5 papunkčio mokėjimo tvarka;</w:t>
      </w:r>
    </w:p>
    <w:p w14:paraId="5127E66F" w14:textId="77777777" w:rsidR="0073441F" w:rsidRPr="00F05F81" w:rsidRDefault="0073441F" w:rsidP="0073441F">
      <w:pPr>
        <w:widowControl w:val="0"/>
        <w:ind w:firstLine="567"/>
        <w:jc w:val="both"/>
        <w:rPr>
          <w:kern w:val="2"/>
        </w:rPr>
      </w:pPr>
      <w:r w:rsidRPr="00F05F81">
        <w:rPr>
          <w:kern w:val="2"/>
        </w:rPr>
        <w:t>3.2.1.2. Sutarties kainos 1 tarpinis mokėjimas – 30 procentų Sutarties kainos, atliekamas Užsakovui priėmus Teikėjo pateiktą pirmąją tarpinę ataskaitą pagal paslaugų perdavimo-priėmimo aktą ir vadovaujantis 3.5 papunkčio mokėjimo tvarka;</w:t>
      </w:r>
    </w:p>
    <w:p w14:paraId="02C009CB" w14:textId="77777777" w:rsidR="0073441F" w:rsidRPr="00F05F81" w:rsidRDefault="0073441F" w:rsidP="0073441F">
      <w:pPr>
        <w:widowControl w:val="0"/>
        <w:ind w:firstLine="567"/>
        <w:jc w:val="both"/>
        <w:rPr>
          <w:kern w:val="2"/>
        </w:rPr>
      </w:pPr>
      <w:r w:rsidRPr="00F05F81">
        <w:rPr>
          <w:kern w:val="2"/>
        </w:rPr>
        <w:t>3.2.1.3. Sutarties kainos 2 tarpinis mokėjimas – 20 procentų Sutarties kainos, atliekamas Užsakovui priėmus Teikėjo pateiktą antrąją tarpinę ataskaitą pagal paslaugų perdavimo-priėmimo aktą ir vadovaujantis 3.5 papunkčio mokėjimo tvarka;</w:t>
      </w:r>
    </w:p>
    <w:p w14:paraId="1C445F94" w14:textId="77777777" w:rsidR="0073441F" w:rsidRPr="00F05F81" w:rsidRDefault="0073441F" w:rsidP="0073441F">
      <w:pPr>
        <w:widowControl w:val="0"/>
        <w:ind w:firstLine="567"/>
        <w:jc w:val="both"/>
        <w:rPr>
          <w:kern w:val="2"/>
        </w:rPr>
      </w:pPr>
      <w:r w:rsidRPr="00F05F81">
        <w:rPr>
          <w:kern w:val="2"/>
        </w:rPr>
        <w:t>3.2.1.4. Sutarties kainos galutinis mokėjimas – 30 procentų Sutarties kainos, Teikėjui pateikus galutinę ataskaitą ir Užsakovui priėmus nurodytą ataskaitą pagal paslaugų perdavimo-priėmimo aktą ir vadovaujantis 3.5 papunkčio mokėjimo tvarka.</w:t>
      </w:r>
    </w:p>
    <w:p w14:paraId="06137867" w14:textId="77777777" w:rsidR="0073441F" w:rsidRPr="00F05F81" w:rsidRDefault="0073441F" w:rsidP="0073441F">
      <w:pPr>
        <w:widowControl w:val="0"/>
        <w:ind w:firstLine="567"/>
        <w:jc w:val="both"/>
        <w:rPr>
          <w:kern w:val="2"/>
        </w:rPr>
      </w:pPr>
      <w:r w:rsidRPr="00F05F81">
        <w:rPr>
          <w:kern w:val="2"/>
        </w:rPr>
        <w:t xml:space="preserve">3.3. Jei 3.2 papunktyje nurodyta Sutarties suma skaičiais neatitinka sumos žodžiais, teisinga laikoma suma žodžiais. </w:t>
      </w:r>
    </w:p>
    <w:p w14:paraId="33FEC469" w14:textId="77777777" w:rsidR="0073441F" w:rsidRPr="00F05F81" w:rsidRDefault="0073441F" w:rsidP="0073441F">
      <w:pPr>
        <w:widowControl w:val="0"/>
        <w:ind w:firstLine="567"/>
        <w:jc w:val="both"/>
        <w:rPr>
          <w:kern w:val="2"/>
        </w:rPr>
      </w:pPr>
      <w:r w:rsidRPr="00F05F81">
        <w:rPr>
          <w:kern w:val="2"/>
        </w:rPr>
        <w:t>3.4. Šios Sutarties 3.2 papunktyje nurodyta bendra Sutarties kaina yra vienintelis Užsakovo mokėtinas maksimalus atlyginimas Teikėjui pagal Sutartį.</w:t>
      </w:r>
    </w:p>
    <w:p w14:paraId="4FC1C470" w14:textId="77777777" w:rsidR="0073441F" w:rsidRPr="00F05F81" w:rsidRDefault="0073441F" w:rsidP="0073441F">
      <w:pPr>
        <w:ind w:firstLine="567"/>
      </w:pPr>
      <w:r w:rsidRPr="00F05F81">
        <w:rPr>
          <w:kern w:val="2"/>
        </w:rPr>
        <w:t>3.5. Mokėjimo tvarka:</w:t>
      </w:r>
    </w:p>
    <w:p w14:paraId="5799E3CA"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3.5.1. Teikėjas, suteikęs Techninėje specifikacijoje nurodytas Paslaugas ar jų dalį, pateikia Užsakovui pasirašytą (-us) paslaugų perdavimo–priėmimo aktą (-us) už Techninės specifikacijos 3.2.1 papunktyje įvykdytas Paslaugas; pasirašytą (-us) paslaugų perdavimo–priėmimo aktą (-us) už Techninės specifikacijos 3.3.8.1 papunktyje įvykdytas Paslaugas; pasirašytą (-us) paslaugų perdavimo–priėmimo aktą (-us) už Techninės specifikacijos 3.3.8.3 papunktyje įvykdytas Paslaugas; pasirašytą (-us) paslaugų perdavimo–priėmimo aktą (-us) už Techninės specifikacijos 3.4.1 papunktyje įvykdytas Paslaugas;</w:t>
      </w:r>
    </w:p>
    <w:p w14:paraId="45C493D3" w14:textId="77777777" w:rsidR="0073441F" w:rsidRPr="00F05F81" w:rsidRDefault="0073441F" w:rsidP="0073441F">
      <w:pPr>
        <w:tabs>
          <w:tab w:val="left" w:pos="1418"/>
        </w:tabs>
        <w:ind w:firstLine="567"/>
        <w:jc w:val="both"/>
      </w:pPr>
      <w:r w:rsidRPr="00F05F81">
        <w:rPr>
          <w:shd w:val="clear" w:color="auto" w:fill="FFFFFF"/>
        </w:rPr>
        <w:t xml:space="preserve">3.5.2. Užsakovas </w:t>
      </w:r>
      <w:r w:rsidRPr="00F05F81">
        <w:t xml:space="preserve">per 15 (penkiolika) darbo dienų pasirašo </w:t>
      </w:r>
      <w:r w:rsidRPr="00F05F81">
        <w:rPr>
          <w:iCs/>
          <w:shd w:val="clear" w:color="auto" w:fill="FFFFFF"/>
        </w:rPr>
        <w:t xml:space="preserve">paslaugų </w:t>
      </w:r>
      <w:r w:rsidRPr="00F05F81">
        <w:t>perdavimo – priėmimo aktą (-us) arba motyvuotai atsisako jį (juos) pasirašyti. Tuo atveju, jeigu Užsakovas atsisako pasirašyti paslaugų perdavimo–priėmimo aktą (-us), Užsakovas parengia raštą Teikėjui, nurodydamas konkrečius Paslaugų trūkumus ir priežastis dėl ko atsisakoma pasirašyti perdavimo –priėmimo aktą (-us) ir nustatydamas terminus jų ištaisymui. Parengtą raštą kartu su pridėtais paslaugų perdavimo-priėmimo akto (-ų) egzemplioriais Užsakovas grąžina Teikėjui. Tuo atveju, jeigu Teikėjas neištaiso Paslaugų trūkumų, Užsakovas turi teisę teikti siūlymą dėl Sutarties nutraukimo Sutarties 9.6 papunktyje nurodyta tvarka;</w:t>
      </w:r>
    </w:p>
    <w:p w14:paraId="2167DE85" w14:textId="77777777" w:rsidR="0073441F" w:rsidRPr="00F05F81" w:rsidRDefault="0073441F" w:rsidP="0073441F">
      <w:pPr>
        <w:tabs>
          <w:tab w:val="left" w:pos="1418"/>
        </w:tabs>
        <w:ind w:firstLine="567"/>
        <w:jc w:val="both"/>
        <w:rPr>
          <w:shd w:val="clear" w:color="auto" w:fill="FFFFFF"/>
        </w:rPr>
      </w:pPr>
      <w:r w:rsidRPr="00F05F81">
        <w:lastRenderedPageBreak/>
        <w:t>3.5.3. Tuo atveju, jeigu Sutartis yra nutraukiama Sutarties 9.6 papunktyje nurodyta tvarka, tačiau Užsakovas priima dalį tinkamai perduotų Paslaugų, Užsakovas gali atsiskaityti Teikėjui už faktiškai perduotas tinkamas ir kokybiškas Paslaugas;</w:t>
      </w:r>
    </w:p>
    <w:p w14:paraId="28D05821"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3.5.4. Abiems Šalims pasirašius paslaugų perdavimo-priėmimo aktą (-us), Teikėjas per 7 (septynias) kalendorines dienas Užsakovui pateikia sąskaitą (-as) faktūrą (-as) už perduotas</w:t>
      </w:r>
      <w:r w:rsidRPr="00F05F81">
        <w:t xml:space="preserve"> Paslaugas ar jų dalį</w:t>
      </w:r>
      <w:r w:rsidRPr="00F05F81">
        <w:rPr>
          <w:shd w:val="clear" w:color="auto" w:fill="FFFFFF"/>
        </w:rPr>
        <w:t>;</w:t>
      </w:r>
    </w:p>
    <w:p w14:paraId="5BD1AC39" w14:textId="77777777" w:rsidR="0073441F" w:rsidRPr="00F05F81" w:rsidRDefault="0073441F" w:rsidP="00734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F05F81">
        <w:t xml:space="preserve">3.5.5. Užsakovas </w:t>
      </w:r>
      <w:r w:rsidRPr="00F05F81">
        <w:rPr>
          <w:shd w:val="clear" w:color="auto" w:fill="FFFFFF"/>
        </w:rPr>
        <w:t>per 30 (trisdešimt) kalendorinių dienų nuo PVM sąskaitos (-ų) faktūros (-ų) gavimo dienos</w:t>
      </w:r>
      <w:r w:rsidRPr="00F05F81">
        <w:t xml:space="preserve"> už Paslaugas Teikėjui atsiskaito mokėjimo pavedimu į Teikėjo </w:t>
      </w:r>
      <w:r w:rsidRPr="00F05F81">
        <w:rPr>
          <w:shd w:val="clear" w:color="auto" w:fill="FFFFFF"/>
        </w:rPr>
        <w:t xml:space="preserve">sąskaitoje faktūroje </w:t>
      </w:r>
      <w:r w:rsidRPr="00F05F81">
        <w:t xml:space="preserve">nurodytą banko sąskaitą, Apmokėjimas laikomas įvykdytu, kai </w:t>
      </w:r>
      <w:r w:rsidRPr="00F05F81">
        <w:rPr>
          <w:shd w:val="clear" w:color="auto" w:fill="FFFFFF"/>
        </w:rPr>
        <w:t>lėšos nurašomos nuo Užsakovo sąskaitos</w:t>
      </w:r>
      <w:r w:rsidRPr="00F05F81">
        <w:t>.</w:t>
      </w:r>
    </w:p>
    <w:p w14:paraId="15C8F66E" w14:textId="77777777" w:rsidR="0073441F" w:rsidRPr="00F05F81" w:rsidRDefault="0073441F" w:rsidP="0073441F">
      <w:pPr>
        <w:widowControl w:val="0"/>
        <w:ind w:firstLine="567"/>
        <w:jc w:val="both"/>
        <w:rPr>
          <w:kern w:val="2"/>
        </w:rPr>
      </w:pPr>
      <w:r w:rsidRPr="00F05F81">
        <w:rPr>
          <w:kern w:val="2"/>
        </w:rPr>
        <w:t>3.5.6. Vykdant Sutartį, PVM sąskaitos faktūros, sąskaitos faktūros, avansinės sąskaitos teikiamos naudojantis informacinės sistemos „E. sąskaita“ priemonėmis;</w:t>
      </w:r>
    </w:p>
    <w:p w14:paraId="59A286C4" w14:textId="77777777" w:rsidR="0073441F" w:rsidRPr="00F05F81" w:rsidRDefault="0073441F" w:rsidP="00734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F05F81">
        <w:t xml:space="preserve">3.6. Užsakovas už </w:t>
      </w:r>
      <w:r w:rsidRPr="00F05F81">
        <w:rPr>
          <w:kern w:val="2"/>
        </w:rPr>
        <w:t>Paslaugas</w:t>
      </w:r>
      <w:r w:rsidRPr="00F05F81">
        <w:t xml:space="preserve"> Teikėjui atsiskaito mokėjimo pavedimu į Teikėjo </w:t>
      </w:r>
      <w:r w:rsidRPr="00F05F81">
        <w:rPr>
          <w:shd w:val="clear" w:color="auto" w:fill="FFFFFF"/>
        </w:rPr>
        <w:t xml:space="preserve">sąskaitoje faktūroje </w:t>
      </w:r>
      <w:r w:rsidRPr="00F05F81">
        <w:t>nurodytą banko sąskaitą:</w:t>
      </w:r>
    </w:p>
    <w:p w14:paraId="4B18FEDE" w14:textId="0C3A6B14" w:rsidR="0073441F" w:rsidRPr="00645FBF" w:rsidRDefault="0073441F" w:rsidP="0073441F">
      <w:pPr>
        <w:tabs>
          <w:tab w:val="left" w:pos="1418"/>
        </w:tabs>
        <w:ind w:firstLine="567"/>
        <w:jc w:val="both"/>
        <w:rPr>
          <w:i/>
          <w:shd w:val="clear" w:color="auto" w:fill="FFFFFF"/>
          <w:lang w:eastAsia="zh-CN"/>
        </w:rPr>
      </w:pPr>
      <w:r w:rsidRPr="00645FBF">
        <w:rPr>
          <w:shd w:val="clear" w:color="auto" w:fill="FFFFFF"/>
          <w:lang w:eastAsia="zh-CN"/>
        </w:rPr>
        <w:t xml:space="preserve">Sąskaitos Nr. </w:t>
      </w:r>
      <w:r w:rsidR="00643E19" w:rsidRPr="00645FBF">
        <w:rPr>
          <w:shd w:val="clear" w:color="auto" w:fill="FFFFFF"/>
        </w:rPr>
        <w:t>LT187300010120521262</w:t>
      </w:r>
    </w:p>
    <w:p w14:paraId="58B583E1" w14:textId="77777777" w:rsidR="0078177F" w:rsidRPr="00645FBF" w:rsidRDefault="0073441F" w:rsidP="0078177F">
      <w:pPr>
        <w:ind w:firstLine="567"/>
        <w:jc w:val="both"/>
        <w:rPr>
          <w:shd w:val="clear" w:color="auto" w:fill="FFFFFF"/>
          <w:lang w:val="en-US"/>
        </w:rPr>
      </w:pPr>
      <w:r w:rsidRPr="00645FBF">
        <w:rPr>
          <w:shd w:val="clear" w:color="auto" w:fill="FFFFFF"/>
          <w:lang w:eastAsia="zh-CN"/>
        </w:rPr>
        <w:t xml:space="preserve">Bankas </w:t>
      </w:r>
      <w:r w:rsidR="0078177F" w:rsidRPr="00645FBF">
        <w:rPr>
          <w:shd w:val="clear" w:color="auto" w:fill="FFFFFF"/>
          <w:lang w:val="en-US"/>
        </w:rPr>
        <w:t>AB bankas Swedbank</w:t>
      </w:r>
    </w:p>
    <w:p w14:paraId="42A19CBE" w14:textId="1BCA4DAA" w:rsidR="0073441F" w:rsidRPr="00645FBF" w:rsidRDefault="0073441F" w:rsidP="0073441F">
      <w:pPr>
        <w:tabs>
          <w:tab w:val="left" w:pos="1418"/>
        </w:tabs>
        <w:ind w:firstLine="567"/>
        <w:jc w:val="both"/>
        <w:rPr>
          <w:i/>
          <w:shd w:val="clear" w:color="auto" w:fill="FFFFFF"/>
          <w:lang w:eastAsia="zh-CN"/>
        </w:rPr>
      </w:pPr>
      <w:r w:rsidRPr="00645FBF">
        <w:rPr>
          <w:shd w:val="clear" w:color="auto" w:fill="FFFFFF"/>
          <w:lang w:eastAsia="zh-CN"/>
        </w:rPr>
        <w:t>Kodas</w:t>
      </w:r>
      <w:r w:rsidR="0078177F" w:rsidRPr="00645FBF">
        <w:rPr>
          <w:shd w:val="clear" w:color="auto" w:fill="FFFFFF"/>
          <w:lang w:val="en-US"/>
        </w:rPr>
        <w:t xml:space="preserve"> 73000</w:t>
      </w:r>
    </w:p>
    <w:p w14:paraId="4D06F74B" w14:textId="77777777" w:rsidR="0073441F" w:rsidRPr="00F05F81" w:rsidRDefault="0073441F" w:rsidP="0073441F">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645FBF">
        <w:rPr>
          <w:color w:val="000000"/>
          <w:shd w:val="clear" w:color="auto" w:fill="FFFFFF"/>
        </w:rPr>
        <w:t>3.7. Sutartyje</w:t>
      </w:r>
      <w:r w:rsidRPr="00F05F81">
        <w:rPr>
          <w:color w:val="000000"/>
          <w:shd w:val="clear" w:color="auto" w:fill="FFFFFF"/>
        </w:rPr>
        <w:t xml:space="preserve"> numatyta </w:t>
      </w:r>
      <w:r w:rsidRPr="00F05F81">
        <w:t>Paslaugų kaina per visą šios Sutarties galiojimo laiką negali būti keičiama.</w:t>
      </w:r>
    </w:p>
    <w:p w14:paraId="1F49E305" w14:textId="77777777" w:rsidR="0073441F" w:rsidRPr="00F05F81" w:rsidRDefault="0073441F" w:rsidP="0073441F">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F05F81">
        <w:t xml:space="preserve">3.8. Jei Sutarties vykdymo metu teisės aktais pakeičiamas taikomas PVM tarifas, Sutarties kaina perskaičiuojama tokiu pat santykiu, kokiu pasikeičia PVM. Pasikeitus kitiems mokesčiams, šios Sutarties Paslaugų kaina nebus perskaičiuojama. Perskaičiavimas įforminamas šalių susitarimu, kuris tampa neatsiejama Sutarties dalimi. Perskaičiuotas įkainis taikomas už tas Paslaugas, už kurias PVM sąskaita faktūra išrašoma galiojant naujam PVM. </w:t>
      </w:r>
    </w:p>
    <w:p w14:paraId="70970A6F" w14:textId="77777777" w:rsidR="0073441F" w:rsidRPr="00F05F81" w:rsidRDefault="0073441F" w:rsidP="0073441F">
      <w:pPr>
        <w:tabs>
          <w:tab w:val="left" w:pos="0"/>
        </w:tabs>
        <w:ind w:left="928"/>
        <w:jc w:val="center"/>
        <w:outlineLvl w:val="1"/>
        <w:rPr>
          <w:rFonts w:eastAsia="Calibri"/>
          <w:b/>
          <w:bCs/>
          <w:szCs w:val="22"/>
          <w:lang w:eastAsia="en-US"/>
        </w:rPr>
      </w:pPr>
    </w:p>
    <w:p w14:paraId="6D78396F" w14:textId="77777777" w:rsidR="0073441F" w:rsidRPr="00F05F81" w:rsidRDefault="0073441F" w:rsidP="0073441F">
      <w:pPr>
        <w:tabs>
          <w:tab w:val="left" w:pos="0"/>
        </w:tabs>
        <w:ind w:left="928"/>
        <w:jc w:val="center"/>
        <w:outlineLvl w:val="1"/>
        <w:rPr>
          <w:rFonts w:eastAsia="Calibri"/>
          <w:b/>
          <w:bCs/>
          <w:szCs w:val="22"/>
          <w:lang w:eastAsia="en-US"/>
        </w:rPr>
      </w:pPr>
      <w:r w:rsidRPr="00F05F81">
        <w:rPr>
          <w:rFonts w:eastAsia="Calibri"/>
          <w:b/>
          <w:bCs/>
          <w:szCs w:val="22"/>
          <w:lang w:eastAsia="en-US"/>
        </w:rPr>
        <w:t>4. SUTARTIES ĮVYKDYMO UŽTIKRINIMAS</w:t>
      </w:r>
    </w:p>
    <w:p w14:paraId="384053EE" w14:textId="77777777" w:rsidR="0073441F" w:rsidRPr="00F05F81" w:rsidRDefault="0073441F" w:rsidP="0073441F"/>
    <w:p w14:paraId="16E0AE00"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4.1. Teikėjas viso Sutarties galiojimo metu privalo užtikrinti sutartinių prievolių įvykdymą, pateikdamas šiuos užtikrinimus:</w:t>
      </w:r>
    </w:p>
    <w:tbl>
      <w:tblPr>
        <w:tblW w:w="49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7"/>
        <w:gridCol w:w="2837"/>
        <w:gridCol w:w="1990"/>
        <w:gridCol w:w="2449"/>
      </w:tblGrid>
      <w:tr w:rsidR="0073441F" w:rsidRPr="00F05F81" w14:paraId="1CDE5854" w14:textId="77777777" w:rsidTr="00624A2A">
        <w:tc>
          <w:tcPr>
            <w:tcW w:w="1274" w:type="pct"/>
            <w:tcBorders>
              <w:top w:val="single" w:sz="4" w:space="0" w:color="auto"/>
              <w:left w:val="single" w:sz="4" w:space="0" w:color="auto"/>
              <w:bottom w:val="single" w:sz="4" w:space="0" w:color="auto"/>
              <w:right w:val="single" w:sz="4" w:space="0" w:color="auto"/>
            </w:tcBorders>
            <w:vAlign w:val="center"/>
            <w:hideMark/>
          </w:tcPr>
          <w:p w14:paraId="447FF5FD" w14:textId="77777777" w:rsidR="0073441F" w:rsidRPr="00F05F81" w:rsidRDefault="0073441F" w:rsidP="00624A2A">
            <w:pPr>
              <w:jc w:val="center"/>
              <w:rPr>
                <w:lang w:eastAsia="zh-CN"/>
              </w:rPr>
            </w:pPr>
            <w:r w:rsidRPr="00F05F81">
              <w:rPr>
                <w:b/>
                <w:bCs/>
              </w:rPr>
              <w:t>Užtikrinimo būdas</w:t>
            </w:r>
          </w:p>
        </w:tc>
        <w:tc>
          <w:tcPr>
            <w:tcW w:w="1453" w:type="pct"/>
            <w:tcBorders>
              <w:top w:val="single" w:sz="4" w:space="0" w:color="auto"/>
              <w:left w:val="single" w:sz="4" w:space="0" w:color="auto"/>
              <w:bottom w:val="single" w:sz="4" w:space="0" w:color="auto"/>
              <w:right w:val="single" w:sz="4" w:space="0" w:color="auto"/>
            </w:tcBorders>
            <w:vAlign w:val="center"/>
            <w:hideMark/>
          </w:tcPr>
          <w:p w14:paraId="7C0CC964" w14:textId="77777777" w:rsidR="0073441F" w:rsidRPr="00F05F81" w:rsidRDefault="0073441F" w:rsidP="00624A2A">
            <w:pPr>
              <w:jc w:val="center"/>
              <w:rPr>
                <w:lang w:eastAsia="zh-CN"/>
              </w:rPr>
            </w:pPr>
            <w:r w:rsidRPr="00F05F81">
              <w:rPr>
                <w:b/>
                <w:bCs/>
              </w:rPr>
              <w:t>Užtikrinimo pateikimo terminas</w:t>
            </w:r>
          </w:p>
        </w:tc>
        <w:tc>
          <w:tcPr>
            <w:tcW w:w="1019" w:type="pct"/>
            <w:tcBorders>
              <w:top w:val="single" w:sz="4" w:space="0" w:color="auto"/>
              <w:left w:val="single" w:sz="4" w:space="0" w:color="auto"/>
              <w:bottom w:val="single" w:sz="4" w:space="0" w:color="auto"/>
              <w:right w:val="single" w:sz="4" w:space="0" w:color="auto"/>
            </w:tcBorders>
            <w:vAlign w:val="center"/>
            <w:hideMark/>
          </w:tcPr>
          <w:p w14:paraId="11970368" w14:textId="77777777" w:rsidR="0073441F" w:rsidRPr="00F05F81" w:rsidRDefault="0073441F" w:rsidP="00624A2A">
            <w:pPr>
              <w:jc w:val="center"/>
              <w:rPr>
                <w:lang w:eastAsia="zh-CN"/>
              </w:rPr>
            </w:pPr>
            <w:r w:rsidRPr="00F05F81">
              <w:rPr>
                <w:b/>
                <w:bCs/>
              </w:rPr>
              <w:t>Užtikrinimo suma ir valiuta</w:t>
            </w:r>
          </w:p>
        </w:tc>
        <w:tc>
          <w:tcPr>
            <w:tcW w:w="1254" w:type="pct"/>
            <w:tcBorders>
              <w:top w:val="single" w:sz="4" w:space="0" w:color="auto"/>
              <w:left w:val="single" w:sz="4" w:space="0" w:color="auto"/>
              <w:bottom w:val="single" w:sz="4" w:space="0" w:color="auto"/>
              <w:right w:val="single" w:sz="4" w:space="0" w:color="auto"/>
            </w:tcBorders>
            <w:vAlign w:val="center"/>
            <w:hideMark/>
          </w:tcPr>
          <w:p w14:paraId="696A6CD8" w14:textId="77777777" w:rsidR="0073441F" w:rsidRPr="00F05F81" w:rsidRDefault="0073441F" w:rsidP="00624A2A">
            <w:pPr>
              <w:jc w:val="center"/>
              <w:rPr>
                <w:b/>
                <w:bCs/>
              </w:rPr>
            </w:pPr>
            <w:r w:rsidRPr="00F05F81">
              <w:rPr>
                <w:b/>
                <w:bCs/>
              </w:rPr>
              <w:t>Užtikrinimo galiojimo terminas</w:t>
            </w:r>
          </w:p>
          <w:p w14:paraId="32DE7FEC" w14:textId="77777777" w:rsidR="0073441F" w:rsidRPr="00F05F81" w:rsidRDefault="0073441F" w:rsidP="00624A2A">
            <w:pPr>
              <w:jc w:val="center"/>
              <w:rPr>
                <w:lang w:eastAsia="zh-CN"/>
              </w:rPr>
            </w:pPr>
            <w:r w:rsidRPr="00F05F81">
              <w:rPr>
                <w:b/>
                <w:bCs/>
              </w:rPr>
              <w:t>(</w:t>
            </w:r>
            <w:r w:rsidRPr="00F05F81">
              <w:rPr>
                <w:b/>
                <w:bCs/>
                <w:i/>
              </w:rPr>
              <w:t>nurodyti datą nuo Sutarties įsigaliojimo dienos</w:t>
            </w:r>
            <w:r w:rsidRPr="00F05F81">
              <w:rPr>
                <w:b/>
                <w:bCs/>
              </w:rPr>
              <w:t>)</w:t>
            </w:r>
          </w:p>
        </w:tc>
      </w:tr>
      <w:tr w:rsidR="0073441F" w:rsidRPr="00F05F81" w14:paraId="5ECAB4C5" w14:textId="77777777" w:rsidTr="00624A2A">
        <w:tc>
          <w:tcPr>
            <w:tcW w:w="1274" w:type="pct"/>
            <w:tcBorders>
              <w:top w:val="single" w:sz="4" w:space="0" w:color="auto"/>
              <w:left w:val="single" w:sz="4" w:space="0" w:color="auto"/>
              <w:bottom w:val="single" w:sz="4" w:space="0" w:color="auto"/>
              <w:right w:val="single" w:sz="4" w:space="0" w:color="auto"/>
            </w:tcBorders>
            <w:hideMark/>
          </w:tcPr>
          <w:p w14:paraId="18EF4EF5" w14:textId="77777777" w:rsidR="0073441F" w:rsidRPr="00F05F81" w:rsidRDefault="0073441F" w:rsidP="00624A2A">
            <w:r w:rsidRPr="00F05F81">
              <w:t>1. Sutarties įvykdymo užtikrinimas (Lietuvos Respublikoje ar užsienyje registruoto banko, kredito unijos arba draudimo bendrovės laidavimo draudimo liudijimas).</w:t>
            </w:r>
          </w:p>
          <w:p w14:paraId="2FB4C893" w14:textId="77777777" w:rsidR="0073441F" w:rsidRPr="00F05F81" w:rsidRDefault="0073441F" w:rsidP="00624A2A">
            <w:pPr>
              <w:rPr>
                <w:lang w:eastAsia="zh-CN"/>
              </w:rPr>
            </w:pPr>
            <w:r w:rsidRPr="00F05F81">
              <w:t>Pateikiamas dokumento originalas.</w:t>
            </w:r>
          </w:p>
        </w:tc>
        <w:tc>
          <w:tcPr>
            <w:tcW w:w="1453" w:type="pct"/>
            <w:tcBorders>
              <w:top w:val="single" w:sz="4" w:space="0" w:color="auto"/>
              <w:left w:val="single" w:sz="4" w:space="0" w:color="auto"/>
              <w:bottom w:val="single" w:sz="4" w:space="0" w:color="auto"/>
              <w:right w:val="single" w:sz="4" w:space="0" w:color="auto"/>
            </w:tcBorders>
            <w:hideMark/>
          </w:tcPr>
          <w:p w14:paraId="457F7263" w14:textId="77777777" w:rsidR="0073441F" w:rsidRPr="00F05F81" w:rsidRDefault="0073441F" w:rsidP="00624A2A">
            <w:pPr>
              <w:rPr>
                <w:lang w:eastAsia="zh-CN"/>
              </w:rPr>
            </w:pPr>
            <w:r w:rsidRPr="00F05F81">
              <w:rPr>
                <w:shd w:val="clear" w:color="auto" w:fill="FFFFFF"/>
              </w:rPr>
              <w:t xml:space="preserve">Teikėjas galiojantį Sutarties įvykdymo užtikrinimą pateikia Užsakovui ne vėliau kaip per 10 (dešimt) darbo dienų nuo rašytinio Užsakovo pranešimo apie 2.1.1 papunktyje sprendimo įsigaliojimą Sutarties pasirašymo dienos. Jei Teikėjas per šį laikotarpį Sutarties įvykdymo užtikrinimo Užsakovui nepateikia, </w:t>
            </w:r>
            <w:r w:rsidRPr="00F05F81">
              <w:rPr>
                <w:shd w:val="clear" w:color="auto" w:fill="FFFFFF"/>
              </w:rPr>
              <w:lastRenderedPageBreak/>
              <w:t>laikoma, kad Teikėjas atsisakė sudaryti Sutartį.</w:t>
            </w:r>
          </w:p>
        </w:tc>
        <w:tc>
          <w:tcPr>
            <w:tcW w:w="1019" w:type="pct"/>
            <w:tcBorders>
              <w:top w:val="single" w:sz="4" w:space="0" w:color="auto"/>
              <w:left w:val="single" w:sz="4" w:space="0" w:color="auto"/>
              <w:bottom w:val="single" w:sz="4" w:space="0" w:color="auto"/>
              <w:right w:val="single" w:sz="4" w:space="0" w:color="auto"/>
            </w:tcBorders>
            <w:hideMark/>
          </w:tcPr>
          <w:p w14:paraId="455428A4" w14:textId="77777777" w:rsidR="0073441F" w:rsidRPr="00F05F81" w:rsidRDefault="0073441F" w:rsidP="00624A2A">
            <w:pPr>
              <w:jc w:val="both"/>
            </w:pPr>
            <w:r w:rsidRPr="00F05F81">
              <w:rPr>
                <w:lang w:val="en-US"/>
              </w:rPr>
              <w:lastRenderedPageBreak/>
              <w:t xml:space="preserve">Ne mažiau kaip 10 % </w:t>
            </w:r>
            <w:r w:rsidRPr="00F05F81">
              <w:t>dešimt procentų</w:t>
            </w:r>
          </w:p>
          <w:p w14:paraId="48A7EBE7" w14:textId="77777777" w:rsidR="0073441F" w:rsidRPr="00F05F81" w:rsidRDefault="0073441F" w:rsidP="00624A2A">
            <w:pPr>
              <w:jc w:val="both"/>
              <w:rPr>
                <w:lang w:eastAsia="zh-CN"/>
              </w:rPr>
            </w:pPr>
            <w:r w:rsidRPr="00F05F81">
              <w:t>nuo Sutarties kainos, Eur su PVM</w:t>
            </w:r>
          </w:p>
        </w:tc>
        <w:tc>
          <w:tcPr>
            <w:tcW w:w="1254" w:type="pct"/>
            <w:tcBorders>
              <w:top w:val="single" w:sz="4" w:space="0" w:color="auto"/>
              <w:left w:val="single" w:sz="4" w:space="0" w:color="auto"/>
              <w:bottom w:val="single" w:sz="4" w:space="0" w:color="auto"/>
              <w:right w:val="single" w:sz="4" w:space="0" w:color="auto"/>
            </w:tcBorders>
            <w:hideMark/>
          </w:tcPr>
          <w:p w14:paraId="6D11CBF7" w14:textId="77777777" w:rsidR="0073441F" w:rsidRPr="00F05F81" w:rsidRDefault="0073441F" w:rsidP="00624A2A">
            <w:pPr>
              <w:jc w:val="both"/>
              <w:rPr>
                <w:lang w:eastAsia="lt-LT"/>
              </w:rPr>
            </w:pPr>
            <w:r w:rsidRPr="00F05F81">
              <w:rPr>
                <w:lang w:eastAsia="lt-LT"/>
              </w:rPr>
              <w:t xml:space="preserve">Įsigalioja Sutarties įvykdymo užtikrinimo išdavimo dieną arba jame nurodytą vėlesnę dieną ir galioja visą Sutarties galiojimo laikotarpį – 20 mėnesių nuo sutarties įsigaliojimo dienos. </w:t>
            </w:r>
          </w:p>
        </w:tc>
      </w:tr>
      <w:tr w:rsidR="0073441F" w:rsidRPr="00F05F81" w14:paraId="18A7EA49" w14:textId="77777777" w:rsidTr="00624A2A">
        <w:tc>
          <w:tcPr>
            <w:tcW w:w="1274" w:type="pct"/>
            <w:tcBorders>
              <w:top w:val="single" w:sz="4" w:space="0" w:color="auto"/>
              <w:left w:val="single" w:sz="4" w:space="0" w:color="auto"/>
              <w:bottom w:val="single" w:sz="4" w:space="0" w:color="auto"/>
              <w:right w:val="single" w:sz="4" w:space="0" w:color="auto"/>
            </w:tcBorders>
            <w:hideMark/>
          </w:tcPr>
          <w:p w14:paraId="2185D517" w14:textId="77777777" w:rsidR="0073441F" w:rsidRPr="00F05F81" w:rsidRDefault="0073441F" w:rsidP="00624A2A">
            <w:r w:rsidRPr="001229C1">
              <w:t xml:space="preserve">2. </w:t>
            </w:r>
            <w:r w:rsidRPr="00F05F81">
              <w:t>Avansinio mokėjimo grąžinimo užtikrinimas (Lietuvos Respublikoje ar užsienyje registruoto banko ar kredito unijos garantija arba draudimo bendrovės laidavimo draudimo liudijimas).</w:t>
            </w:r>
          </w:p>
          <w:p w14:paraId="264C9FEF" w14:textId="77777777" w:rsidR="0073441F" w:rsidRPr="00F05F81" w:rsidRDefault="0073441F" w:rsidP="00624A2A">
            <w:r w:rsidRPr="00F05F81">
              <w:t>Pateikiamas dokumento originalas.</w:t>
            </w:r>
          </w:p>
        </w:tc>
        <w:tc>
          <w:tcPr>
            <w:tcW w:w="1453" w:type="pct"/>
            <w:tcBorders>
              <w:top w:val="single" w:sz="4" w:space="0" w:color="auto"/>
              <w:left w:val="single" w:sz="4" w:space="0" w:color="auto"/>
              <w:bottom w:val="single" w:sz="4" w:space="0" w:color="auto"/>
              <w:right w:val="single" w:sz="4" w:space="0" w:color="auto"/>
            </w:tcBorders>
            <w:hideMark/>
          </w:tcPr>
          <w:p w14:paraId="64A05FBA" w14:textId="77777777" w:rsidR="0073441F" w:rsidRPr="00F05F81" w:rsidRDefault="0073441F" w:rsidP="00624A2A">
            <w:pPr>
              <w:rPr>
                <w:shd w:val="clear" w:color="auto" w:fill="FFFFFF"/>
              </w:rPr>
            </w:pPr>
            <w:r w:rsidRPr="00F05F81">
              <w:rPr>
                <w:rFonts w:eastAsia="Calibri"/>
                <w:lang w:eastAsia="en-US"/>
              </w:rPr>
              <w:t xml:space="preserve">Pateikiamas Užsakovui kartu su avansinio mokėjimo sąskaita ir avanso poreikio pagrindimu.  </w:t>
            </w:r>
          </w:p>
        </w:tc>
        <w:tc>
          <w:tcPr>
            <w:tcW w:w="1019" w:type="pct"/>
            <w:tcBorders>
              <w:top w:val="single" w:sz="4" w:space="0" w:color="auto"/>
              <w:left w:val="single" w:sz="4" w:space="0" w:color="auto"/>
              <w:bottom w:val="single" w:sz="4" w:space="0" w:color="auto"/>
              <w:right w:val="single" w:sz="4" w:space="0" w:color="auto"/>
            </w:tcBorders>
            <w:hideMark/>
          </w:tcPr>
          <w:p w14:paraId="77853C7B" w14:textId="77777777" w:rsidR="0073441F" w:rsidRPr="00F05F81" w:rsidRDefault="0073441F" w:rsidP="00624A2A">
            <w:pPr>
              <w:jc w:val="both"/>
              <w:rPr>
                <w:lang w:val="en-US"/>
              </w:rPr>
            </w:pPr>
            <w:r w:rsidRPr="00F05F81">
              <w:rPr>
                <w:rFonts w:eastAsia="Calibri"/>
                <w:lang w:eastAsia="en-US"/>
              </w:rPr>
              <w:t>Visai avansinio mokėjimo sumai, Eur su PVM</w:t>
            </w:r>
          </w:p>
        </w:tc>
        <w:tc>
          <w:tcPr>
            <w:tcW w:w="1254" w:type="pct"/>
            <w:tcBorders>
              <w:top w:val="single" w:sz="4" w:space="0" w:color="auto"/>
              <w:left w:val="single" w:sz="4" w:space="0" w:color="auto"/>
              <w:bottom w:val="single" w:sz="4" w:space="0" w:color="auto"/>
              <w:right w:val="single" w:sz="4" w:space="0" w:color="auto"/>
            </w:tcBorders>
            <w:hideMark/>
          </w:tcPr>
          <w:p w14:paraId="4D6E39B0" w14:textId="77777777" w:rsidR="0073441F" w:rsidRPr="00F05F81" w:rsidRDefault="0073441F" w:rsidP="00624A2A">
            <w:pPr>
              <w:jc w:val="both"/>
              <w:rPr>
                <w:lang w:eastAsia="lt-LT"/>
              </w:rPr>
            </w:pPr>
            <w:r w:rsidRPr="00F05F81">
              <w:rPr>
                <w:rFonts w:eastAsia="Calibri"/>
                <w:lang w:eastAsia="en-US"/>
              </w:rPr>
              <w:t xml:space="preserve">Įsigalioja avansinio mokėjimo grąžinimo užtikrinimo išdavimo dieną ir galioja visą Sutarties galiojimo laikotarpį </w:t>
            </w:r>
            <w:r w:rsidRPr="00F05F81">
              <w:rPr>
                <w:lang w:eastAsia="lt-LT"/>
              </w:rPr>
              <w:t>– 20 mėnesių nuo sutarties įsigaliojimo dienos.</w:t>
            </w:r>
          </w:p>
        </w:tc>
      </w:tr>
    </w:tbl>
    <w:p w14:paraId="7CD3A1B9" w14:textId="77777777" w:rsidR="0073441F" w:rsidRPr="00F05F81" w:rsidRDefault="0073441F" w:rsidP="0073441F">
      <w:pPr>
        <w:tabs>
          <w:tab w:val="left" w:pos="1418"/>
        </w:tabs>
        <w:jc w:val="both"/>
        <w:rPr>
          <w:shd w:val="clear" w:color="auto" w:fill="FFFFFF"/>
          <w:lang w:eastAsia="zh-CN"/>
        </w:rPr>
      </w:pPr>
    </w:p>
    <w:p w14:paraId="5DF020AE"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4.2. Jeigu Teikėjas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60229165"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4.2.1. Sutarties įvykdymo užtikrinime turi būti nurodytos šios sąlygos:</w:t>
      </w:r>
    </w:p>
    <w:p w14:paraId="2930B5E5"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4.2.1.1. Naudos gavėjas – Aplinkos apsaugos agentūra;</w:t>
      </w:r>
    </w:p>
    <w:p w14:paraId="4CBEE2BD"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4.2.1.2. Sutarties įvykdymo užtikrinimo pagrindas – įsipareigojimai pagal šią Sutartį;</w:t>
      </w:r>
    </w:p>
    <w:p w14:paraId="520D509D"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4.2.1.3. Garanto/draudiko neatšaukiamas įsipareigojimas per 7 darbo dienas sumokėti garantijoje/draudimo rašte nurodytą sumą, gavus raštišką reikalavimą, kuriame nurodyta, kad draudėjas/skolininkas pažeidė sutartinius įsipareigojimus, jeigu:</w:t>
      </w:r>
    </w:p>
    <w:p w14:paraId="63DA7CB6"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 draudėjas/skolininkas atsisakys suteikti Sutartyje numatytas paslaugas ir (ar)</w:t>
      </w:r>
    </w:p>
    <w:p w14:paraId="4FEF3E9D"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 draudėjas/skolininkas praleis Sutartyje numatytus terminus paslaugų teikimui ir (ar)</w:t>
      </w:r>
    </w:p>
    <w:p w14:paraId="2841E77A"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 xml:space="preserve">- draudėjas/skolininkas suteiks paslaugas, neatitinkančias Sutarties reikalavimų. </w:t>
      </w:r>
    </w:p>
    <w:p w14:paraId="0359F004"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4.2.1.4. Sutarties įvykdymo užtikrinimas yra neperleistinas ir neįkeistinas;</w:t>
      </w:r>
    </w:p>
    <w:p w14:paraId="2C5981E0"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4.2.1.5. Sutarties įvykdymo užtikrinimui yra taikoma Lietuvos Respublikos teisė;</w:t>
      </w:r>
    </w:p>
    <w:p w14:paraId="00D83F9A"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4.2.1.6. Sutarties įvykdymo užtikrinimas baigiasi, kai:</w:t>
      </w:r>
    </w:p>
    <w:p w14:paraId="030CA687"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 draudikas/garantas sumoka naudos gavėjui laidavimo draudimo rašte/garantijoje nurodytą sumą;</w:t>
      </w:r>
    </w:p>
    <w:p w14:paraId="175D49A3"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 sueina laidavimo draudimo rašte/garantijoje nustatytas galiojimo terminas;</w:t>
      </w:r>
    </w:p>
    <w:p w14:paraId="70DEA0DA"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 naudos gavėjas atsisako savo teisių pagal sutarties įvykdymo užtikrinimą ir grąžina jį draudikui/garantui arba raštu apie atsisakymą praneša draudikui/garantui;</w:t>
      </w:r>
    </w:p>
    <w:p w14:paraId="27CDCA50"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4.2.1.7. Draudėjui/skolininkui įvykdžius sutartinius įsipareigojimus ar pasibaigus sutarties įvykdymo užtikrinimo galiojimui, Naudos gavėjas grąžina sutarties įvykdymo užtikrinimą Draudikui/garantui.</w:t>
      </w:r>
    </w:p>
    <w:p w14:paraId="1CD72BB7"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 xml:space="preserve">4.3. Sutartinių įsipareigojimų įvykdymo terminas gali būti pratęsiamas, tik tada kai Užsakovui pateikiamas pratęstas Sutarties įvykdymo užtikrinimas arba pateikiamas(-i) naujas(-i) nurodytas (-i) sutartinių įsipareigojimų įvykdymo užtikrinimas (-ai) tai pačiai sumai. </w:t>
      </w:r>
    </w:p>
    <w:p w14:paraId="05B4DE5B"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4.4. Pasibaigus 4.1 ir 4.3 papunkčiuose nurodyto užtikrinimo galiojimo terminui, Užsakovas per 10 (dešimt) dienų nuo Teikėjo prašymo gavimo dienos grąžina Teikėjui banko, kredito unijos arba draudimo kompanijos laidavimą, jį išsiųsdamas registruotu paštu arba įteikia Teikėjui ar jo atstovui jam atvykus į Užsakovo buveinę.</w:t>
      </w:r>
    </w:p>
    <w:p w14:paraId="06C2F87E" w14:textId="77777777" w:rsidR="0073441F" w:rsidRPr="00F05F81" w:rsidRDefault="0073441F" w:rsidP="0073441F">
      <w:pPr>
        <w:tabs>
          <w:tab w:val="left" w:pos="1418"/>
        </w:tabs>
        <w:ind w:firstLine="567"/>
        <w:jc w:val="both"/>
        <w:rPr>
          <w:shd w:val="clear" w:color="auto" w:fill="FFFFFF"/>
        </w:rPr>
      </w:pPr>
    </w:p>
    <w:p w14:paraId="00C3AC6E" w14:textId="77777777" w:rsidR="0073441F" w:rsidRPr="00F05F81" w:rsidRDefault="0073441F" w:rsidP="0073441F">
      <w:pPr>
        <w:tabs>
          <w:tab w:val="left" w:pos="0"/>
        </w:tabs>
        <w:ind w:left="928"/>
        <w:jc w:val="center"/>
        <w:outlineLvl w:val="1"/>
        <w:rPr>
          <w:rFonts w:eastAsia="Calibri"/>
          <w:b/>
          <w:bCs/>
          <w:szCs w:val="22"/>
          <w:lang w:eastAsia="en-US"/>
        </w:rPr>
      </w:pPr>
      <w:r w:rsidRPr="00F05F81">
        <w:rPr>
          <w:rFonts w:eastAsia="Calibri"/>
          <w:b/>
          <w:bCs/>
          <w:szCs w:val="22"/>
          <w:lang w:eastAsia="en-US"/>
        </w:rPr>
        <w:t>5. ŠALIŲ TEISĖS IR PAREIGOS</w:t>
      </w:r>
    </w:p>
    <w:p w14:paraId="6DBAA358" w14:textId="77777777" w:rsidR="0073441F" w:rsidRPr="00F05F81" w:rsidRDefault="0073441F" w:rsidP="0073441F"/>
    <w:p w14:paraId="2C194754"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lastRenderedPageBreak/>
        <w:t>5.1. Teikėjo pareigos:</w:t>
      </w:r>
    </w:p>
    <w:p w14:paraId="60D23728"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5.1.1. teikti paslaugas laiku, kokybiškas ir atitinkančias Sutartyje nustatytus reikalavimus;</w:t>
      </w:r>
    </w:p>
    <w:p w14:paraId="7B9AEAF8"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5.1.2. vykdyti Užsakovo nurodymus, būtinus tinkamam Sutarties įvykdymui ir (ar) jos trūkumų pašalinimui;</w:t>
      </w:r>
    </w:p>
    <w:p w14:paraId="01352C73"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5.1.3. užtikrinti iš Užsakovo Sutarties vykdymo metu gautos ir su Sutarties vykdymu susijusios informacijos konfidencialumą ir apsaugą;</w:t>
      </w:r>
    </w:p>
    <w:p w14:paraId="6FF6F118"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5.1.4. nedelsiant raštu informuoti Užsakovą apie bet kurias aplinkybes, kurios trukdo ar gali sutrukdyti Teikėjui teikti Paslaugas;</w:t>
      </w:r>
    </w:p>
    <w:p w14:paraId="6F8C2432"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5.1.5. per Užsakovo nurodytą terminą pašalinti Paslaugų teikimo trūkumus;</w:t>
      </w:r>
    </w:p>
    <w:p w14:paraId="6E558EEB"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5.1.6. apsaugoti Užsakovą nuo bet kokių pretenzijų, nuostolių, atsirandančių dėl Teikėjo veiksmų ar aplaidumo vykdant Sutartį, tame tarpe dėl bet kokių teisės aktų pažeidimo, neteisėto patentų, prekių ženklų, kitų intelektinės nuosavybės objektų panaudojimo ar bet kokių asmenų teisių pažeidimo.</w:t>
      </w:r>
    </w:p>
    <w:p w14:paraId="6358B7D8"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5.2. Teikėjo teisės:</w:t>
      </w:r>
    </w:p>
    <w:p w14:paraId="5D91B7A7" w14:textId="77777777" w:rsidR="0073441F" w:rsidRPr="00F05F81" w:rsidRDefault="0073441F" w:rsidP="0073441F">
      <w:pPr>
        <w:tabs>
          <w:tab w:val="left" w:pos="1418"/>
        </w:tabs>
        <w:ind w:firstLine="567"/>
        <w:contextualSpacing/>
        <w:jc w:val="both"/>
        <w:rPr>
          <w:shd w:val="clear" w:color="auto" w:fill="FFFFFF"/>
        </w:rPr>
      </w:pPr>
      <w:r w:rsidRPr="00F05F81">
        <w:rPr>
          <w:shd w:val="clear" w:color="auto" w:fill="FFFFFF"/>
        </w:rPr>
        <w:t>5.2.1. gauti šioje Sutartyje nustatytomis sąlygomis ir tvarka apmokėjimą už tinkamai suteiktas Paslaugas;</w:t>
      </w:r>
    </w:p>
    <w:p w14:paraId="3A3F67DF" w14:textId="77777777" w:rsidR="0073441F" w:rsidRPr="00F05F81" w:rsidRDefault="0073441F" w:rsidP="0073441F">
      <w:pPr>
        <w:tabs>
          <w:tab w:val="left" w:pos="1418"/>
        </w:tabs>
        <w:ind w:firstLine="567"/>
        <w:contextualSpacing/>
        <w:jc w:val="both"/>
        <w:rPr>
          <w:shd w:val="clear" w:color="auto" w:fill="FFFFFF"/>
        </w:rPr>
      </w:pPr>
      <w:r w:rsidRPr="00F05F81">
        <w:rPr>
          <w:shd w:val="clear" w:color="auto" w:fill="FFFFFF"/>
        </w:rPr>
        <w:t>5.2.2. kitos teisės, nustatytos Sutartyje bei Lietuvos Respublikos galiojančiuose teisės aktuose.</w:t>
      </w:r>
    </w:p>
    <w:p w14:paraId="2D80A690"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5.3. Užsakovo pareigos:</w:t>
      </w:r>
    </w:p>
    <w:p w14:paraId="3B829FE7"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5.3.1. teikti Teikėjui pagal kompetenciją informaciją ar dokumentus, būtinus Paslaugoms suteikti;</w:t>
      </w:r>
    </w:p>
    <w:p w14:paraId="1D3D4699"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 xml:space="preserve">5.3.2. paslaugų perdavimo–priėmimo aktu priimti iš </w:t>
      </w:r>
      <w:r w:rsidRPr="00F05F81">
        <w:t xml:space="preserve">Teikėjo </w:t>
      </w:r>
      <w:r w:rsidRPr="00F05F81">
        <w:rPr>
          <w:shd w:val="clear" w:color="auto" w:fill="FFFFFF"/>
        </w:rPr>
        <w:t>pagal šios sutarties ir Techninės specifikacijos reikalavimus tinkamai ir nustatytu laiku suteiktas Paslaugas ir apmokėti už jas pagal Sutarties sąlygas;</w:t>
      </w:r>
    </w:p>
    <w:p w14:paraId="52CA21B7"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 xml:space="preserve">5.3.3. paskirti atstovą, kuris bus atsakingas už visų Sutarties galiojimo metu kylančių klausimų koordinavimą; </w:t>
      </w:r>
    </w:p>
    <w:p w14:paraId="2F7C43EC" w14:textId="77777777" w:rsidR="0073441F" w:rsidRPr="00F05F81" w:rsidRDefault="0073441F" w:rsidP="0073441F">
      <w:pPr>
        <w:tabs>
          <w:tab w:val="left" w:pos="1440"/>
        </w:tabs>
        <w:ind w:firstLine="567"/>
        <w:jc w:val="both"/>
        <w:rPr>
          <w:shd w:val="clear" w:color="auto" w:fill="FFFFFF"/>
        </w:rPr>
      </w:pPr>
      <w:r w:rsidRPr="00F05F81">
        <w:rPr>
          <w:shd w:val="clear" w:color="auto" w:fill="FFFFFF"/>
        </w:rPr>
        <w:t>5.3.4. neatskleisti trečiosioms šalims informacijos, kurią Teikėjas nurodė kaip konfidencialią (konfidencialios informacijos samprata apibrėžta Lietuvos Respublikos civilinio kodekso 1.116 str.).</w:t>
      </w:r>
    </w:p>
    <w:p w14:paraId="4D46716D"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5.3.5. vykdyti kitus savo įsipareigojimus pagal Sutartį.</w:t>
      </w:r>
    </w:p>
    <w:p w14:paraId="227A4162"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5.4. Užsakovo teisės:</w:t>
      </w:r>
    </w:p>
    <w:p w14:paraId="472B1DD3" w14:textId="77777777" w:rsidR="0073441F" w:rsidRPr="00F05F81" w:rsidRDefault="0073441F" w:rsidP="0073441F">
      <w:pPr>
        <w:tabs>
          <w:tab w:val="left" w:pos="1418"/>
        </w:tabs>
        <w:ind w:firstLine="567"/>
        <w:contextualSpacing/>
        <w:jc w:val="both"/>
        <w:rPr>
          <w:shd w:val="clear" w:color="auto" w:fill="FFFFFF"/>
        </w:rPr>
      </w:pPr>
      <w:r w:rsidRPr="00F05F81">
        <w:rPr>
          <w:shd w:val="clear" w:color="auto" w:fill="FFFFFF"/>
        </w:rPr>
        <w:t>5.4.1. teikti pretenzijas Teikėjui dėl Paslaugų kokybės;</w:t>
      </w:r>
    </w:p>
    <w:p w14:paraId="5C23FD98"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5.4.2. teikti pastabas Teikėjui bei nurodymus, pateikti papildomus dokumentus ar instrukcijas ir reikalauti, kad į jas būtų atsižvelgta, jei tai būtina tinkamai įvykdyti Sutartį ir (ar) jos įgyvendinimo metu iškilusiems trūkumams pašalinti;</w:t>
      </w:r>
    </w:p>
    <w:p w14:paraId="6BC4972B"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5.5. kitos teisės, numatytos Sutartyje bei Lietuvos Respublikos galiojančiuose teisės aktuose.</w:t>
      </w:r>
    </w:p>
    <w:p w14:paraId="6FE83C7D" w14:textId="77777777" w:rsidR="0073441F" w:rsidRPr="00F05F81" w:rsidRDefault="0073441F" w:rsidP="0073441F">
      <w:pPr>
        <w:tabs>
          <w:tab w:val="left" w:pos="1418"/>
        </w:tabs>
        <w:ind w:firstLine="567"/>
        <w:jc w:val="both"/>
        <w:rPr>
          <w:shd w:val="clear" w:color="auto" w:fill="FFFFFF"/>
        </w:rPr>
      </w:pPr>
    </w:p>
    <w:p w14:paraId="3B656898" w14:textId="77777777" w:rsidR="0073441F" w:rsidRPr="00F05F81" w:rsidRDefault="0073441F" w:rsidP="0073441F">
      <w:pPr>
        <w:tabs>
          <w:tab w:val="left" w:pos="851"/>
        </w:tabs>
        <w:ind w:left="928"/>
        <w:jc w:val="center"/>
        <w:outlineLvl w:val="1"/>
        <w:rPr>
          <w:rFonts w:eastAsia="Calibri"/>
          <w:b/>
          <w:bCs/>
          <w:szCs w:val="22"/>
          <w:lang w:eastAsia="en-US"/>
        </w:rPr>
      </w:pPr>
      <w:r w:rsidRPr="00F05F81">
        <w:rPr>
          <w:rFonts w:eastAsia="Calibri"/>
          <w:b/>
          <w:bCs/>
          <w:szCs w:val="22"/>
          <w:lang w:eastAsia="en-US"/>
        </w:rPr>
        <w:t xml:space="preserve">6. SUBTEIKĖJAI IR JŲ KEITIMO TVARKA </w:t>
      </w:r>
      <w:r w:rsidRPr="00F05F81">
        <w:rPr>
          <w:rFonts w:eastAsia="Calibri"/>
          <w:b/>
          <w:bCs/>
          <w:szCs w:val="22"/>
          <w:lang w:eastAsia="en-US"/>
        </w:rPr>
        <w:br/>
      </w:r>
    </w:p>
    <w:p w14:paraId="3C6A5953"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 xml:space="preserve">6.1 Susitarimas, pagal kurį </w:t>
      </w:r>
      <w:r w:rsidRPr="00F05F81">
        <w:t xml:space="preserve">Teikėjas </w:t>
      </w:r>
      <w:r w:rsidRPr="00F05F81">
        <w:rPr>
          <w:shd w:val="clear" w:color="auto" w:fill="FFFFFF"/>
        </w:rPr>
        <w:t>dalies įsipareigojimų, numatytų Sutartyje, vykdymui pasitelkia trečiąjį asmenį, yra laikomas subteikimu. Toks susitarimas galioja, jei jis sudarytas raštu.</w:t>
      </w:r>
    </w:p>
    <w:p w14:paraId="56F19147"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 xml:space="preserve">6.2. </w:t>
      </w:r>
      <w:r w:rsidRPr="00F05F81">
        <w:t xml:space="preserve">Teikėjas </w:t>
      </w:r>
      <w:r w:rsidRPr="00F05F81">
        <w:rPr>
          <w:shd w:val="clear" w:color="auto" w:fill="FFFFFF"/>
        </w:rPr>
        <w:t xml:space="preserve">Sutarčiai vykdyti gali pasitelkti tik tuos subteikėjus, kurie numatyti </w:t>
      </w:r>
      <w:r w:rsidRPr="00F05F81">
        <w:t xml:space="preserve">Teikėjo </w:t>
      </w:r>
      <w:r w:rsidRPr="00F05F81">
        <w:rPr>
          <w:shd w:val="clear" w:color="auto" w:fill="FFFFFF"/>
        </w:rPr>
        <w:t>pasiūlyme.</w:t>
      </w:r>
    </w:p>
    <w:p w14:paraId="0C5F3F9E"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 xml:space="preserve">6.3. Jei Užsakovas turi pagrįstų įtarimų, kad subteikėjas yra nekompetentingas vykdyti nustatytas pareigas, gali reikalauti </w:t>
      </w:r>
      <w:r w:rsidRPr="00F05F81">
        <w:t xml:space="preserve">Teikėjo </w:t>
      </w:r>
      <w:r w:rsidRPr="00F05F81">
        <w:rPr>
          <w:shd w:val="clear" w:color="auto" w:fill="FFFFFF"/>
        </w:rPr>
        <w:t xml:space="preserve">nedelsiant pakeisti subteikėją arba reikalauti, kad </w:t>
      </w:r>
      <w:r w:rsidRPr="00F05F81">
        <w:t xml:space="preserve">Teikėjas </w:t>
      </w:r>
      <w:r w:rsidRPr="00F05F81">
        <w:rPr>
          <w:shd w:val="clear" w:color="auto" w:fill="FFFFFF"/>
        </w:rPr>
        <w:t>pats vykdytų subteikėjui perduotus sutartinius įsipareigojimus.</w:t>
      </w:r>
    </w:p>
    <w:p w14:paraId="3D183650" w14:textId="77777777" w:rsidR="0073441F" w:rsidRPr="00F05F81" w:rsidRDefault="0073441F" w:rsidP="0073441F">
      <w:pPr>
        <w:tabs>
          <w:tab w:val="left" w:pos="1418"/>
        </w:tabs>
        <w:ind w:firstLine="567"/>
        <w:jc w:val="both"/>
        <w:rPr>
          <w:lang w:eastAsia="zh-CN"/>
        </w:rPr>
      </w:pPr>
      <w:r w:rsidRPr="00F05F81">
        <w:rPr>
          <w:shd w:val="clear" w:color="auto" w:fill="FFFFFF"/>
        </w:rPr>
        <w:t xml:space="preserve">6.4. </w:t>
      </w:r>
      <w:r w:rsidRPr="00F05F81">
        <w:rPr>
          <w:lang w:eastAsia="zh-CN"/>
        </w:rPr>
        <w:t xml:space="preserve">Sutarties vykdymo metu, </w:t>
      </w:r>
      <w:r w:rsidRPr="00F05F81">
        <w:rPr>
          <w:kern w:val="2"/>
        </w:rPr>
        <w:t xml:space="preserve">jei subteikėjas </w:t>
      </w:r>
      <w:r w:rsidRPr="00F05F81">
        <w:rPr>
          <w:lang w:eastAsia="zh-CN"/>
        </w:rPr>
        <w:t>netinkamai vykdo įsipareigojimus</w:t>
      </w:r>
      <w:r w:rsidRPr="00F05F81">
        <w:rPr>
          <w:kern w:val="2"/>
        </w:rPr>
        <w:t xml:space="preserve"> arba sustabdo savo veiklą, </w:t>
      </w:r>
      <w:r w:rsidRPr="00F05F81">
        <w:rPr>
          <w:lang w:eastAsia="zh-CN"/>
        </w:rPr>
        <w:t xml:space="preserve">taip pat tuo atveju, kai </w:t>
      </w:r>
      <w:r w:rsidRPr="00F05F81">
        <w:rPr>
          <w:shd w:val="clear" w:color="auto" w:fill="FFFFFF"/>
        </w:rPr>
        <w:t xml:space="preserve">subteikėjas </w:t>
      </w:r>
      <w:r w:rsidRPr="00F05F81">
        <w:rPr>
          <w:lang w:eastAsia="zh-CN"/>
        </w:rPr>
        <w:t xml:space="preserve">nepajėgus vykdyti įsipareigojimų dėl iškeltos bankroto bylos, </w:t>
      </w:r>
      <w:r w:rsidRPr="00F05F81">
        <w:rPr>
          <w:lang w:eastAsia="lt-LT"/>
        </w:rPr>
        <w:t>bankroto proceso vykdymo ne teismo tvarka, restruktūrizavimo, priverstinio likvidavimo procedūros arba jiems vykdomų analogiškų procedūrų, arba esant kitoms objektyvioms aplinkybėms, Teikėjas</w:t>
      </w:r>
      <w:r w:rsidRPr="00F05F81">
        <w:rPr>
          <w:lang w:eastAsia="zh-CN"/>
        </w:rPr>
        <w:t xml:space="preserve"> gali pakeisti </w:t>
      </w:r>
      <w:r w:rsidRPr="00F05F81">
        <w:rPr>
          <w:shd w:val="clear" w:color="auto" w:fill="FFFFFF"/>
        </w:rPr>
        <w:t>subteikėją</w:t>
      </w:r>
      <w:r w:rsidRPr="00F05F81">
        <w:rPr>
          <w:lang w:eastAsia="zh-CN"/>
        </w:rPr>
        <w:t xml:space="preserve">. Apie tai Teikėjas iš anksto ne vėliau kaip prieš 7 darbo dienas raštu turi informuoti </w:t>
      </w:r>
      <w:r w:rsidRPr="00F05F81">
        <w:rPr>
          <w:lang w:eastAsia="zh-CN"/>
        </w:rPr>
        <w:lastRenderedPageBreak/>
        <w:t xml:space="preserve">Užsakovą, nurodydamas </w:t>
      </w:r>
      <w:r w:rsidRPr="00F05F81">
        <w:rPr>
          <w:shd w:val="clear" w:color="auto" w:fill="FFFFFF"/>
        </w:rPr>
        <w:t xml:space="preserve">subteikėjų </w:t>
      </w:r>
      <w:r w:rsidRPr="00F05F81">
        <w:rPr>
          <w:lang w:eastAsia="zh-CN"/>
        </w:rPr>
        <w:t xml:space="preserve">pakeitimo priežastis ir būsimus </w:t>
      </w:r>
      <w:r w:rsidRPr="00F05F81">
        <w:rPr>
          <w:shd w:val="clear" w:color="auto" w:fill="FFFFFF"/>
        </w:rPr>
        <w:t>subteikėjus</w:t>
      </w:r>
      <w:r w:rsidRPr="00F05F81">
        <w:rPr>
          <w:lang w:eastAsia="zh-CN"/>
        </w:rPr>
        <w:t xml:space="preserve"> bei pateikdamas jų kvalifikaciją įrodančius dokumentus. Teikėjo pasirinktas </w:t>
      </w:r>
      <w:r w:rsidRPr="00F05F81">
        <w:rPr>
          <w:shd w:val="clear" w:color="auto" w:fill="FFFFFF"/>
        </w:rPr>
        <w:t xml:space="preserve">subteikėjas </w:t>
      </w:r>
      <w:r w:rsidRPr="00F05F81">
        <w:rPr>
          <w:lang w:eastAsia="zh-CN"/>
        </w:rPr>
        <w:t xml:space="preserve">galės būti keičiamas, jei bus gautas Užsakovo sutikimas ir jei naujai siūlomo </w:t>
      </w:r>
      <w:r w:rsidRPr="00F05F81">
        <w:rPr>
          <w:shd w:val="clear" w:color="auto" w:fill="FFFFFF"/>
        </w:rPr>
        <w:t xml:space="preserve">subteikėjo </w:t>
      </w:r>
      <w:r w:rsidRPr="00F05F81">
        <w:rPr>
          <w:lang w:eastAsia="zh-CN"/>
        </w:rPr>
        <w:t>kvalifikacija bus ne žemesnė, nei kvalifikacija tų subjektų, kurie bus nurodyti Teikėjo pasiūlyme.</w:t>
      </w:r>
    </w:p>
    <w:p w14:paraId="64E87174" w14:textId="77777777" w:rsidR="0073441F" w:rsidRPr="00F05F81" w:rsidRDefault="0073441F" w:rsidP="0073441F">
      <w:pPr>
        <w:tabs>
          <w:tab w:val="left" w:pos="1418"/>
        </w:tabs>
        <w:ind w:firstLine="567"/>
        <w:jc w:val="both"/>
        <w:rPr>
          <w:lang w:eastAsia="zh-CN"/>
        </w:rPr>
      </w:pPr>
      <w:r w:rsidRPr="00F05F81">
        <w:rPr>
          <w:lang w:eastAsia="zh-CN"/>
        </w:rPr>
        <w:t xml:space="preserve">6.5. Užsakovas per 7 darbo dienas nuo pranešimo apie numatomą keisti </w:t>
      </w:r>
      <w:r w:rsidRPr="00F05F81">
        <w:rPr>
          <w:shd w:val="clear" w:color="auto" w:fill="FFFFFF"/>
        </w:rPr>
        <w:t>subteikėją</w:t>
      </w:r>
      <w:r w:rsidRPr="00F05F81">
        <w:rPr>
          <w:lang w:eastAsia="zh-CN"/>
        </w:rPr>
        <w:t xml:space="preserve"> bei jo kvalifikaciją pagrindžiančių dokumentų gavimo dienos turi pranešti Teikėjui apie savo sprendimą, o jei sprendimas yra neigiamas – nurodyti priežastis.</w:t>
      </w:r>
    </w:p>
    <w:p w14:paraId="4455598A" w14:textId="77777777" w:rsidR="0073441F" w:rsidRPr="00F05F81" w:rsidRDefault="0073441F" w:rsidP="0073441F">
      <w:pPr>
        <w:tabs>
          <w:tab w:val="left" w:pos="1418"/>
        </w:tabs>
        <w:ind w:firstLine="567"/>
        <w:jc w:val="both"/>
        <w:rPr>
          <w:lang w:eastAsia="zh-CN"/>
        </w:rPr>
      </w:pPr>
      <w:r w:rsidRPr="00F05F81">
        <w:rPr>
          <w:lang w:eastAsia="zh-CN"/>
        </w:rPr>
        <w:t xml:space="preserve">6.6. </w:t>
      </w:r>
      <w:r w:rsidRPr="00F05F81">
        <w:rPr>
          <w:shd w:val="clear" w:color="auto" w:fill="FFFFFF"/>
        </w:rPr>
        <w:t xml:space="preserve">Subteikėjo </w:t>
      </w:r>
      <w:r w:rsidRPr="00F05F81">
        <w:rPr>
          <w:lang w:eastAsia="zh-CN"/>
        </w:rPr>
        <w:t>keitimas įforminamas Sutarties šalių pasirašytu papildomu susitarimu prie Sutarties.</w:t>
      </w:r>
    </w:p>
    <w:p w14:paraId="1958DA47" w14:textId="77777777" w:rsidR="0073441F" w:rsidRPr="00F05F81" w:rsidRDefault="0073441F" w:rsidP="0073441F">
      <w:pPr>
        <w:tabs>
          <w:tab w:val="left" w:pos="1418"/>
        </w:tabs>
        <w:ind w:firstLine="567"/>
        <w:jc w:val="both"/>
        <w:rPr>
          <w:lang w:eastAsia="zh-CN"/>
        </w:rPr>
      </w:pPr>
      <w:r w:rsidRPr="00F05F81">
        <w:rPr>
          <w:lang w:eastAsia="zh-CN"/>
        </w:rPr>
        <w:t>6.7. Sudarius pirkimo sutartį, tačiau ne vėliau negu pirkimo sutartis pradedama vykdyti, Teikėjas įsipareigoja Užsakovui pranešti tuo metu žinomų subteikėjų pavadinimus, kontaktinius duomenis ir jų atstovus bei nedelsiant pranešti apie tokios informacijos pasikeitimą visos sutarties vykdymo metu. Teikėjas taip pat įsipareigoja pranešti atitinkamą informaciją ir apie naujus subteikėjus, kuriuos Teikėjas ketina pasitelkti vėliau vykdydamas sutartį.</w:t>
      </w:r>
    </w:p>
    <w:p w14:paraId="00BA92CA" w14:textId="77777777" w:rsidR="0073441F" w:rsidRPr="00F05F81" w:rsidRDefault="0073441F" w:rsidP="0073441F">
      <w:pPr>
        <w:tabs>
          <w:tab w:val="left" w:pos="1418"/>
        </w:tabs>
        <w:ind w:firstLine="567"/>
        <w:jc w:val="both"/>
        <w:rPr>
          <w:lang w:eastAsia="zh-CN"/>
        </w:rPr>
      </w:pPr>
      <w:r w:rsidRPr="00F05F81">
        <w:rPr>
          <w:lang w:eastAsia="zh-CN"/>
        </w:rPr>
        <w:t>6.8. Užsakovas gali tiesiogiai atsiskaityti su subteikėjais, jei šie pareiškia tokį prašymą raštu. Subteikėjui išreiškus norą pasinaudoti tiesioginio atsiskaitymo galimybe sudaroma trišalė sutartis tarp Užsakovo, Teikėjo ir subteikėjo. Subteikėjams galioja ta pati atsiskaitymo tvarka, kuri nustatyta Teikėjui. Su subteikėjais atsiskaitoma tik už tinkamai Teikėjo perduotus ir priimtus darbus. Teikėjas turi teisę prieštarauti nepagrįstiems mokėjimams. Subteikėjas tiesiogiai sumokėtų sumų dalimi mažinama Teikėjui mokėtina suma.</w:t>
      </w:r>
    </w:p>
    <w:p w14:paraId="109DFD51" w14:textId="77777777" w:rsidR="0073441F" w:rsidRPr="00F05F81" w:rsidRDefault="0073441F" w:rsidP="0073441F">
      <w:pPr>
        <w:tabs>
          <w:tab w:val="left" w:pos="1418"/>
        </w:tabs>
        <w:ind w:firstLine="567"/>
        <w:jc w:val="both"/>
        <w:rPr>
          <w:lang w:eastAsia="zh-CN"/>
        </w:rPr>
      </w:pPr>
      <w:r w:rsidRPr="00F05F81">
        <w:rPr>
          <w:lang w:eastAsia="zh-CN"/>
        </w:rPr>
        <w:t>6.9. Užsakovas turi teisę reikalauti, jog esmines užduotis susijusias su teikiamų paslaugų atliktų pats Teikėjas, neperduodamas šių užduočių subteikėjams.</w:t>
      </w:r>
    </w:p>
    <w:p w14:paraId="180BCD2B" w14:textId="77777777" w:rsidR="0073441F" w:rsidRPr="00F05F81" w:rsidRDefault="0073441F" w:rsidP="0073441F">
      <w:pPr>
        <w:tabs>
          <w:tab w:val="left" w:pos="0"/>
        </w:tabs>
        <w:ind w:left="568"/>
        <w:jc w:val="center"/>
        <w:outlineLvl w:val="1"/>
        <w:rPr>
          <w:rFonts w:eastAsia="Calibri"/>
          <w:b/>
          <w:bCs/>
          <w:szCs w:val="22"/>
          <w:lang w:eastAsia="en-US"/>
        </w:rPr>
      </w:pPr>
      <w:r w:rsidRPr="00F05F81">
        <w:rPr>
          <w:rFonts w:eastAsia="Calibri"/>
          <w:b/>
          <w:bCs/>
          <w:szCs w:val="22"/>
          <w:lang w:eastAsia="en-US"/>
        </w:rPr>
        <w:br/>
        <w:t>7. ŠALIŲ ATSAKOMYBĖ</w:t>
      </w:r>
    </w:p>
    <w:p w14:paraId="17CAA734" w14:textId="77777777" w:rsidR="0073441F" w:rsidRPr="00F05F81" w:rsidRDefault="0073441F" w:rsidP="0073441F"/>
    <w:p w14:paraId="547D370A"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 xml:space="preserve">7.1. Neatlikus apmokėjimo nustatytais terminais, </w:t>
      </w:r>
      <w:r w:rsidRPr="00F05F81">
        <w:t xml:space="preserve">Teikėjas </w:t>
      </w:r>
      <w:r w:rsidRPr="00F05F81">
        <w:rPr>
          <w:shd w:val="clear" w:color="auto" w:fill="FFFFFF"/>
        </w:rPr>
        <w:t>turi teisę reikalauti mokėti 0,03 procento dydžio delspinigius už kiekvieną uždelstą dieną nuo vėluojamos sumokėti sumos. Delspinigiai skaičiuojami nuo mokėjimo termino pasibaigimo dienos (ši diena neįskaitoma) iki dienos, kurią lėšos nurašomos nuo Užsakovo sąskaitos (ši diena įskaitoma). Teikėjui pateikus reikalavimą sumokėti delspinigius, Užsakovas  sumoka delspinigius per 30 dienų nuo reikalavimo gavimo.</w:t>
      </w:r>
    </w:p>
    <w:p w14:paraId="62B56537"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 xml:space="preserve">7.2. Jeigu </w:t>
      </w:r>
      <w:r w:rsidRPr="00F05F81">
        <w:t xml:space="preserve">Teikėjas </w:t>
      </w:r>
      <w:r w:rsidRPr="00F05F81">
        <w:rPr>
          <w:shd w:val="clear" w:color="auto" w:fill="FFFFFF"/>
        </w:rPr>
        <w:t>vėluoja vykdyti sutartinius įsipareigojimus per Sutartyje nurodytą terminą, Užsakovas turi teisę be oficialaus įspėjimo ir neprarasdamas teisės į kitas savo teisių gynimo priemones pagal Sutartį pradėti skaičiuoti 0,03 procento dydžio delspinigius nuo laiku nesuteiktų Paslaugų mokėtinos dalies sumos pagal Sutarties sąlygas už kiekvieną termino praleidimo dieną, neviršijant 10 proc. bendros Sutarties kainos. Teikėjas delspinigius sumoka pervesdamas Užsakovui delspinigių sumą į Užsakovo banko sąskaitą per 30 dienų nuo reikalavimo gavimo dienos.</w:t>
      </w:r>
    </w:p>
    <w:p w14:paraId="63F8EAC3"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 xml:space="preserve">7.3. Jei apskaičiuoti delspinigiai viršija 10 proc. bendros Sutarties kainos arba Teikėjas Užsakovui nesumoka pagal pateiktą reikalavimą delspinigių ilgiau kaip 35 dienas, Užsakovas gali, prieš tai raštu įspėjęs </w:t>
      </w:r>
      <w:r w:rsidRPr="00F05F81">
        <w:t>Teikėją</w:t>
      </w:r>
      <w:r w:rsidRPr="00F05F81">
        <w:rPr>
          <w:shd w:val="clear" w:color="auto" w:fill="FFFFFF"/>
        </w:rPr>
        <w:t>:</w:t>
      </w:r>
    </w:p>
    <w:p w14:paraId="5F531760"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 xml:space="preserve">7.3.1. išskaičiuoti delspinigių sumą iš </w:t>
      </w:r>
      <w:r w:rsidRPr="00F05F81">
        <w:t xml:space="preserve">Teikėjui </w:t>
      </w:r>
      <w:r w:rsidRPr="00F05F81">
        <w:rPr>
          <w:shd w:val="clear" w:color="auto" w:fill="FFFFFF"/>
        </w:rPr>
        <w:t>mokėtinų sumų;</w:t>
      </w:r>
    </w:p>
    <w:p w14:paraId="11B4A43B"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7.3.2. pasinaudoti Sutarties įvykdymo užtikrinimu visai sumai;</w:t>
      </w:r>
    </w:p>
    <w:p w14:paraId="5A0D238E"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7.3.3. nutraukti Sutartį.</w:t>
      </w:r>
    </w:p>
    <w:p w14:paraId="4519DA4C"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7.4. Jeigu Teikėjas nevykdo, netinkamai vykdo sutartinius įsipareigojimus, Užsakovas turi teisę:</w:t>
      </w:r>
    </w:p>
    <w:p w14:paraId="0BD87C0A"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 xml:space="preserve">7.4.1. pasinaudoti Sutarties įvykdymo užtikrinimu Sutarties 4 punkte nustatyta tvarka; </w:t>
      </w:r>
    </w:p>
    <w:p w14:paraId="0B1B4ABA"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7.4.2. nutraukti Sutartį.</w:t>
      </w:r>
    </w:p>
    <w:p w14:paraId="310E72CD"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7.5. Delspinigių ir Sutarties įvykdymo užtikrinimo panaudojimas neatleidžia Sutarties Šalių nuo įsipareigojimų pagal šią Sutartį vykdymo.</w:t>
      </w:r>
    </w:p>
    <w:p w14:paraId="1256E2EA"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lastRenderedPageBreak/>
        <w:t>7.6.Sutartį nutraukus dėl Teikėjo kaltės, be jam priklausančio atlyginimo už faktiškai suteiktas Paslaugas, Teikėjas neturi teisės į jokių patirtų nuostolių ar žalos kompensaciją.</w:t>
      </w:r>
    </w:p>
    <w:p w14:paraId="2A4BE694" w14:textId="77777777" w:rsidR="0073441F" w:rsidRPr="00F05F81" w:rsidRDefault="0073441F" w:rsidP="0073441F">
      <w:pPr>
        <w:tabs>
          <w:tab w:val="left" w:pos="1418"/>
        </w:tabs>
        <w:ind w:firstLine="567"/>
        <w:jc w:val="both"/>
        <w:rPr>
          <w:shd w:val="clear" w:color="auto" w:fill="FFFFFF"/>
        </w:rPr>
      </w:pPr>
      <w:r w:rsidRPr="00F05F81">
        <w:rPr>
          <w:shd w:val="clear" w:color="auto" w:fill="FFFFFF"/>
          <w:lang w:val="en-US"/>
        </w:rPr>
        <w:t xml:space="preserve">7.7. </w:t>
      </w:r>
      <w:r w:rsidRPr="00F05F81">
        <w:rPr>
          <w:shd w:val="clear" w:color="auto" w:fill="FFFFFF"/>
        </w:rPr>
        <w:t>Šalys susitaria, kad visi Sutartyje nereglamentuoti klausimai sprendžiami vadovaujantis Lietuvos Respublikos teise.</w:t>
      </w:r>
    </w:p>
    <w:p w14:paraId="3CD97EC1" w14:textId="77777777" w:rsidR="0073441F" w:rsidRPr="00F05F81" w:rsidRDefault="0073441F" w:rsidP="0073441F">
      <w:pPr>
        <w:tabs>
          <w:tab w:val="left" w:pos="0"/>
        </w:tabs>
        <w:outlineLvl w:val="1"/>
        <w:rPr>
          <w:rFonts w:eastAsia="Calibri"/>
          <w:b/>
          <w:bCs/>
          <w:szCs w:val="22"/>
          <w:lang w:eastAsia="en-US"/>
        </w:rPr>
      </w:pPr>
    </w:p>
    <w:p w14:paraId="7EE0746C" w14:textId="77777777" w:rsidR="0073441F" w:rsidRPr="00F05F81" w:rsidRDefault="0073441F" w:rsidP="0073441F">
      <w:pPr>
        <w:tabs>
          <w:tab w:val="left" w:pos="0"/>
        </w:tabs>
        <w:ind w:left="928"/>
        <w:jc w:val="center"/>
        <w:outlineLvl w:val="1"/>
        <w:rPr>
          <w:rFonts w:eastAsia="Calibri"/>
          <w:b/>
          <w:bCs/>
          <w:szCs w:val="22"/>
          <w:lang w:eastAsia="en-US"/>
        </w:rPr>
      </w:pPr>
      <w:r w:rsidRPr="00F05F81">
        <w:rPr>
          <w:rFonts w:eastAsia="Calibri"/>
          <w:b/>
          <w:bCs/>
          <w:szCs w:val="22"/>
          <w:lang w:eastAsia="en-US"/>
        </w:rPr>
        <w:t>8. NENUGALIMOS JĖGOS APLINKYBĖS</w:t>
      </w:r>
    </w:p>
    <w:p w14:paraId="03DF49ED" w14:textId="77777777" w:rsidR="0073441F" w:rsidRPr="00F05F81" w:rsidRDefault="0073441F" w:rsidP="0073441F">
      <w:pPr>
        <w:tabs>
          <w:tab w:val="left" w:pos="0"/>
        </w:tabs>
        <w:ind w:left="928"/>
        <w:outlineLvl w:val="1"/>
        <w:rPr>
          <w:rFonts w:eastAsia="Calibri"/>
          <w:b/>
          <w:bCs/>
          <w:szCs w:val="22"/>
          <w:lang w:eastAsia="en-US"/>
        </w:rPr>
      </w:pPr>
    </w:p>
    <w:p w14:paraId="2823B1C9"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8.1. Šalys atleidžiamos nuo atsakomybės už Sutarties nevykdymą ar netinkamą vykdymą, jeigu įrodo, kad tai įvyko dėl atsiradusių nenugalimos jėgos (</w:t>
      </w:r>
      <w:r w:rsidRPr="00F05F81">
        <w:rPr>
          <w:i/>
          <w:iCs/>
          <w:shd w:val="clear" w:color="auto" w:fill="FFFFFF"/>
        </w:rPr>
        <w:t>force majeure</w:t>
      </w:r>
      <w:r w:rsidRPr="00F05F81">
        <w:rPr>
          <w:shd w:val="clear" w:color="auto" w:fill="FFFFFF"/>
        </w:rPr>
        <w:t>) aplinkybių. Nenugalimos jėgos aplinkybėmis laikomos aplinkybės, nurodytos Lietuvos Respublikos civilinio kodekso 6.212 straipsnyje ir Atleidimo nuo atsakomybės esant nenugalimos jėgos (</w:t>
      </w:r>
      <w:r w:rsidRPr="00F05F81">
        <w:rPr>
          <w:i/>
          <w:iCs/>
          <w:shd w:val="clear" w:color="auto" w:fill="FFFFFF"/>
        </w:rPr>
        <w:t>force majeure</w:t>
      </w:r>
      <w:r w:rsidRPr="00F05F81">
        <w:rPr>
          <w:shd w:val="clear" w:color="auto" w:fill="FFFFFF"/>
        </w:rPr>
        <w:t>) aplinkybėms taisyklėse, patvirtintose Lietuvos Respublikos Vyriausybės 1996 m. liepos 15 d. nutarimu Nr. 840 „Dėl Atleidimo nuo atsakomybės esant nenugalimos jėgos (</w:t>
      </w:r>
      <w:r w:rsidRPr="00F05F81">
        <w:rPr>
          <w:i/>
          <w:iCs/>
          <w:shd w:val="clear" w:color="auto" w:fill="FFFFFF"/>
        </w:rPr>
        <w:t>force majeure</w:t>
      </w:r>
      <w:r w:rsidRPr="00F05F81">
        <w:rPr>
          <w:shd w:val="clear" w:color="auto" w:fill="FFFFFF"/>
        </w:rPr>
        <w:t>) aplinkybėms taisyklių patvirtinimo“.</w:t>
      </w:r>
    </w:p>
    <w:p w14:paraId="7C6837B2"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8.2. Šalis, negalinti vykdyti savo įsipareigojimų dėl nenugalimos jėgos (</w:t>
      </w:r>
      <w:r w:rsidRPr="00F05F81">
        <w:rPr>
          <w:i/>
          <w:iCs/>
          <w:shd w:val="clear" w:color="auto" w:fill="FFFFFF"/>
        </w:rPr>
        <w:t>force majeure</w:t>
      </w:r>
      <w:r w:rsidRPr="00F05F81">
        <w:rPr>
          <w:shd w:val="clear" w:color="auto" w:fill="FFFFFF"/>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452D9309" w14:textId="77777777" w:rsidR="0073441F" w:rsidRPr="00F05F81" w:rsidRDefault="0073441F" w:rsidP="0073441F">
      <w:pPr>
        <w:tabs>
          <w:tab w:val="left" w:pos="1418"/>
        </w:tabs>
        <w:jc w:val="both"/>
        <w:rPr>
          <w:shd w:val="clear" w:color="auto" w:fill="FFFFFF"/>
        </w:rPr>
      </w:pPr>
    </w:p>
    <w:p w14:paraId="006EA55A" w14:textId="77777777" w:rsidR="0073441F" w:rsidRPr="00F05F81" w:rsidRDefault="0073441F" w:rsidP="0073441F">
      <w:pPr>
        <w:tabs>
          <w:tab w:val="left" w:pos="1701"/>
        </w:tabs>
        <w:ind w:left="1701"/>
        <w:jc w:val="center"/>
        <w:outlineLvl w:val="2"/>
        <w:rPr>
          <w:b/>
          <w:bCs/>
          <w:caps/>
        </w:rPr>
      </w:pPr>
      <w:r w:rsidRPr="00F05F81">
        <w:rPr>
          <w:b/>
          <w:bCs/>
          <w:caps/>
        </w:rPr>
        <w:t>9. Sutarties KEITIMAS ir nutraukimas</w:t>
      </w:r>
    </w:p>
    <w:p w14:paraId="2FCA2272" w14:textId="77777777" w:rsidR="0073441F" w:rsidRPr="00F05F81" w:rsidRDefault="0073441F" w:rsidP="0073441F">
      <w:pPr>
        <w:tabs>
          <w:tab w:val="left" w:pos="294"/>
        </w:tabs>
        <w:outlineLvl w:val="2"/>
        <w:rPr>
          <w:bCs/>
          <w:caps/>
        </w:rPr>
      </w:pPr>
    </w:p>
    <w:p w14:paraId="78984475" w14:textId="77777777" w:rsidR="0073441F" w:rsidRPr="00F05F81" w:rsidRDefault="0073441F" w:rsidP="0073441F">
      <w:pPr>
        <w:widowControl w:val="0"/>
        <w:tabs>
          <w:tab w:val="left" w:pos="1276"/>
          <w:tab w:val="left" w:pos="1843"/>
        </w:tabs>
        <w:ind w:firstLine="567"/>
        <w:jc w:val="both"/>
        <w:rPr>
          <w:kern w:val="2"/>
        </w:rPr>
      </w:pPr>
      <w:r w:rsidRPr="00F05F81">
        <w:rPr>
          <w:kern w:val="2"/>
        </w:rPr>
        <w:t xml:space="preserve">9.1.Sutarties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14:paraId="04872811" w14:textId="77777777" w:rsidR="0073441F" w:rsidRPr="00F05F81" w:rsidRDefault="0073441F" w:rsidP="0073441F">
      <w:pPr>
        <w:widowControl w:val="0"/>
        <w:tabs>
          <w:tab w:val="left" w:pos="1276"/>
          <w:tab w:val="left" w:pos="1843"/>
        </w:tabs>
        <w:ind w:firstLine="567"/>
        <w:jc w:val="both"/>
        <w:rPr>
          <w:kern w:val="2"/>
        </w:rPr>
      </w:pPr>
      <w:r w:rsidRPr="00F05F81">
        <w:rPr>
          <w:kern w:val="2"/>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5018D118" w14:textId="77777777" w:rsidR="0073441F" w:rsidRPr="00F05F81" w:rsidRDefault="0073441F" w:rsidP="0073441F">
      <w:pPr>
        <w:widowControl w:val="0"/>
        <w:tabs>
          <w:tab w:val="left" w:pos="1276"/>
          <w:tab w:val="left" w:pos="1843"/>
        </w:tabs>
        <w:ind w:firstLine="567"/>
        <w:jc w:val="both"/>
        <w:rPr>
          <w:kern w:val="2"/>
        </w:rPr>
      </w:pPr>
      <w:r w:rsidRPr="00F05F81">
        <w:rPr>
          <w:kern w:val="2"/>
        </w:rPr>
        <w:t xml:space="preserve">9.3. Sutarties vykdymo laikotarpiu gali būti: </w:t>
      </w:r>
    </w:p>
    <w:p w14:paraId="631A530B" w14:textId="77777777" w:rsidR="0073441F" w:rsidRPr="00F05F81" w:rsidRDefault="0073441F" w:rsidP="0073441F">
      <w:pPr>
        <w:widowControl w:val="0"/>
        <w:tabs>
          <w:tab w:val="left" w:pos="1276"/>
          <w:tab w:val="left" w:pos="1843"/>
        </w:tabs>
        <w:ind w:firstLine="567"/>
        <w:jc w:val="both"/>
        <w:rPr>
          <w:kern w:val="2"/>
        </w:rPr>
      </w:pPr>
      <w:r w:rsidRPr="00F05F81">
        <w:rPr>
          <w:kern w:val="2"/>
        </w:rPr>
        <w:t>9.3.1.atliekami techninio pobūdžio pakeitimai, kurie visiškai neįtakoja šalių tarpusavio įsipareigojimų turinio pakeitimo (pvz. Sutarties šalių rekvizitai, techninės klaidos, taisomos Sutarties nuostatos, kurios prieštarauja imperatyviems teisės aktų reikalavimams);</w:t>
      </w:r>
    </w:p>
    <w:p w14:paraId="03F0B839" w14:textId="77777777" w:rsidR="0073441F" w:rsidRPr="00F05F81" w:rsidRDefault="0073441F" w:rsidP="0073441F">
      <w:pPr>
        <w:widowControl w:val="0"/>
        <w:tabs>
          <w:tab w:val="left" w:pos="1276"/>
          <w:tab w:val="left" w:pos="1843"/>
        </w:tabs>
        <w:ind w:firstLine="567"/>
        <w:jc w:val="both"/>
        <w:rPr>
          <w:kern w:val="2"/>
        </w:rPr>
      </w:pPr>
      <w:r w:rsidRPr="00F05F81">
        <w:rPr>
          <w:kern w:val="2"/>
        </w:rPr>
        <w:t xml:space="preserve">9.3.2. keičiama kaina pagal kainodaros taisykles, kai teisės aktais yra pakeičiamas Sutartyje nurodytoms Paslaugoms taikomas pridėtinės vertės mokestis; </w:t>
      </w:r>
    </w:p>
    <w:p w14:paraId="44D81369" w14:textId="77777777" w:rsidR="0073441F" w:rsidRPr="00F05F81" w:rsidRDefault="0073441F" w:rsidP="0073441F">
      <w:pPr>
        <w:widowControl w:val="0"/>
        <w:tabs>
          <w:tab w:val="left" w:pos="1276"/>
          <w:tab w:val="left" w:pos="1843"/>
        </w:tabs>
        <w:ind w:firstLine="567"/>
        <w:jc w:val="both"/>
        <w:rPr>
          <w:shd w:val="clear" w:color="auto" w:fill="FFFFFF"/>
          <w:lang w:eastAsia="zh-CN"/>
        </w:rPr>
      </w:pPr>
      <w:r w:rsidRPr="00F05F81">
        <w:rPr>
          <w:shd w:val="clear" w:color="auto" w:fill="FFFFFF"/>
          <w:lang w:eastAsia="zh-CN"/>
        </w:rPr>
        <w:t xml:space="preserve">9.3.3. keičiami Teikėjo pasiūlyme nurodyti ekspertai, tik tuo atveju jeigu jie suserga ar atsisako eiti eksperto pareigas. Keičiami ekspertai turi atitikti konkurso sąlygose nustatytus kvalifikacijos reikalavimus ir pateikti kvalifikaciją patvirtinančius dokumentus, kaip nustatyta konkurso sąlygose; </w:t>
      </w:r>
    </w:p>
    <w:p w14:paraId="306D7F88" w14:textId="77777777" w:rsidR="0073441F" w:rsidRPr="00F05F81" w:rsidRDefault="0073441F" w:rsidP="0073441F">
      <w:pPr>
        <w:widowControl w:val="0"/>
        <w:tabs>
          <w:tab w:val="left" w:pos="1276"/>
          <w:tab w:val="left" w:pos="1843"/>
        </w:tabs>
        <w:ind w:firstLine="567"/>
        <w:jc w:val="both"/>
        <w:rPr>
          <w:kern w:val="2"/>
        </w:rPr>
      </w:pPr>
      <w:r w:rsidRPr="00F05F81">
        <w:rPr>
          <w:kern w:val="2"/>
        </w:rPr>
        <w:t xml:space="preserve">9.3.4. jei keičiamas subteikėjas, kuris </w:t>
      </w:r>
      <w:r w:rsidRPr="00F05F81">
        <w:rPr>
          <w:lang w:eastAsia="zh-CN"/>
        </w:rPr>
        <w:t>netinkamai vykdo įsipareigojimus</w:t>
      </w:r>
      <w:r w:rsidRPr="00F05F81">
        <w:rPr>
          <w:kern w:val="2"/>
        </w:rPr>
        <w:t xml:space="preserve"> arba sustabdo savo veiklą, </w:t>
      </w:r>
      <w:r w:rsidRPr="00F05F81">
        <w:rPr>
          <w:lang w:eastAsia="zh-CN"/>
        </w:rPr>
        <w:t xml:space="preserve">taip pat tuo atveju, kai </w:t>
      </w:r>
      <w:r w:rsidRPr="00F05F81">
        <w:rPr>
          <w:shd w:val="clear" w:color="auto" w:fill="FFFFFF"/>
        </w:rPr>
        <w:t xml:space="preserve">subteikėjas </w:t>
      </w:r>
      <w:r w:rsidRPr="00F05F81">
        <w:rPr>
          <w:lang w:eastAsia="zh-CN"/>
        </w:rPr>
        <w:t xml:space="preserve">nepajėgus vykdyti įsipareigojimų dėl iškeltos bankroto bylos, </w:t>
      </w:r>
      <w:r w:rsidRPr="00F05F81">
        <w:rPr>
          <w:lang w:eastAsia="lt-LT"/>
        </w:rPr>
        <w:t>bankroto proceso vykdymo ne teismo tvarka, restruktūrizavimo, priverstinio likvidavimo procedūros arba jiems vykdomų analogiškų procedūrų, arba esant kitoms objektyvioms aplinkybėms (</w:t>
      </w:r>
      <w:r w:rsidRPr="00F05F81">
        <w:rPr>
          <w:kern w:val="2"/>
        </w:rPr>
        <w:t>Sutarties vykdymo metu pasinaudojus galimybe keisti pasitelktą subteikėją kitu, naujas subteikėjas turi atitikti tuos kvalifikacijos reikalavimus, kurie buvo nustatyti pasitelkiamam subteikėjui pirkimo dokumentuose) (</w:t>
      </w:r>
      <w:r w:rsidRPr="00F05F81">
        <w:rPr>
          <w:i/>
          <w:kern w:val="2"/>
        </w:rPr>
        <w:t>jei taikoma</w:t>
      </w:r>
      <w:r w:rsidRPr="00F05F81">
        <w:rPr>
          <w:kern w:val="2"/>
        </w:rPr>
        <w:t>);</w:t>
      </w:r>
    </w:p>
    <w:p w14:paraId="73C25CD2" w14:textId="77777777" w:rsidR="0073441F" w:rsidRPr="00F05F81" w:rsidRDefault="0073441F" w:rsidP="0073441F">
      <w:pPr>
        <w:widowControl w:val="0"/>
        <w:tabs>
          <w:tab w:val="left" w:pos="1276"/>
          <w:tab w:val="left" w:pos="1843"/>
        </w:tabs>
        <w:ind w:firstLine="567"/>
        <w:jc w:val="both"/>
        <w:rPr>
          <w:kern w:val="2"/>
        </w:rPr>
      </w:pPr>
      <w:r w:rsidRPr="00F05F81">
        <w:rPr>
          <w:kern w:val="2"/>
        </w:rPr>
        <w:t xml:space="preserve">9.3.5. keičiami paslaugų teikimo terminai. </w:t>
      </w:r>
    </w:p>
    <w:p w14:paraId="026FCB05" w14:textId="77777777" w:rsidR="0073441F" w:rsidRPr="00F05F81" w:rsidRDefault="0073441F" w:rsidP="0073441F">
      <w:pPr>
        <w:widowControl w:val="0"/>
        <w:tabs>
          <w:tab w:val="left" w:pos="1276"/>
          <w:tab w:val="left" w:pos="1843"/>
        </w:tabs>
        <w:ind w:firstLine="567"/>
        <w:jc w:val="both"/>
        <w:rPr>
          <w:kern w:val="2"/>
        </w:rPr>
      </w:pPr>
      <w:r w:rsidRPr="00F05F81">
        <w:rPr>
          <w:kern w:val="2"/>
        </w:rPr>
        <w:t xml:space="preserve">9.4. Sutarties galiojimo laikotarpiu Šalis, inicijuojanti Sutarties sąlygų dėl esminių sutarties </w:t>
      </w:r>
      <w:r w:rsidRPr="00F05F81">
        <w:rPr>
          <w:kern w:val="2"/>
        </w:rPr>
        <w:lastRenderedPageBreak/>
        <w:t>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w:t>
      </w:r>
      <w:r w:rsidRPr="00F05F81">
        <w:rPr>
          <w:color w:val="000000"/>
          <w:kern w:val="2"/>
        </w:rPr>
        <w:t xml:space="preserve"> </w:t>
      </w:r>
      <w:r w:rsidRPr="00F05F81">
        <w:rPr>
          <w:kern w:val="2"/>
        </w:rPr>
        <w:t xml:space="preserve">Šalims tarpusavyje susitarus dėl Sutarties sąlygų keitimo šie keitimai įforminami ir tampa Sutarties dalimi.  </w:t>
      </w:r>
    </w:p>
    <w:p w14:paraId="15CC337E" w14:textId="77777777" w:rsidR="0073441F" w:rsidRPr="00F05F81" w:rsidRDefault="0073441F" w:rsidP="0073441F">
      <w:pPr>
        <w:tabs>
          <w:tab w:val="left" w:pos="1418"/>
          <w:tab w:val="right" w:pos="9638"/>
        </w:tabs>
        <w:ind w:firstLine="567"/>
        <w:jc w:val="both"/>
        <w:rPr>
          <w:shd w:val="clear" w:color="auto" w:fill="FFFFFF"/>
        </w:rPr>
      </w:pPr>
      <w:r w:rsidRPr="00F05F81">
        <w:rPr>
          <w:shd w:val="clear" w:color="auto" w:fill="FFFFFF"/>
        </w:rPr>
        <w:t>9.5. Užsakovas turi teisę vienašališkai nutraukti Sutartį, nuo to momento, kai sužino, kad:</w:t>
      </w:r>
      <w:r w:rsidRPr="00F05F81">
        <w:rPr>
          <w:shd w:val="clear" w:color="auto" w:fill="FFFFFF"/>
        </w:rPr>
        <w:tab/>
      </w:r>
    </w:p>
    <w:p w14:paraId="55E036DA"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9.6.1. Teikėjas bankrutuoja arba yra likviduojamas, kai sustabdo ūkinę veiklą, arba kai įstatymuose ir kituose teisės aktuose numatyta tvarka susidaro analogiška situacija;</w:t>
      </w:r>
    </w:p>
    <w:p w14:paraId="15A51E04"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9.6.2. keičiasi Teikėjo organizacinė struktūra – juridinis statusas, pobūdis ar valdymo struktūra ir tai gali turėti įtakos tinkamam Sutarties įvykdymui, išskyrus atvejus, kad dėl šių pasikeitimų keičiama Sutartis.</w:t>
      </w:r>
    </w:p>
    <w:p w14:paraId="7A7D4A9A"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9.7.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33A3FD44"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 xml:space="preserve">9.8. Sutartis gali būti nutraukta esant pagrindams nurodytiems Lietuvos Respublikos viešųjų pirkimų įstatymo 90 straipsnyje bei laikantis šiame straipsnyje nustatytos tvarkos. </w:t>
      </w:r>
    </w:p>
    <w:p w14:paraId="3537F557"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9.9. Sutartis nutraukiama nesuėjus Sutartyje numatytam terminui tuo atveju, jeigu Užsakovas nebevykdo funkcijų, kurioms atlikti buvo sudaryta Sutartis.</w:t>
      </w:r>
    </w:p>
    <w:p w14:paraId="3ECBEA11"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9.10. Sutarties nutraukimas įforminamas Šalių susitarimu dėl Sutarties nutraukimo.</w:t>
      </w:r>
    </w:p>
    <w:p w14:paraId="2FDF5163"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9.11. Visiškai pagal Sutartį atsiskaičiusi Šalis siunčia kitai Šaliai pranešimą apie tinkamą savo įsipareigojimų įvykdymą.</w:t>
      </w:r>
    </w:p>
    <w:p w14:paraId="25421A2F" w14:textId="77777777" w:rsidR="0073441F" w:rsidRPr="00F05F81" w:rsidRDefault="0073441F" w:rsidP="0073441F">
      <w:pPr>
        <w:tabs>
          <w:tab w:val="left" w:pos="0"/>
        </w:tabs>
        <w:ind w:left="851"/>
        <w:jc w:val="center"/>
        <w:outlineLvl w:val="1"/>
        <w:rPr>
          <w:b/>
          <w:bCs/>
        </w:rPr>
      </w:pPr>
    </w:p>
    <w:p w14:paraId="73F34108" w14:textId="77777777" w:rsidR="0073441F" w:rsidRPr="00F05F81" w:rsidRDefault="0073441F" w:rsidP="0073441F">
      <w:pPr>
        <w:tabs>
          <w:tab w:val="left" w:pos="0"/>
        </w:tabs>
        <w:ind w:left="851"/>
        <w:jc w:val="center"/>
        <w:outlineLvl w:val="1"/>
        <w:rPr>
          <w:b/>
          <w:bCs/>
        </w:rPr>
      </w:pPr>
      <w:r w:rsidRPr="00F05F81">
        <w:rPr>
          <w:b/>
          <w:bCs/>
        </w:rPr>
        <w:t>10. GINČŲ SPRENDIMAS</w:t>
      </w:r>
    </w:p>
    <w:p w14:paraId="5612C671" w14:textId="77777777" w:rsidR="0073441F" w:rsidRPr="00F05F81" w:rsidRDefault="0073441F" w:rsidP="0073441F"/>
    <w:p w14:paraId="2953C4AE" w14:textId="77777777" w:rsidR="0073441F" w:rsidRPr="00F05F81" w:rsidRDefault="0073441F" w:rsidP="0073441F">
      <w:pPr>
        <w:ind w:firstLine="567"/>
        <w:contextualSpacing/>
        <w:jc w:val="both"/>
        <w:outlineLvl w:val="1"/>
        <w:rPr>
          <w:bCs/>
        </w:rPr>
      </w:pPr>
      <w:r w:rsidRPr="00F05F81">
        <w:rPr>
          <w:shd w:val="clear" w:color="auto" w:fill="FFFFFF"/>
        </w:rPr>
        <w:t xml:space="preserve">10.1. </w:t>
      </w:r>
      <w:r w:rsidRPr="00F05F81">
        <w:rPr>
          <w:bCs/>
        </w:rPr>
        <w:t>Visus ginčus, klausimus ar nesutarimus dėl Sutarties sąlygų, kurie gali atsirasti, vykdant šią Sutartį, taip pat dėl to, kas neaptarta šioje Sutartyje, Šalys susitaria spręsti ir Sutartį aiškinti vadovaujantis pirkimo dokumentais, Teikėjo pasiūlymu, Lietuvos Respublikos viešųjų pirkimų įstatymu, Lietuvos Respublikos civiliniu kodeksu ir kitais teisės aktais.</w:t>
      </w:r>
    </w:p>
    <w:p w14:paraId="0DAD02B5"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10.2. 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414D95C6"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10.3. Šiai sutarčiai taikoma ir ji aiškinama pagal Lietuvos Respublikos teisę.</w:t>
      </w:r>
    </w:p>
    <w:p w14:paraId="5877935C" w14:textId="77777777" w:rsidR="0073441F" w:rsidRPr="00F05F81" w:rsidRDefault="0073441F" w:rsidP="0073441F">
      <w:pPr>
        <w:tabs>
          <w:tab w:val="left" w:pos="0"/>
        </w:tabs>
        <w:jc w:val="center"/>
        <w:outlineLvl w:val="1"/>
        <w:rPr>
          <w:b/>
          <w:bCs/>
        </w:rPr>
      </w:pPr>
    </w:p>
    <w:p w14:paraId="7E5D26BB" w14:textId="77777777" w:rsidR="0073441F" w:rsidRPr="00F05F81" w:rsidRDefault="0073441F" w:rsidP="0073441F">
      <w:pPr>
        <w:tabs>
          <w:tab w:val="left" w:pos="0"/>
        </w:tabs>
        <w:jc w:val="center"/>
        <w:outlineLvl w:val="1"/>
        <w:rPr>
          <w:b/>
          <w:bCs/>
        </w:rPr>
      </w:pPr>
      <w:r w:rsidRPr="00F05F81">
        <w:rPr>
          <w:b/>
          <w:bCs/>
        </w:rPr>
        <w:t>11. SUSIRAŠINĖJIMAS</w:t>
      </w:r>
    </w:p>
    <w:p w14:paraId="56A3CCDE" w14:textId="77777777" w:rsidR="0073441F" w:rsidRPr="00F05F81" w:rsidRDefault="0073441F" w:rsidP="0073441F">
      <w:pPr>
        <w:tabs>
          <w:tab w:val="left" w:pos="0"/>
        </w:tabs>
        <w:outlineLvl w:val="1"/>
        <w:rPr>
          <w:bCs/>
        </w:rPr>
      </w:pPr>
    </w:p>
    <w:p w14:paraId="64F74114"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11.1.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už sutartį atsakingam asmeniui:</w:t>
      </w:r>
    </w:p>
    <w:tbl>
      <w:tblPr>
        <w:tblW w:w="9660" w:type="dxa"/>
        <w:tblInd w:w="2" w:type="dxa"/>
        <w:tblLayout w:type="fixed"/>
        <w:tblLook w:val="00A0" w:firstRow="1" w:lastRow="0" w:firstColumn="1" w:lastColumn="0" w:noHBand="0" w:noVBand="0"/>
      </w:tblPr>
      <w:tblGrid>
        <w:gridCol w:w="2148"/>
        <w:gridCol w:w="3827"/>
        <w:gridCol w:w="3685"/>
      </w:tblGrid>
      <w:tr w:rsidR="0073441F" w:rsidRPr="00F05F81" w14:paraId="14204218" w14:textId="77777777" w:rsidTr="00CD49D6">
        <w:trPr>
          <w:trHeight w:val="276"/>
        </w:trPr>
        <w:tc>
          <w:tcPr>
            <w:tcW w:w="2148" w:type="dxa"/>
            <w:tcBorders>
              <w:top w:val="nil"/>
              <w:left w:val="nil"/>
              <w:bottom w:val="single" w:sz="4" w:space="0" w:color="auto"/>
              <w:right w:val="nil"/>
            </w:tcBorders>
          </w:tcPr>
          <w:p w14:paraId="7C8893B3" w14:textId="77777777" w:rsidR="0073441F" w:rsidRPr="00F05F81" w:rsidRDefault="0073441F" w:rsidP="00624A2A">
            <w:pPr>
              <w:tabs>
                <w:tab w:val="left" w:pos="1418"/>
              </w:tabs>
              <w:snapToGrid w:val="0"/>
              <w:ind w:firstLine="851"/>
              <w:rPr>
                <w:b/>
                <w:bCs/>
                <w:shd w:val="clear" w:color="auto" w:fill="FFFFFF"/>
                <w:lang w:eastAsia="zh-CN"/>
              </w:rPr>
            </w:pPr>
          </w:p>
        </w:tc>
        <w:tc>
          <w:tcPr>
            <w:tcW w:w="3827" w:type="dxa"/>
            <w:tcBorders>
              <w:top w:val="nil"/>
              <w:left w:val="nil"/>
              <w:bottom w:val="single" w:sz="4" w:space="0" w:color="auto"/>
              <w:right w:val="nil"/>
            </w:tcBorders>
            <w:hideMark/>
          </w:tcPr>
          <w:p w14:paraId="1E972866" w14:textId="77777777" w:rsidR="0073441F" w:rsidRPr="00F05F81" w:rsidRDefault="0073441F" w:rsidP="00624A2A">
            <w:pPr>
              <w:tabs>
                <w:tab w:val="left" w:pos="1418"/>
              </w:tabs>
              <w:snapToGrid w:val="0"/>
              <w:ind w:firstLine="851"/>
              <w:rPr>
                <w:b/>
                <w:bCs/>
                <w:shd w:val="clear" w:color="auto" w:fill="FFFFFF"/>
                <w:lang w:eastAsia="zh-CN"/>
              </w:rPr>
            </w:pPr>
            <w:r w:rsidRPr="00F05F81">
              <w:rPr>
                <w:b/>
                <w:bCs/>
                <w:shd w:val="clear" w:color="auto" w:fill="FFFFFF"/>
              </w:rPr>
              <w:t>Užsakovo vardu</w:t>
            </w:r>
          </w:p>
        </w:tc>
        <w:tc>
          <w:tcPr>
            <w:tcW w:w="3685" w:type="dxa"/>
            <w:tcBorders>
              <w:top w:val="nil"/>
              <w:left w:val="nil"/>
              <w:bottom w:val="single" w:sz="4" w:space="0" w:color="auto"/>
              <w:right w:val="nil"/>
            </w:tcBorders>
            <w:hideMark/>
          </w:tcPr>
          <w:p w14:paraId="27F599F6" w14:textId="77777777" w:rsidR="0073441F" w:rsidRPr="00645FBF" w:rsidRDefault="0073441F" w:rsidP="00624A2A">
            <w:pPr>
              <w:tabs>
                <w:tab w:val="left" w:pos="1418"/>
              </w:tabs>
              <w:snapToGrid w:val="0"/>
              <w:ind w:firstLine="34"/>
              <w:jc w:val="center"/>
              <w:rPr>
                <w:b/>
                <w:bCs/>
                <w:shd w:val="clear" w:color="auto" w:fill="FFFFFF"/>
                <w:lang w:eastAsia="zh-CN"/>
              </w:rPr>
            </w:pPr>
            <w:r w:rsidRPr="00645FBF">
              <w:rPr>
                <w:b/>
                <w:bCs/>
                <w:shd w:val="clear" w:color="auto" w:fill="FFFFFF"/>
              </w:rPr>
              <w:t>Teikėjo vardu</w:t>
            </w:r>
          </w:p>
        </w:tc>
      </w:tr>
      <w:tr w:rsidR="0073441F" w:rsidRPr="00F05F81" w14:paraId="27AA4628" w14:textId="77777777" w:rsidTr="00CD49D6">
        <w:trPr>
          <w:trHeight w:val="276"/>
        </w:trPr>
        <w:tc>
          <w:tcPr>
            <w:tcW w:w="2148" w:type="dxa"/>
            <w:tcBorders>
              <w:top w:val="single" w:sz="4" w:space="0" w:color="auto"/>
              <w:left w:val="single" w:sz="4" w:space="0" w:color="auto"/>
              <w:bottom w:val="single" w:sz="4" w:space="0" w:color="auto"/>
              <w:right w:val="single" w:sz="4" w:space="0" w:color="auto"/>
            </w:tcBorders>
            <w:hideMark/>
          </w:tcPr>
          <w:p w14:paraId="34945063" w14:textId="77777777" w:rsidR="0073441F" w:rsidRPr="00F05F81" w:rsidRDefault="0073441F" w:rsidP="00624A2A">
            <w:pPr>
              <w:tabs>
                <w:tab w:val="left" w:pos="1418"/>
              </w:tabs>
              <w:snapToGrid w:val="0"/>
              <w:rPr>
                <w:shd w:val="clear" w:color="auto" w:fill="FFFFFF"/>
                <w:lang w:eastAsia="zh-CN"/>
              </w:rPr>
            </w:pPr>
            <w:r w:rsidRPr="00F05F81">
              <w:rPr>
                <w:b/>
                <w:bCs/>
                <w:shd w:val="clear" w:color="auto" w:fill="FFFFFF"/>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38DCAC40" w14:textId="26F162A4" w:rsidR="0073441F" w:rsidRPr="00F05F81" w:rsidRDefault="00CD49D6" w:rsidP="00624A2A">
            <w:pPr>
              <w:tabs>
                <w:tab w:val="left" w:pos="1418"/>
              </w:tabs>
              <w:snapToGrid w:val="0"/>
              <w:rPr>
                <w:shd w:val="clear" w:color="auto" w:fill="FFFFFF"/>
                <w:lang w:eastAsia="zh-CN"/>
              </w:rPr>
            </w:pPr>
            <w:r>
              <w:rPr>
                <w:shd w:val="clear" w:color="auto" w:fill="FFFFFF"/>
                <w:lang w:eastAsia="zh-CN"/>
              </w:rPr>
              <w:t>Nijolė Remeikaitė-Nikienė</w:t>
            </w:r>
          </w:p>
        </w:tc>
        <w:tc>
          <w:tcPr>
            <w:tcW w:w="3685" w:type="dxa"/>
            <w:tcBorders>
              <w:top w:val="single" w:sz="4" w:space="0" w:color="auto"/>
              <w:left w:val="single" w:sz="4" w:space="0" w:color="auto"/>
              <w:bottom w:val="single" w:sz="4" w:space="0" w:color="auto"/>
              <w:right w:val="single" w:sz="4" w:space="0" w:color="auto"/>
            </w:tcBorders>
            <w:vAlign w:val="center"/>
          </w:tcPr>
          <w:p w14:paraId="04C8D544" w14:textId="75E03F18" w:rsidR="0073441F" w:rsidRPr="00645FBF" w:rsidRDefault="00643E19" w:rsidP="00624A2A">
            <w:pPr>
              <w:snapToGrid w:val="0"/>
              <w:rPr>
                <w:lang w:eastAsia="zh-CN"/>
              </w:rPr>
            </w:pPr>
            <w:r w:rsidRPr="00645FBF">
              <w:rPr>
                <w:lang w:eastAsia="zh-CN"/>
              </w:rPr>
              <w:t>Ričardas Paškauskas</w:t>
            </w:r>
          </w:p>
        </w:tc>
      </w:tr>
      <w:tr w:rsidR="0073441F" w:rsidRPr="00F05F81" w14:paraId="67173B0C" w14:textId="77777777" w:rsidTr="00CD49D6">
        <w:trPr>
          <w:trHeight w:val="276"/>
        </w:trPr>
        <w:tc>
          <w:tcPr>
            <w:tcW w:w="2148" w:type="dxa"/>
            <w:tcBorders>
              <w:top w:val="single" w:sz="4" w:space="0" w:color="auto"/>
              <w:left w:val="single" w:sz="4" w:space="0" w:color="auto"/>
              <w:bottom w:val="single" w:sz="4" w:space="0" w:color="auto"/>
              <w:right w:val="single" w:sz="4" w:space="0" w:color="auto"/>
            </w:tcBorders>
            <w:hideMark/>
          </w:tcPr>
          <w:p w14:paraId="4A5225B4" w14:textId="77777777" w:rsidR="0073441F" w:rsidRPr="00F05F81" w:rsidRDefault="0073441F" w:rsidP="00624A2A">
            <w:pPr>
              <w:tabs>
                <w:tab w:val="left" w:pos="1418"/>
              </w:tabs>
              <w:snapToGrid w:val="0"/>
              <w:rPr>
                <w:shd w:val="clear" w:color="auto" w:fill="FFFFFF"/>
                <w:lang w:eastAsia="zh-CN"/>
              </w:rPr>
            </w:pPr>
            <w:r w:rsidRPr="00F05F81">
              <w:rPr>
                <w:b/>
                <w:bCs/>
                <w:shd w:val="clear" w:color="auto" w:fill="FFFFFF"/>
              </w:rPr>
              <w:lastRenderedPageBreak/>
              <w:t>Adresas</w:t>
            </w:r>
          </w:p>
        </w:tc>
        <w:tc>
          <w:tcPr>
            <w:tcW w:w="3827" w:type="dxa"/>
            <w:tcBorders>
              <w:top w:val="single" w:sz="4" w:space="0" w:color="auto"/>
              <w:left w:val="single" w:sz="4" w:space="0" w:color="auto"/>
              <w:bottom w:val="single" w:sz="4" w:space="0" w:color="auto"/>
              <w:right w:val="single" w:sz="4" w:space="0" w:color="auto"/>
            </w:tcBorders>
          </w:tcPr>
          <w:p w14:paraId="4C7D3492" w14:textId="04C82801" w:rsidR="0073441F" w:rsidRPr="005B55F2" w:rsidRDefault="005B55F2" w:rsidP="005B55F2">
            <w:pPr>
              <w:tabs>
                <w:tab w:val="left" w:pos="1418"/>
              </w:tabs>
              <w:snapToGrid w:val="0"/>
              <w:rPr>
                <w:shd w:val="clear" w:color="auto" w:fill="FFFFFF"/>
                <w:lang w:eastAsia="zh-CN"/>
              </w:rPr>
            </w:pPr>
            <w:r>
              <w:rPr>
                <w:shd w:val="clear" w:color="auto" w:fill="FFFFFF"/>
                <w:lang w:eastAsia="zh-CN"/>
              </w:rPr>
              <w:t>Taikos pr.26, Klaipėda LT-91222</w:t>
            </w:r>
          </w:p>
        </w:tc>
        <w:tc>
          <w:tcPr>
            <w:tcW w:w="3685" w:type="dxa"/>
            <w:tcBorders>
              <w:top w:val="single" w:sz="4" w:space="0" w:color="auto"/>
              <w:left w:val="single" w:sz="4" w:space="0" w:color="auto"/>
              <w:bottom w:val="single" w:sz="4" w:space="0" w:color="auto"/>
              <w:right w:val="single" w:sz="4" w:space="0" w:color="auto"/>
            </w:tcBorders>
          </w:tcPr>
          <w:p w14:paraId="7A569822" w14:textId="7A18AA07" w:rsidR="0073441F" w:rsidRPr="00645FBF" w:rsidRDefault="00643E19" w:rsidP="00624A2A">
            <w:pPr>
              <w:snapToGrid w:val="0"/>
              <w:rPr>
                <w:lang w:eastAsia="zh-CN"/>
              </w:rPr>
            </w:pPr>
            <w:r w:rsidRPr="00645FBF">
              <w:rPr>
                <w:lang w:eastAsia="zh-CN"/>
              </w:rPr>
              <w:t>Akademijos g. 2, Vilnius, LT-08412</w:t>
            </w:r>
          </w:p>
        </w:tc>
      </w:tr>
      <w:tr w:rsidR="0073441F" w:rsidRPr="00F05F81" w14:paraId="6634CD30" w14:textId="77777777" w:rsidTr="00CD49D6">
        <w:trPr>
          <w:trHeight w:val="276"/>
        </w:trPr>
        <w:tc>
          <w:tcPr>
            <w:tcW w:w="2148" w:type="dxa"/>
            <w:tcBorders>
              <w:top w:val="single" w:sz="4" w:space="0" w:color="auto"/>
              <w:left w:val="single" w:sz="4" w:space="0" w:color="auto"/>
              <w:bottom w:val="single" w:sz="4" w:space="0" w:color="auto"/>
              <w:right w:val="single" w:sz="4" w:space="0" w:color="auto"/>
            </w:tcBorders>
            <w:hideMark/>
          </w:tcPr>
          <w:p w14:paraId="01412E61" w14:textId="77777777" w:rsidR="0073441F" w:rsidRPr="00F05F81" w:rsidRDefault="0073441F" w:rsidP="00624A2A">
            <w:pPr>
              <w:tabs>
                <w:tab w:val="left" w:pos="1418"/>
              </w:tabs>
              <w:snapToGrid w:val="0"/>
              <w:rPr>
                <w:shd w:val="clear" w:color="auto" w:fill="FFFFFF"/>
                <w:lang w:eastAsia="zh-CN"/>
              </w:rPr>
            </w:pPr>
            <w:r w:rsidRPr="00F05F81">
              <w:rPr>
                <w:b/>
                <w:bCs/>
                <w:shd w:val="clear" w:color="auto" w:fill="FFFFFF"/>
              </w:rPr>
              <w:t>Telefonas</w:t>
            </w:r>
          </w:p>
        </w:tc>
        <w:tc>
          <w:tcPr>
            <w:tcW w:w="3827" w:type="dxa"/>
            <w:tcBorders>
              <w:top w:val="single" w:sz="4" w:space="0" w:color="auto"/>
              <w:left w:val="single" w:sz="4" w:space="0" w:color="auto"/>
              <w:bottom w:val="single" w:sz="4" w:space="0" w:color="auto"/>
              <w:right w:val="single" w:sz="4" w:space="0" w:color="auto"/>
            </w:tcBorders>
          </w:tcPr>
          <w:p w14:paraId="3C9CEBBF" w14:textId="4E7FBAE7" w:rsidR="0073441F" w:rsidRPr="00F05F81" w:rsidRDefault="00CD49D6" w:rsidP="00624A2A">
            <w:pPr>
              <w:tabs>
                <w:tab w:val="left" w:pos="1418"/>
              </w:tabs>
              <w:snapToGrid w:val="0"/>
              <w:rPr>
                <w:shd w:val="clear" w:color="auto" w:fill="FFFFFF"/>
                <w:lang w:eastAsia="zh-CN"/>
              </w:rPr>
            </w:pPr>
            <w:r>
              <w:rPr>
                <w:shd w:val="clear" w:color="auto" w:fill="FFFFFF"/>
                <w:lang w:eastAsia="zh-CN"/>
              </w:rPr>
              <w:t>846410455</w:t>
            </w:r>
          </w:p>
        </w:tc>
        <w:tc>
          <w:tcPr>
            <w:tcW w:w="3685" w:type="dxa"/>
            <w:tcBorders>
              <w:top w:val="single" w:sz="4" w:space="0" w:color="auto"/>
              <w:left w:val="single" w:sz="4" w:space="0" w:color="auto"/>
              <w:bottom w:val="single" w:sz="4" w:space="0" w:color="auto"/>
              <w:right w:val="single" w:sz="4" w:space="0" w:color="auto"/>
            </w:tcBorders>
          </w:tcPr>
          <w:p w14:paraId="6B0CD42E" w14:textId="59BE786D" w:rsidR="0073441F" w:rsidRPr="00645FBF" w:rsidRDefault="00643E19" w:rsidP="00624A2A">
            <w:pPr>
              <w:snapToGrid w:val="0"/>
              <w:rPr>
                <w:lang w:eastAsia="zh-CN"/>
              </w:rPr>
            </w:pPr>
            <w:r w:rsidRPr="00645FBF">
              <w:rPr>
                <w:lang w:eastAsia="zh-CN"/>
              </w:rPr>
              <w:t>(8 5) 270 1503</w:t>
            </w:r>
          </w:p>
        </w:tc>
      </w:tr>
      <w:tr w:rsidR="0073441F" w:rsidRPr="00F05F81" w14:paraId="3DFC3B51" w14:textId="77777777" w:rsidTr="00CD49D6">
        <w:trPr>
          <w:trHeight w:val="276"/>
        </w:trPr>
        <w:tc>
          <w:tcPr>
            <w:tcW w:w="2148" w:type="dxa"/>
            <w:tcBorders>
              <w:top w:val="single" w:sz="4" w:space="0" w:color="auto"/>
              <w:left w:val="single" w:sz="4" w:space="0" w:color="auto"/>
              <w:bottom w:val="single" w:sz="4" w:space="0" w:color="auto"/>
              <w:right w:val="single" w:sz="4" w:space="0" w:color="auto"/>
            </w:tcBorders>
            <w:hideMark/>
          </w:tcPr>
          <w:p w14:paraId="7343919F" w14:textId="77777777" w:rsidR="0073441F" w:rsidRPr="00F05F81" w:rsidRDefault="0073441F" w:rsidP="00624A2A">
            <w:pPr>
              <w:tabs>
                <w:tab w:val="left" w:pos="1418"/>
              </w:tabs>
              <w:snapToGrid w:val="0"/>
              <w:rPr>
                <w:shd w:val="clear" w:color="auto" w:fill="FFFFFF"/>
                <w:lang w:eastAsia="zh-CN"/>
              </w:rPr>
            </w:pPr>
            <w:r w:rsidRPr="00F05F81">
              <w:rPr>
                <w:b/>
                <w:bCs/>
                <w:shd w:val="clear" w:color="auto" w:fill="FFFFFF"/>
              </w:rPr>
              <w:t>El. paštas</w:t>
            </w:r>
          </w:p>
        </w:tc>
        <w:tc>
          <w:tcPr>
            <w:tcW w:w="3827" w:type="dxa"/>
            <w:tcBorders>
              <w:top w:val="single" w:sz="4" w:space="0" w:color="auto"/>
              <w:left w:val="single" w:sz="4" w:space="0" w:color="auto"/>
              <w:bottom w:val="single" w:sz="4" w:space="0" w:color="auto"/>
              <w:right w:val="single" w:sz="4" w:space="0" w:color="auto"/>
            </w:tcBorders>
          </w:tcPr>
          <w:p w14:paraId="023670DC" w14:textId="60B6222B" w:rsidR="0073441F" w:rsidRPr="001229C1" w:rsidRDefault="00CD49D6" w:rsidP="00624A2A">
            <w:pPr>
              <w:tabs>
                <w:tab w:val="left" w:pos="1418"/>
              </w:tabs>
              <w:snapToGrid w:val="0"/>
              <w:rPr>
                <w:shd w:val="clear" w:color="auto" w:fill="FFFFFF"/>
                <w:lang w:eastAsia="zh-CN"/>
              </w:rPr>
            </w:pPr>
            <w:r>
              <w:rPr>
                <w:shd w:val="clear" w:color="auto" w:fill="FFFFFF"/>
                <w:lang w:eastAsia="zh-CN"/>
              </w:rPr>
              <w:t>nijole.remeikaite</w:t>
            </w:r>
            <w:r w:rsidRPr="001229C1">
              <w:rPr>
                <w:shd w:val="clear" w:color="auto" w:fill="FFFFFF"/>
                <w:lang w:eastAsia="zh-CN"/>
              </w:rPr>
              <w:t>@aaa.am.lt</w:t>
            </w:r>
          </w:p>
        </w:tc>
        <w:tc>
          <w:tcPr>
            <w:tcW w:w="3685" w:type="dxa"/>
            <w:tcBorders>
              <w:top w:val="single" w:sz="4" w:space="0" w:color="auto"/>
              <w:left w:val="single" w:sz="4" w:space="0" w:color="auto"/>
              <w:bottom w:val="single" w:sz="4" w:space="0" w:color="auto"/>
              <w:right w:val="single" w:sz="4" w:space="0" w:color="auto"/>
            </w:tcBorders>
          </w:tcPr>
          <w:p w14:paraId="7D945134" w14:textId="2F64A26E" w:rsidR="0073441F" w:rsidRPr="00645FBF" w:rsidRDefault="00643E19" w:rsidP="00624A2A">
            <w:pPr>
              <w:snapToGrid w:val="0"/>
              <w:rPr>
                <w:lang w:eastAsia="zh-CN"/>
              </w:rPr>
            </w:pPr>
            <w:r w:rsidRPr="00645FBF">
              <w:rPr>
                <w:lang w:eastAsia="zh-CN"/>
              </w:rPr>
              <w:t>ricardas.paskauskas@gamtc.lt</w:t>
            </w:r>
          </w:p>
        </w:tc>
      </w:tr>
    </w:tbl>
    <w:p w14:paraId="107C73E9"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11.2.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1777130" w14:textId="77777777" w:rsidR="0073441F" w:rsidRPr="00F05F81" w:rsidRDefault="0073441F" w:rsidP="0073441F">
      <w:pPr>
        <w:tabs>
          <w:tab w:val="left" w:pos="1418"/>
        </w:tabs>
        <w:jc w:val="both"/>
        <w:rPr>
          <w:b/>
          <w:shd w:val="clear" w:color="auto" w:fill="FFFFFF"/>
        </w:rPr>
      </w:pPr>
    </w:p>
    <w:p w14:paraId="2E3DF31D" w14:textId="77777777" w:rsidR="0073441F" w:rsidRPr="00F05F81" w:rsidRDefault="0073441F" w:rsidP="0073441F">
      <w:pPr>
        <w:tabs>
          <w:tab w:val="left" w:pos="0"/>
        </w:tabs>
        <w:jc w:val="center"/>
        <w:outlineLvl w:val="1"/>
        <w:rPr>
          <w:b/>
          <w:bCs/>
        </w:rPr>
      </w:pPr>
      <w:r w:rsidRPr="00F05F81">
        <w:rPr>
          <w:b/>
          <w:bCs/>
        </w:rPr>
        <w:t>12. KITOS SĄLYGOS</w:t>
      </w:r>
    </w:p>
    <w:p w14:paraId="19A46D9D" w14:textId="77777777" w:rsidR="0073441F" w:rsidRPr="00F05F81" w:rsidRDefault="0073441F" w:rsidP="0073441F">
      <w:pPr>
        <w:tabs>
          <w:tab w:val="left" w:pos="0"/>
        </w:tabs>
        <w:outlineLvl w:val="1"/>
        <w:rPr>
          <w:bCs/>
        </w:rPr>
      </w:pPr>
    </w:p>
    <w:p w14:paraId="540DDDDA"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12.1. Ši Sutartis pasirašyta lietuvių kalba, 2 (dviem) egzemplioriais, turinčiais vienodą teisinę galią – po vieną kiekvienai Šaliai.</w:t>
      </w:r>
    </w:p>
    <w:p w14:paraId="3304C86A" w14:textId="77777777" w:rsidR="0073441F" w:rsidRPr="00F05F81" w:rsidRDefault="0073441F" w:rsidP="0073441F">
      <w:pPr>
        <w:tabs>
          <w:tab w:val="left" w:pos="1418"/>
        </w:tabs>
        <w:ind w:firstLine="567"/>
        <w:jc w:val="both"/>
        <w:rPr>
          <w:shd w:val="clear" w:color="auto" w:fill="FFFFFF"/>
        </w:rPr>
      </w:pPr>
      <w:r w:rsidRPr="00F05F81">
        <w:rPr>
          <w:shd w:val="clear" w:color="auto" w:fill="FFFFFF"/>
        </w:rPr>
        <w:t xml:space="preserve">12.2. Sutarties priedai: </w:t>
      </w:r>
    </w:p>
    <w:p w14:paraId="59896AA4" w14:textId="21BA7AA9" w:rsidR="0073441F" w:rsidRPr="00CD49D6" w:rsidRDefault="0073441F" w:rsidP="00CD49D6">
      <w:pPr>
        <w:jc w:val="both"/>
        <w:rPr>
          <w:bCs/>
          <w:i/>
          <w:iCs/>
        </w:rPr>
      </w:pPr>
      <w:r w:rsidRPr="00F05F81">
        <w:rPr>
          <w:shd w:val="clear" w:color="auto" w:fill="FFFFFF"/>
        </w:rPr>
        <w:t xml:space="preserve">1 priedas: </w:t>
      </w:r>
      <w:r w:rsidR="00CD49D6">
        <w:rPr>
          <w:bCs/>
          <w:i/>
          <w:iCs/>
        </w:rPr>
        <w:t>P</w:t>
      </w:r>
      <w:r w:rsidR="00CD49D6" w:rsidRPr="00CD49D6">
        <w:rPr>
          <w:bCs/>
          <w:i/>
          <w:iCs/>
        </w:rPr>
        <w:t xml:space="preserve">riemonių gerai </w:t>
      </w:r>
      <w:r w:rsidR="00CD49D6">
        <w:rPr>
          <w:bCs/>
          <w:i/>
          <w:iCs/>
        </w:rPr>
        <w:t>L</w:t>
      </w:r>
      <w:r w:rsidR="00CD49D6" w:rsidRPr="00CD49D6">
        <w:rPr>
          <w:bCs/>
          <w:i/>
          <w:iCs/>
        </w:rPr>
        <w:t xml:space="preserve">ietuvos </w:t>
      </w:r>
      <w:r w:rsidR="00CD49D6">
        <w:rPr>
          <w:bCs/>
          <w:i/>
          <w:iCs/>
        </w:rPr>
        <w:t>B</w:t>
      </w:r>
      <w:r w:rsidR="00CD49D6" w:rsidRPr="00CD49D6">
        <w:rPr>
          <w:bCs/>
          <w:i/>
          <w:iCs/>
        </w:rPr>
        <w:t>altijos jūros</w:t>
      </w:r>
      <w:r w:rsidR="00CD49D6">
        <w:rPr>
          <w:bCs/>
          <w:i/>
          <w:iCs/>
        </w:rPr>
        <w:t xml:space="preserve"> </w:t>
      </w:r>
      <w:r w:rsidR="00CD49D6" w:rsidRPr="00CD49D6">
        <w:rPr>
          <w:bCs/>
          <w:i/>
          <w:iCs/>
        </w:rPr>
        <w:t>aplinkos būklei pasiekti įgyvendinimmas</w:t>
      </w:r>
      <w:r w:rsidR="00CD49D6">
        <w:rPr>
          <w:bCs/>
          <w:i/>
          <w:iCs/>
        </w:rPr>
        <w:t xml:space="preserve"> </w:t>
      </w:r>
      <w:r w:rsidR="00CD49D6" w:rsidRPr="00CD49D6">
        <w:rPr>
          <w:rFonts w:eastAsia="Calibri"/>
          <w:bCs/>
          <w:i/>
          <w:iCs/>
          <w:color w:val="000000"/>
          <w:lang w:eastAsia="lt-LT"/>
        </w:rPr>
        <w:t>fitoplanktono biomasės surinkimo</w:t>
      </w:r>
      <w:r w:rsidR="00CD49D6">
        <w:rPr>
          <w:rFonts w:eastAsia="Calibri"/>
          <w:bCs/>
          <w:i/>
          <w:iCs/>
          <w:color w:val="000000"/>
          <w:lang w:eastAsia="lt-LT"/>
        </w:rPr>
        <w:t xml:space="preserve"> K</w:t>
      </w:r>
      <w:r w:rsidR="00CD49D6" w:rsidRPr="00CD49D6">
        <w:rPr>
          <w:rFonts w:eastAsia="Calibri"/>
          <w:bCs/>
          <w:i/>
          <w:iCs/>
          <w:color w:val="000000"/>
          <w:lang w:eastAsia="lt-LT"/>
        </w:rPr>
        <w:t>uršių marių akvatorijoje galimybių studija, panaudojant plaukiojančias priemones ir surinktą biomasę šalinant bioreaktoriuose, pritaikant agrotechnologiniams poreikiams ar kitoms paskirtims</w:t>
      </w:r>
      <w:r w:rsidR="00CD49D6" w:rsidRPr="00CD49D6">
        <w:rPr>
          <w:bCs/>
          <w:i/>
          <w:iCs/>
          <w:lang w:eastAsia="zh-CN"/>
        </w:rPr>
        <w:t xml:space="preserve"> </w:t>
      </w:r>
      <w:r w:rsidRPr="00F05F81">
        <w:rPr>
          <w:i/>
          <w:iCs/>
          <w:shd w:val="clear" w:color="auto" w:fill="FFFFFF"/>
        </w:rPr>
        <w:t>paslaugų techninė specifikacija, 4 lapai.</w:t>
      </w:r>
    </w:p>
    <w:p w14:paraId="62A70A5E" w14:textId="77777777" w:rsidR="0073441F" w:rsidRPr="00F05F81" w:rsidRDefault="0073441F" w:rsidP="0073441F">
      <w:pPr>
        <w:tabs>
          <w:tab w:val="left" w:pos="1418"/>
        </w:tabs>
        <w:jc w:val="both"/>
        <w:rPr>
          <w:shd w:val="clear" w:color="auto" w:fill="FFFFFF"/>
        </w:rPr>
      </w:pPr>
    </w:p>
    <w:p w14:paraId="3D45B55B" w14:textId="77777777" w:rsidR="0073441F" w:rsidRPr="00F05F81" w:rsidRDefault="0073441F" w:rsidP="0073441F">
      <w:pPr>
        <w:tabs>
          <w:tab w:val="left" w:pos="1418"/>
        </w:tabs>
        <w:jc w:val="both"/>
        <w:rPr>
          <w:shd w:val="clear" w:color="auto" w:fill="FFFFFF"/>
        </w:rPr>
      </w:pPr>
    </w:p>
    <w:p w14:paraId="364B2B8B" w14:textId="77777777" w:rsidR="0073441F" w:rsidRPr="00F05F81" w:rsidRDefault="0073441F" w:rsidP="0073441F">
      <w:pPr>
        <w:ind w:left="360"/>
        <w:jc w:val="center"/>
        <w:rPr>
          <w:b/>
          <w:bCs/>
          <w:color w:val="000000"/>
          <w:lang w:eastAsia="zh-CN"/>
        </w:rPr>
      </w:pPr>
      <w:r w:rsidRPr="00F05F81">
        <w:rPr>
          <w:b/>
          <w:bCs/>
          <w:caps/>
          <w:color w:val="000000"/>
          <w:lang w:eastAsia="zh-CN"/>
        </w:rPr>
        <w:t>13. kiti dokumentai</w:t>
      </w:r>
      <w:r w:rsidRPr="00F05F81">
        <w:rPr>
          <w:b/>
          <w:bCs/>
          <w:color w:val="000000"/>
          <w:lang w:eastAsia="zh-CN"/>
        </w:rPr>
        <w:t>, SUDARANTYS NEATSIEJAMĄ ŠIOS SUTARTIES DALĮ</w:t>
      </w:r>
    </w:p>
    <w:p w14:paraId="7CD231E8" w14:textId="77777777" w:rsidR="0073441F" w:rsidRPr="00F05F81" w:rsidRDefault="0073441F" w:rsidP="0073441F">
      <w:pPr>
        <w:ind w:left="360"/>
        <w:jc w:val="center"/>
        <w:rPr>
          <w:b/>
          <w:bCs/>
          <w:color w:val="000000"/>
          <w:lang w:eastAsia="zh-CN"/>
        </w:rPr>
      </w:pPr>
    </w:p>
    <w:p w14:paraId="26D19D40" w14:textId="59E974A9" w:rsidR="0073441F" w:rsidRPr="00F05F81" w:rsidRDefault="0073441F" w:rsidP="0073441F">
      <w:pPr>
        <w:ind w:firstLine="567"/>
        <w:jc w:val="both"/>
        <w:rPr>
          <w:color w:val="000000"/>
          <w:lang w:eastAsia="zh-CN"/>
        </w:rPr>
      </w:pPr>
      <w:r w:rsidRPr="00F05F81">
        <w:rPr>
          <w:color w:val="000000"/>
          <w:lang w:eastAsia="zh-CN"/>
        </w:rPr>
        <w:t xml:space="preserve">13.1. </w:t>
      </w:r>
      <w:r w:rsidRPr="00F05F81">
        <w:rPr>
          <w:i/>
          <w:color w:val="000000"/>
          <w:lang w:eastAsia="zh-CN"/>
        </w:rPr>
        <w:t xml:space="preserve">Viešojo pirkimo dalyvio laimėjęs pasiūlymas, </w:t>
      </w:r>
      <w:r w:rsidR="00CD49D6">
        <w:rPr>
          <w:i/>
          <w:color w:val="000000"/>
          <w:lang w:eastAsia="zh-CN"/>
        </w:rPr>
        <w:t>3</w:t>
      </w:r>
      <w:r w:rsidRPr="00F05F81">
        <w:rPr>
          <w:i/>
          <w:color w:val="000000"/>
          <w:lang w:eastAsia="zh-CN"/>
        </w:rPr>
        <w:t xml:space="preserve"> lapai</w:t>
      </w:r>
      <w:r w:rsidRPr="00F05F81">
        <w:rPr>
          <w:color w:val="000000"/>
          <w:lang w:eastAsia="zh-CN"/>
        </w:rPr>
        <w:t>.</w:t>
      </w:r>
    </w:p>
    <w:p w14:paraId="528A5F6A" w14:textId="0A006B75" w:rsidR="0073441F" w:rsidRPr="00F05F81" w:rsidRDefault="0073441F" w:rsidP="0073441F">
      <w:pPr>
        <w:ind w:firstLine="567"/>
        <w:jc w:val="both"/>
        <w:rPr>
          <w:shd w:val="clear" w:color="auto" w:fill="FFFFFF"/>
        </w:rPr>
      </w:pPr>
      <w:r w:rsidRPr="00F05F81">
        <w:rPr>
          <w:color w:val="000000"/>
          <w:lang w:eastAsia="zh-CN"/>
        </w:rPr>
        <w:t xml:space="preserve">13.2. </w:t>
      </w:r>
      <w:r w:rsidR="00CD49D6">
        <w:rPr>
          <w:bCs/>
          <w:i/>
          <w:iCs/>
        </w:rPr>
        <w:t>P</w:t>
      </w:r>
      <w:r w:rsidR="00CD49D6" w:rsidRPr="00CD49D6">
        <w:rPr>
          <w:bCs/>
          <w:i/>
          <w:iCs/>
        </w:rPr>
        <w:t xml:space="preserve">riemonių gerai </w:t>
      </w:r>
      <w:r w:rsidR="00CD49D6">
        <w:rPr>
          <w:bCs/>
          <w:i/>
          <w:iCs/>
        </w:rPr>
        <w:t>L</w:t>
      </w:r>
      <w:r w:rsidR="00CD49D6" w:rsidRPr="00CD49D6">
        <w:rPr>
          <w:bCs/>
          <w:i/>
          <w:iCs/>
        </w:rPr>
        <w:t xml:space="preserve">ietuvos </w:t>
      </w:r>
      <w:r w:rsidR="00CD49D6">
        <w:rPr>
          <w:bCs/>
          <w:i/>
          <w:iCs/>
        </w:rPr>
        <w:t>B</w:t>
      </w:r>
      <w:r w:rsidR="00CD49D6" w:rsidRPr="00CD49D6">
        <w:rPr>
          <w:bCs/>
          <w:i/>
          <w:iCs/>
        </w:rPr>
        <w:t>altijos jūros</w:t>
      </w:r>
      <w:r w:rsidR="00CD49D6">
        <w:rPr>
          <w:bCs/>
          <w:i/>
          <w:iCs/>
        </w:rPr>
        <w:t xml:space="preserve"> </w:t>
      </w:r>
      <w:r w:rsidR="00CD49D6" w:rsidRPr="00CD49D6">
        <w:rPr>
          <w:bCs/>
          <w:i/>
          <w:iCs/>
        </w:rPr>
        <w:t>aplinkos būklei pasiekti įgyvendinimmas</w:t>
      </w:r>
      <w:r w:rsidR="00CD49D6">
        <w:rPr>
          <w:bCs/>
          <w:i/>
          <w:iCs/>
        </w:rPr>
        <w:t xml:space="preserve"> </w:t>
      </w:r>
      <w:r w:rsidR="00CD49D6" w:rsidRPr="00CD49D6">
        <w:rPr>
          <w:rFonts w:eastAsia="Calibri"/>
          <w:bCs/>
          <w:i/>
          <w:iCs/>
          <w:color w:val="000000"/>
          <w:lang w:eastAsia="lt-LT"/>
        </w:rPr>
        <w:t>fitoplanktono biomasės surinkimo</w:t>
      </w:r>
      <w:r w:rsidR="00CD49D6">
        <w:rPr>
          <w:rFonts w:eastAsia="Calibri"/>
          <w:bCs/>
          <w:i/>
          <w:iCs/>
          <w:color w:val="000000"/>
          <w:lang w:eastAsia="lt-LT"/>
        </w:rPr>
        <w:t xml:space="preserve"> K</w:t>
      </w:r>
      <w:r w:rsidR="00CD49D6" w:rsidRPr="00CD49D6">
        <w:rPr>
          <w:rFonts w:eastAsia="Calibri"/>
          <w:bCs/>
          <w:i/>
          <w:iCs/>
          <w:color w:val="000000"/>
          <w:lang w:eastAsia="lt-LT"/>
        </w:rPr>
        <w:t>uršių marių akvatorijoje galimybių studija, panaudojant plaukiojančias priemones ir surinktą biomasę šalinant bioreaktoriuose, pritaikant agrotechnologiniams poreikiams ar kitoms paskirtims</w:t>
      </w:r>
      <w:r w:rsidR="00CD49D6" w:rsidRPr="00CD49D6">
        <w:rPr>
          <w:bCs/>
          <w:i/>
          <w:iCs/>
          <w:lang w:eastAsia="zh-CN"/>
        </w:rPr>
        <w:t xml:space="preserve"> </w:t>
      </w:r>
      <w:r w:rsidR="00CD49D6" w:rsidRPr="00F05F81">
        <w:rPr>
          <w:i/>
          <w:iCs/>
          <w:shd w:val="clear" w:color="auto" w:fill="FFFFFF"/>
        </w:rPr>
        <w:t xml:space="preserve">paslaugų </w:t>
      </w:r>
      <w:r w:rsidRPr="00F05F81">
        <w:rPr>
          <w:i/>
          <w:color w:val="000000"/>
          <w:lang w:eastAsia="zh-CN"/>
        </w:rPr>
        <w:t xml:space="preserve">viešojo </w:t>
      </w:r>
      <w:r w:rsidRPr="00F05F81">
        <w:rPr>
          <w:i/>
          <w:shd w:val="clear" w:color="auto" w:fill="FFFFFF"/>
        </w:rPr>
        <w:t>pirkimo dokumentai</w:t>
      </w:r>
      <w:r w:rsidRPr="00F05F81">
        <w:rPr>
          <w:shd w:val="clear" w:color="auto" w:fill="FFFFFF"/>
        </w:rPr>
        <w:t>.</w:t>
      </w:r>
    </w:p>
    <w:p w14:paraId="10EF22DC" w14:textId="77777777" w:rsidR="0073441F" w:rsidRPr="00F05F81" w:rsidRDefault="0073441F" w:rsidP="0073441F">
      <w:pPr>
        <w:jc w:val="both"/>
        <w:rPr>
          <w:shd w:val="clear" w:color="auto" w:fill="FFFFFF"/>
          <w:lang w:eastAsia="zh-CN"/>
        </w:rPr>
      </w:pPr>
    </w:p>
    <w:tbl>
      <w:tblPr>
        <w:tblW w:w="9756" w:type="dxa"/>
        <w:tblInd w:w="2" w:type="dxa"/>
        <w:tblLayout w:type="fixed"/>
        <w:tblLook w:val="00A0" w:firstRow="1" w:lastRow="0" w:firstColumn="1" w:lastColumn="0" w:noHBand="0" w:noVBand="0"/>
      </w:tblPr>
      <w:tblGrid>
        <w:gridCol w:w="2233"/>
        <w:gridCol w:w="2693"/>
        <w:gridCol w:w="2126"/>
        <w:gridCol w:w="2704"/>
      </w:tblGrid>
      <w:tr w:rsidR="00CD49D6" w:rsidRPr="00645FBF" w14:paraId="6EA98A0B" w14:textId="77777777" w:rsidTr="00BC3434">
        <w:trPr>
          <w:trHeight w:val="253"/>
        </w:trPr>
        <w:tc>
          <w:tcPr>
            <w:tcW w:w="4926" w:type="dxa"/>
            <w:gridSpan w:val="2"/>
          </w:tcPr>
          <w:p w14:paraId="265D163C" w14:textId="77777777" w:rsidR="00CD49D6" w:rsidRPr="00645FBF" w:rsidRDefault="00CD49D6" w:rsidP="00BC3434">
            <w:pPr>
              <w:jc w:val="both"/>
              <w:rPr>
                <w:b/>
                <w:bCs/>
                <w:shd w:val="clear" w:color="auto" w:fill="FFFFFF"/>
              </w:rPr>
            </w:pPr>
            <w:r w:rsidRPr="00645FBF">
              <w:rPr>
                <w:b/>
                <w:bCs/>
                <w:shd w:val="clear" w:color="auto" w:fill="FFFFFF"/>
              </w:rPr>
              <w:t>Užsakovo</w:t>
            </w:r>
            <w:r w:rsidRPr="00645FBF">
              <w:rPr>
                <w:b/>
                <w:shd w:val="clear" w:color="auto" w:fill="FFFFFF"/>
              </w:rPr>
              <w:t xml:space="preserve"> </w:t>
            </w:r>
            <w:r w:rsidRPr="00645FBF">
              <w:rPr>
                <w:b/>
                <w:bCs/>
                <w:shd w:val="clear" w:color="auto" w:fill="FFFFFF"/>
              </w:rPr>
              <w:t>vardu</w:t>
            </w:r>
          </w:p>
        </w:tc>
        <w:tc>
          <w:tcPr>
            <w:tcW w:w="4830" w:type="dxa"/>
            <w:gridSpan w:val="2"/>
          </w:tcPr>
          <w:p w14:paraId="5C2ABD35" w14:textId="77777777" w:rsidR="00CD49D6" w:rsidRPr="00645FBF" w:rsidRDefault="00CD49D6" w:rsidP="00BC3434">
            <w:pPr>
              <w:jc w:val="both"/>
              <w:rPr>
                <w:shd w:val="clear" w:color="auto" w:fill="FFFFFF"/>
              </w:rPr>
            </w:pPr>
            <w:r w:rsidRPr="00645FBF">
              <w:rPr>
                <w:b/>
                <w:shd w:val="clear" w:color="auto" w:fill="FFFFFF"/>
              </w:rPr>
              <w:t>Teikėjo</w:t>
            </w:r>
            <w:r w:rsidRPr="00645FBF">
              <w:rPr>
                <w:b/>
                <w:bCs/>
                <w:shd w:val="clear" w:color="auto" w:fill="FFFFFF"/>
              </w:rPr>
              <w:t xml:space="preserve"> vardu</w:t>
            </w:r>
          </w:p>
        </w:tc>
      </w:tr>
      <w:tr w:rsidR="00CD49D6" w:rsidRPr="00645FBF" w14:paraId="106B5D0F" w14:textId="77777777" w:rsidTr="00BC3434">
        <w:trPr>
          <w:trHeight w:val="253"/>
        </w:trPr>
        <w:tc>
          <w:tcPr>
            <w:tcW w:w="2233" w:type="dxa"/>
          </w:tcPr>
          <w:p w14:paraId="7921C87F" w14:textId="77777777" w:rsidR="00CD49D6" w:rsidRPr="00645FBF" w:rsidRDefault="00CD49D6" w:rsidP="00BC3434">
            <w:pPr>
              <w:jc w:val="both"/>
              <w:rPr>
                <w:shd w:val="clear" w:color="auto" w:fill="FFFFFF"/>
              </w:rPr>
            </w:pPr>
            <w:r w:rsidRPr="00645FBF">
              <w:rPr>
                <w:shd w:val="clear" w:color="auto" w:fill="FFFFFF"/>
              </w:rPr>
              <w:t>Vardas,</w:t>
            </w:r>
            <w:r w:rsidRPr="00645FBF">
              <w:rPr>
                <w:shd w:val="clear" w:color="auto" w:fill="FFFFFF"/>
              </w:rPr>
              <w:br/>
              <w:t>pavardė:</w:t>
            </w:r>
          </w:p>
        </w:tc>
        <w:tc>
          <w:tcPr>
            <w:tcW w:w="2693" w:type="dxa"/>
            <w:vAlign w:val="center"/>
          </w:tcPr>
          <w:p w14:paraId="20159DC2" w14:textId="77777777" w:rsidR="00CD49D6" w:rsidRPr="00645FBF" w:rsidRDefault="00CD49D6" w:rsidP="00BC3434">
            <w:pPr>
              <w:jc w:val="both"/>
              <w:rPr>
                <w:shd w:val="clear" w:color="auto" w:fill="FFFFFF"/>
              </w:rPr>
            </w:pPr>
            <w:r w:rsidRPr="00645FBF">
              <w:rPr>
                <w:shd w:val="clear" w:color="auto" w:fill="FFFFFF"/>
              </w:rPr>
              <w:t>Rimgaudas Špokas</w:t>
            </w:r>
          </w:p>
        </w:tc>
        <w:tc>
          <w:tcPr>
            <w:tcW w:w="2126" w:type="dxa"/>
          </w:tcPr>
          <w:p w14:paraId="7851EB6C" w14:textId="77777777" w:rsidR="00CD49D6" w:rsidRPr="00645FBF" w:rsidRDefault="00CD49D6" w:rsidP="00BC3434">
            <w:pPr>
              <w:jc w:val="both"/>
              <w:rPr>
                <w:shd w:val="clear" w:color="auto" w:fill="FFFFFF"/>
              </w:rPr>
            </w:pPr>
            <w:r w:rsidRPr="00645FBF">
              <w:rPr>
                <w:shd w:val="clear" w:color="auto" w:fill="FFFFFF"/>
              </w:rPr>
              <w:t>Vardas,</w:t>
            </w:r>
            <w:r w:rsidRPr="00645FBF">
              <w:rPr>
                <w:shd w:val="clear" w:color="auto" w:fill="FFFFFF"/>
              </w:rPr>
              <w:br/>
              <w:t>pavardė:</w:t>
            </w:r>
          </w:p>
        </w:tc>
        <w:tc>
          <w:tcPr>
            <w:tcW w:w="2704" w:type="dxa"/>
            <w:vAlign w:val="center"/>
          </w:tcPr>
          <w:p w14:paraId="79C1872A" w14:textId="77777777" w:rsidR="00CD49D6" w:rsidRPr="00645FBF" w:rsidRDefault="00CD49D6" w:rsidP="00BC3434">
            <w:pPr>
              <w:ind w:left="34"/>
              <w:jc w:val="both"/>
              <w:rPr>
                <w:lang w:eastAsia="zh-CN"/>
              </w:rPr>
            </w:pPr>
            <w:r w:rsidRPr="00645FBF">
              <w:rPr>
                <w:lang w:eastAsia="zh-CN"/>
              </w:rPr>
              <w:t>Sigitas Podėnas</w:t>
            </w:r>
          </w:p>
        </w:tc>
      </w:tr>
      <w:tr w:rsidR="00CD49D6" w:rsidRPr="00645FBF" w14:paraId="0BA7F7AF" w14:textId="77777777" w:rsidTr="00BC3434">
        <w:trPr>
          <w:trHeight w:val="253"/>
        </w:trPr>
        <w:tc>
          <w:tcPr>
            <w:tcW w:w="2233" w:type="dxa"/>
          </w:tcPr>
          <w:p w14:paraId="01DDB33D" w14:textId="77777777" w:rsidR="00CD49D6" w:rsidRPr="00645FBF" w:rsidRDefault="00CD49D6" w:rsidP="00BC3434">
            <w:pPr>
              <w:jc w:val="both"/>
              <w:rPr>
                <w:shd w:val="clear" w:color="auto" w:fill="FFFFFF"/>
              </w:rPr>
            </w:pPr>
            <w:r w:rsidRPr="00645FBF">
              <w:rPr>
                <w:shd w:val="clear" w:color="auto" w:fill="FFFFFF"/>
              </w:rPr>
              <w:t>Pareigos:</w:t>
            </w:r>
          </w:p>
        </w:tc>
        <w:tc>
          <w:tcPr>
            <w:tcW w:w="2693" w:type="dxa"/>
          </w:tcPr>
          <w:p w14:paraId="3131D3C6" w14:textId="77777777" w:rsidR="00CD49D6" w:rsidRPr="00645FBF" w:rsidRDefault="00CD49D6" w:rsidP="00BC3434">
            <w:pPr>
              <w:jc w:val="both"/>
              <w:rPr>
                <w:shd w:val="clear" w:color="auto" w:fill="FFFFFF"/>
              </w:rPr>
            </w:pPr>
            <w:r w:rsidRPr="00645FBF">
              <w:rPr>
                <w:shd w:val="clear" w:color="auto" w:fill="FFFFFF"/>
              </w:rPr>
              <w:t>Direktorius</w:t>
            </w:r>
          </w:p>
        </w:tc>
        <w:tc>
          <w:tcPr>
            <w:tcW w:w="2126" w:type="dxa"/>
          </w:tcPr>
          <w:p w14:paraId="5F9617A4" w14:textId="77777777" w:rsidR="00CD49D6" w:rsidRPr="00645FBF" w:rsidRDefault="00CD49D6" w:rsidP="00BC3434">
            <w:pPr>
              <w:jc w:val="both"/>
              <w:rPr>
                <w:shd w:val="clear" w:color="auto" w:fill="FFFFFF"/>
              </w:rPr>
            </w:pPr>
            <w:r w:rsidRPr="00645FBF">
              <w:rPr>
                <w:shd w:val="clear" w:color="auto" w:fill="FFFFFF"/>
              </w:rPr>
              <w:t>Pareigos:</w:t>
            </w:r>
          </w:p>
        </w:tc>
        <w:tc>
          <w:tcPr>
            <w:tcW w:w="2704" w:type="dxa"/>
          </w:tcPr>
          <w:p w14:paraId="1C15CEB7" w14:textId="77777777" w:rsidR="00CD49D6" w:rsidRPr="00645FBF" w:rsidRDefault="00CD49D6" w:rsidP="00BC3434">
            <w:pPr>
              <w:ind w:left="34"/>
              <w:jc w:val="both"/>
              <w:rPr>
                <w:lang w:eastAsia="zh-CN"/>
              </w:rPr>
            </w:pPr>
            <w:r w:rsidRPr="00645FBF">
              <w:rPr>
                <w:lang w:eastAsia="zh-CN"/>
              </w:rPr>
              <w:t>Direktorius</w:t>
            </w:r>
          </w:p>
        </w:tc>
      </w:tr>
      <w:tr w:rsidR="00CD49D6" w:rsidRPr="00645FBF" w14:paraId="5A3760BA" w14:textId="77777777" w:rsidTr="00BC3434">
        <w:trPr>
          <w:trHeight w:val="253"/>
        </w:trPr>
        <w:tc>
          <w:tcPr>
            <w:tcW w:w="2233" w:type="dxa"/>
          </w:tcPr>
          <w:p w14:paraId="45D5A6B4" w14:textId="77777777" w:rsidR="00CD49D6" w:rsidRPr="00645FBF" w:rsidRDefault="00CD49D6" w:rsidP="00BC3434">
            <w:pPr>
              <w:jc w:val="both"/>
              <w:rPr>
                <w:shd w:val="clear" w:color="auto" w:fill="FFFFFF"/>
              </w:rPr>
            </w:pPr>
            <w:r w:rsidRPr="00645FBF">
              <w:rPr>
                <w:shd w:val="clear" w:color="auto" w:fill="FFFFFF"/>
              </w:rPr>
              <w:t>Adresas</w:t>
            </w:r>
          </w:p>
        </w:tc>
        <w:tc>
          <w:tcPr>
            <w:tcW w:w="2693" w:type="dxa"/>
          </w:tcPr>
          <w:p w14:paraId="30690EB9" w14:textId="77777777" w:rsidR="00CD49D6" w:rsidRPr="00645FBF" w:rsidRDefault="00CD49D6" w:rsidP="00BC3434">
            <w:pPr>
              <w:rPr>
                <w:shd w:val="clear" w:color="auto" w:fill="FFFFFF"/>
              </w:rPr>
            </w:pPr>
            <w:r w:rsidRPr="00645FBF">
              <w:rPr>
                <w:shd w:val="clear" w:color="auto" w:fill="FFFFFF"/>
              </w:rPr>
              <w:t>A.Juozapavičiaus g. 9, 09331, Vilnius</w:t>
            </w:r>
          </w:p>
        </w:tc>
        <w:tc>
          <w:tcPr>
            <w:tcW w:w="2126" w:type="dxa"/>
          </w:tcPr>
          <w:p w14:paraId="4966A60C" w14:textId="77777777" w:rsidR="00CD49D6" w:rsidRPr="00645FBF" w:rsidRDefault="00CD49D6" w:rsidP="00BC3434">
            <w:pPr>
              <w:jc w:val="both"/>
              <w:rPr>
                <w:shd w:val="clear" w:color="auto" w:fill="FFFFFF"/>
              </w:rPr>
            </w:pPr>
            <w:r w:rsidRPr="00645FBF">
              <w:rPr>
                <w:shd w:val="clear" w:color="auto" w:fill="FFFFFF"/>
              </w:rPr>
              <w:t>Adresas:</w:t>
            </w:r>
          </w:p>
        </w:tc>
        <w:tc>
          <w:tcPr>
            <w:tcW w:w="2704" w:type="dxa"/>
            <w:shd w:val="clear" w:color="auto" w:fill="auto"/>
          </w:tcPr>
          <w:p w14:paraId="01FD0835" w14:textId="77777777" w:rsidR="00CD49D6" w:rsidRPr="00645FBF" w:rsidRDefault="00CD49D6" w:rsidP="00BC3434">
            <w:pPr>
              <w:rPr>
                <w:lang w:eastAsia="zh-CN"/>
              </w:rPr>
            </w:pPr>
            <w:r w:rsidRPr="00645FBF">
              <w:rPr>
                <w:lang w:eastAsia="zh-CN"/>
              </w:rPr>
              <w:t xml:space="preserve">Akademijos g. 2, </w:t>
            </w:r>
          </w:p>
          <w:p w14:paraId="633097AB" w14:textId="77777777" w:rsidR="00CD49D6" w:rsidRPr="00645FBF" w:rsidRDefault="00CD49D6" w:rsidP="00BC3434">
            <w:pPr>
              <w:rPr>
                <w:lang w:eastAsia="zh-CN"/>
              </w:rPr>
            </w:pPr>
            <w:r w:rsidRPr="00645FBF">
              <w:rPr>
                <w:lang w:eastAsia="zh-CN"/>
              </w:rPr>
              <w:t>08412, Vilnius</w:t>
            </w:r>
          </w:p>
        </w:tc>
      </w:tr>
      <w:tr w:rsidR="00CD49D6" w:rsidRPr="00645FBF" w14:paraId="13C79358" w14:textId="77777777" w:rsidTr="00BC3434">
        <w:trPr>
          <w:trHeight w:val="253"/>
        </w:trPr>
        <w:tc>
          <w:tcPr>
            <w:tcW w:w="2233" w:type="dxa"/>
          </w:tcPr>
          <w:p w14:paraId="198695BE" w14:textId="77777777" w:rsidR="00CD49D6" w:rsidRPr="00645FBF" w:rsidRDefault="00CD49D6" w:rsidP="00BC3434">
            <w:pPr>
              <w:jc w:val="both"/>
              <w:rPr>
                <w:shd w:val="clear" w:color="auto" w:fill="FFFFFF"/>
              </w:rPr>
            </w:pPr>
            <w:r w:rsidRPr="00645FBF">
              <w:rPr>
                <w:shd w:val="clear" w:color="auto" w:fill="FFFFFF"/>
              </w:rPr>
              <w:t>Įmonės kodas</w:t>
            </w:r>
          </w:p>
        </w:tc>
        <w:tc>
          <w:tcPr>
            <w:tcW w:w="2693" w:type="dxa"/>
          </w:tcPr>
          <w:p w14:paraId="5B2B4927" w14:textId="77777777" w:rsidR="00CD49D6" w:rsidRPr="00645FBF" w:rsidRDefault="00CD49D6" w:rsidP="00BC3434">
            <w:pPr>
              <w:jc w:val="both"/>
              <w:rPr>
                <w:shd w:val="clear" w:color="auto" w:fill="FFFFFF"/>
              </w:rPr>
            </w:pPr>
            <w:r w:rsidRPr="00645FBF">
              <w:rPr>
                <w:shd w:val="clear" w:color="auto" w:fill="FFFFFF"/>
              </w:rPr>
              <w:t>188784898</w:t>
            </w:r>
          </w:p>
        </w:tc>
        <w:tc>
          <w:tcPr>
            <w:tcW w:w="2126" w:type="dxa"/>
          </w:tcPr>
          <w:p w14:paraId="26A240AD" w14:textId="77777777" w:rsidR="00CD49D6" w:rsidRPr="00645FBF" w:rsidRDefault="00CD49D6" w:rsidP="00BC3434">
            <w:pPr>
              <w:jc w:val="both"/>
              <w:rPr>
                <w:shd w:val="clear" w:color="auto" w:fill="FFFFFF"/>
              </w:rPr>
            </w:pPr>
            <w:r w:rsidRPr="00645FBF">
              <w:rPr>
                <w:shd w:val="clear" w:color="auto" w:fill="FFFFFF"/>
              </w:rPr>
              <w:t>Įmonės kodas</w:t>
            </w:r>
          </w:p>
        </w:tc>
        <w:tc>
          <w:tcPr>
            <w:tcW w:w="2704" w:type="dxa"/>
            <w:shd w:val="clear" w:color="auto" w:fill="auto"/>
          </w:tcPr>
          <w:p w14:paraId="3997E8B7" w14:textId="77777777" w:rsidR="00CD49D6" w:rsidRPr="00645FBF" w:rsidRDefault="00CD49D6" w:rsidP="00BC3434">
            <w:pPr>
              <w:ind w:left="34"/>
              <w:jc w:val="both"/>
              <w:rPr>
                <w:lang w:eastAsia="zh-CN"/>
              </w:rPr>
            </w:pPr>
            <w:r w:rsidRPr="00645FBF">
              <w:rPr>
                <w:lang w:eastAsia="zh-CN"/>
              </w:rPr>
              <w:t>302470603</w:t>
            </w:r>
          </w:p>
        </w:tc>
      </w:tr>
      <w:tr w:rsidR="00CD49D6" w:rsidRPr="00645FBF" w14:paraId="7E5749D9" w14:textId="77777777" w:rsidTr="00BC3434">
        <w:trPr>
          <w:trHeight w:val="253"/>
        </w:trPr>
        <w:tc>
          <w:tcPr>
            <w:tcW w:w="2233" w:type="dxa"/>
          </w:tcPr>
          <w:p w14:paraId="6A6C48CB" w14:textId="77777777" w:rsidR="00CD49D6" w:rsidRPr="00645FBF" w:rsidRDefault="00CD49D6" w:rsidP="00BC3434">
            <w:pPr>
              <w:jc w:val="both"/>
              <w:rPr>
                <w:shd w:val="clear" w:color="auto" w:fill="FFFFFF"/>
              </w:rPr>
            </w:pPr>
            <w:r w:rsidRPr="00645FBF">
              <w:rPr>
                <w:shd w:val="clear" w:color="auto" w:fill="FFFFFF"/>
              </w:rPr>
              <w:t>Banko pavadinimas ir kodas</w:t>
            </w:r>
          </w:p>
        </w:tc>
        <w:tc>
          <w:tcPr>
            <w:tcW w:w="2693" w:type="dxa"/>
          </w:tcPr>
          <w:p w14:paraId="57318BEE" w14:textId="77777777" w:rsidR="00CD49D6" w:rsidRPr="00645FBF" w:rsidRDefault="00CD49D6" w:rsidP="00BC3434">
            <w:pPr>
              <w:jc w:val="both"/>
              <w:rPr>
                <w:shd w:val="clear" w:color="auto" w:fill="FFFFFF"/>
              </w:rPr>
            </w:pPr>
            <w:r w:rsidRPr="00645FBF">
              <w:rPr>
                <w:shd w:val="clear" w:color="auto" w:fill="FFFFFF"/>
              </w:rPr>
              <w:t xml:space="preserve">AB Luminor Bank </w:t>
            </w:r>
          </w:p>
          <w:p w14:paraId="22D210CA" w14:textId="77777777" w:rsidR="00CD49D6" w:rsidRPr="00645FBF" w:rsidRDefault="00CD49D6" w:rsidP="00BC3434">
            <w:pPr>
              <w:jc w:val="both"/>
              <w:rPr>
                <w:shd w:val="clear" w:color="auto" w:fill="FFFFFF"/>
              </w:rPr>
            </w:pPr>
            <w:r w:rsidRPr="00645FBF">
              <w:rPr>
                <w:shd w:val="clear" w:color="auto" w:fill="FFFFFF"/>
              </w:rPr>
              <w:t>40100</w:t>
            </w:r>
          </w:p>
        </w:tc>
        <w:tc>
          <w:tcPr>
            <w:tcW w:w="2126" w:type="dxa"/>
          </w:tcPr>
          <w:p w14:paraId="6FDADB5D" w14:textId="77777777" w:rsidR="00CD49D6" w:rsidRPr="00645FBF" w:rsidRDefault="00CD49D6" w:rsidP="00BC3434">
            <w:pPr>
              <w:jc w:val="both"/>
              <w:rPr>
                <w:shd w:val="clear" w:color="auto" w:fill="FFFFFF"/>
              </w:rPr>
            </w:pPr>
            <w:r w:rsidRPr="00645FBF">
              <w:rPr>
                <w:shd w:val="clear" w:color="auto" w:fill="FFFFFF"/>
              </w:rPr>
              <w:t>Banko pavadinimas ir kodas:</w:t>
            </w:r>
          </w:p>
        </w:tc>
        <w:tc>
          <w:tcPr>
            <w:tcW w:w="2704" w:type="dxa"/>
          </w:tcPr>
          <w:p w14:paraId="3A1E71A7" w14:textId="77777777" w:rsidR="00CD49D6" w:rsidRPr="00645FBF" w:rsidRDefault="00CD49D6" w:rsidP="00BC3434">
            <w:pPr>
              <w:jc w:val="both"/>
              <w:rPr>
                <w:shd w:val="clear" w:color="auto" w:fill="FFFFFF"/>
                <w:lang w:val="en-US"/>
              </w:rPr>
            </w:pPr>
            <w:r w:rsidRPr="00645FBF">
              <w:rPr>
                <w:shd w:val="clear" w:color="auto" w:fill="FFFFFF"/>
                <w:lang w:val="en-US"/>
              </w:rPr>
              <w:t>AB bankas Swedbank</w:t>
            </w:r>
          </w:p>
          <w:p w14:paraId="3CFAD8AD" w14:textId="77777777" w:rsidR="00CD49D6" w:rsidRPr="00645FBF" w:rsidRDefault="00CD49D6" w:rsidP="00BC3434">
            <w:pPr>
              <w:jc w:val="both"/>
              <w:rPr>
                <w:shd w:val="clear" w:color="auto" w:fill="FFFFFF"/>
                <w:lang w:val="en-US"/>
              </w:rPr>
            </w:pPr>
            <w:r w:rsidRPr="00645FBF">
              <w:rPr>
                <w:shd w:val="clear" w:color="auto" w:fill="FFFFFF"/>
                <w:lang w:val="en-US"/>
              </w:rPr>
              <w:t>73000</w:t>
            </w:r>
          </w:p>
        </w:tc>
      </w:tr>
      <w:tr w:rsidR="00CD49D6" w:rsidRPr="00645FBF" w14:paraId="46E1E918" w14:textId="77777777" w:rsidTr="00BC3434">
        <w:trPr>
          <w:trHeight w:val="253"/>
        </w:trPr>
        <w:tc>
          <w:tcPr>
            <w:tcW w:w="2233" w:type="dxa"/>
          </w:tcPr>
          <w:p w14:paraId="75B90456" w14:textId="77777777" w:rsidR="00CD49D6" w:rsidRPr="00645FBF" w:rsidRDefault="00CD49D6" w:rsidP="00BC3434">
            <w:pPr>
              <w:jc w:val="both"/>
              <w:rPr>
                <w:shd w:val="clear" w:color="auto" w:fill="FFFFFF"/>
              </w:rPr>
            </w:pPr>
            <w:r w:rsidRPr="00645FBF">
              <w:rPr>
                <w:shd w:val="clear" w:color="auto" w:fill="FFFFFF"/>
              </w:rPr>
              <w:t>Atsiskaitomosios sąskaitos Nr.</w:t>
            </w:r>
          </w:p>
        </w:tc>
        <w:tc>
          <w:tcPr>
            <w:tcW w:w="2693" w:type="dxa"/>
          </w:tcPr>
          <w:p w14:paraId="55E856D8" w14:textId="3520A884" w:rsidR="00CD49D6" w:rsidRPr="00645FBF" w:rsidRDefault="00CD49D6" w:rsidP="00BC3434">
            <w:pPr>
              <w:jc w:val="both"/>
              <w:rPr>
                <w:shd w:val="clear" w:color="auto" w:fill="FFFFFF"/>
              </w:rPr>
            </w:pPr>
            <w:r w:rsidRPr="00645FBF">
              <w:t>LT</w:t>
            </w:r>
            <w:r w:rsidR="003C49EE" w:rsidRPr="00645FBF">
              <w:t>074010051005163289</w:t>
            </w:r>
            <w:r w:rsidRPr="00645FBF">
              <w:t> </w:t>
            </w:r>
          </w:p>
        </w:tc>
        <w:tc>
          <w:tcPr>
            <w:tcW w:w="2126" w:type="dxa"/>
          </w:tcPr>
          <w:p w14:paraId="4D588332" w14:textId="77777777" w:rsidR="00CD49D6" w:rsidRPr="00645FBF" w:rsidRDefault="00CD49D6" w:rsidP="00BC3434">
            <w:pPr>
              <w:jc w:val="both"/>
              <w:rPr>
                <w:shd w:val="clear" w:color="auto" w:fill="FFFFFF"/>
              </w:rPr>
            </w:pPr>
            <w:r w:rsidRPr="00645FBF">
              <w:rPr>
                <w:shd w:val="clear" w:color="auto" w:fill="FFFFFF"/>
              </w:rPr>
              <w:t>Atsiskaitomosios sąskaitos Nr.</w:t>
            </w:r>
          </w:p>
        </w:tc>
        <w:tc>
          <w:tcPr>
            <w:tcW w:w="2704" w:type="dxa"/>
          </w:tcPr>
          <w:p w14:paraId="57ADF020" w14:textId="77777777" w:rsidR="00CD49D6" w:rsidRPr="00645FBF" w:rsidRDefault="00CD49D6" w:rsidP="00BC3434">
            <w:pPr>
              <w:jc w:val="both"/>
              <w:rPr>
                <w:shd w:val="clear" w:color="auto" w:fill="FFFFFF"/>
              </w:rPr>
            </w:pPr>
            <w:r w:rsidRPr="00645FBF">
              <w:rPr>
                <w:shd w:val="clear" w:color="auto" w:fill="FFFFFF"/>
              </w:rPr>
              <w:t>LT187300010120521262</w:t>
            </w:r>
          </w:p>
        </w:tc>
      </w:tr>
      <w:tr w:rsidR="00CD49D6" w:rsidRPr="00645FBF" w14:paraId="3BBC71A9" w14:textId="77777777" w:rsidTr="00BC3434">
        <w:trPr>
          <w:trHeight w:val="253"/>
        </w:trPr>
        <w:tc>
          <w:tcPr>
            <w:tcW w:w="2233" w:type="dxa"/>
          </w:tcPr>
          <w:p w14:paraId="63B82604" w14:textId="77777777" w:rsidR="00CD49D6" w:rsidRPr="00645FBF" w:rsidRDefault="00CD49D6" w:rsidP="00BC3434">
            <w:pPr>
              <w:jc w:val="both"/>
              <w:rPr>
                <w:shd w:val="clear" w:color="auto" w:fill="FFFFFF"/>
              </w:rPr>
            </w:pPr>
            <w:r w:rsidRPr="00645FBF">
              <w:rPr>
                <w:shd w:val="clear" w:color="auto" w:fill="FFFFFF"/>
              </w:rPr>
              <w:t>Ne PVM mokėtojas</w:t>
            </w:r>
          </w:p>
        </w:tc>
        <w:tc>
          <w:tcPr>
            <w:tcW w:w="2693" w:type="dxa"/>
          </w:tcPr>
          <w:p w14:paraId="2A9761AA" w14:textId="77777777" w:rsidR="00CD49D6" w:rsidRPr="00645FBF" w:rsidRDefault="00CD49D6" w:rsidP="00BC3434">
            <w:pPr>
              <w:jc w:val="both"/>
              <w:rPr>
                <w:b/>
                <w:shd w:val="clear" w:color="auto" w:fill="FFFFFF"/>
              </w:rPr>
            </w:pPr>
          </w:p>
        </w:tc>
        <w:tc>
          <w:tcPr>
            <w:tcW w:w="2126" w:type="dxa"/>
          </w:tcPr>
          <w:p w14:paraId="0C8A740D" w14:textId="77777777" w:rsidR="00CD49D6" w:rsidRPr="00645FBF" w:rsidRDefault="00CD49D6" w:rsidP="00BC3434">
            <w:pPr>
              <w:jc w:val="both"/>
              <w:rPr>
                <w:shd w:val="clear" w:color="auto" w:fill="FFFFFF"/>
              </w:rPr>
            </w:pPr>
            <w:r w:rsidRPr="00645FBF">
              <w:rPr>
                <w:shd w:val="clear" w:color="auto" w:fill="FFFFFF"/>
              </w:rPr>
              <w:t>PVM kodas</w:t>
            </w:r>
          </w:p>
        </w:tc>
        <w:tc>
          <w:tcPr>
            <w:tcW w:w="2704" w:type="dxa"/>
          </w:tcPr>
          <w:p w14:paraId="3692E087" w14:textId="77777777" w:rsidR="00CD49D6" w:rsidRPr="00645FBF" w:rsidRDefault="00CD49D6" w:rsidP="00BC3434">
            <w:pPr>
              <w:jc w:val="both"/>
              <w:rPr>
                <w:shd w:val="clear" w:color="auto" w:fill="FFFFFF"/>
              </w:rPr>
            </w:pPr>
            <w:r w:rsidRPr="00645FBF">
              <w:rPr>
                <w:shd w:val="clear" w:color="auto" w:fill="FFFFFF"/>
              </w:rPr>
              <w:t>LT 100005107912</w:t>
            </w:r>
          </w:p>
        </w:tc>
      </w:tr>
      <w:tr w:rsidR="00CD49D6" w:rsidRPr="00645FBF" w14:paraId="3B1BC520" w14:textId="77777777" w:rsidTr="00BC3434">
        <w:trPr>
          <w:trHeight w:val="253"/>
        </w:trPr>
        <w:tc>
          <w:tcPr>
            <w:tcW w:w="2233" w:type="dxa"/>
          </w:tcPr>
          <w:p w14:paraId="47613956" w14:textId="77777777" w:rsidR="00CD49D6" w:rsidRPr="00645FBF" w:rsidRDefault="00CD49D6" w:rsidP="00BC3434">
            <w:pPr>
              <w:jc w:val="both"/>
              <w:rPr>
                <w:shd w:val="clear" w:color="auto" w:fill="FFFFFF"/>
              </w:rPr>
            </w:pPr>
            <w:r w:rsidRPr="00645FBF">
              <w:rPr>
                <w:shd w:val="clear" w:color="auto" w:fill="FFFFFF"/>
              </w:rPr>
              <w:t>Parašas:</w:t>
            </w:r>
          </w:p>
        </w:tc>
        <w:tc>
          <w:tcPr>
            <w:tcW w:w="2693" w:type="dxa"/>
          </w:tcPr>
          <w:p w14:paraId="77E16304" w14:textId="77777777" w:rsidR="00CD49D6" w:rsidRPr="00645FBF" w:rsidRDefault="00CD49D6" w:rsidP="00BC3434">
            <w:pPr>
              <w:jc w:val="both"/>
              <w:rPr>
                <w:shd w:val="clear" w:color="auto" w:fill="FFFFFF"/>
              </w:rPr>
            </w:pPr>
          </w:p>
        </w:tc>
        <w:tc>
          <w:tcPr>
            <w:tcW w:w="2126" w:type="dxa"/>
          </w:tcPr>
          <w:p w14:paraId="1CA09B4C" w14:textId="77777777" w:rsidR="00CD49D6" w:rsidRPr="00645FBF" w:rsidRDefault="00CD49D6" w:rsidP="00BC3434">
            <w:pPr>
              <w:jc w:val="both"/>
              <w:rPr>
                <w:shd w:val="clear" w:color="auto" w:fill="FFFFFF"/>
              </w:rPr>
            </w:pPr>
            <w:r w:rsidRPr="00645FBF">
              <w:rPr>
                <w:shd w:val="clear" w:color="auto" w:fill="FFFFFF"/>
              </w:rPr>
              <w:t>Parašas:</w:t>
            </w:r>
          </w:p>
        </w:tc>
        <w:tc>
          <w:tcPr>
            <w:tcW w:w="2704" w:type="dxa"/>
          </w:tcPr>
          <w:p w14:paraId="58727C6A" w14:textId="77777777" w:rsidR="00CD49D6" w:rsidRPr="00645FBF" w:rsidRDefault="00CD49D6" w:rsidP="00BC3434">
            <w:pPr>
              <w:jc w:val="both"/>
              <w:rPr>
                <w:shd w:val="clear" w:color="auto" w:fill="FFFFFF"/>
              </w:rPr>
            </w:pPr>
          </w:p>
        </w:tc>
      </w:tr>
      <w:tr w:rsidR="00CD49D6" w:rsidRPr="003832F0" w14:paraId="40C3BE66" w14:textId="77777777" w:rsidTr="00BC3434">
        <w:trPr>
          <w:trHeight w:val="253"/>
        </w:trPr>
        <w:tc>
          <w:tcPr>
            <w:tcW w:w="2233" w:type="dxa"/>
          </w:tcPr>
          <w:p w14:paraId="33663591" w14:textId="77777777" w:rsidR="00CD49D6" w:rsidRPr="00645FBF" w:rsidRDefault="00CD49D6" w:rsidP="00BC3434">
            <w:pPr>
              <w:jc w:val="both"/>
              <w:rPr>
                <w:shd w:val="clear" w:color="auto" w:fill="FFFFFF"/>
              </w:rPr>
            </w:pPr>
            <w:r w:rsidRPr="00645FBF">
              <w:rPr>
                <w:shd w:val="clear" w:color="auto" w:fill="FFFFFF"/>
              </w:rPr>
              <w:t>Data:</w:t>
            </w:r>
          </w:p>
          <w:p w14:paraId="7321C674" w14:textId="77777777" w:rsidR="00CD49D6" w:rsidRPr="00645FBF" w:rsidRDefault="00CD49D6" w:rsidP="00BC3434">
            <w:pPr>
              <w:jc w:val="both"/>
              <w:rPr>
                <w:shd w:val="clear" w:color="auto" w:fill="FFFFFF"/>
              </w:rPr>
            </w:pPr>
          </w:p>
          <w:p w14:paraId="71C7349E" w14:textId="77777777" w:rsidR="00CD49D6" w:rsidRPr="00645FBF" w:rsidRDefault="00CD49D6" w:rsidP="00BC3434">
            <w:pPr>
              <w:jc w:val="both"/>
              <w:rPr>
                <w:shd w:val="clear" w:color="auto" w:fill="FFFFFF"/>
              </w:rPr>
            </w:pPr>
            <w:r w:rsidRPr="00645FBF">
              <w:rPr>
                <w:shd w:val="clear" w:color="auto" w:fill="FFFFFF"/>
              </w:rPr>
              <w:t>A.V.</w:t>
            </w:r>
          </w:p>
        </w:tc>
        <w:tc>
          <w:tcPr>
            <w:tcW w:w="2693" w:type="dxa"/>
          </w:tcPr>
          <w:p w14:paraId="023A8192" w14:textId="77777777" w:rsidR="00CD49D6" w:rsidRPr="00645FBF" w:rsidRDefault="00CD49D6" w:rsidP="00BC3434">
            <w:pPr>
              <w:jc w:val="both"/>
              <w:rPr>
                <w:shd w:val="clear" w:color="auto" w:fill="FFFFFF"/>
              </w:rPr>
            </w:pPr>
          </w:p>
        </w:tc>
        <w:tc>
          <w:tcPr>
            <w:tcW w:w="2126" w:type="dxa"/>
          </w:tcPr>
          <w:p w14:paraId="19896E5F" w14:textId="77777777" w:rsidR="00CD49D6" w:rsidRPr="00645FBF" w:rsidRDefault="00CD49D6" w:rsidP="00BC3434">
            <w:pPr>
              <w:jc w:val="both"/>
              <w:rPr>
                <w:shd w:val="clear" w:color="auto" w:fill="FFFFFF"/>
              </w:rPr>
            </w:pPr>
            <w:r w:rsidRPr="00645FBF">
              <w:rPr>
                <w:shd w:val="clear" w:color="auto" w:fill="FFFFFF"/>
              </w:rPr>
              <w:t>Data:</w:t>
            </w:r>
          </w:p>
          <w:p w14:paraId="485BEC0F" w14:textId="77777777" w:rsidR="00CD49D6" w:rsidRPr="00645FBF" w:rsidRDefault="00CD49D6" w:rsidP="00BC3434">
            <w:pPr>
              <w:jc w:val="both"/>
              <w:rPr>
                <w:shd w:val="clear" w:color="auto" w:fill="FFFFFF"/>
              </w:rPr>
            </w:pPr>
          </w:p>
          <w:p w14:paraId="097BD91D" w14:textId="77777777" w:rsidR="00CD49D6" w:rsidRPr="002F1119" w:rsidRDefault="00CD49D6" w:rsidP="00BC3434">
            <w:pPr>
              <w:jc w:val="both"/>
              <w:rPr>
                <w:shd w:val="clear" w:color="auto" w:fill="FFFFFF"/>
              </w:rPr>
            </w:pPr>
            <w:r w:rsidRPr="00645FBF">
              <w:rPr>
                <w:shd w:val="clear" w:color="auto" w:fill="FFFFFF"/>
              </w:rPr>
              <w:t>A.V.</w:t>
            </w:r>
          </w:p>
        </w:tc>
        <w:tc>
          <w:tcPr>
            <w:tcW w:w="2704" w:type="dxa"/>
          </w:tcPr>
          <w:p w14:paraId="6F44E2F5" w14:textId="77777777" w:rsidR="00CD49D6" w:rsidRPr="002F1119" w:rsidRDefault="00CD49D6" w:rsidP="00BC3434">
            <w:pPr>
              <w:jc w:val="both"/>
              <w:rPr>
                <w:shd w:val="clear" w:color="auto" w:fill="FFFFFF"/>
              </w:rPr>
            </w:pPr>
          </w:p>
        </w:tc>
      </w:tr>
    </w:tbl>
    <w:p w14:paraId="4D8F3944" w14:textId="77777777" w:rsidR="00CD49D6" w:rsidRDefault="00CD49D6"/>
    <w:p w14:paraId="3D4615DF" w14:textId="77777777" w:rsidR="00CD49D6" w:rsidRDefault="00CD49D6" w:rsidP="00CD49D6">
      <w:pPr>
        <w:jc w:val="right"/>
      </w:pPr>
    </w:p>
    <w:p w14:paraId="5D84A3A0" w14:textId="4275D3AB" w:rsidR="0073441F" w:rsidRDefault="00CD49D6" w:rsidP="00CD49D6">
      <w:pPr>
        <w:jc w:val="right"/>
      </w:pPr>
      <w:r>
        <w:t>Sutarties 1 priedas</w:t>
      </w:r>
    </w:p>
    <w:p w14:paraId="6570B6A0" w14:textId="301AFF27" w:rsidR="0073441F" w:rsidRDefault="0073441F"/>
    <w:p w14:paraId="16BB4BA5" w14:textId="2A51AF91" w:rsidR="0073441F" w:rsidRDefault="0073441F"/>
    <w:p w14:paraId="03579185" w14:textId="77777777" w:rsidR="0073441F" w:rsidRPr="00F05F81" w:rsidRDefault="0073441F" w:rsidP="0073441F">
      <w:pPr>
        <w:tabs>
          <w:tab w:val="num" w:pos="0"/>
        </w:tabs>
        <w:jc w:val="center"/>
        <w:outlineLvl w:val="1"/>
        <w:rPr>
          <w:rFonts w:eastAsia="Calibri"/>
          <w:b/>
          <w:color w:val="000000"/>
          <w:lang w:eastAsia="lt-LT"/>
        </w:rPr>
      </w:pPr>
      <w:r w:rsidRPr="00F05F81">
        <w:rPr>
          <w:rFonts w:eastAsia="Calibri"/>
          <w:b/>
          <w:color w:val="000000"/>
          <w:lang w:eastAsia="lt-LT"/>
        </w:rPr>
        <w:t>II PIRKIMO DALIS</w:t>
      </w:r>
    </w:p>
    <w:p w14:paraId="51763AC9" w14:textId="77777777" w:rsidR="0073441F" w:rsidRPr="00F05F81" w:rsidRDefault="0073441F" w:rsidP="0073441F">
      <w:pPr>
        <w:suppressAutoHyphens w:val="0"/>
        <w:spacing w:line="256" w:lineRule="auto"/>
        <w:jc w:val="center"/>
        <w:rPr>
          <w:rFonts w:eastAsia="Calibri"/>
          <w:b/>
          <w:color w:val="000000"/>
          <w:lang w:eastAsia="lt-LT"/>
        </w:rPr>
      </w:pPr>
    </w:p>
    <w:p w14:paraId="3FBA15F3" w14:textId="77777777" w:rsidR="0073441F" w:rsidRPr="00F05F81" w:rsidRDefault="0073441F" w:rsidP="0073441F">
      <w:pPr>
        <w:suppressAutoHyphens w:val="0"/>
        <w:spacing w:line="256" w:lineRule="auto"/>
        <w:jc w:val="center"/>
        <w:rPr>
          <w:rFonts w:eastAsia="Calibri"/>
          <w:b/>
          <w:color w:val="000000"/>
          <w:lang w:eastAsia="lt-LT"/>
        </w:rPr>
      </w:pPr>
      <w:r w:rsidRPr="00F05F81">
        <w:rPr>
          <w:rFonts w:eastAsia="Calibri"/>
          <w:b/>
          <w:color w:val="000000"/>
          <w:lang w:eastAsia="lt-LT"/>
        </w:rPr>
        <w:t>FITOPLANKTONO BIOMASĖS SURINKIMO KURŠIŲ MARIŲ AKVATORIJOJE GALIMYBIŲ STUDIJA, PANAUDOJANT PLAUKIOJANČIAS PRIEMONES IR SURINKTĄ BIOMASĘ ŠALINANT BIOREAKTORIUOSE, PRITAIKANT AGROTECHNOLOGINIAMS POREIKIAMS AR KITOMS PASKIRTIMS</w:t>
      </w:r>
    </w:p>
    <w:p w14:paraId="60E8D874" w14:textId="77777777" w:rsidR="0073441F" w:rsidRPr="00F05F81" w:rsidRDefault="0073441F" w:rsidP="0073441F">
      <w:pPr>
        <w:suppressAutoHyphens w:val="0"/>
        <w:spacing w:line="256" w:lineRule="auto"/>
        <w:jc w:val="center"/>
        <w:rPr>
          <w:rFonts w:eastAsia="Calibri"/>
          <w:b/>
          <w:color w:val="000000"/>
          <w:lang w:eastAsia="lt-LT"/>
        </w:rPr>
      </w:pPr>
      <w:r w:rsidRPr="00F05F81">
        <w:rPr>
          <w:rFonts w:eastAsia="Calibri"/>
          <w:b/>
          <w:color w:val="000000"/>
          <w:lang w:eastAsia="lt-LT"/>
        </w:rPr>
        <w:t>PASLAUGŲ  PIRKIMO</w:t>
      </w:r>
    </w:p>
    <w:p w14:paraId="5FC4B76D" w14:textId="77777777" w:rsidR="0073441F" w:rsidRPr="00F05F81" w:rsidRDefault="0073441F" w:rsidP="0073441F">
      <w:pPr>
        <w:suppressAutoHyphens w:val="0"/>
        <w:spacing w:line="256" w:lineRule="auto"/>
        <w:jc w:val="center"/>
        <w:rPr>
          <w:rFonts w:eastAsia="Calibri"/>
          <w:b/>
          <w:color w:val="000000"/>
          <w:lang w:eastAsia="lt-LT"/>
        </w:rPr>
      </w:pPr>
    </w:p>
    <w:p w14:paraId="18BDAFE9" w14:textId="77777777" w:rsidR="0073441F" w:rsidRPr="00F05F81" w:rsidRDefault="0073441F" w:rsidP="0073441F">
      <w:pPr>
        <w:suppressAutoHyphens w:val="0"/>
        <w:spacing w:line="256" w:lineRule="auto"/>
        <w:jc w:val="center"/>
        <w:rPr>
          <w:rFonts w:eastAsia="Calibri"/>
          <w:b/>
          <w:color w:val="000000"/>
          <w:lang w:eastAsia="lt-LT"/>
        </w:rPr>
      </w:pPr>
      <w:r w:rsidRPr="00F05F81">
        <w:rPr>
          <w:rFonts w:eastAsia="Calibri"/>
          <w:b/>
          <w:color w:val="000000"/>
          <w:lang w:eastAsia="lt-LT"/>
        </w:rPr>
        <w:t>TECHNINĖ SPECIFIKACIJA</w:t>
      </w:r>
    </w:p>
    <w:p w14:paraId="401232EB" w14:textId="77777777" w:rsidR="0073441F" w:rsidRPr="00F05F81" w:rsidRDefault="0073441F" w:rsidP="0073441F">
      <w:pPr>
        <w:tabs>
          <w:tab w:val="num" w:pos="0"/>
        </w:tabs>
        <w:jc w:val="center"/>
        <w:outlineLvl w:val="1"/>
        <w:rPr>
          <w:rFonts w:eastAsia="Calibri"/>
          <w:b/>
          <w:color w:val="000000"/>
          <w:lang w:eastAsia="lt-LT"/>
        </w:rPr>
      </w:pPr>
    </w:p>
    <w:p w14:paraId="153840D5" w14:textId="77777777" w:rsidR="0073441F" w:rsidRPr="00F05F81" w:rsidRDefault="0073441F" w:rsidP="0073441F">
      <w:pPr>
        <w:suppressAutoHyphens w:val="0"/>
        <w:contextualSpacing/>
        <w:jc w:val="center"/>
        <w:rPr>
          <w:rFonts w:eastAsia="Calibri"/>
          <w:b/>
          <w:lang w:eastAsia="en-US"/>
        </w:rPr>
      </w:pPr>
      <w:r w:rsidRPr="00F05F81">
        <w:rPr>
          <w:rFonts w:eastAsia="Calibri"/>
          <w:b/>
          <w:lang w:eastAsia="en-US"/>
        </w:rPr>
        <w:t>1. ĮVADINĖ INFORMACIJA</w:t>
      </w:r>
    </w:p>
    <w:p w14:paraId="2A1BEE97" w14:textId="77777777" w:rsidR="0073441F" w:rsidRPr="00F05F81" w:rsidRDefault="0073441F" w:rsidP="0073441F">
      <w:pPr>
        <w:suppressAutoHyphens w:val="0"/>
        <w:rPr>
          <w:rFonts w:eastAsia="Calibri"/>
          <w:b/>
          <w:lang w:eastAsia="en-US"/>
        </w:rPr>
      </w:pPr>
    </w:p>
    <w:p w14:paraId="0C9CEE13" w14:textId="77777777" w:rsidR="0073441F" w:rsidRPr="00F05F81" w:rsidRDefault="0073441F" w:rsidP="0073441F">
      <w:pPr>
        <w:widowControl w:val="0"/>
        <w:jc w:val="both"/>
        <w:rPr>
          <w:rFonts w:eastAsia="Lucida Sans Unicode"/>
          <w:kern w:val="2"/>
        </w:rPr>
      </w:pPr>
      <w:r w:rsidRPr="00F05F81">
        <w:rPr>
          <w:rFonts w:eastAsia="Lucida Sans Unicode"/>
          <w:b/>
          <w:kern w:val="2"/>
        </w:rPr>
        <w:t>Perkančioji organizacija</w:t>
      </w:r>
      <w:r w:rsidRPr="00F05F81">
        <w:rPr>
          <w:rFonts w:eastAsia="Lucida Sans Unicode"/>
          <w:kern w:val="2"/>
        </w:rPr>
        <w:t xml:space="preserve"> – Aplinkos apsaugos agentūra (toliau AAA). </w:t>
      </w:r>
    </w:p>
    <w:p w14:paraId="7B6612DC" w14:textId="77777777" w:rsidR="0073441F" w:rsidRPr="00F05F81" w:rsidRDefault="0073441F" w:rsidP="0073441F">
      <w:pPr>
        <w:widowControl w:val="0"/>
        <w:jc w:val="both"/>
        <w:rPr>
          <w:rFonts w:eastAsia="Lucida Sans Unicode"/>
          <w:kern w:val="2"/>
        </w:rPr>
      </w:pPr>
      <w:r w:rsidRPr="00F05F81">
        <w:rPr>
          <w:rFonts w:eastAsia="Lucida Sans Unicode"/>
          <w:b/>
          <w:kern w:val="2"/>
          <w:shd w:val="clear" w:color="auto" w:fill="FFFFFF"/>
        </w:rPr>
        <w:t>Paslaugos vykdymo trukmė</w:t>
      </w:r>
      <w:r w:rsidRPr="00F05F81">
        <w:rPr>
          <w:rFonts w:eastAsia="Lucida Sans Unicode"/>
          <w:kern w:val="2"/>
          <w:shd w:val="clear" w:color="auto" w:fill="FFFFFF"/>
        </w:rPr>
        <w:t xml:space="preserve"> – </w:t>
      </w:r>
      <w:r w:rsidRPr="00F05F81">
        <w:rPr>
          <w:rFonts w:eastAsia="Calibri"/>
          <w:lang w:eastAsia="en-US"/>
        </w:rPr>
        <w:t>20</w:t>
      </w:r>
      <w:r w:rsidRPr="00F05F81">
        <w:rPr>
          <w:rFonts w:eastAsia="Calibri"/>
          <w:color w:val="00B0F0"/>
          <w:lang w:eastAsia="en-US"/>
        </w:rPr>
        <w:t xml:space="preserve"> </w:t>
      </w:r>
      <w:r w:rsidRPr="00F05F81">
        <w:rPr>
          <w:rFonts w:eastAsia="Calibri"/>
          <w:lang w:eastAsia="en-US"/>
        </w:rPr>
        <w:t>mėnesių</w:t>
      </w:r>
      <w:r w:rsidRPr="00F05F81">
        <w:rPr>
          <w:rFonts w:eastAsia="Calibri"/>
          <w:color w:val="FF0000"/>
          <w:lang w:eastAsia="en-US"/>
        </w:rPr>
        <w:t xml:space="preserve"> </w:t>
      </w:r>
      <w:r w:rsidRPr="00F05F81">
        <w:rPr>
          <w:rFonts w:eastAsia="Calibri"/>
          <w:lang w:eastAsia="en-US"/>
        </w:rPr>
        <w:t>nuo sutarties įsigaliojimo dienos.</w:t>
      </w:r>
    </w:p>
    <w:p w14:paraId="15EE7876" w14:textId="77777777" w:rsidR="0073441F" w:rsidRPr="00F05F81" w:rsidRDefault="0073441F" w:rsidP="0073441F">
      <w:pPr>
        <w:suppressAutoHyphens w:val="0"/>
        <w:jc w:val="both"/>
        <w:rPr>
          <w:rFonts w:eastAsia="Lucida Sans Unicode"/>
          <w:kern w:val="2"/>
          <w:shd w:val="clear" w:color="auto" w:fill="FFFFFF"/>
        </w:rPr>
      </w:pPr>
      <w:r w:rsidRPr="00F05F81">
        <w:rPr>
          <w:rFonts w:eastAsia="Lucida Sans Unicode"/>
          <w:b/>
          <w:kern w:val="2"/>
        </w:rPr>
        <w:t>Pirkimo objektas</w:t>
      </w:r>
      <w:r w:rsidRPr="00F05F81">
        <w:rPr>
          <w:rFonts w:eastAsia="Lucida Sans Unicode"/>
          <w:kern w:val="2"/>
        </w:rPr>
        <w:t xml:space="preserve"> –</w:t>
      </w:r>
      <w:r w:rsidRPr="00F05F81">
        <w:rPr>
          <w:rFonts w:eastAsia="Calibri"/>
          <w:lang w:eastAsia="en-US"/>
        </w:rPr>
        <w:t xml:space="preserve"> fitoplanktono biomasės surinkimo Kuršių marių akvatorijoje galimybių studija, panaudojant plaukiojančias priemones ir surinktą biomasę šalinant bioreaktoriuose, pritaikant agrotechnologiniams poreikiams ar kitoms paskirtims </w:t>
      </w:r>
      <w:r w:rsidRPr="00F05F81">
        <w:rPr>
          <w:rFonts w:eastAsia="Lucida Sans Unicode"/>
          <w:kern w:val="2"/>
          <w:shd w:val="clear" w:color="auto" w:fill="FFFFFF"/>
        </w:rPr>
        <w:t>paslaugos (toliau – Paslaugos).</w:t>
      </w:r>
    </w:p>
    <w:p w14:paraId="78900820" w14:textId="77777777" w:rsidR="0073441F" w:rsidRPr="00F05F81" w:rsidRDefault="0073441F" w:rsidP="0073441F">
      <w:pPr>
        <w:suppressAutoHyphens w:val="0"/>
        <w:ind w:firstLine="851"/>
        <w:jc w:val="both"/>
        <w:rPr>
          <w:rFonts w:eastAsia="Lucida Sans Unicode"/>
          <w:kern w:val="2"/>
          <w:shd w:val="clear" w:color="auto" w:fill="FFFFFF"/>
        </w:rPr>
      </w:pPr>
    </w:p>
    <w:p w14:paraId="4894BBD8" w14:textId="77777777" w:rsidR="0073441F" w:rsidRPr="00F05F81" w:rsidRDefault="0073441F" w:rsidP="0073441F">
      <w:pPr>
        <w:suppressAutoHyphens w:val="0"/>
        <w:ind w:firstLine="851"/>
        <w:jc w:val="both"/>
        <w:rPr>
          <w:rFonts w:eastAsia="Lucida Sans Unicode"/>
          <w:kern w:val="2"/>
          <w:shd w:val="clear" w:color="auto" w:fill="FFFFFF"/>
        </w:rPr>
      </w:pPr>
      <w:r w:rsidRPr="00F05F81">
        <w:rPr>
          <w:rFonts w:eastAsia="Lucida Sans Unicode"/>
          <w:kern w:val="2"/>
          <w:shd w:val="clear" w:color="auto" w:fill="FFFFFF"/>
        </w:rPr>
        <w:t>Lietuva yra atsakinga už Europos Parlamento ir Tarybos direktyvos 2008/56/EB, nustatančios Bendrijos veiksmų jūrų aplinkos politikos srityje pagrindus (Jūrų strategijos pagrindų direktyvą) (toliau – JSPD) įgyvendinimą.</w:t>
      </w:r>
      <w:r w:rsidRPr="00F05F81">
        <w:rPr>
          <w:rFonts w:eastAsia="Lucida Sans Unicode"/>
          <w:kern w:val="2"/>
          <w:shd w:val="clear" w:color="auto" w:fill="FFFFFF"/>
          <w:vertAlign w:val="superscript"/>
        </w:rPr>
        <w:footnoteReference w:id="1"/>
      </w:r>
      <w:r w:rsidRPr="00F05F81">
        <w:rPr>
          <w:rFonts w:eastAsia="Lucida Sans Unicode"/>
          <w:kern w:val="2"/>
          <w:shd w:val="clear" w:color="auto" w:fill="FFFFFF"/>
          <w:vertAlign w:val="superscript"/>
        </w:rPr>
        <w:t>,</w:t>
      </w:r>
      <w:r w:rsidRPr="00F05F81">
        <w:rPr>
          <w:rFonts w:eastAsia="Lucida Sans Unicode"/>
          <w:kern w:val="2"/>
          <w:shd w:val="clear" w:color="auto" w:fill="FFFFFF"/>
          <w:vertAlign w:val="superscript"/>
        </w:rPr>
        <w:footnoteReference w:id="2"/>
      </w:r>
      <w:r w:rsidRPr="00F05F81">
        <w:rPr>
          <w:rFonts w:eastAsia="Lucida Sans Unicode"/>
          <w:kern w:val="2"/>
          <w:shd w:val="clear" w:color="auto" w:fill="FFFFFF"/>
        </w:rPr>
        <w:t xml:space="preserve"> 2013 m. spalio 3 d. buvo pasirašyta Helsinkio komisijos (toliau – HELCOM) Kopenhagos Ministrų deklaracija (http://helcom.fi/Ministerial2013), kurioje pagal HELCOM Baltijos jūros veiksmų planą, Lietuva iki 2020 m. įsipareigojo sumažinti fosforo ir azoto kiekius, patenkančius į jūros aplinką (fosforo – 1470 t., azoto – 8970 t.), ir pasiekti gerą jūros aplinkos būklę.</w:t>
      </w:r>
    </w:p>
    <w:p w14:paraId="0CF73001" w14:textId="77777777" w:rsidR="0073441F" w:rsidRPr="00F05F81" w:rsidRDefault="0073441F" w:rsidP="0073441F">
      <w:pPr>
        <w:suppressAutoHyphens w:val="0"/>
        <w:ind w:firstLine="851"/>
        <w:jc w:val="both"/>
        <w:rPr>
          <w:rFonts w:eastAsia="Lucida Sans Unicode"/>
          <w:kern w:val="2"/>
          <w:shd w:val="clear" w:color="auto" w:fill="FFFFFF"/>
        </w:rPr>
      </w:pPr>
      <w:r w:rsidRPr="00F05F81">
        <w:rPr>
          <w:rFonts w:eastAsia="Lucida Sans Unicode"/>
          <w:kern w:val="2"/>
          <w:shd w:val="clear" w:color="auto" w:fill="FFFFFF"/>
        </w:rPr>
        <w:t>Siekiant įgyvendinti JSPD, AAA vykdė projekto 1-ąjį etapą „Lietuvos Baltijos jūros aplinkos apsaugos valdymo stiprinimas“. Vienas iš projekto tikslų – sumažinti eutrofikaciją skatinančių mineralinių ir organinių medžiagų patekimą į jūros aplinką, siekiant geros aplinkos būklės (GAB) jūros rajone. V tarpinėje ataskaitoje buvo pasiūlyta priemonė jūros aplinkos apsaugos tikslams pasiekti – atlikti galimybių studiją, skirtą išanalizuoti fitoplanktono biomasės surinkimo Kuršių marių akvatorijoje potencialias galimybes, panaudojant plaukiojančias priemones ir surinktą biomasę šalinant bioreaktoriuose, pritaikant agrotechnologiniams poreikiams ar kitoms paskirtims. Ši priemonė įtraukta į Vandenų srities plėtros 2017-2023 metų programos įgyvendinimo veiksmų planą</w:t>
      </w:r>
      <w:r w:rsidRPr="00F05F81">
        <w:rPr>
          <w:rFonts w:eastAsia="Lucida Sans Unicode"/>
          <w:kern w:val="2"/>
          <w:shd w:val="clear" w:color="auto" w:fill="FFFFFF"/>
          <w:vertAlign w:val="superscript"/>
        </w:rPr>
        <w:footnoteReference w:id="3"/>
      </w:r>
      <w:r w:rsidRPr="00F05F81">
        <w:rPr>
          <w:rFonts w:eastAsia="Lucida Sans Unicode"/>
          <w:kern w:val="2"/>
          <w:shd w:val="clear" w:color="auto" w:fill="FFFFFF"/>
        </w:rPr>
        <w:t>.</w:t>
      </w:r>
    </w:p>
    <w:p w14:paraId="01F94460" w14:textId="77777777" w:rsidR="0073441F" w:rsidRPr="00F05F81" w:rsidRDefault="0073441F" w:rsidP="0073441F">
      <w:pPr>
        <w:suppressAutoHyphens w:val="0"/>
        <w:ind w:firstLine="851"/>
        <w:jc w:val="both"/>
        <w:rPr>
          <w:rFonts w:eastAsia="Calibri"/>
          <w:lang w:eastAsia="en-US"/>
        </w:rPr>
      </w:pPr>
      <w:r w:rsidRPr="00F05F81">
        <w:rPr>
          <w:rFonts w:eastAsia="Calibri"/>
          <w:lang w:eastAsia="en-US"/>
        </w:rPr>
        <w:lastRenderedPageBreak/>
        <w:t>Pasiūlyta tiesioginė priemonė, siekiant mažinti eutrofikacijos ir pirminės organinės medžiagos perteklinės produkcijos pasekmes – fitoplanktono biomasės surinkimo Kuršių marių akvatorijoje potencialių galimybių įvertinimas. Tokios priemonės praktikoje jau taikomos kitose šalyse (</w:t>
      </w:r>
      <w:r w:rsidRPr="00F05F81">
        <w:rPr>
          <w:rFonts w:eastAsia="BatangChe"/>
          <w:lang w:eastAsia="en-US"/>
        </w:rPr>
        <w:t>Gröndahl, 2009; Pechsiri et al., 2014)</w:t>
      </w:r>
      <w:r w:rsidRPr="00F05F81">
        <w:rPr>
          <w:rFonts w:eastAsia="Calibri"/>
          <w:lang w:eastAsia="en-US"/>
        </w:rPr>
        <w:t>. Patraukli šio metodo savybė yra ta, kad remiantis stechiometrinėmis medžiagų priklausomybėmis fitoplanktono biomasėje galima detaliai apskaičiuoti biomasės, N ir P kiekius.</w:t>
      </w:r>
    </w:p>
    <w:p w14:paraId="52C0B838" w14:textId="77777777" w:rsidR="0073441F" w:rsidRPr="00F05F81" w:rsidRDefault="0073441F" w:rsidP="0073441F">
      <w:pPr>
        <w:suppressAutoHyphens w:val="0"/>
        <w:ind w:firstLine="851"/>
        <w:jc w:val="both"/>
        <w:rPr>
          <w:rFonts w:eastAsia="Calibri"/>
          <w:lang w:eastAsia="en-US"/>
        </w:rPr>
      </w:pPr>
      <w:r w:rsidRPr="00F05F81">
        <w:rPr>
          <w:rFonts w:eastAsia="Calibri"/>
          <w:lang w:eastAsia="en-US"/>
        </w:rPr>
        <w:t>Pagrindiniai šios veiklos prasmingumo argumentai remiasi tuo, kad pašalinant perteklinę biomasę iš ekosistemos, bus pašalinti ir keturi esminiai eutrofikacijos reiškinius sąlygojantys veiksniai: fitoplanktono biomasėje sukauptas azotas ir fosforas; fitoplanktono biomasėje esanti organinė medžiaga, kurios skaidymas didina deguonies deficitą (taip būtų galima sudaryti galimybę mažinti stebimus deguonies deficito reiškinius mariose); (</w:t>
      </w:r>
      <w:r w:rsidRPr="00F05F81">
        <w:rPr>
          <w:rFonts w:eastAsia="BatangChe"/>
          <w:lang w:eastAsia="en-US"/>
        </w:rPr>
        <w:t xml:space="preserve">Conley et al., 2009) </w:t>
      </w:r>
      <w:r w:rsidRPr="00F05F81">
        <w:rPr>
          <w:rFonts w:eastAsia="Calibri"/>
          <w:lang w:eastAsia="en-US"/>
        </w:rPr>
        <w:t>fitoplanktono melsvabakterių ir dumblių produkuojami cianotoksinai, neigiamai veikiantys ne tik hidrobiontų gyvenimo sąlygas, bet ir vandens kokybę priekrantės maudyklose; savalaikis ir operatyvus azotą fiksuojančių melsvabakterių šalinimas iš dalies ar iš esmės sumažintų azoto srautus į ekosistemą iš atmosferos, tuo pačiu prisidėtų prie siekiamų tikslų įgyvendinimo. Galimybės pašalinti fitoplanktono biomasę turėtų būti įvertintos atlikta studija, atskleidžiant priemonės efektyvumą ir potencialą šalinant azotą ir fosforą.</w:t>
      </w:r>
    </w:p>
    <w:p w14:paraId="46680FAB" w14:textId="77777777" w:rsidR="0073441F" w:rsidRPr="00F05F81" w:rsidRDefault="0073441F" w:rsidP="0073441F">
      <w:pPr>
        <w:suppressAutoHyphens w:val="0"/>
        <w:ind w:firstLine="851"/>
        <w:jc w:val="both"/>
        <w:rPr>
          <w:rFonts w:eastAsia="Calibri"/>
          <w:lang w:eastAsia="en-US"/>
        </w:rPr>
      </w:pPr>
    </w:p>
    <w:p w14:paraId="212DDD01" w14:textId="77777777" w:rsidR="0073441F" w:rsidRPr="00F05F81" w:rsidRDefault="0073441F" w:rsidP="0073441F">
      <w:pPr>
        <w:tabs>
          <w:tab w:val="left" w:pos="567"/>
        </w:tabs>
        <w:ind w:right="282" w:firstLine="567"/>
        <w:jc w:val="center"/>
        <w:rPr>
          <w:b/>
          <w:bCs/>
          <w:color w:val="000000"/>
        </w:rPr>
      </w:pPr>
      <w:r w:rsidRPr="00F05F81">
        <w:rPr>
          <w:b/>
          <w:bCs/>
          <w:color w:val="000000"/>
        </w:rPr>
        <w:t>2. TIKSLAS IR UŽDAVINIAI</w:t>
      </w:r>
    </w:p>
    <w:p w14:paraId="77842695" w14:textId="77777777" w:rsidR="0073441F" w:rsidRPr="00F05F81" w:rsidRDefault="0073441F" w:rsidP="0073441F">
      <w:pPr>
        <w:widowControl w:val="0"/>
        <w:ind w:firstLine="851"/>
        <w:contextualSpacing/>
        <w:jc w:val="both"/>
        <w:rPr>
          <w:rFonts w:eastAsia="Calibri"/>
          <w:lang w:eastAsia="en-US"/>
        </w:rPr>
      </w:pPr>
    </w:p>
    <w:p w14:paraId="23C91D50"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2.1. Tikslas – atlikti fitoplanktono biomasės surinkimo Kuršių marių akvatorijoje galimybių studiją, panaudojant plaukiojančias priemones ir surinktą biomasę šalinant bioreaktoriuose, pritaikant agrotechnologiniams poreikiams ar kitoms paskirtims.</w:t>
      </w:r>
    </w:p>
    <w:p w14:paraId="75765136"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2.2. Veiklų uždaviniai:</w:t>
      </w:r>
    </w:p>
    <w:p w14:paraId="57168BF0" w14:textId="77777777" w:rsidR="0073441F" w:rsidRPr="00F05F81" w:rsidRDefault="0073441F" w:rsidP="0073441F">
      <w:pPr>
        <w:widowControl w:val="0"/>
        <w:ind w:firstLine="851"/>
        <w:contextualSpacing/>
        <w:jc w:val="both"/>
        <w:rPr>
          <w:rFonts w:eastAsia="Calibri"/>
          <w:b/>
          <w:bCs/>
          <w:lang w:eastAsia="en-US"/>
        </w:rPr>
      </w:pPr>
      <w:r w:rsidRPr="00F05F81">
        <w:rPr>
          <w:rFonts w:eastAsia="Calibri"/>
          <w:lang w:eastAsia="en-US"/>
        </w:rPr>
        <w:t xml:space="preserve">2.2.1. </w:t>
      </w:r>
      <w:r w:rsidRPr="00F05F81">
        <w:rPr>
          <w:rFonts w:eastAsia="Calibri"/>
          <w:b/>
          <w:bCs/>
          <w:lang w:eastAsia="en-US"/>
        </w:rPr>
        <w:t>1 uždavinys.</w:t>
      </w:r>
      <w:r w:rsidRPr="00F05F81">
        <w:rPr>
          <w:rFonts w:eastAsia="Calibri"/>
          <w:lang w:eastAsia="en-US"/>
        </w:rPr>
        <w:t xml:space="preserve"> </w:t>
      </w:r>
      <w:r w:rsidRPr="00F05F81">
        <w:rPr>
          <w:rFonts w:eastAsia="Calibri"/>
          <w:b/>
          <w:bCs/>
          <w:lang w:eastAsia="en-US"/>
        </w:rPr>
        <w:t>Atlikti Kuršių marių fitoplanktono biomasės ir biogeninių medžiagų tarpusavio sąveikos procesų kiekybinį ir kokybinį vertinimą.</w:t>
      </w:r>
    </w:p>
    <w:p w14:paraId="170351D4"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1 uždavinio veiklos:</w:t>
      </w:r>
    </w:p>
    <w:p w14:paraId="7566EB1C"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2.2.1.1. Apskaičiuoti, kokie biogeninių medžiagų kiekiai akumuliuojasi Kuršių marių fitoplanktono biomasėje, atsižvelgiant į fitoplanktono funkcines grupės; </w:t>
      </w:r>
    </w:p>
    <w:p w14:paraId="08567AC0"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2.2.1.2. Apskaičiuoti, koks biogeninių medžiagų kiekis pašalinamas iš Kuršių marių ekosistemos su skirtingų fitoplanktono funkcinių grupių biomasės išėmimu; </w:t>
      </w:r>
    </w:p>
    <w:p w14:paraId="78AFC8AD"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2.2.1.3. Apskaičiuoti, kiek sumažėtų azoto srautas iš atmosferos į Kuršių marių ekosistemą surenkant azotą fiksuojančių fitoplanktono (melsvabakterių) biomasę; </w:t>
      </w:r>
    </w:p>
    <w:p w14:paraId="0AB28625"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2.2.1.4. Įvertinti fitoplanktono biomasės surinkimo poveikį hidrobiontų gyvenimo sąlygoms; </w:t>
      </w:r>
    </w:p>
    <w:p w14:paraId="7DD0DF20"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2.2.1.5. Įvertinti fitoplanktono biomasėje esančios organinės medžiagos eliminavimo poveikį deguonies deficito reiškiniams Kuršių mariose; </w:t>
      </w:r>
    </w:p>
    <w:p w14:paraId="510CDCD7"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2.2.1.6. Įvertinti fitoplanktono biomasės surinkimo įtaką azoto ir fosforo balansui Kuršių mariose.</w:t>
      </w:r>
    </w:p>
    <w:p w14:paraId="7580F4A7"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2.2.2. </w:t>
      </w:r>
      <w:r w:rsidRPr="00F05F81">
        <w:rPr>
          <w:rFonts w:eastAsia="Calibri"/>
          <w:b/>
          <w:bCs/>
          <w:lang w:eastAsia="en-US"/>
        </w:rPr>
        <w:t>2 uždavinys. Atlikti tyrimus, siekiant įvertinti fitoplanktono biomasės ir melsvabakterių produkuojamų cianotoksinų kiekius ir pasiskirstymą Kuršių mariose.</w:t>
      </w:r>
    </w:p>
    <w:p w14:paraId="6F368E9F"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2 uždavinio veiklos: </w:t>
      </w:r>
    </w:p>
    <w:p w14:paraId="1B0A4F98"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2.2.2.1. Atlikti tyrimus, apimančius ne mažiau kaip vieną vegetacijos laikotarpį (7 mėnesiai), nurodytus 1 priede, reikalingus įvertinti fitoplanktono biomasės ir cianotoksinų pasiskirstymą Kuršių mariose;</w:t>
      </w:r>
    </w:p>
    <w:p w14:paraId="759C27FF"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2.2.2.2. Įvertinti  fitoplanktono biomasės ir rūšinės sudėties sezoninę kaitą ir erdvinį pasiskirstymą Kuršių marių akvatorijoje;</w:t>
      </w:r>
    </w:p>
    <w:p w14:paraId="02B7612B"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2.2.2.3. Įvertinti cianotoksinų kiekių sezoninę kaitą ir erdvinį pasiskirstymą Kuršių marių akvatorijoje;</w:t>
      </w:r>
    </w:p>
    <w:p w14:paraId="50176817"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lastRenderedPageBreak/>
        <w:t xml:space="preserve">2.2.2.4. Įvertinti cianotoksinų kiekius, kurie kaupiasi Kuršių marių fitoplanktono biomasėje;  </w:t>
      </w:r>
    </w:p>
    <w:p w14:paraId="2D012069"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2.2.2.5. Įvertinti melsvabakterių produkuojamų cianotoksinų eliminacijos, su fitoplanktono biomasės surinkimu, poveikį Kuršių marioms.</w:t>
      </w:r>
    </w:p>
    <w:p w14:paraId="1F4535C3" w14:textId="77777777" w:rsidR="0073441F" w:rsidRPr="00F05F81" w:rsidRDefault="0073441F" w:rsidP="0073441F">
      <w:pPr>
        <w:widowControl w:val="0"/>
        <w:ind w:firstLine="851"/>
        <w:contextualSpacing/>
        <w:jc w:val="both"/>
        <w:rPr>
          <w:rFonts w:eastAsia="Calibri"/>
          <w:lang w:eastAsia="en-US"/>
        </w:rPr>
      </w:pPr>
    </w:p>
    <w:p w14:paraId="3D2C369B"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2.2.3. </w:t>
      </w:r>
      <w:r w:rsidRPr="00F05F81">
        <w:rPr>
          <w:rFonts w:eastAsia="Calibri"/>
          <w:b/>
          <w:bCs/>
          <w:lang w:eastAsia="en-US"/>
        </w:rPr>
        <w:t>3 uždavinys. Pateikti Kuršių marių fitoplanktono biomasės surinkimo, šalinimo bioreaktoriuose ir pritaikymo galimybių agrotechnologiniams poreikiams ar kitoms paskirtims rekomendacijas.</w:t>
      </w:r>
    </w:p>
    <w:p w14:paraId="6437BE0F"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3 uždavinio veiklos: </w:t>
      </w:r>
    </w:p>
    <w:p w14:paraId="498338EA"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2.2.3.1. Pateikti informaciją apie kitų šalių patirtį taikant fitoplanktono biomasės surinkimą vandens telkiniuose ir taikymo galimybes Kuršių mariose; </w:t>
      </w:r>
    </w:p>
    <w:p w14:paraId="4A2B3F53"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2.2.3.2. Pateikti informaciją apie fitoplanktono biomasės surinkimo technologijas labiausiai tinkančias Kuršių marių ekosistemai, įvertinti eksploatacijos galimą poveikį aplinkai;</w:t>
      </w:r>
    </w:p>
    <w:p w14:paraId="78293694"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2.2.3.3. Įvertinti ir pateikti informaciją apie potencialias Kuršių marių akvatorijos vietas, kuriose tikslinga taikyti fitoplanktono biomasės surinkimą; </w:t>
      </w:r>
    </w:p>
    <w:p w14:paraId="601FCD64"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2.2.3.4. Įvertinti ir pateikti informaciją, kada ir kiek kartų tikslingiausia vykdyti fitoplanktono biomasės surinkimą Kuršių mariose; </w:t>
      </w:r>
    </w:p>
    <w:p w14:paraId="3F175875"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2.2.3.5. Įvertinti fitoplanktono biomasės surinkimo priemonių ir jų taikymo galimybių Kuršių mariose, preliminarius kaštus, pateikiant potencialių teikėjų pasiūlymus;</w:t>
      </w:r>
    </w:p>
    <w:p w14:paraId="7DA96641"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2.2.3.6. Pateikti informaciją apie Kuršių mariose surinktos fitoplanktono biomasės utilizavimą bioreaktoriuose ir įvertinti taikymo galimybes, preliminarius kaštus Lietuvoje;</w:t>
      </w:r>
    </w:p>
    <w:p w14:paraId="66C4BF13"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2.2.3.7. Įvertinti Kuršių mariose surinktos fitoplanktono biomasės taikymo galimybes agrotechnologiniams poreikiams ir kitoms paskirtims bei jų finansinį naudingumą;</w:t>
      </w:r>
    </w:p>
    <w:p w14:paraId="24E338A9"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2.2.3.8. Įvertinti Kuršių marių fitoplanktono biomasės surinkimo ir panaudojimo galimybių aplinkosauginį ir ekonominį naudingumą.</w:t>
      </w:r>
    </w:p>
    <w:p w14:paraId="3C016F6E" w14:textId="77777777" w:rsidR="0073441F" w:rsidRPr="00F05F81" w:rsidRDefault="0073441F" w:rsidP="0073441F">
      <w:pPr>
        <w:widowControl w:val="0"/>
        <w:ind w:firstLine="851"/>
        <w:contextualSpacing/>
        <w:jc w:val="both"/>
        <w:rPr>
          <w:rFonts w:eastAsia="Calibri"/>
          <w:lang w:eastAsia="en-US"/>
        </w:rPr>
      </w:pPr>
    </w:p>
    <w:p w14:paraId="1E1CA61B" w14:textId="77777777" w:rsidR="0073441F" w:rsidRPr="00F05F81" w:rsidRDefault="0073441F" w:rsidP="0073441F">
      <w:pPr>
        <w:widowControl w:val="0"/>
        <w:ind w:firstLine="851"/>
        <w:contextualSpacing/>
        <w:jc w:val="both"/>
        <w:rPr>
          <w:rFonts w:eastAsia="Calibri"/>
          <w:b/>
          <w:bCs/>
          <w:lang w:eastAsia="en-US"/>
        </w:rPr>
      </w:pPr>
      <w:r w:rsidRPr="00F05F81">
        <w:rPr>
          <w:rFonts w:eastAsia="Calibri"/>
          <w:b/>
          <w:bCs/>
          <w:lang w:eastAsia="en-US"/>
        </w:rPr>
        <w:t>3. ATASKAITŲ RENGIMAS, PATEIKIMAS IR DERINIMAS</w:t>
      </w:r>
    </w:p>
    <w:p w14:paraId="4C1D16CD" w14:textId="77777777" w:rsidR="0073441F" w:rsidRPr="00F05F81" w:rsidRDefault="0073441F" w:rsidP="0073441F">
      <w:pPr>
        <w:widowControl w:val="0"/>
        <w:ind w:firstLine="851"/>
        <w:contextualSpacing/>
        <w:jc w:val="both"/>
        <w:rPr>
          <w:rFonts w:eastAsia="Calibri"/>
          <w:lang w:eastAsia="en-US"/>
        </w:rPr>
      </w:pPr>
    </w:p>
    <w:p w14:paraId="13008AC5"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3.1.Paslaugų teikėjas (toliau – Teikėjas) turi parengti ir pateikti </w:t>
      </w:r>
      <w:r w:rsidRPr="00F05F81">
        <w:rPr>
          <w:rFonts w:eastAsia="Calibri"/>
          <w:b/>
          <w:bCs/>
          <w:lang w:eastAsia="en-US"/>
        </w:rPr>
        <w:t>1 įvadinę, 2 tarpines</w:t>
      </w:r>
      <w:r w:rsidRPr="00F05F81">
        <w:rPr>
          <w:rFonts w:eastAsia="Calibri"/>
          <w:lang w:eastAsia="en-US"/>
        </w:rPr>
        <w:t xml:space="preserve"> ir </w:t>
      </w:r>
      <w:r w:rsidRPr="00F05F81">
        <w:rPr>
          <w:rFonts w:eastAsia="Calibri"/>
          <w:b/>
          <w:bCs/>
          <w:lang w:eastAsia="en-US"/>
        </w:rPr>
        <w:t>1 galutinę</w:t>
      </w:r>
      <w:r w:rsidRPr="00F05F81">
        <w:rPr>
          <w:rFonts w:eastAsia="Calibri"/>
          <w:lang w:eastAsia="en-US"/>
        </w:rPr>
        <w:t xml:space="preserve"> ataskaitas.</w:t>
      </w:r>
    </w:p>
    <w:p w14:paraId="16D8684F"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3.2 Reikalavimai </w:t>
      </w:r>
      <w:r w:rsidRPr="00F05F81">
        <w:rPr>
          <w:rFonts w:eastAsia="Calibri"/>
          <w:b/>
          <w:bCs/>
          <w:lang w:eastAsia="en-US"/>
        </w:rPr>
        <w:t>įvadinei</w:t>
      </w:r>
      <w:r w:rsidRPr="00F05F81">
        <w:rPr>
          <w:rFonts w:eastAsia="Calibri"/>
          <w:lang w:eastAsia="en-US"/>
        </w:rPr>
        <w:t xml:space="preserve"> ataskaitai: </w:t>
      </w:r>
    </w:p>
    <w:p w14:paraId="07264FC8"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3.2.1. įvadinė ataskaita turi būti pateikta Perkančiajai organizacijai per 30 dienų nuo Sutarties tarp Perkančios organizacijos ir Teikėjo (toliau – Sutartis) pasirašymo dienos; </w:t>
      </w:r>
    </w:p>
    <w:p w14:paraId="63CF5E28"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3.2.2. įvadinėje ataskaitoje turi būti aiškiai pateiktas Teikėjo planuojamas kiekvienos veiklos įgyvendinimo ir rezultato pasiekimo grafikas paslaugų teikimo laikotarpiu, paslaugų teikimo planas, įskaitant darbo grafiką. Visa veikla ir rezultatai turi būti aiškiai sunumeruoti, ir turi būti aišku, koks ekspertas yra atsakingas už kiekvieną paslaugų teikimo aspektą. Vėliau, visų teiktų paslaugų rezultatai turi turėti aiškią nuorodą į atitinkamą veiklą (rezultato identifikacinį numerį), pateiktą įvadinėje ataskaitoje;</w:t>
      </w:r>
    </w:p>
    <w:p w14:paraId="255C0EB5"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3.2.3. patvirtinus įvadinę ataskaitą, paslaugų teikimo planas turi būti laikomas pagrindiniu dokumentu, kuriuo turi būti vadovaujamasi prižiūrint paslaugų teikimo įgyvendinimą.</w:t>
      </w:r>
    </w:p>
    <w:p w14:paraId="57ACF7FD"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3.3. Reikalavimai </w:t>
      </w:r>
      <w:r w:rsidRPr="00F05F81">
        <w:rPr>
          <w:rFonts w:eastAsia="Calibri"/>
          <w:b/>
          <w:bCs/>
          <w:lang w:eastAsia="en-US"/>
        </w:rPr>
        <w:t xml:space="preserve">tarpinėms </w:t>
      </w:r>
      <w:r w:rsidRPr="00F05F81">
        <w:rPr>
          <w:rFonts w:eastAsia="Calibri"/>
          <w:lang w:eastAsia="en-US"/>
        </w:rPr>
        <w:t xml:space="preserve">ataskaitoms: </w:t>
      </w:r>
    </w:p>
    <w:p w14:paraId="21B294A1"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3.3.1. turi būti nurodytos atliktos veiklos ir pasiekti rezultatai, jų aprašymai;</w:t>
      </w:r>
    </w:p>
    <w:p w14:paraId="5AFCB7A8"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3.3.2. pateikiamos priemonės įgyvendinimo metu atliktų mėginių paėmimo, matavimų, lauko ir laboratorinių analizių metodikos ir susijusi informacija dėl tyrimų kokybės užtikrinimo;</w:t>
      </w:r>
    </w:p>
    <w:p w14:paraId="2C1E99B3"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3.3.3. pateikiama informacija apie atliekamas veiklas (ir pasiekta pažanga); </w:t>
      </w:r>
    </w:p>
    <w:p w14:paraId="2CFB308F"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3.3.4. pateikiama informacija apie kylančios problemos ir siūlomi sprendimai; </w:t>
      </w:r>
    </w:p>
    <w:p w14:paraId="3B82B132"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3.3.5. gali būti teikiamos rekomendacijos dėl darbo plano pakeitimo ar pakoregavimo; </w:t>
      </w:r>
    </w:p>
    <w:p w14:paraId="1FD49D70"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lastRenderedPageBreak/>
        <w:t xml:space="preserve">3.3.6. galimi prašymai dėl Priežiūros komiteto patarimų; </w:t>
      </w:r>
    </w:p>
    <w:p w14:paraId="3AA89619"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3.3.7. turi būti pateikta darbų eigos lentelė; </w:t>
      </w:r>
    </w:p>
    <w:p w14:paraId="709310B3"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3.3.8. veiklų atlikimo ir tarpinių ataskaitų teikimo terminai: </w:t>
      </w:r>
    </w:p>
    <w:p w14:paraId="54F49824"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3.3.8.1. 1-oji tarpinė ataskaita turi būti pateikta per 20 savaičių nuo Sutarties įsigaliojimo dienos; </w:t>
      </w:r>
    </w:p>
    <w:p w14:paraId="467D7352"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3.3.8.2. iki pirmos tarpinės ataskaitos pateikimo turi būti atliktos 1 uždavinio 1.1-1.6 veiklos; </w:t>
      </w:r>
    </w:p>
    <w:p w14:paraId="55BDED40"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3.3.8.3. 2-oji tarpinė ataskaita turi būti pateikta per 55 savaites nuo Sutarties įsigaliojimo dienos;</w:t>
      </w:r>
    </w:p>
    <w:p w14:paraId="72438FA2"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3.3.8.4. iki antros tarpinės ataskaitos pateikimo turi būti atliktos 2 uždavinio 2.1-2.5 veiklos;</w:t>
      </w:r>
    </w:p>
    <w:p w14:paraId="24EA1C76"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3.3.8.5. veiklų, kurios susijusios su mėginių ėmimu, matavimais, lauko ir laboratoriniais tyrimais, rezultatų pateikimo terminas gali būti keičiamas, atsižvelgiant į tai, kad mėginių ėmimą būtina vykdyti vegetacijos periodu (balandis-spalis).</w:t>
      </w:r>
    </w:p>
    <w:p w14:paraId="44528FD7"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4. Reikalavimai </w:t>
      </w:r>
      <w:r w:rsidRPr="00F05F81">
        <w:rPr>
          <w:rFonts w:eastAsia="Calibri"/>
          <w:b/>
          <w:bCs/>
          <w:lang w:eastAsia="en-US"/>
        </w:rPr>
        <w:t xml:space="preserve">galutinei </w:t>
      </w:r>
      <w:r w:rsidRPr="00F05F81">
        <w:rPr>
          <w:rFonts w:eastAsia="Calibri"/>
          <w:lang w:eastAsia="en-US"/>
        </w:rPr>
        <w:t>ataskaitai:</w:t>
      </w:r>
    </w:p>
    <w:p w14:paraId="2E65150E"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4.4.1. galutinė ataskaita turi būti pateikta per 72 savaites nuo Sutarties įsigaliojimo dienos; </w:t>
      </w:r>
    </w:p>
    <w:p w14:paraId="76E58DC7"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 xml:space="preserve">4.4.2. iki galutinės ataskaitos pateikimo turi būti atliktos 3 uždavinio 3.1-3.8 veiklos; </w:t>
      </w:r>
    </w:p>
    <w:p w14:paraId="5F7D075F"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4.4.3. iki galutinės ataskaitos pateikimo turi būti atliktos visos 1-3 uždavinių veiklos ir ataskaitoje pateikiami visi pasiekti rezultatai;</w:t>
      </w:r>
    </w:p>
    <w:p w14:paraId="5A90BFEC"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4.4.4. iki galutinės ataskaitos pateikimo suorganizuoti susitikimą/diskusiją Aplinkos apsaugos agentūroje, kuriame dalyvautų atstovai iš ūkio subjektų, kuriems aktualios fitoplanktono biomasės šalinimas bioreaktoriuose, pritaikant agrotechnologiniams poreikiams ar kitoms paskirtims, paslaugos.</w:t>
      </w:r>
    </w:p>
    <w:p w14:paraId="7E1F9699"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4.5. Ataskaitų teikimo terminai šalių susitarimu gali būti keičiami.</w:t>
      </w:r>
    </w:p>
    <w:p w14:paraId="1CE171EE"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4.6. Ataskaitos teikiamos lietuvių kalba.</w:t>
      </w:r>
    </w:p>
    <w:p w14:paraId="0FDC852A"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4.7. Ataskaitos teikiamos popierine forma (3 egzemplioriai) ir elektronine forma (*.doc ir *.pdf formatais), o su jomis susiję duomenys (pirminiai lauko tyrimų duomenys, skaitmeniniai žemėlapiai ir kt.) pateikiami kompiuterinėje laikmenoje.</w:t>
      </w:r>
    </w:p>
    <w:p w14:paraId="19ED5D99"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4.8. Kiekvieną teikiamą ataskaitą turi pasirašyti visi ekspertai, dalyvavę veiklose, kurios turėjo būti atliktos iki tos ataskaitos teikimo.</w:t>
      </w:r>
    </w:p>
    <w:p w14:paraId="422C790B"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3.9. Teikėjas visas ataskaitas turi pateikti Perkančiajai organizacijai. Perkančioji organizacija peržiūri, vertina, teikia savo pastabas bei pasiūlymus ir tvirtina ataskaitas.</w:t>
      </w:r>
    </w:p>
    <w:p w14:paraId="3F2C7942" w14:textId="77777777" w:rsidR="0073441F" w:rsidRPr="00F05F81" w:rsidRDefault="0073441F" w:rsidP="0073441F">
      <w:pPr>
        <w:widowControl w:val="0"/>
        <w:ind w:firstLine="851"/>
        <w:contextualSpacing/>
        <w:jc w:val="both"/>
        <w:rPr>
          <w:rFonts w:eastAsia="Calibri"/>
          <w:lang w:eastAsia="en-US"/>
        </w:rPr>
      </w:pPr>
      <w:r w:rsidRPr="00F05F81">
        <w:rPr>
          <w:rFonts w:eastAsia="Calibri"/>
          <w:lang w:eastAsia="en-US"/>
        </w:rPr>
        <w:t>3.10. Jeigu Perkančioji organizacija turi pastabų ataskaitai, pateikia jas Teikėjui ir pareikalauja pataisyti ataskaitą, nurodydama terminą, iki kada turi būti pateikta patikslinta ataskaita. Teikėjas teikdamas pataisytą ataskaitą, kartu turi pateikti pataisytos ataskaitos skaitmeninę kopiją su nurodytais pakeitimais (angl. track change) ir pridėti trumpą informaciją, kaip buvo atsižvelgta į pastabas.</w:t>
      </w:r>
    </w:p>
    <w:p w14:paraId="28349FC9" w14:textId="77777777" w:rsidR="0073441F" w:rsidRPr="00F05F81" w:rsidRDefault="0073441F" w:rsidP="0073441F">
      <w:pPr>
        <w:widowControl w:val="0"/>
        <w:ind w:firstLine="851"/>
        <w:contextualSpacing/>
        <w:jc w:val="both"/>
        <w:rPr>
          <w:rFonts w:eastAsia="Calibri"/>
          <w:b/>
          <w:lang w:eastAsia="en-US"/>
        </w:rPr>
      </w:pPr>
    </w:p>
    <w:p w14:paraId="05E2AE73" w14:textId="77777777" w:rsidR="0073441F" w:rsidRPr="00F05F81" w:rsidRDefault="0073441F" w:rsidP="0073441F">
      <w:pPr>
        <w:widowControl w:val="0"/>
        <w:ind w:firstLine="851"/>
        <w:contextualSpacing/>
        <w:jc w:val="both"/>
        <w:rPr>
          <w:rFonts w:eastAsia="Calibri"/>
          <w:b/>
          <w:lang w:eastAsia="en-US"/>
        </w:rPr>
      </w:pPr>
      <w:r w:rsidRPr="00F05F81">
        <w:rPr>
          <w:rFonts w:eastAsia="Calibri"/>
          <w:b/>
          <w:lang w:eastAsia="en-US"/>
        </w:rPr>
        <w:t>II PIRKIMO DALIES TECHNINĖS SPECIFIKACIJOS PRIEDAI</w:t>
      </w:r>
    </w:p>
    <w:p w14:paraId="644B2FBE" w14:textId="77777777" w:rsidR="0073441F" w:rsidRPr="00F05F81" w:rsidRDefault="0073441F" w:rsidP="0073441F">
      <w:pPr>
        <w:widowControl w:val="0"/>
        <w:rPr>
          <w:rFonts w:eastAsia="Calibri"/>
          <w:lang w:eastAsia="en-US"/>
        </w:rPr>
      </w:pPr>
    </w:p>
    <w:p w14:paraId="33736E2E" w14:textId="77777777" w:rsidR="0073441F" w:rsidRPr="00F05F81" w:rsidRDefault="0073441F" w:rsidP="0073441F">
      <w:pPr>
        <w:widowControl w:val="0"/>
        <w:rPr>
          <w:rFonts w:eastAsia="Calibri"/>
          <w:lang w:eastAsia="en-US"/>
        </w:rPr>
      </w:pPr>
      <w:r w:rsidRPr="00F05F81">
        <w:rPr>
          <w:rFonts w:eastAsia="Calibri"/>
          <w:lang w:eastAsia="en-US"/>
        </w:rPr>
        <w:t>1 priedas. Matavimų ir tyrimų atlikimo parametrai, vietos ir dažnumas.</w:t>
      </w:r>
    </w:p>
    <w:tbl>
      <w:tblPr>
        <w:tblStyle w:val="Lentelstinklelis"/>
        <w:tblW w:w="5000" w:type="pct"/>
        <w:tblInd w:w="0" w:type="dxa"/>
        <w:tblLook w:val="04A0" w:firstRow="1" w:lastRow="0" w:firstColumn="1" w:lastColumn="0" w:noHBand="0" w:noVBand="1"/>
      </w:tblPr>
      <w:tblGrid>
        <w:gridCol w:w="1244"/>
        <w:gridCol w:w="2797"/>
        <w:gridCol w:w="5921"/>
      </w:tblGrid>
      <w:tr w:rsidR="0073441F" w:rsidRPr="00F05F81" w14:paraId="5163C515" w14:textId="77777777" w:rsidTr="00624A2A">
        <w:tc>
          <w:tcPr>
            <w:tcW w:w="624" w:type="pct"/>
            <w:vMerge w:val="restart"/>
            <w:tcBorders>
              <w:top w:val="single" w:sz="4" w:space="0" w:color="auto"/>
              <w:left w:val="single" w:sz="4" w:space="0" w:color="auto"/>
              <w:bottom w:val="single" w:sz="4" w:space="0" w:color="auto"/>
              <w:right w:val="single" w:sz="4" w:space="0" w:color="auto"/>
            </w:tcBorders>
            <w:vAlign w:val="center"/>
            <w:hideMark/>
          </w:tcPr>
          <w:p w14:paraId="6E56B299" w14:textId="77777777" w:rsidR="0073441F" w:rsidRPr="00F05F81" w:rsidRDefault="0073441F" w:rsidP="00624A2A">
            <w:pPr>
              <w:widowControl w:val="0"/>
              <w:contextualSpacing/>
              <w:jc w:val="center"/>
              <w:rPr>
                <w:b/>
                <w:sz w:val="22"/>
                <w:szCs w:val="22"/>
                <w:lang w:eastAsia="en-US"/>
              </w:rPr>
            </w:pPr>
            <w:r w:rsidRPr="00F05F81">
              <w:rPr>
                <w:b/>
                <w:sz w:val="22"/>
                <w:szCs w:val="22"/>
                <w:lang w:eastAsia="en-US"/>
              </w:rPr>
              <w:t>Kuršių marios</w:t>
            </w:r>
          </w:p>
        </w:tc>
        <w:tc>
          <w:tcPr>
            <w:tcW w:w="1404" w:type="pct"/>
            <w:tcBorders>
              <w:top w:val="single" w:sz="4" w:space="0" w:color="auto"/>
              <w:left w:val="single" w:sz="4" w:space="0" w:color="auto"/>
              <w:bottom w:val="single" w:sz="4" w:space="0" w:color="auto"/>
              <w:right w:val="single" w:sz="4" w:space="0" w:color="auto"/>
            </w:tcBorders>
            <w:vAlign w:val="center"/>
            <w:hideMark/>
          </w:tcPr>
          <w:p w14:paraId="0F0E9A43" w14:textId="77777777" w:rsidR="0073441F" w:rsidRPr="00F05F81" w:rsidRDefault="0073441F" w:rsidP="00624A2A">
            <w:pPr>
              <w:widowControl w:val="0"/>
              <w:contextualSpacing/>
              <w:jc w:val="center"/>
              <w:rPr>
                <w:b/>
                <w:lang w:eastAsia="en-US"/>
              </w:rPr>
            </w:pPr>
            <w:r w:rsidRPr="00F05F81">
              <w:rPr>
                <w:b/>
                <w:lang w:eastAsia="en-US"/>
              </w:rPr>
              <w:t>Tyrimų vieta</w:t>
            </w:r>
          </w:p>
        </w:tc>
        <w:tc>
          <w:tcPr>
            <w:tcW w:w="2972" w:type="pct"/>
            <w:tcBorders>
              <w:top w:val="single" w:sz="4" w:space="0" w:color="auto"/>
              <w:left w:val="single" w:sz="4" w:space="0" w:color="auto"/>
              <w:bottom w:val="single" w:sz="4" w:space="0" w:color="auto"/>
              <w:right w:val="single" w:sz="4" w:space="0" w:color="auto"/>
            </w:tcBorders>
            <w:hideMark/>
          </w:tcPr>
          <w:p w14:paraId="3E40A76D" w14:textId="77777777" w:rsidR="0073441F" w:rsidRPr="00F05F81" w:rsidRDefault="0073441F" w:rsidP="00624A2A">
            <w:pPr>
              <w:widowControl w:val="0"/>
              <w:contextualSpacing/>
              <w:jc w:val="center"/>
              <w:rPr>
                <w:b/>
                <w:lang w:eastAsia="en-US"/>
              </w:rPr>
            </w:pPr>
            <w:r w:rsidRPr="00F05F81">
              <w:rPr>
                <w:b/>
                <w:lang w:eastAsia="en-US"/>
              </w:rPr>
              <w:t>Tyrimų laikas ir dažnumas</w:t>
            </w:r>
          </w:p>
        </w:tc>
      </w:tr>
      <w:tr w:rsidR="0073441F" w:rsidRPr="00F05F81" w14:paraId="64ACEFF8" w14:textId="77777777" w:rsidTr="00624A2A">
        <w:tc>
          <w:tcPr>
            <w:tcW w:w="0" w:type="auto"/>
            <w:vMerge/>
            <w:tcBorders>
              <w:top w:val="single" w:sz="4" w:space="0" w:color="auto"/>
              <w:left w:val="single" w:sz="4" w:space="0" w:color="auto"/>
              <w:bottom w:val="single" w:sz="4" w:space="0" w:color="auto"/>
              <w:right w:val="single" w:sz="4" w:space="0" w:color="auto"/>
            </w:tcBorders>
            <w:vAlign w:val="center"/>
            <w:hideMark/>
          </w:tcPr>
          <w:p w14:paraId="7B8C9137" w14:textId="77777777" w:rsidR="0073441F" w:rsidRPr="00F05F81" w:rsidRDefault="0073441F" w:rsidP="00624A2A">
            <w:pPr>
              <w:suppressAutoHyphens w:val="0"/>
              <w:rPr>
                <w:b/>
                <w:sz w:val="22"/>
                <w:szCs w:val="22"/>
                <w:lang w:eastAsia="en-US"/>
              </w:rPr>
            </w:pPr>
          </w:p>
        </w:tc>
        <w:tc>
          <w:tcPr>
            <w:tcW w:w="1404" w:type="pct"/>
            <w:tcBorders>
              <w:top w:val="single" w:sz="4" w:space="0" w:color="auto"/>
              <w:left w:val="single" w:sz="4" w:space="0" w:color="auto"/>
              <w:bottom w:val="single" w:sz="4" w:space="0" w:color="auto"/>
              <w:right w:val="single" w:sz="4" w:space="0" w:color="auto"/>
            </w:tcBorders>
            <w:hideMark/>
          </w:tcPr>
          <w:p w14:paraId="5AABDBF9" w14:textId="77777777" w:rsidR="0073441F" w:rsidRPr="00F05F81" w:rsidRDefault="0073441F" w:rsidP="0073441F">
            <w:pPr>
              <w:widowControl w:val="0"/>
              <w:numPr>
                <w:ilvl w:val="0"/>
                <w:numId w:val="2"/>
              </w:numPr>
              <w:suppressAutoHyphens w:val="0"/>
              <w:spacing w:after="160" w:line="256" w:lineRule="auto"/>
              <w:ind w:left="178" w:hanging="178"/>
              <w:contextualSpacing/>
              <w:rPr>
                <w:sz w:val="20"/>
                <w:szCs w:val="20"/>
                <w:lang w:eastAsia="en-US"/>
              </w:rPr>
            </w:pPr>
            <w:r w:rsidRPr="00F05F81">
              <w:rPr>
                <w:sz w:val="20"/>
                <w:szCs w:val="20"/>
                <w:lang w:eastAsia="en-US"/>
              </w:rPr>
              <w:t>Ties Juodkrante</w:t>
            </w:r>
          </w:p>
        </w:tc>
        <w:tc>
          <w:tcPr>
            <w:tcW w:w="2972" w:type="pct"/>
            <w:vMerge w:val="restart"/>
            <w:tcBorders>
              <w:top w:val="single" w:sz="4" w:space="0" w:color="auto"/>
              <w:left w:val="single" w:sz="4" w:space="0" w:color="auto"/>
              <w:bottom w:val="single" w:sz="4" w:space="0" w:color="auto"/>
              <w:right w:val="single" w:sz="4" w:space="0" w:color="auto"/>
            </w:tcBorders>
            <w:vAlign w:val="center"/>
            <w:hideMark/>
          </w:tcPr>
          <w:p w14:paraId="0E22B601" w14:textId="77777777" w:rsidR="0073441F" w:rsidRPr="00F05F81" w:rsidRDefault="0073441F" w:rsidP="00624A2A">
            <w:pPr>
              <w:widowControl w:val="0"/>
              <w:contextualSpacing/>
              <w:jc w:val="center"/>
              <w:rPr>
                <w:sz w:val="20"/>
                <w:szCs w:val="20"/>
                <w:lang w:eastAsia="en-US"/>
              </w:rPr>
            </w:pPr>
            <w:r w:rsidRPr="00F05F81">
              <w:rPr>
                <w:sz w:val="20"/>
                <w:szCs w:val="20"/>
                <w:lang w:eastAsia="en-US"/>
              </w:rPr>
              <w:t>Gegužės – lapkričio mėn. (ne mažiau 1 k./mėn.)</w:t>
            </w:r>
            <w:r w:rsidRPr="00F05F81">
              <w:rPr>
                <w:sz w:val="20"/>
                <w:szCs w:val="20"/>
                <w:vertAlign w:val="superscript"/>
                <w:lang w:eastAsia="en-US"/>
              </w:rPr>
              <w:t>1,2,3</w:t>
            </w:r>
          </w:p>
        </w:tc>
      </w:tr>
      <w:tr w:rsidR="0073441F" w:rsidRPr="00F05F81" w14:paraId="3FA9D08E" w14:textId="77777777" w:rsidTr="00624A2A">
        <w:tc>
          <w:tcPr>
            <w:tcW w:w="0" w:type="auto"/>
            <w:vMerge/>
            <w:tcBorders>
              <w:top w:val="single" w:sz="4" w:space="0" w:color="auto"/>
              <w:left w:val="single" w:sz="4" w:space="0" w:color="auto"/>
              <w:bottom w:val="single" w:sz="4" w:space="0" w:color="auto"/>
              <w:right w:val="single" w:sz="4" w:space="0" w:color="auto"/>
            </w:tcBorders>
            <w:vAlign w:val="center"/>
            <w:hideMark/>
          </w:tcPr>
          <w:p w14:paraId="597EF25B" w14:textId="77777777" w:rsidR="0073441F" w:rsidRPr="00F05F81" w:rsidRDefault="0073441F" w:rsidP="00624A2A">
            <w:pPr>
              <w:suppressAutoHyphens w:val="0"/>
              <w:rPr>
                <w:b/>
                <w:sz w:val="22"/>
                <w:szCs w:val="22"/>
                <w:lang w:eastAsia="en-US"/>
              </w:rPr>
            </w:pPr>
          </w:p>
        </w:tc>
        <w:tc>
          <w:tcPr>
            <w:tcW w:w="1404" w:type="pct"/>
            <w:tcBorders>
              <w:top w:val="single" w:sz="4" w:space="0" w:color="auto"/>
              <w:left w:val="single" w:sz="4" w:space="0" w:color="auto"/>
              <w:bottom w:val="single" w:sz="4" w:space="0" w:color="auto"/>
              <w:right w:val="single" w:sz="4" w:space="0" w:color="auto"/>
            </w:tcBorders>
            <w:hideMark/>
          </w:tcPr>
          <w:p w14:paraId="76247129" w14:textId="77777777" w:rsidR="0073441F" w:rsidRPr="00F05F81" w:rsidRDefault="0073441F" w:rsidP="0073441F">
            <w:pPr>
              <w:widowControl w:val="0"/>
              <w:numPr>
                <w:ilvl w:val="0"/>
                <w:numId w:val="2"/>
              </w:numPr>
              <w:suppressAutoHyphens w:val="0"/>
              <w:spacing w:after="160" w:line="256" w:lineRule="auto"/>
              <w:ind w:left="178" w:hanging="178"/>
              <w:contextualSpacing/>
              <w:rPr>
                <w:sz w:val="20"/>
                <w:szCs w:val="20"/>
                <w:lang w:eastAsia="en-US"/>
              </w:rPr>
            </w:pPr>
            <w:r w:rsidRPr="00F05F81">
              <w:rPr>
                <w:sz w:val="20"/>
                <w:szCs w:val="20"/>
                <w:lang w:eastAsia="en-US"/>
              </w:rPr>
              <w:t>Ties Kairių poligonu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62582" w14:textId="77777777" w:rsidR="0073441F" w:rsidRPr="00F05F81" w:rsidRDefault="0073441F" w:rsidP="00624A2A">
            <w:pPr>
              <w:suppressAutoHyphens w:val="0"/>
              <w:rPr>
                <w:sz w:val="20"/>
                <w:szCs w:val="20"/>
                <w:lang w:eastAsia="en-US"/>
              </w:rPr>
            </w:pPr>
          </w:p>
        </w:tc>
      </w:tr>
      <w:tr w:rsidR="0073441F" w:rsidRPr="00F05F81" w14:paraId="6E87B12D" w14:textId="77777777" w:rsidTr="00624A2A">
        <w:tc>
          <w:tcPr>
            <w:tcW w:w="0" w:type="auto"/>
            <w:vMerge/>
            <w:tcBorders>
              <w:top w:val="single" w:sz="4" w:space="0" w:color="auto"/>
              <w:left w:val="single" w:sz="4" w:space="0" w:color="auto"/>
              <w:bottom w:val="single" w:sz="4" w:space="0" w:color="auto"/>
              <w:right w:val="single" w:sz="4" w:space="0" w:color="auto"/>
            </w:tcBorders>
            <w:vAlign w:val="center"/>
            <w:hideMark/>
          </w:tcPr>
          <w:p w14:paraId="70B2B9D0" w14:textId="77777777" w:rsidR="0073441F" w:rsidRPr="00F05F81" w:rsidRDefault="0073441F" w:rsidP="00624A2A">
            <w:pPr>
              <w:suppressAutoHyphens w:val="0"/>
              <w:rPr>
                <w:b/>
                <w:sz w:val="22"/>
                <w:szCs w:val="22"/>
                <w:lang w:eastAsia="en-US"/>
              </w:rPr>
            </w:pPr>
          </w:p>
        </w:tc>
        <w:tc>
          <w:tcPr>
            <w:tcW w:w="1404" w:type="pct"/>
            <w:tcBorders>
              <w:top w:val="single" w:sz="4" w:space="0" w:color="auto"/>
              <w:left w:val="single" w:sz="4" w:space="0" w:color="auto"/>
              <w:bottom w:val="single" w:sz="4" w:space="0" w:color="auto"/>
              <w:right w:val="single" w:sz="4" w:space="0" w:color="auto"/>
            </w:tcBorders>
            <w:hideMark/>
          </w:tcPr>
          <w:p w14:paraId="138F65CA" w14:textId="77777777" w:rsidR="0073441F" w:rsidRPr="00F05F81" w:rsidRDefault="0073441F" w:rsidP="0073441F">
            <w:pPr>
              <w:widowControl w:val="0"/>
              <w:numPr>
                <w:ilvl w:val="0"/>
                <w:numId w:val="2"/>
              </w:numPr>
              <w:suppressAutoHyphens w:val="0"/>
              <w:spacing w:after="160" w:line="256" w:lineRule="auto"/>
              <w:ind w:left="178" w:hanging="178"/>
              <w:contextualSpacing/>
              <w:rPr>
                <w:sz w:val="20"/>
                <w:szCs w:val="20"/>
                <w:lang w:eastAsia="en-US"/>
              </w:rPr>
            </w:pPr>
            <w:r w:rsidRPr="00F05F81">
              <w:rPr>
                <w:sz w:val="20"/>
                <w:szCs w:val="20"/>
                <w:lang w:eastAsia="en-US"/>
              </w:rPr>
              <w:t>Ties Vente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0A85B" w14:textId="77777777" w:rsidR="0073441F" w:rsidRPr="00F05F81" w:rsidRDefault="0073441F" w:rsidP="00624A2A">
            <w:pPr>
              <w:suppressAutoHyphens w:val="0"/>
              <w:rPr>
                <w:sz w:val="20"/>
                <w:szCs w:val="20"/>
                <w:lang w:eastAsia="en-US"/>
              </w:rPr>
            </w:pPr>
          </w:p>
        </w:tc>
      </w:tr>
      <w:tr w:rsidR="0073441F" w:rsidRPr="00F05F81" w14:paraId="456095D8" w14:textId="77777777" w:rsidTr="00624A2A">
        <w:tc>
          <w:tcPr>
            <w:tcW w:w="0" w:type="auto"/>
            <w:vMerge/>
            <w:tcBorders>
              <w:top w:val="single" w:sz="4" w:space="0" w:color="auto"/>
              <w:left w:val="single" w:sz="4" w:space="0" w:color="auto"/>
              <w:bottom w:val="single" w:sz="4" w:space="0" w:color="auto"/>
              <w:right w:val="single" w:sz="4" w:space="0" w:color="auto"/>
            </w:tcBorders>
            <w:vAlign w:val="center"/>
            <w:hideMark/>
          </w:tcPr>
          <w:p w14:paraId="66A510F1" w14:textId="77777777" w:rsidR="0073441F" w:rsidRPr="00F05F81" w:rsidRDefault="0073441F" w:rsidP="00624A2A">
            <w:pPr>
              <w:suppressAutoHyphens w:val="0"/>
              <w:rPr>
                <w:b/>
                <w:sz w:val="22"/>
                <w:szCs w:val="22"/>
                <w:lang w:eastAsia="en-US"/>
              </w:rPr>
            </w:pPr>
          </w:p>
        </w:tc>
        <w:tc>
          <w:tcPr>
            <w:tcW w:w="1404" w:type="pct"/>
            <w:tcBorders>
              <w:top w:val="single" w:sz="4" w:space="0" w:color="auto"/>
              <w:left w:val="single" w:sz="4" w:space="0" w:color="auto"/>
              <w:bottom w:val="single" w:sz="4" w:space="0" w:color="auto"/>
              <w:right w:val="single" w:sz="4" w:space="0" w:color="auto"/>
            </w:tcBorders>
            <w:hideMark/>
          </w:tcPr>
          <w:p w14:paraId="6587E8A8" w14:textId="77777777" w:rsidR="0073441F" w:rsidRPr="00F05F81" w:rsidRDefault="0073441F" w:rsidP="0073441F">
            <w:pPr>
              <w:widowControl w:val="0"/>
              <w:numPr>
                <w:ilvl w:val="0"/>
                <w:numId w:val="2"/>
              </w:numPr>
              <w:suppressAutoHyphens w:val="0"/>
              <w:spacing w:after="160" w:line="256" w:lineRule="auto"/>
              <w:ind w:left="178" w:hanging="178"/>
              <w:contextualSpacing/>
              <w:rPr>
                <w:sz w:val="20"/>
                <w:szCs w:val="20"/>
                <w:lang w:eastAsia="en-US"/>
              </w:rPr>
            </w:pPr>
            <w:r w:rsidRPr="00F05F81">
              <w:rPr>
                <w:sz w:val="20"/>
                <w:szCs w:val="20"/>
                <w:lang w:eastAsia="en-US"/>
              </w:rPr>
              <w:t>Ties Nida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F55F95" w14:textId="77777777" w:rsidR="0073441F" w:rsidRPr="00F05F81" w:rsidRDefault="0073441F" w:rsidP="00624A2A">
            <w:pPr>
              <w:suppressAutoHyphens w:val="0"/>
              <w:rPr>
                <w:sz w:val="20"/>
                <w:szCs w:val="20"/>
                <w:lang w:eastAsia="en-US"/>
              </w:rPr>
            </w:pPr>
          </w:p>
        </w:tc>
      </w:tr>
    </w:tbl>
    <w:p w14:paraId="25615A95" w14:textId="77777777" w:rsidR="0073441F" w:rsidRPr="00F05F81" w:rsidRDefault="0073441F" w:rsidP="0073441F">
      <w:pPr>
        <w:widowControl w:val="0"/>
        <w:ind w:firstLine="851"/>
        <w:jc w:val="both"/>
        <w:rPr>
          <w:rFonts w:eastAsia="Calibri"/>
          <w:lang w:eastAsia="en-US"/>
        </w:rPr>
      </w:pPr>
    </w:p>
    <w:p w14:paraId="22DCDB2D" w14:textId="77777777" w:rsidR="0073441F" w:rsidRPr="00F05F81" w:rsidRDefault="0073441F" w:rsidP="0073441F">
      <w:pPr>
        <w:widowControl w:val="0"/>
        <w:ind w:firstLine="851"/>
        <w:jc w:val="both"/>
        <w:rPr>
          <w:rFonts w:eastAsia="Calibri"/>
          <w:lang w:eastAsia="en-US"/>
        </w:rPr>
      </w:pPr>
      <w:r w:rsidRPr="00F05F81">
        <w:rPr>
          <w:rFonts w:eastAsia="Calibri"/>
          <w:b/>
          <w:vertAlign w:val="superscript"/>
          <w:lang w:eastAsia="en-US"/>
        </w:rPr>
        <w:t>1</w:t>
      </w:r>
      <w:r w:rsidRPr="00F05F81">
        <w:rPr>
          <w:rFonts w:eastAsia="Calibri"/>
          <w:b/>
          <w:lang w:eastAsia="en-US"/>
        </w:rPr>
        <w:t>Fizikiniai vandens parametrai:</w:t>
      </w:r>
      <w:r w:rsidRPr="00F05F81">
        <w:rPr>
          <w:rFonts w:eastAsia="Calibri"/>
          <w:lang w:eastAsia="en-US"/>
        </w:rPr>
        <w:t xml:space="preserve"> skaidrumas, temperatūra, vandens spalvotumas, šviesos prasiskverbimo laipsnis.</w:t>
      </w:r>
    </w:p>
    <w:p w14:paraId="0DD1070C" w14:textId="77777777" w:rsidR="0073441F" w:rsidRPr="00F05F81" w:rsidRDefault="0073441F" w:rsidP="0073441F">
      <w:pPr>
        <w:widowControl w:val="0"/>
        <w:ind w:firstLine="851"/>
        <w:jc w:val="both"/>
        <w:rPr>
          <w:rFonts w:eastAsia="Calibri"/>
          <w:lang w:eastAsia="en-US"/>
        </w:rPr>
      </w:pPr>
      <w:r w:rsidRPr="00F05F81">
        <w:rPr>
          <w:rFonts w:eastAsia="Calibri"/>
          <w:b/>
          <w:vertAlign w:val="superscript"/>
          <w:lang w:eastAsia="en-US"/>
        </w:rPr>
        <w:t>2</w:t>
      </w:r>
      <w:r w:rsidRPr="00F05F81">
        <w:rPr>
          <w:rFonts w:eastAsia="Calibri"/>
          <w:b/>
          <w:lang w:eastAsia="en-US"/>
        </w:rPr>
        <w:t>Cheminiai vandens parametrai:</w:t>
      </w:r>
      <w:r w:rsidRPr="00F05F81">
        <w:rPr>
          <w:rFonts w:eastAsia="Calibri"/>
          <w:lang w:eastAsia="en-US"/>
        </w:rPr>
        <w:t xml:space="preserve"> ištirpęs deguonis, prisotinimas deguonimi, pH, druskingumas, bendras azotas, bendras fosforas, organinės ir neorganinės anglies koncentracijos.</w:t>
      </w:r>
    </w:p>
    <w:p w14:paraId="1AC9111D" w14:textId="40ED9E54" w:rsidR="0073441F" w:rsidRPr="003C49EE" w:rsidRDefault="0073441F" w:rsidP="003C49EE">
      <w:pPr>
        <w:widowControl w:val="0"/>
        <w:ind w:firstLine="851"/>
        <w:jc w:val="both"/>
        <w:rPr>
          <w:rFonts w:eastAsia="Calibri"/>
          <w:lang w:eastAsia="en-US"/>
        </w:rPr>
      </w:pPr>
      <w:r w:rsidRPr="00F05F81">
        <w:rPr>
          <w:rFonts w:eastAsia="Calibri"/>
          <w:b/>
          <w:vertAlign w:val="superscript"/>
          <w:lang w:eastAsia="en-US"/>
        </w:rPr>
        <w:t>3</w:t>
      </w:r>
      <w:r w:rsidRPr="00F05F81">
        <w:rPr>
          <w:rFonts w:eastAsia="Calibri"/>
          <w:b/>
          <w:lang w:eastAsia="en-US"/>
        </w:rPr>
        <w:t>Biologiniai parametrai:</w:t>
      </w:r>
      <w:r w:rsidRPr="00F05F81">
        <w:rPr>
          <w:rFonts w:eastAsia="Calibri"/>
          <w:lang w:eastAsia="en-US"/>
        </w:rPr>
        <w:t xml:space="preserve"> fitoplanktono rūšinė sudėtis ir biomasė, chlorofilas a, melsvabakterių cianotoksinų koncentracija.</w:t>
      </w:r>
    </w:p>
    <w:sectPr w:rsidR="0073441F" w:rsidRPr="003C49EE" w:rsidSect="008E34BC">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CE792" w14:textId="77777777" w:rsidR="00D6306D" w:rsidRDefault="00D6306D" w:rsidP="0073441F">
      <w:r>
        <w:separator/>
      </w:r>
    </w:p>
  </w:endnote>
  <w:endnote w:type="continuationSeparator" w:id="0">
    <w:p w14:paraId="6816D37F" w14:textId="77777777" w:rsidR="00D6306D" w:rsidRDefault="00D6306D" w:rsidP="00734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atangChe">
    <w:charset w:val="81"/>
    <w:family w:val="modern"/>
    <w:pitch w:val="fixed"/>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C42C2" w14:textId="77777777" w:rsidR="00D6306D" w:rsidRDefault="00D6306D" w:rsidP="0073441F">
      <w:r>
        <w:separator/>
      </w:r>
    </w:p>
  </w:footnote>
  <w:footnote w:type="continuationSeparator" w:id="0">
    <w:p w14:paraId="4058691F" w14:textId="77777777" w:rsidR="00D6306D" w:rsidRDefault="00D6306D" w:rsidP="0073441F">
      <w:r>
        <w:continuationSeparator/>
      </w:r>
    </w:p>
  </w:footnote>
  <w:footnote w:id="1">
    <w:p w14:paraId="79CB4E77" w14:textId="77777777" w:rsidR="0073441F" w:rsidRDefault="0073441F" w:rsidP="0073441F">
      <w:pPr>
        <w:pStyle w:val="Puslapioinaostekstas"/>
      </w:pPr>
      <w:r>
        <w:rPr>
          <w:rStyle w:val="Puslapioinaosnuoroda"/>
        </w:rPr>
        <w:footnoteRef/>
      </w:r>
      <w:r>
        <w:t xml:space="preserve">  </w:t>
      </w:r>
      <w:r>
        <w:rPr>
          <w:rFonts w:eastAsia="Lucida Sans Unicode"/>
          <w:kern w:val="2"/>
          <w:shd w:val="clear" w:color="auto" w:fill="FFFFFF"/>
          <w:lang w:eastAsia="ar-SA"/>
        </w:rPr>
        <w:t>Lietuvos Respublikos aplinkos ministro 2009 m. gruodžio 4 d. įsakymu Nr. D1-742 „Dėl jūrų strategijos pagrindų direktyvos įgyvendinimo“ (Žin., 2010, Nr. 3170).</w:t>
      </w:r>
    </w:p>
  </w:footnote>
  <w:footnote w:id="2">
    <w:p w14:paraId="078E188E" w14:textId="77777777" w:rsidR="0073441F" w:rsidRDefault="0073441F" w:rsidP="0073441F">
      <w:pPr>
        <w:pStyle w:val="Puslapioinaostekstas"/>
      </w:pPr>
      <w:r>
        <w:rPr>
          <w:rStyle w:val="Puslapioinaosnuoroda"/>
        </w:rPr>
        <w:footnoteRef/>
      </w:r>
      <w:r>
        <w:t xml:space="preserve">  </w:t>
      </w:r>
      <w:r>
        <w:rPr>
          <w:rFonts w:eastAsia="Lucida Sans Unicode"/>
          <w:kern w:val="2"/>
          <w:shd w:val="clear" w:color="auto" w:fill="FFFFFF"/>
          <w:lang w:eastAsia="ar-SA"/>
        </w:rPr>
        <w:t>Lietuvos Respublikos Vyriausybės 2010 m. rugpjūčio 25 d. nutarimas Nr. 1264 „Dėl Baltijos jūros aplinkos apsaugos strategijos patvirtinimo“ (Žin., 2010, Nr. 105-5431).</w:t>
      </w:r>
    </w:p>
  </w:footnote>
  <w:footnote w:id="3">
    <w:p w14:paraId="7150B3A9" w14:textId="77777777" w:rsidR="0073441F" w:rsidRDefault="0073441F" w:rsidP="0073441F">
      <w:pPr>
        <w:pStyle w:val="Puslapioinaostekstas"/>
      </w:pPr>
      <w:r>
        <w:rPr>
          <w:rStyle w:val="Puslapioinaosnuoroda"/>
        </w:rPr>
        <w:footnoteRef/>
      </w:r>
      <w:r>
        <w:t xml:space="preserve"> </w:t>
      </w:r>
      <w:r>
        <w:rPr>
          <w:rFonts w:eastAsia="Lucida Sans Unicode"/>
          <w:kern w:val="2"/>
          <w:shd w:val="clear" w:color="auto" w:fill="FFFFFF"/>
          <w:lang w:eastAsia="ar-SA"/>
        </w:rPr>
        <w:t>Lietuvos Respublikos aplinkos ministro ir žemės ūkio ministro 2017 m. gegužės 5 d. įsakymas Nr. D1-375/3D-312 „Dėl Vandenų srities plėtros 2017-2023 metų programos įgyvendinimo veiksmų plano patvirtinimo“ (TAR, 2017-05-08, Nr. 7777).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5353E"/>
    <w:multiLevelType w:val="hybridMultilevel"/>
    <w:tmpl w:val="6C6AA9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91E0D06"/>
    <w:multiLevelType w:val="hybridMultilevel"/>
    <w:tmpl w:val="C158D11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12271D7"/>
    <w:multiLevelType w:val="multilevel"/>
    <w:tmpl w:val="4886AA8C"/>
    <w:lvl w:ilvl="0">
      <w:start w:val="1"/>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1F"/>
    <w:rsid w:val="000D5B6B"/>
    <w:rsid w:val="001229C1"/>
    <w:rsid w:val="0013441E"/>
    <w:rsid w:val="003C49EE"/>
    <w:rsid w:val="00402AC5"/>
    <w:rsid w:val="004F7CE7"/>
    <w:rsid w:val="005B55F2"/>
    <w:rsid w:val="00643E19"/>
    <w:rsid w:val="00645FBF"/>
    <w:rsid w:val="0070352F"/>
    <w:rsid w:val="0073441F"/>
    <w:rsid w:val="0078177F"/>
    <w:rsid w:val="0087327D"/>
    <w:rsid w:val="008E34BC"/>
    <w:rsid w:val="009410C3"/>
    <w:rsid w:val="009B5EA5"/>
    <w:rsid w:val="009F0C18"/>
    <w:rsid w:val="00A023DA"/>
    <w:rsid w:val="00AD6896"/>
    <w:rsid w:val="00AE20E1"/>
    <w:rsid w:val="00BF694E"/>
    <w:rsid w:val="00C061AB"/>
    <w:rsid w:val="00CD49D6"/>
    <w:rsid w:val="00D6306D"/>
    <w:rsid w:val="00EA1BA5"/>
    <w:rsid w:val="00FD5D79"/>
    <w:rsid w:val="00FF69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9C0E"/>
  <w15:chartTrackingRefBased/>
  <w15:docId w15:val="{DDD61EF1-E288-49AE-87A2-FC41EF96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441F"/>
    <w:pPr>
      <w:suppressAutoHyphens/>
      <w:spacing w:after="0" w:line="240" w:lineRule="auto"/>
    </w:pPr>
    <w:rPr>
      <w:rFonts w:ascii="Times New Roman" w:eastAsia="Times New Roman"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1"/>
    <w:uiPriority w:val="99"/>
    <w:semiHidden/>
    <w:unhideWhenUsed/>
    <w:rsid w:val="0073441F"/>
    <w:pPr>
      <w:spacing w:after="200" w:line="276" w:lineRule="auto"/>
    </w:pPr>
    <w:rPr>
      <w:sz w:val="20"/>
      <w:szCs w:val="20"/>
      <w:lang w:eastAsia="zh-CN"/>
    </w:rPr>
  </w:style>
  <w:style w:type="character" w:customStyle="1" w:styleId="PuslapioinaostekstasDiagrama">
    <w:name w:val="Puslapio išnašos tekstas Diagrama"/>
    <w:basedOn w:val="Numatytasispastraiposriftas"/>
    <w:uiPriority w:val="99"/>
    <w:semiHidden/>
    <w:rsid w:val="0073441F"/>
    <w:rPr>
      <w:rFonts w:ascii="Times New Roman" w:eastAsia="Times New Roman" w:hAnsi="Times New Roman" w:cs="Times New Roman"/>
      <w:sz w:val="20"/>
      <w:szCs w:val="20"/>
      <w:lang w:eastAsia="ar-SA"/>
    </w:rPr>
  </w:style>
  <w:style w:type="character" w:styleId="Puslapioinaosnuoroda">
    <w:name w:val="footnote reference"/>
    <w:basedOn w:val="Numatytasispastraiposriftas"/>
    <w:uiPriority w:val="99"/>
    <w:semiHidden/>
    <w:unhideWhenUsed/>
    <w:rsid w:val="0073441F"/>
    <w:rPr>
      <w:rFonts w:ascii="Times New Roman" w:hAnsi="Times New Roman" w:cs="Times New Roman" w:hint="default"/>
      <w:vertAlign w:val="superscript"/>
    </w:rPr>
  </w:style>
  <w:style w:type="character" w:customStyle="1" w:styleId="PuslapioinaostekstasDiagrama1">
    <w:name w:val="Puslapio išnašos tekstas Diagrama1"/>
    <w:basedOn w:val="Numatytasispastraiposriftas"/>
    <w:link w:val="Puslapioinaostekstas"/>
    <w:uiPriority w:val="99"/>
    <w:semiHidden/>
    <w:locked/>
    <w:rsid w:val="0073441F"/>
    <w:rPr>
      <w:rFonts w:ascii="Times New Roman" w:eastAsia="Times New Roman" w:hAnsi="Times New Roman" w:cs="Times New Roman"/>
      <w:sz w:val="20"/>
      <w:szCs w:val="20"/>
      <w:lang w:eastAsia="zh-CN"/>
    </w:rPr>
  </w:style>
  <w:style w:type="table" w:styleId="Lentelstinklelis">
    <w:name w:val="Table Grid"/>
    <w:basedOn w:val="prastojilentel"/>
    <w:uiPriority w:val="39"/>
    <w:rsid w:val="007344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words">
    <w:name w:val="to_words"/>
    <w:basedOn w:val="Numatytasispastraiposriftas"/>
    <w:rsid w:val="00EA1BA5"/>
  </w:style>
  <w:style w:type="paragraph" w:styleId="Sraopastraipa">
    <w:name w:val="List Paragraph"/>
    <w:basedOn w:val="prastasis"/>
    <w:uiPriority w:val="34"/>
    <w:qFormat/>
    <w:rsid w:val="005B55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26887</Words>
  <Characters>15327</Characters>
  <Application>Microsoft Office Word</Application>
  <DocSecurity>0</DocSecurity>
  <Lines>127</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Bulauskiene</dc:creator>
  <cp:keywords/>
  <dc:description/>
  <cp:lastModifiedBy>Toma Bulauskiene</cp:lastModifiedBy>
  <cp:revision>5</cp:revision>
  <dcterms:created xsi:type="dcterms:W3CDTF">2021-03-01T11:44:00Z</dcterms:created>
  <dcterms:modified xsi:type="dcterms:W3CDTF">2021-03-18T08:33:00Z</dcterms:modified>
</cp:coreProperties>
</file>