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48627B" w14:textId="05D35FBE" w:rsidR="008404D9" w:rsidRPr="005874B2" w:rsidRDefault="00970EBC" w:rsidP="00454342">
      <w:pPr>
        <w:tabs>
          <w:tab w:val="left" w:pos="709"/>
        </w:tabs>
        <w:suppressAutoHyphens/>
        <w:ind w:left="709" w:hanging="709"/>
        <w:jc w:val="center"/>
        <w:rPr>
          <w:rFonts w:eastAsia="Calibri"/>
          <w:sz w:val="20"/>
          <w:szCs w:val="20"/>
        </w:rPr>
      </w:pPr>
      <w:bookmarkStart w:id="0" w:name="_GoBack"/>
      <w:bookmarkEnd w:id="0"/>
      <w:r w:rsidRPr="005874B2">
        <w:rPr>
          <w:rFonts w:eastAsia="Calibri"/>
          <w:b/>
          <w:sz w:val="20"/>
          <w:szCs w:val="20"/>
        </w:rPr>
        <w:t>MAISTO PRODUKTŲ TIEKIMO</w:t>
      </w:r>
      <w:r w:rsidR="008404D9" w:rsidRPr="005874B2">
        <w:rPr>
          <w:rFonts w:eastAsia="Calibri"/>
          <w:b/>
          <w:sz w:val="20"/>
          <w:szCs w:val="20"/>
        </w:rPr>
        <w:t xml:space="preserve"> SUTARTIS NR. </w:t>
      </w:r>
      <w:r w:rsidR="00BA7C6D">
        <w:rPr>
          <w:rFonts w:eastAsia="Calibri"/>
          <w:sz w:val="20"/>
          <w:szCs w:val="20"/>
        </w:rPr>
        <w:t>BS-01/2020</w:t>
      </w:r>
    </w:p>
    <w:p w14:paraId="35F6D782" w14:textId="77777777" w:rsidR="008404D9" w:rsidRPr="005874B2" w:rsidRDefault="008404D9" w:rsidP="00454342">
      <w:pPr>
        <w:tabs>
          <w:tab w:val="left" w:pos="284"/>
        </w:tabs>
        <w:suppressAutoHyphens/>
        <w:ind w:left="709" w:right="-846" w:hanging="709"/>
        <w:jc w:val="center"/>
        <w:rPr>
          <w:rFonts w:eastAsia="Calibri"/>
          <w:sz w:val="20"/>
          <w:szCs w:val="20"/>
        </w:rPr>
      </w:pPr>
    </w:p>
    <w:p w14:paraId="59B6735C" w14:textId="63353E77" w:rsidR="008404D9" w:rsidRPr="005874B2" w:rsidRDefault="008404D9" w:rsidP="00454342">
      <w:pPr>
        <w:tabs>
          <w:tab w:val="left" w:pos="284"/>
        </w:tabs>
        <w:suppressAutoHyphens/>
        <w:ind w:left="709" w:right="-846" w:hanging="709"/>
        <w:jc w:val="center"/>
        <w:rPr>
          <w:rFonts w:eastAsia="Calibri"/>
          <w:sz w:val="20"/>
          <w:szCs w:val="20"/>
        </w:rPr>
      </w:pPr>
      <w:r w:rsidRPr="005874B2">
        <w:rPr>
          <w:rFonts w:eastAsia="Calibri"/>
          <w:sz w:val="20"/>
          <w:szCs w:val="20"/>
        </w:rPr>
        <w:t>20</w:t>
      </w:r>
      <w:r w:rsidR="005874B2" w:rsidRPr="005874B2">
        <w:rPr>
          <w:rFonts w:eastAsia="Calibri"/>
          <w:sz w:val="20"/>
          <w:szCs w:val="20"/>
        </w:rPr>
        <w:t>20</w:t>
      </w:r>
      <w:r w:rsidRPr="005874B2">
        <w:rPr>
          <w:rFonts w:eastAsia="Calibri"/>
          <w:sz w:val="20"/>
          <w:szCs w:val="20"/>
        </w:rPr>
        <w:t xml:space="preserve"> m.</w:t>
      </w:r>
      <w:r w:rsidRPr="002D21E7">
        <w:rPr>
          <w:rFonts w:eastAsia="Calibri"/>
          <w:sz w:val="20"/>
          <w:szCs w:val="20"/>
        </w:rPr>
        <w:t xml:space="preserve"> </w:t>
      </w:r>
      <w:r w:rsidR="002D21E7" w:rsidRPr="002D21E7">
        <w:rPr>
          <w:rFonts w:eastAsia="Calibri"/>
          <w:sz w:val="20"/>
          <w:szCs w:val="20"/>
        </w:rPr>
        <w:t>sausio</w:t>
      </w:r>
      <w:r w:rsidR="00E63AAF" w:rsidRPr="005874B2">
        <w:rPr>
          <w:rFonts w:eastAsia="Calibri"/>
          <w:sz w:val="20"/>
          <w:szCs w:val="20"/>
        </w:rPr>
        <w:t xml:space="preserve"> </w:t>
      </w:r>
      <w:r w:rsidRPr="005874B2">
        <w:rPr>
          <w:rFonts w:eastAsia="Calibri"/>
          <w:sz w:val="20"/>
          <w:szCs w:val="20"/>
        </w:rPr>
        <w:t xml:space="preserve">mėn. </w:t>
      </w:r>
      <w:r w:rsidR="00772397">
        <w:rPr>
          <w:rFonts w:eastAsia="Calibri"/>
          <w:sz w:val="20"/>
          <w:szCs w:val="20"/>
        </w:rPr>
        <w:t>7</w:t>
      </w:r>
      <w:r w:rsidRPr="005874B2">
        <w:rPr>
          <w:rFonts w:eastAsia="Calibri"/>
          <w:sz w:val="20"/>
          <w:szCs w:val="20"/>
        </w:rPr>
        <w:t xml:space="preserve"> d.</w:t>
      </w:r>
    </w:p>
    <w:p w14:paraId="5C984A69" w14:textId="065CB1D3" w:rsidR="008404D9" w:rsidRPr="005874B2" w:rsidRDefault="008404D9" w:rsidP="00454342">
      <w:pPr>
        <w:tabs>
          <w:tab w:val="left" w:pos="284"/>
        </w:tabs>
        <w:suppressAutoHyphens/>
        <w:ind w:left="709" w:hanging="709"/>
        <w:jc w:val="center"/>
        <w:rPr>
          <w:rFonts w:eastAsia="Calibri"/>
          <w:sz w:val="20"/>
          <w:szCs w:val="20"/>
        </w:rPr>
      </w:pPr>
      <w:r w:rsidRPr="005874B2">
        <w:rPr>
          <w:rFonts w:eastAsia="Calibri"/>
          <w:sz w:val="20"/>
          <w:szCs w:val="20"/>
        </w:rPr>
        <w:t>Vilnius,</w:t>
      </w:r>
    </w:p>
    <w:p w14:paraId="2D1E8F2B" w14:textId="77777777" w:rsidR="00466014" w:rsidRPr="005874B2" w:rsidRDefault="00466014" w:rsidP="00454342">
      <w:pPr>
        <w:tabs>
          <w:tab w:val="left" w:pos="284"/>
        </w:tabs>
        <w:suppressAutoHyphens/>
        <w:ind w:left="709" w:hanging="709"/>
        <w:jc w:val="center"/>
        <w:rPr>
          <w:rFonts w:eastAsia="Calibri"/>
          <w:sz w:val="20"/>
          <w:szCs w:val="20"/>
        </w:rPr>
      </w:pPr>
    </w:p>
    <w:p w14:paraId="596B7CDA" w14:textId="6EAF8411" w:rsidR="008404D9" w:rsidRPr="005874B2" w:rsidRDefault="008404D9" w:rsidP="00970EBC">
      <w:pPr>
        <w:tabs>
          <w:tab w:val="left" w:pos="142"/>
          <w:tab w:val="left" w:pos="284"/>
          <w:tab w:val="left" w:pos="426"/>
        </w:tabs>
        <w:suppressAutoHyphens/>
        <w:ind w:firstLine="567"/>
        <w:jc w:val="both"/>
        <w:rPr>
          <w:rFonts w:eastAsia="Calibri"/>
          <w:sz w:val="20"/>
          <w:szCs w:val="20"/>
        </w:rPr>
      </w:pPr>
      <w:r w:rsidRPr="005874B2">
        <w:rPr>
          <w:rFonts w:eastAsia="Calibri"/>
          <w:b/>
          <w:sz w:val="20"/>
          <w:szCs w:val="20"/>
        </w:rPr>
        <w:t>Viešoji įstaiga Respublikinė Vilniaus psichiatrijos ligoninė</w:t>
      </w:r>
      <w:r w:rsidRPr="005874B2">
        <w:rPr>
          <w:rFonts w:eastAsia="Calibri"/>
          <w:i/>
          <w:iCs/>
          <w:sz w:val="20"/>
          <w:szCs w:val="20"/>
        </w:rPr>
        <w:t>,</w:t>
      </w:r>
      <w:r w:rsidRPr="005874B2">
        <w:rPr>
          <w:rFonts w:eastAsia="Calibri"/>
          <w:sz w:val="20"/>
          <w:szCs w:val="20"/>
        </w:rPr>
        <w:t xml:space="preserve"> atstovaujama direktoriaus med. dr. prof. Arūno Germanavičiaus, veikiančio pagal įstaigos įstatus (toliau – Pirkėjas), ir </w:t>
      </w:r>
      <w:r w:rsidR="002D21E7" w:rsidRPr="002D21E7">
        <w:rPr>
          <w:rFonts w:eastAsia="Calibri"/>
          <w:b/>
          <w:sz w:val="20"/>
          <w:szCs w:val="20"/>
        </w:rPr>
        <w:t xml:space="preserve">Uždaroji </w:t>
      </w:r>
      <w:r w:rsidR="002D21E7">
        <w:rPr>
          <w:rFonts w:eastAsia="Calibri"/>
          <w:b/>
          <w:sz w:val="20"/>
          <w:szCs w:val="20"/>
        </w:rPr>
        <w:t>a</w:t>
      </w:r>
      <w:r w:rsidR="005874B2">
        <w:rPr>
          <w:rFonts w:eastAsia="Calibri"/>
          <w:b/>
          <w:sz w:val="20"/>
          <w:szCs w:val="20"/>
        </w:rPr>
        <w:t>kcinė bendrovė „</w:t>
      </w:r>
      <w:r w:rsidR="002D21E7">
        <w:rPr>
          <w:rFonts w:eastAsia="Calibri"/>
          <w:b/>
          <w:sz w:val="20"/>
          <w:szCs w:val="20"/>
        </w:rPr>
        <w:t>Tandemus</w:t>
      </w:r>
      <w:r w:rsidR="005874B2">
        <w:rPr>
          <w:rFonts w:eastAsia="Calibri"/>
          <w:b/>
          <w:sz w:val="20"/>
          <w:szCs w:val="20"/>
        </w:rPr>
        <w:t>“</w:t>
      </w:r>
      <w:r w:rsidRPr="005874B2">
        <w:rPr>
          <w:rFonts w:eastAsia="Calibri"/>
          <w:sz w:val="20"/>
          <w:szCs w:val="20"/>
        </w:rPr>
        <w:t xml:space="preserve">, </w:t>
      </w:r>
      <w:r w:rsidRPr="00772397">
        <w:rPr>
          <w:rFonts w:eastAsia="Calibri"/>
          <w:sz w:val="20"/>
          <w:szCs w:val="20"/>
        </w:rPr>
        <w:t>atstovaujama</w:t>
      </w:r>
      <w:r w:rsidR="00970EBC" w:rsidRPr="00772397">
        <w:rPr>
          <w:rFonts w:eastAsia="Calibri"/>
          <w:sz w:val="20"/>
          <w:szCs w:val="20"/>
        </w:rPr>
        <w:t xml:space="preserve"> </w:t>
      </w:r>
      <w:r w:rsidR="00751B01" w:rsidRPr="00772397">
        <w:rPr>
          <w:rFonts w:eastAsia="Calibri"/>
          <w:sz w:val="20"/>
          <w:szCs w:val="20"/>
        </w:rPr>
        <w:t>Raidos Budrikienės</w:t>
      </w:r>
      <w:r w:rsidRPr="00772397">
        <w:rPr>
          <w:rFonts w:eastAsia="Calibri"/>
          <w:sz w:val="20"/>
          <w:szCs w:val="20"/>
        </w:rPr>
        <w:t>, veikiančio (-ios) pagal</w:t>
      </w:r>
      <w:r w:rsidRPr="005874B2">
        <w:rPr>
          <w:rFonts w:eastAsia="Calibri"/>
          <w:sz w:val="20"/>
          <w:szCs w:val="20"/>
        </w:rPr>
        <w:t xml:space="preserve"> </w:t>
      </w:r>
      <w:r w:rsidR="00751B01" w:rsidRPr="00751B01">
        <w:rPr>
          <w:rFonts w:eastAsia="Calibri"/>
          <w:sz w:val="20"/>
          <w:szCs w:val="20"/>
        </w:rPr>
        <w:t xml:space="preserve">bendrovės įstatus </w:t>
      </w:r>
      <w:r w:rsidRPr="005874B2">
        <w:rPr>
          <w:rFonts w:eastAsia="Calibri"/>
          <w:sz w:val="20"/>
          <w:szCs w:val="20"/>
        </w:rPr>
        <w:t xml:space="preserve">(toliau – Tiekėjas), toliau kartu šioje </w:t>
      </w:r>
      <w:r w:rsidR="00970EBC" w:rsidRPr="005874B2">
        <w:rPr>
          <w:rFonts w:eastAsia="Calibri"/>
          <w:sz w:val="20"/>
          <w:szCs w:val="20"/>
        </w:rPr>
        <w:t>maisto produktų tiekimo</w:t>
      </w:r>
      <w:r w:rsidRPr="005874B2">
        <w:rPr>
          <w:rFonts w:eastAsia="Calibri"/>
          <w:sz w:val="20"/>
          <w:szCs w:val="20"/>
        </w:rPr>
        <w:t xml:space="preserve"> sutartyje vadinami Šalimis, o kiekvienas atskirai – Šalimi, </w:t>
      </w:r>
      <w:r w:rsidR="00EF6F55" w:rsidRPr="005874B2">
        <w:rPr>
          <w:rFonts w:eastAsia="Calibri"/>
          <w:sz w:val="20"/>
          <w:szCs w:val="20"/>
        </w:rPr>
        <w:t>vadovaudamiesi viešojo pirkimo „</w:t>
      </w:r>
      <w:r w:rsidR="005874B2">
        <w:rPr>
          <w:rFonts w:eastAsia="Calibri"/>
          <w:sz w:val="20"/>
          <w:szCs w:val="20"/>
        </w:rPr>
        <w:t>Maisto produktų pirkimas</w:t>
      </w:r>
      <w:r w:rsidR="00EF6F55" w:rsidRPr="005874B2">
        <w:rPr>
          <w:rFonts w:eastAsia="Calibri"/>
          <w:sz w:val="20"/>
          <w:szCs w:val="20"/>
        </w:rPr>
        <w:t>“, Nr</w:t>
      </w:r>
      <w:r w:rsidR="00466014" w:rsidRPr="005874B2">
        <w:rPr>
          <w:rFonts w:eastAsia="Calibri"/>
          <w:sz w:val="20"/>
          <w:szCs w:val="20"/>
        </w:rPr>
        <w:t xml:space="preserve">. </w:t>
      </w:r>
      <w:r w:rsidR="005874B2" w:rsidRPr="005874B2">
        <w:rPr>
          <w:rFonts w:eastAsia="Calibri"/>
          <w:bCs/>
          <w:sz w:val="20"/>
          <w:szCs w:val="20"/>
        </w:rPr>
        <w:t>443799</w:t>
      </w:r>
      <w:r w:rsidR="00EF6F55" w:rsidRPr="005874B2">
        <w:rPr>
          <w:rFonts w:eastAsia="Calibri"/>
          <w:sz w:val="20"/>
          <w:szCs w:val="20"/>
        </w:rPr>
        <w:t xml:space="preserve">, dokumentais bei Tiekėjo pasiūlymu, </w:t>
      </w:r>
      <w:r w:rsidRPr="005874B2">
        <w:rPr>
          <w:rFonts w:eastAsia="Calibri"/>
          <w:sz w:val="20"/>
          <w:szCs w:val="20"/>
        </w:rPr>
        <w:t xml:space="preserve">sudarė šią </w:t>
      </w:r>
      <w:r w:rsidR="00970EBC" w:rsidRPr="005874B2">
        <w:rPr>
          <w:rFonts w:eastAsia="Calibri"/>
          <w:sz w:val="20"/>
          <w:szCs w:val="20"/>
        </w:rPr>
        <w:t>maisto produktų tiekimo</w:t>
      </w:r>
      <w:r w:rsidRPr="005874B2">
        <w:rPr>
          <w:rFonts w:eastAsia="Calibri"/>
          <w:sz w:val="20"/>
          <w:szCs w:val="20"/>
        </w:rPr>
        <w:t xml:space="preserve"> sutartį, toliau vadinamą Sutartimi, ir susitarė dėl toliau išvardintų sąlygų.</w:t>
      </w:r>
    </w:p>
    <w:p w14:paraId="0BA1A7D1" w14:textId="77777777" w:rsidR="008404D9" w:rsidRPr="005874B2" w:rsidRDefault="008404D9" w:rsidP="008404D9">
      <w:pPr>
        <w:jc w:val="both"/>
        <w:rPr>
          <w:rFonts w:eastAsiaTheme="minorHAnsi"/>
          <w:sz w:val="20"/>
          <w:szCs w:val="20"/>
        </w:rPr>
      </w:pPr>
    </w:p>
    <w:p w14:paraId="53AFB0A0" w14:textId="77777777" w:rsidR="008404D9" w:rsidRPr="005874B2" w:rsidRDefault="008404D9" w:rsidP="008404D9">
      <w:pPr>
        <w:numPr>
          <w:ilvl w:val="0"/>
          <w:numId w:val="24"/>
        </w:numPr>
        <w:tabs>
          <w:tab w:val="left" w:pos="284"/>
          <w:tab w:val="left" w:pos="851"/>
        </w:tabs>
        <w:ind w:left="0" w:firstLine="567"/>
        <w:contextualSpacing/>
        <w:rPr>
          <w:rFonts w:eastAsiaTheme="minorHAnsi"/>
          <w:b/>
          <w:sz w:val="20"/>
          <w:szCs w:val="20"/>
        </w:rPr>
      </w:pPr>
      <w:r w:rsidRPr="005874B2">
        <w:rPr>
          <w:rFonts w:eastAsiaTheme="minorHAnsi"/>
          <w:b/>
          <w:sz w:val="20"/>
          <w:szCs w:val="20"/>
        </w:rPr>
        <w:t>Sutarties objektas</w:t>
      </w:r>
    </w:p>
    <w:p w14:paraId="1617D0B4" w14:textId="7173EE7F" w:rsidR="008404D9" w:rsidRPr="005874B2" w:rsidRDefault="008404D9" w:rsidP="008404D9">
      <w:pPr>
        <w:numPr>
          <w:ilvl w:val="1"/>
          <w:numId w:val="24"/>
        </w:numPr>
        <w:tabs>
          <w:tab w:val="left" w:pos="851"/>
          <w:tab w:val="left" w:pos="993"/>
        </w:tabs>
        <w:ind w:left="0" w:firstLine="567"/>
        <w:contextualSpacing/>
        <w:jc w:val="both"/>
        <w:rPr>
          <w:rFonts w:eastAsiaTheme="minorHAnsi"/>
          <w:sz w:val="20"/>
          <w:szCs w:val="20"/>
        </w:rPr>
      </w:pPr>
      <w:r w:rsidRPr="005874B2">
        <w:rPr>
          <w:rFonts w:eastAsiaTheme="minorHAnsi"/>
          <w:sz w:val="20"/>
          <w:szCs w:val="20"/>
        </w:rPr>
        <w:t>Tiekėjas įsipareigoja pagal Pirkėjo pateiktus užsakymus tiekti Pirkė</w:t>
      </w:r>
      <w:r w:rsidR="00970EBC" w:rsidRPr="005874B2">
        <w:rPr>
          <w:rFonts w:eastAsiaTheme="minorHAnsi"/>
          <w:sz w:val="20"/>
          <w:szCs w:val="20"/>
        </w:rPr>
        <w:t>jui Sutarties 1 priede nurodytus maisto produktus</w:t>
      </w:r>
      <w:r w:rsidRPr="005874B2">
        <w:rPr>
          <w:rFonts w:eastAsiaTheme="minorHAnsi"/>
          <w:sz w:val="20"/>
          <w:szCs w:val="20"/>
        </w:rPr>
        <w:t xml:space="preserve"> (toliau – Prekės), o Pirkėjas įsipareigoja priimti </w:t>
      </w:r>
      <w:r w:rsidR="00C72EAC" w:rsidRPr="005874B2">
        <w:rPr>
          <w:rFonts w:eastAsiaTheme="minorHAnsi"/>
          <w:sz w:val="20"/>
          <w:szCs w:val="20"/>
        </w:rPr>
        <w:t>Sutarties reikalavimus atitinkančias</w:t>
      </w:r>
      <w:r w:rsidRPr="005874B2">
        <w:rPr>
          <w:rFonts w:eastAsiaTheme="minorHAnsi"/>
          <w:sz w:val="20"/>
          <w:szCs w:val="20"/>
        </w:rPr>
        <w:t xml:space="preserve"> Prekes ir sumokėti už jas Sutartyje nustatytą kainą Sutartyje aptartomis sąlygomis ir tvarka. </w:t>
      </w:r>
    </w:p>
    <w:p w14:paraId="2AAE566B" w14:textId="50EB6A8C" w:rsidR="008404D9" w:rsidRPr="005874B2" w:rsidRDefault="008404D9" w:rsidP="008404D9">
      <w:pPr>
        <w:numPr>
          <w:ilvl w:val="1"/>
          <w:numId w:val="24"/>
        </w:numPr>
        <w:tabs>
          <w:tab w:val="left" w:pos="851"/>
          <w:tab w:val="left" w:pos="993"/>
        </w:tabs>
        <w:ind w:left="0" w:firstLine="567"/>
        <w:contextualSpacing/>
        <w:jc w:val="both"/>
        <w:rPr>
          <w:rFonts w:eastAsiaTheme="minorHAnsi"/>
          <w:sz w:val="20"/>
          <w:szCs w:val="20"/>
        </w:rPr>
      </w:pPr>
      <w:r w:rsidRPr="005874B2">
        <w:rPr>
          <w:rFonts w:eastAsiaTheme="minorHAnsi"/>
          <w:sz w:val="20"/>
          <w:szCs w:val="20"/>
        </w:rPr>
        <w:t>Sutarties 1 priede nurodyti Prekių kiekiai yra maksimalūs. Pirkėjas Prekes užsakinės pagal poreikį taikant Sutarties 1 priede nurodytus Prekių įkainius. Pirkėjas neįsipareigoja išpirkti visų Sutarties 1 priede nurodytų maksimalių Prekių kiekių.</w:t>
      </w:r>
    </w:p>
    <w:p w14:paraId="7D361637" w14:textId="77777777" w:rsidR="008404D9" w:rsidRPr="005874B2" w:rsidRDefault="008404D9" w:rsidP="008404D9">
      <w:pPr>
        <w:contextualSpacing/>
        <w:jc w:val="both"/>
        <w:rPr>
          <w:rFonts w:eastAsiaTheme="minorHAnsi"/>
          <w:sz w:val="20"/>
          <w:szCs w:val="20"/>
        </w:rPr>
      </w:pPr>
    </w:p>
    <w:p w14:paraId="1EFF49E6" w14:textId="77777777" w:rsidR="008404D9" w:rsidRPr="005874B2" w:rsidRDefault="008404D9" w:rsidP="008404D9">
      <w:pPr>
        <w:numPr>
          <w:ilvl w:val="0"/>
          <w:numId w:val="24"/>
        </w:numPr>
        <w:tabs>
          <w:tab w:val="left" w:pos="851"/>
        </w:tabs>
        <w:ind w:left="0" w:firstLine="567"/>
        <w:contextualSpacing/>
        <w:rPr>
          <w:rFonts w:eastAsiaTheme="minorHAnsi"/>
          <w:b/>
          <w:sz w:val="20"/>
          <w:szCs w:val="20"/>
        </w:rPr>
      </w:pPr>
      <w:r w:rsidRPr="005874B2">
        <w:rPr>
          <w:rFonts w:eastAsiaTheme="minorHAnsi"/>
          <w:b/>
          <w:sz w:val="20"/>
          <w:szCs w:val="20"/>
        </w:rPr>
        <w:t>Prekių tiekimo tvarka</w:t>
      </w:r>
    </w:p>
    <w:p w14:paraId="076AD29D" w14:textId="77777777" w:rsidR="00D76B0C" w:rsidRPr="005874B2" w:rsidRDefault="008404D9" w:rsidP="00A945D1">
      <w:pPr>
        <w:numPr>
          <w:ilvl w:val="1"/>
          <w:numId w:val="24"/>
        </w:numPr>
        <w:tabs>
          <w:tab w:val="left" w:pos="993"/>
        </w:tabs>
        <w:ind w:left="0" w:firstLine="567"/>
        <w:contextualSpacing/>
        <w:jc w:val="both"/>
        <w:rPr>
          <w:rFonts w:eastAsiaTheme="minorHAnsi"/>
          <w:sz w:val="20"/>
          <w:szCs w:val="20"/>
        </w:rPr>
      </w:pPr>
      <w:r w:rsidRPr="005874B2">
        <w:rPr>
          <w:rFonts w:eastAsiaTheme="minorHAnsi"/>
          <w:sz w:val="20"/>
          <w:szCs w:val="20"/>
        </w:rPr>
        <w:t>Pirkėjas užsakymą pateikia Šalims priimtinu būdu (faksu, el.</w:t>
      </w:r>
      <w:r w:rsidR="0081101A" w:rsidRPr="005874B2">
        <w:rPr>
          <w:rFonts w:eastAsiaTheme="minorHAnsi"/>
          <w:sz w:val="20"/>
          <w:szCs w:val="20"/>
        </w:rPr>
        <w:t xml:space="preserve"> paštu, telefonu ar kitu būdu). </w:t>
      </w:r>
      <w:r w:rsidRPr="005874B2">
        <w:rPr>
          <w:rFonts w:eastAsiaTheme="minorHAnsi"/>
          <w:sz w:val="20"/>
          <w:szCs w:val="20"/>
        </w:rPr>
        <w:t xml:space="preserve">Užsakyme nurodomas reikiamas Prekių kiekis, pristatymo </w:t>
      </w:r>
      <w:r w:rsidR="00A945D1" w:rsidRPr="005874B2">
        <w:rPr>
          <w:rFonts w:eastAsiaTheme="minorHAnsi"/>
          <w:sz w:val="20"/>
          <w:szCs w:val="20"/>
        </w:rPr>
        <w:t>data ir laikas bei</w:t>
      </w:r>
      <w:r w:rsidRPr="005874B2">
        <w:rPr>
          <w:rFonts w:eastAsiaTheme="minorHAnsi"/>
          <w:sz w:val="20"/>
          <w:szCs w:val="20"/>
        </w:rPr>
        <w:t xml:space="preserve"> kita užsakymo įvykdymui būtina informacija.</w:t>
      </w:r>
      <w:r w:rsidR="0081101A" w:rsidRPr="005874B2">
        <w:rPr>
          <w:rFonts w:eastAsiaTheme="minorHAnsi"/>
          <w:sz w:val="20"/>
          <w:szCs w:val="20"/>
        </w:rPr>
        <w:t xml:space="preserve"> Jeigu Šalys konkrečiu atveju nesusitarė kitaip, Pirkėjas užsakymą turi pateikti </w:t>
      </w:r>
      <w:r w:rsidR="00A629B6" w:rsidRPr="005874B2">
        <w:rPr>
          <w:rFonts w:eastAsiaTheme="minorHAnsi"/>
          <w:sz w:val="20"/>
          <w:szCs w:val="20"/>
        </w:rPr>
        <w:t xml:space="preserve">iki jo įvykdymo </w:t>
      </w:r>
      <w:r w:rsidR="0081101A" w:rsidRPr="005874B2">
        <w:rPr>
          <w:rFonts w:eastAsiaTheme="minorHAnsi"/>
          <w:sz w:val="20"/>
          <w:szCs w:val="20"/>
        </w:rPr>
        <w:t>likus</w:t>
      </w:r>
      <w:r w:rsidR="00D76B0C" w:rsidRPr="005874B2">
        <w:rPr>
          <w:rFonts w:eastAsiaTheme="minorHAnsi"/>
          <w:sz w:val="20"/>
          <w:szCs w:val="20"/>
        </w:rPr>
        <w:t>:</w:t>
      </w:r>
    </w:p>
    <w:p w14:paraId="33EBF432" w14:textId="3B01CC7A" w:rsidR="00D76B0C" w:rsidRPr="005874B2" w:rsidRDefault="0081101A" w:rsidP="00D76B0C">
      <w:pPr>
        <w:numPr>
          <w:ilvl w:val="2"/>
          <w:numId w:val="24"/>
        </w:numPr>
        <w:tabs>
          <w:tab w:val="left" w:pos="1134"/>
        </w:tabs>
        <w:ind w:left="0" w:firstLine="567"/>
        <w:contextualSpacing/>
        <w:jc w:val="both"/>
        <w:rPr>
          <w:rFonts w:eastAsiaTheme="minorHAnsi"/>
          <w:sz w:val="20"/>
          <w:szCs w:val="20"/>
        </w:rPr>
      </w:pPr>
      <w:r w:rsidRPr="005874B2">
        <w:rPr>
          <w:rFonts w:eastAsiaTheme="minorHAnsi"/>
          <w:sz w:val="20"/>
          <w:szCs w:val="20"/>
        </w:rPr>
        <w:t>ne mažiau kaip 1 (vienai) darbo dienai, jei užsakomi pieno p</w:t>
      </w:r>
      <w:r w:rsidR="00D76B0C" w:rsidRPr="005874B2">
        <w:rPr>
          <w:rFonts w:eastAsiaTheme="minorHAnsi"/>
          <w:sz w:val="20"/>
          <w:szCs w:val="20"/>
        </w:rPr>
        <w:t>roduktai, mėsa ir jos gaminiai</w:t>
      </w:r>
      <w:r w:rsidR="0088559A" w:rsidRPr="005874B2">
        <w:rPr>
          <w:rFonts w:eastAsiaTheme="minorHAnsi"/>
          <w:sz w:val="20"/>
          <w:szCs w:val="20"/>
        </w:rPr>
        <w:t>, duonos gaminiai ir bandelės</w:t>
      </w:r>
      <w:r w:rsidR="00D76B0C" w:rsidRPr="005874B2">
        <w:rPr>
          <w:rFonts w:eastAsiaTheme="minorHAnsi"/>
          <w:sz w:val="20"/>
          <w:szCs w:val="20"/>
        </w:rPr>
        <w:t>;</w:t>
      </w:r>
    </w:p>
    <w:p w14:paraId="64C9F6D3" w14:textId="6F7A364D" w:rsidR="00D76B0C" w:rsidRPr="005874B2" w:rsidRDefault="00D76B0C" w:rsidP="00D76B0C">
      <w:pPr>
        <w:numPr>
          <w:ilvl w:val="2"/>
          <w:numId w:val="24"/>
        </w:numPr>
        <w:tabs>
          <w:tab w:val="left" w:pos="1134"/>
        </w:tabs>
        <w:ind w:left="0" w:firstLine="567"/>
        <w:contextualSpacing/>
        <w:jc w:val="both"/>
        <w:rPr>
          <w:rFonts w:eastAsiaTheme="minorHAnsi"/>
          <w:sz w:val="20"/>
          <w:szCs w:val="20"/>
        </w:rPr>
      </w:pPr>
      <w:r w:rsidRPr="005874B2">
        <w:rPr>
          <w:rFonts w:eastAsiaTheme="minorHAnsi"/>
          <w:sz w:val="20"/>
          <w:szCs w:val="20"/>
        </w:rPr>
        <w:t>ne mažiau kaip</w:t>
      </w:r>
      <w:r w:rsidR="00A629B6" w:rsidRPr="005874B2">
        <w:rPr>
          <w:rFonts w:eastAsiaTheme="minorHAnsi"/>
          <w:sz w:val="20"/>
          <w:szCs w:val="20"/>
        </w:rPr>
        <w:t xml:space="preserve"> </w:t>
      </w:r>
      <w:r w:rsidR="00E23742" w:rsidRPr="005874B2">
        <w:rPr>
          <w:rFonts w:eastAsiaTheme="minorHAnsi"/>
          <w:sz w:val="20"/>
          <w:szCs w:val="20"/>
        </w:rPr>
        <w:t>2 (dviem</w:t>
      </w:r>
      <w:r w:rsidR="0081101A" w:rsidRPr="005874B2">
        <w:rPr>
          <w:rFonts w:eastAsiaTheme="minorHAnsi"/>
          <w:sz w:val="20"/>
          <w:szCs w:val="20"/>
        </w:rPr>
        <w:t>) darbo dienoms, jei užsakomi kiti maisto produktai</w:t>
      </w:r>
      <w:r w:rsidR="00A629B6" w:rsidRPr="005874B2">
        <w:rPr>
          <w:rFonts w:eastAsiaTheme="minorHAnsi"/>
          <w:sz w:val="20"/>
          <w:szCs w:val="20"/>
        </w:rPr>
        <w:t xml:space="preserve">. </w:t>
      </w:r>
    </w:p>
    <w:p w14:paraId="42C2B13B" w14:textId="1C4C65B9" w:rsidR="008404D9" w:rsidRPr="005874B2" w:rsidRDefault="00A629B6" w:rsidP="00D76B0C">
      <w:pPr>
        <w:pStyle w:val="ListParagraph"/>
        <w:numPr>
          <w:ilvl w:val="1"/>
          <w:numId w:val="24"/>
        </w:numPr>
        <w:tabs>
          <w:tab w:val="left" w:pos="993"/>
          <w:tab w:val="left" w:pos="1134"/>
        </w:tabs>
        <w:ind w:left="0" w:firstLine="567"/>
        <w:jc w:val="both"/>
        <w:rPr>
          <w:rFonts w:eastAsiaTheme="minorHAnsi"/>
          <w:sz w:val="20"/>
          <w:szCs w:val="20"/>
        </w:rPr>
      </w:pPr>
      <w:r w:rsidRPr="005874B2">
        <w:rPr>
          <w:rFonts w:eastAsiaTheme="minorHAnsi"/>
          <w:sz w:val="20"/>
          <w:szCs w:val="20"/>
        </w:rPr>
        <w:t>Pirkėjas turi teisę atšaukti arba patikslinti užsakymą laikantis šiame Sutarties punkte nurodytų terminų.</w:t>
      </w:r>
    </w:p>
    <w:p w14:paraId="0332E2A8" w14:textId="77777777" w:rsidR="00A945D1" w:rsidRPr="005874B2" w:rsidRDefault="008404D9" w:rsidP="008404D9">
      <w:pPr>
        <w:numPr>
          <w:ilvl w:val="1"/>
          <w:numId w:val="24"/>
        </w:numPr>
        <w:tabs>
          <w:tab w:val="left" w:pos="993"/>
        </w:tabs>
        <w:ind w:left="0" w:firstLine="567"/>
        <w:contextualSpacing/>
        <w:jc w:val="both"/>
        <w:rPr>
          <w:rFonts w:eastAsiaTheme="minorHAnsi"/>
          <w:sz w:val="20"/>
          <w:szCs w:val="20"/>
        </w:rPr>
      </w:pPr>
      <w:r w:rsidRPr="005874B2">
        <w:rPr>
          <w:rFonts w:eastAsiaTheme="minorHAnsi"/>
          <w:sz w:val="20"/>
          <w:szCs w:val="20"/>
        </w:rPr>
        <w:t xml:space="preserve">Jeigu </w:t>
      </w:r>
      <w:r w:rsidR="00A945D1" w:rsidRPr="005874B2">
        <w:rPr>
          <w:rFonts w:eastAsiaTheme="minorHAnsi"/>
          <w:sz w:val="20"/>
          <w:szCs w:val="20"/>
        </w:rPr>
        <w:t>Pirkėjas užsakymo metu nenurodo pristatymo datos ir laiko, užsakymas turi būti įvykdytas:</w:t>
      </w:r>
    </w:p>
    <w:p w14:paraId="11C30416" w14:textId="6C2FB20A" w:rsidR="00A945D1" w:rsidRPr="005874B2" w:rsidRDefault="00A945D1" w:rsidP="00A945D1">
      <w:pPr>
        <w:numPr>
          <w:ilvl w:val="2"/>
          <w:numId w:val="24"/>
        </w:numPr>
        <w:tabs>
          <w:tab w:val="left" w:pos="993"/>
          <w:tab w:val="left" w:pos="1134"/>
        </w:tabs>
        <w:ind w:left="0" w:firstLine="567"/>
        <w:contextualSpacing/>
        <w:jc w:val="both"/>
        <w:rPr>
          <w:rFonts w:eastAsiaTheme="minorHAnsi"/>
          <w:sz w:val="20"/>
          <w:szCs w:val="20"/>
        </w:rPr>
      </w:pPr>
      <w:r w:rsidRPr="005874B2">
        <w:rPr>
          <w:rFonts w:eastAsiaTheme="minorHAnsi"/>
          <w:sz w:val="20"/>
          <w:szCs w:val="20"/>
        </w:rPr>
        <w:t>per 1 (vieną) darbo dieną nuo užsakymo pateikimo dienos, jei užsakomi pieno produktai, mėsa ir jos gaminiai</w:t>
      </w:r>
      <w:r w:rsidR="0088559A" w:rsidRPr="005874B2">
        <w:rPr>
          <w:rFonts w:eastAsiaTheme="minorHAnsi"/>
          <w:sz w:val="20"/>
          <w:szCs w:val="20"/>
        </w:rPr>
        <w:t>, duonos gaminiai ir bandelės</w:t>
      </w:r>
      <w:r w:rsidRPr="005874B2">
        <w:rPr>
          <w:rFonts w:eastAsiaTheme="minorHAnsi"/>
          <w:sz w:val="20"/>
          <w:szCs w:val="20"/>
        </w:rPr>
        <w:t>;</w:t>
      </w:r>
    </w:p>
    <w:p w14:paraId="4E00677F" w14:textId="2A7E6F3C" w:rsidR="00A945D1" w:rsidRPr="005874B2" w:rsidRDefault="00A945D1" w:rsidP="00A945D1">
      <w:pPr>
        <w:numPr>
          <w:ilvl w:val="2"/>
          <w:numId w:val="24"/>
        </w:numPr>
        <w:tabs>
          <w:tab w:val="left" w:pos="993"/>
          <w:tab w:val="left" w:pos="1134"/>
        </w:tabs>
        <w:ind w:left="0" w:firstLine="567"/>
        <w:contextualSpacing/>
        <w:jc w:val="both"/>
        <w:rPr>
          <w:rFonts w:eastAsiaTheme="minorHAnsi"/>
          <w:sz w:val="20"/>
          <w:szCs w:val="20"/>
        </w:rPr>
      </w:pPr>
      <w:r w:rsidRPr="005874B2">
        <w:rPr>
          <w:rFonts w:eastAsiaTheme="minorHAnsi"/>
          <w:sz w:val="20"/>
          <w:szCs w:val="20"/>
        </w:rPr>
        <w:t>per 2 (dvi) darbo dienas nuo užsakymo pateikimo dienos, jei užsakomi kiti maisto produktai.</w:t>
      </w:r>
    </w:p>
    <w:p w14:paraId="5F054967" w14:textId="3F440F14" w:rsidR="008404D9" w:rsidRPr="005874B2" w:rsidRDefault="008404D9" w:rsidP="008404D9">
      <w:pPr>
        <w:numPr>
          <w:ilvl w:val="1"/>
          <w:numId w:val="24"/>
        </w:numPr>
        <w:tabs>
          <w:tab w:val="left" w:pos="993"/>
        </w:tabs>
        <w:ind w:left="0" w:firstLine="567"/>
        <w:contextualSpacing/>
        <w:jc w:val="both"/>
        <w:rPr>
          <w:rFonts w:eastAsiaTheme="minorHAnsi"/>
          <w:sz w:val="20"/>
          <w:szCs w:val="20"/>
        </w:rPr>
      </w:pPr>
      <w:r w:rsidRPr="005874B2">
        <w:rPr>
          <w:rFonts w:eastAsiaTheme="minorHAnsi"/>
          <w:sz w:val="20"/>
          <w:szCs w:val="20"/>
        </w:rPr>
        <w:t xml:space="preserve">Prekių pristatymo vieta – </w:t>
      </w:r>
      <w:r w:rsidR="00A945D1" w:rsidRPr="005874B2">
        <w:rPr>
          <w:rFonts w:eastAsiaTheme="minorHAnsi"/>
          <w:sz w:val="20"/>
          <w:szCs w:val="20"/>
        </w:rPr>
        <w:t xml:space="preserve">Pirkėjo maisto gamybos pastatas, </w:t>
      </w:r>
      <w:r w:rsidRPr="005874B2">
        <w:rPr>
          <w:rFonts w:eastAsiaTheme="minorHAnsi"/>
          <w:sz w:val="20"/>
          <w:szCs w:val="20"/>
        </w:rPr>
        <w:t>Parko g. 21, Vilnius.</w:t>
      </w:r>
    </w:p>
    <w:p w14:paraId="0A4E3A9D" w14:textId="262E2F12" w:rsidR="003716CB" w:rsidRPr="005874B2" w:rsidRDefault="00A629B6" w:rsidP="008404D9">
      <w:pPr>
        <w:numPr>
          <w:ilvl w:val="1"/>
          <w:numId w:val="24"/>
        </w:numPr>
        <w:tabs>
          <w:tab w:val="left" w:pos="993"/>
        </w:tabs>
        <w:ind w:left="0" w:firstLine="567"/>
        <w:contextualSpacing/>
        <w:jc w:val="both"/>
        <w:rPr>
          <w:rFonts w:eastAsiaTheme="minorHAnsi"/>
          <w:sz w:val="20"/>
          <w:szCs w:val="20"/>
        </w:rPr>
      </w:pPr>
      <w:r w:rsidRPr="005874B2">
        <w:rPr>
          <w:rFonts w:eastAsiaTheme="minorHAnsi"/>
          <w:sz w:val="20"/>
          <w:szCs w:val="20"/>
        </w:rPr>
        <w:t xml:space="preserve">Tiekėjas Prekes pristato savo transportu ir iškrauna Pirkėjo nurodytoje vietoje. Transportas, kuriuo pristatomos Prekės, turi atitikti pristatomų Prekių laikymui ir gabenimui keliamus reikalavimus (higienos reikalavimus, temperatūrinį rėžimą ir kt.). </w:t>
      </w:r>
      <w:r w:rsidR="000710A5" w:rsidRPr="005874B2">
        <w:rPr>
          <w:rFonts w:eastAsiaTheme="minorHAnsi"/>
          <w:sz w:val="20"/>
          <w:szCs w:val="20"/>
        </w:rPr>
        <w:t>Pirkėjas turi teisę nepriimti Prekių, jeigu Prekės pristatomos Sutartyje nusta</w:t>
      </w:r>
      <w:r w:rsidR="00DE2C0E" w:rsidRPr="005874B2">
        <w:rPr>
          <w:rFonts w:eastAsiaTheme="minorHAnsi"/>
          <w:sz w:val="20"/>
          <w:szCs w:val="20"/>
        </w:rPr>
        <w:t xml:space="preserve">tytų reikalavimų neatitinkančiu </w:t>
      </w:r>
      <w:r w:rsidR="000710A5" w:rsidRPr="005874B2">
        <w:rPr>
          <w:rFonts w:eastAsiaTheme="minorHAnsi"/>
          <w:sz w:val="20"/>
          <w:szCs w:val="20"/>
        </w:rPr>
        <w:t>transportu.</w:t>
      </w:r>
    </w:p>
    <w:p w14:paraId="49622BDA" w14:textId="45ABC71F" w:rsidR="000710A5" w:rsidRPr="005874B2" w:rsidRDefault="003716CB" w:rsidP="003716CB">
      <w:pPr>
        <w:numPr>
          <w:ilvl w:val="1"/>
          <w:numId w:val="24"/>
        </w:numPr>
        <w:tabs>
          <w:tab w:val="left" w:pos="993"/>
        </w:tabs>
        <w:ind w:left="0" w:firstLine="567"/>
        <w:contextualSpacing/>
        <w:jc w:val="both"/>
        <w:rPr>
          <w:rFonts w:eastAsiaTheme="minorHAnsi"/>
          <w:sz w:val="20"/>
          <w:szCs w:val="20"/>
        </w:rPr>
      </w:pPr>
      <w:r w:rsidRPr="005874B2">
        <w:rPr>
          <w:rFonts w:eastAsiaTheme="minorHAnsi"/>
          <w:sz w:val="20"/>
          <w:szCs w:val="20"/>
        </w:rPr>
        <w:t>Pristatomos Prekės turi atitikti Sutarties 1 priede nustatytus reikalavimu</w:t>
      </w:r>
      <w:r w:rsidR="00CE6B5A" w:rsidRPr="005874B2">
        <w:rPr>
          <w:rFonts w:eastAsiaTheme="minorHAnsi"/>
          <w:sz w:val="20"/>
          <w:szCs w:val="20"/>
        </w:rPr>
        <w:t>s, taip pat visus su jų tiekimu</w:t>
      </w:r>
      <w:r w:rsidRPr="005874B2">
        <w:rPr>
          <w:rFonts w:eastAsiaTheme="minorHAnsi"/>
          <w:sz w:val="20"/>
          <w:szCs w:val="20"/>
        </w:rPr>
        <w:t xml:space="preserve"> </w:t>
      </w:r>
      <w:r w:rsidR="00CE6B5A" w:rsidRPr="005874B2">
        <w:rPr>
          <w:rFonts w:eastAsiaTheme="minorHAnsi"/>
          <w:sz w:val="20"/>
          <w:szCs w:val="20"/>
        </w:rPr>
        <w:t>(</w:t>
      </w:r>
      <w:r w:rsidRPr="005874B2">
        <w:rPr>
          <w:rFonts w:eastAsiaTheme="minorHAnsi"/>
          <w:sz w:val="20"/>
          <w:szCs w:val="20"/>
        </w:rPr>
        <w:t>kokybe</w:t>
      </w:r>
      <w:r w:rsidR="00257585" w:rsidRPr="005874B2">
        <w:rPr>
          <w:rFonts w:eastAsiaTheme="minorHAnsi"/>
          <w:sz w:val="20"/>
          <w:szCs w:val="20"/>
        </w:rPr>
        <w:t xml:space="preserve">, </w:t>
      </w:r>
      <w:r w:rsidR="000710A5" w:rsidRPr="005874B2">
        <w:rPr>
          <w:rFonts w:eastAsiaTheme="minorHAnsi"/>
          <w:sz w:val="20"/>
          <w:szCs w:val="20"/>
        </w:rPr>
        <w:t>pakavimu</w:t>
      </w:r>
      <w:r w:rsidRPr="005874B2">
        <w:rPr>
          <w:rFonts w:eastAsiaTheme="minorHAnsi"/>
          <w:sz w:val="20"/>
          <w:szCs w:val="20"/>
        </w:rPr>
        <w:t xml:space="preserve"> bei ženklinimu</w:t>
      </w:r>
      <w:r w:rsidR="00CE6B5A" w:rsidRPr="005874B2">
        <w:rPr>
          <w:rFonts w:eastAsiaTheme="minorHAnsi"/>
          <w:sz w:val="20"/>
          <w:szCs w:val="20"/>
        </w:rPr>
        <w:t xml:space="preserve"> ir kt.)</w:t>
      </w:r>
      <w:r w:rsidRPr="005874B2">
        <w:rPr>
          <w:rFonts w:eastAsiaTheme="minorHAnsi"/>
          <w:sz w:val="20"/>
          <w:szCs w:val="20"/>
        </w:rPr>
        <w:t xml:space="preserve"> susijusių privalomų teisės aktų reikalavimus. </w:t>
      </w:r>
      <w:r w:rsidR="000710A5" w:rsidRPr="005874B2">
        <w:rPr>
          <w:rFonts w:eastAsiaTheme="minorHAnsi"/>
          <w:sz w:val="20"/>
          <w:szCs w:val="20"/>
        </w:rPr>
        <w:t xml:space="preserve">Jeigu Sutarties 1 priede nėra nurodyta kitaip, </w:t>
      </w:r>
      <w:r w:rsidR="00257585" w:rsidRPr="005874B2">
        <w:rPr>
          <w:rFonts w:eastAsiaTheme="minorHAnsi"/>
          <w:sz w:val="20"/>
          <w:szCs w:val="20"/>
        </w:rPr>
        <w:t xml:space="preserve">iki Prekių galiojimo termino pabaigos turi būti likę ne mažiau kaip pusė jų tinkamumo </w:t>
      </w:r>
      <w:r w:rsidR="008C23D9" w:rsidRPr="005874B2">
        <w:rPr>
          <w:rFonts w:eastAsiaTheme="minorHAnsi"/>
          <w:sz w:val="20"/>
          <w:szCs w:val="20"/>
        </w:rPr>
        <w:t>vartoti</w:t>
      </w:r>
      <w:r w:rsidR="00257585" w:rsidRPr="005874B2">
        <w:rPr>
          <w:rFonts w:eastAsiaTheme="minorHAnsi"/>
          <w:sz w:val="20"/>
          <w:szCs w:val="20"/>
        </w:rPr>
        <w:t xml:space="preserve"> termino. </w:t>
      </w:r>
    </w:p>
    <w:p w14:paraId="0B2BD40E" w14:textId="1ED0246E" w:rsidR="005B2CB4" w:rsidRPr="005874B2" w:rsidRDefault="003716CB" w:rsidP="00905E79">
      <w:pPr>
        <w:numPr>
          <w:ilvl w:val="1"/>
          <w:numId w:val="24"/>
        </w:numPr>
        <w:tabs>
          <w:tab w:val="left" w:pos="993"/>
        </w:tabs>
        <w:ind w:left="0" w:firstLine="567"/>
        <w:contextualSpacing/>
        <w:jc w:val="both"/>
        <w:rPr>
          <w:rFonts w:eastAsiaTheme="minorHAnsi"/>
          <w:sz w:val="20"/>
          <w:szCs w:val="20"/>
        </w:rPr>
      </w:pPr>
      <w:r w:rsidRPr="005874B2">
        <w:rPr>
          <w:rFonts w:eastAsiaTheme="minorHAnsi"/>
          <w:sz w:val="20"/>
          <w:szCs w:val="20"/>
        </w:rPr>
        <w:t xml:space="preserve">Pirkėjas turi teisę nepriimti Prekių, jeigu Prekės neatitinka </w:t>
      </w:r>
      <w:r w:rsidR="00DE2C0E" w:rsidRPr="005874B2">
        <w:rPr>
          <w:rFonts w:eastAsiaTheme="minorHAnsi"/>
          <w:sz w:val="20"/>
          <w:szCs w:val="20"/>
        </w:rPr>
        <w:t xml:space="preserve">Sutartyje nustatytų reikalavimų (pvz. </w:t>
      </w:r>
      <w:r w:rsidR="00165D26" w:rsidRPr="005874B2">
        <w:rPr>
          <w:rFonts w:eastAsiaTheme="minorHAnsi"/>
          <w:sz w:val="20"/>
          <w:szCs w:val="20"/>
        </w:rPr>
        <w:t xml:space="preserve">jeigu Prekės neatitinka Sutarties 1 priede nustatytų reikalavimų, </w:t>
      </w:r>
      <w:r w:rsidR="000710A5" w:rsidRPr="005874B2">
        <w:rPr>
          <w:rFonts w:eastAsiaTheme="minorHAnsi"/>
          <w:sz w:val="20"/>
          <w:szCs w:val="20"/>
        </w:rPr>
        <w:t xml:space="preserve">jeigu Prekės nėra paženklintos pagal teisės aktų reikalavimus, jeigu Prekių pakuotė yra pažeista, jeigu Prekės yra netinkamos vartoti </w:t>
      </w:r>
      <w:r w:rsidR="000137C6" w:rsidRPr="005874B2">
        <w:rPr>
          <w:rFonts w:eastAsiaTheme="minorHAnsi"/>
          <w:sz w:val="20"/>
          <w:szCs w:val="20"/>
        </w:rPr>
        <w:t>(pvz. sugedusios), Prekių galiojimo terminas yra pasibaigęs</w:t>
      </w:r>
      <w:r w:rsidR="00250649" w:rsidRPr="005874B2">
        <w:rPr>
          <w:rFonts w:eastAsiaTheme="minorHAnsi"/>
          <w:sz w:val="20"/>
          <w:szCs w:val="20"/>
        </w:rPr>
        <w:t xml:space="preserve"> ar per trumpas</w:t>
      </w:r>
      <w:r w:rsidR="000137C6" w:rsidRPr="005874B2">
        <w:rPr>
          <w:rFonts w:eastAsiaTheme="minorHAnsi"/>
          <w:sz w:val="20"/>
          <w:szCs w:val="20"/>
        </w:rPr>
        <w:t xml:space="preserve">, </w:t>
      </w:r>
      <w:r w:rsidR="007653D9" w:rsidRPr="005874B2">
        <w:rPr>
          <w:rFonts w:eastAsiaTheme="minorHAnsi"/>
          <w:sz w:val="20"/>
          <w:szCs w:val="20"/>
        </w:rPr>
        <w:t>kaip nurodyta Sutarties 2.6. punkte</w:t>
      </w:r>
      <w:r w:rsidR="00116DAD" w:rsidRPr="005874B2">
        <w:rPr>
          <w:rFonts w:eastAsiaTheme="minorHAnsi"/>
          <w:color w:val="0070C0"/>
          <w:sz w:val="20"/>
          <w:szCs w:val="20"/>
        </w:rPr>
        <w:t>,</w:t>
      </w:r>
      <w:r w:rsidR="007653D9" w:rsidRPr="005874B2">
        <w:rPr>
          <w:rFonts w:eastAsiaTheme="minorHAnsi"/>
          <w:sz w:val="20"/>
          <w:szCs w:val="20"/>
        </w:rPr>
        <w:t xml:space="preserve"> </w:t>
      </w:r>
      <w:r w:rsidR="000137C6" w:rsidRPr="005874B2">
        <w:rPr>
          <w:rFonts w:eastAsiaTheme="minorHAnsi"/>
          <w:sz w:val="20"/>
          <w:szCs w:val="20"/>
        </w:rPr>
        <w:t>ar Prekės neatitinka kitų Sutarties reikalavimų</w:t>
      </w:r>
      <w:r w:rsidR="00DE2C0E" w:rsidRPr="005874B2">
        <w:rPr>
          <w:rFonts w:eastAsiaTheme="minorHAnsi"/>
          <w:sz w:val="20"/>
          <w:szCs w:val="20"/>
        </w:rPr>
        <w:t>)</w:t>
      </w:r>
      <w:r w:rsidR="000137C6" w:rsidRPr="005874B2">
        <w:rPr>
          <w:rFonts w:eastAsiaTheme="minorHAnsi"/>
          <w:sz w:val="20"/>
          <w:szCs w:val="20"/>
        </w:rPr>
        <w:t xml:space="preserve">. </w:t>
      </w:r>
    </w:p>
    <w:p w14:paraId="466CD3E7" w14:textId="38AAD7B2" w:rsidR="005B2CB4" w:rsidRPr="005874B2" w:rsidRDefault="005B2CB4" w:rsidP="00905E79">
      <w:pPr>
        <w:numPr>
          <w:ilvl w:val="1"/>
          <w:numId w:val="24"/>
        </w:numPr>
        <w:tabs>
          <w:tab w:val="left" w:pos="993"/>
        </w:tabs>
        <w:ind w:left="0" w:firstLine="567"/>
        <w:contextualSpacing/>
        <w:jc w:val="both"/>
        <w:rPr>
          <w:rFonts w:eastAsiaTheme="minorHAnsi"/>
          <w:sz w:val="20"/>
          <w:szCs w:val="20"/>
        </w:rPr>
      </w:pPr>
      <w:r w:rsidRPr="005874B2">
        <w:rPr>
          <w:rFonts w:eastAsiaTheme="minorHAnsi"/>
          <w:sz w:val="20"/>
          <w:szCs w:val="20"/>
        </w:rPr>
        <w:t>Jeigu Pirkėjui kyla abejonių dėl tiekiamų Prekių atitikimo Sutarties reikalavimams, Pirkėjas turi teisę</w:t>
      </w:r>
      <w:r w:rsidR="00CE6B5A" w:rsidRPr="005874B2">
        <w:rPr>
          <w:rFonts w:eastAsiaTheme="minorHAnsi"/>
          <w:sz w:val="20"/>
          <w:szCs w:val="20"/>
        </w:rPr>
        <w:t xml:space="preserve"> iš anksto neįspėjęs Tiekėjo</w:t>
      </w:r>
      <w:r w:rsidRPr="005874B2">
        <w:rPr>
          <w:rFonts w:eastAsiaTheme="minorHAnsi"/>
          <w:sz w:val="20"/>
          <w:szCs w:val="20"/>
        </w:rPr>
        <w:t xml:space="preserve"> pateikti Prekes savo pasirinktai kompetentingai įstaigai ekspertizei atlikti. Jeigu ekspertizės išvados yra nepalankios Tiekėjui, Tiekėjas turi atlyginti Pirkėjo patirtas ekspertizės išlaidas. Ekspertizės išlaidas Pirkėjas turi teisę išskaičiuoti iš Tiekėjui pagal Sutartį mokėtinų sumų.</w:t>
      </w:r>
    </w:p>
    <w:p w14:paraId="2493DB1B" w14:textId="04F020ED" w:rsidR="00324FD2" w:rsidRPr="005874B2" w:rsidRDefault="002E746E" w:rsidP="00905E79">
      <w:pPr>
        <w:numPr>
          <w:ilvl w:val="1"/>
          <w:numId w:val="24"/>
        </w:numPr>
        <w:tabs>
          <w:tab w:val="left" w:pos="993"/>
        </w:tabs>
        <w:ind w:left="0" w:firstLine="567"/>
        <w:contextualSpacing/>
        <w:jc w:val="both"/>
        <w:rPr>
          <w:rFonts w:eastAsiaTheme="minorHAnsi"/>
          <w:sz w:val="20"/>
          <w:szCs w:val="20"/>
        </w:rPr>
      </w:pPr>
      <w:r w:rsidRPr="005874B2">
        <w:rPr>
          <w:rFonts w:eastAsiaTheme="minorHAnsi"/>
          <w:sz w:val="20"/>
          <w:szCs w:val="20"/>
        </w:rPr>
        <w:t xml:space="preserve">Tiekėjas turi pristatyti </w:t>
      </w:r>
      <w:r w:rsidR="00E23742" w:rsidRPr="005874B2">
        <w:rPr>
          <w:rFonts w:eastAsiaTheme="minorHAnsi"/>
          <w:sz w:val="20"/>
          <w:szCs w:val="20"/>
        </w:rPr>
        <w:t>tik tas Prekes, kurios nurodytos Sutarties 1 priede (tų pačių gamintojų ir</w:t>
      </w:r>
      <w:r w:rsidR="000F2A77" w:rsidRPr="005874B2">
        <w:rPr>
          <w:rFonts w:eastAsiaTheme="minorHAnsi"/>
          <w:sz w:val="20"/>
          <w:szCs w:val="20"/>
        </w:rPr>
        <w:t>/ar</w:t>
      </w:r>
      <w:r w:rsidR="00E23742" w:rsidRPr="005874B2">
        <w:rPr>
          <w:rFonts w:eastAsiaTheme="minorHAnsi"/>
          <w:sz w:val="20"/>
          <w:szCs w:val="20"/>
        </w:rPr>
        <w:t xml:space="preserve"> tų pačių pavadinimų Prekes, jeigu tokie nurodyti Sutarties 1 priede). Pristatyti kitas, nei nurodyta Sutarties 1 priede, Prekes Tiekėjas turi teisę tik </w:t>
      </w:r>
      <w:r w:rsidR="000F2A77" w:rsidRPr="005874B2">
        <w:rPr>
          <w:rFonts w:eastAsiaTheme="minorHAnsi"/>
          <w:sz w:val="20"/>
          <w:szCs w:val="20"/>
        </w:rPr>
        <w:t>esant objektyvioms nuo Tiekėjo nepriklausančioms aplinkybėms (pvz. jei Prekių gamintojas nebegamina Sutartyje nurodytų Prekių</w:t>
      </w:r>
      <w:r w:rsidR="00D76B0C" w:rsidRPr="005874B2">
        <w:rPr>
          <w:rFonts w:eastAsiaTheme="minorHAnsi"/>
          <w:sz w:val="20"/>
          <w:szCs w:val="20"/>
        </w:rPr>
        <w:t xml:space="preserve"> ar pakeičia Prekių pavadinimus</w:t>
      </w:r>
      <w:r w:rsidR="000F2A77" w:rsidRPr="005874B2">
        <w:rPr>
          <w:rFonts w:eastAsiaTheme="minorHAnsi"/>
          <w:sz w:val="20"/>
          <w:szCs w:val="20"/>
        </w:rPr>
        <w:t>, Tiekėjas nespėja pristatyti Prekių dėl gamintojo gamybos sutrikimų</w:t>
      </w:r>
      <w:r w:rsidR="001E756C" w:rsidRPr="005874B2">
        <w:rPr>
          <w:rFonts w:eastAsiaTheme="minorHAnsi"/>
          <w:sz w:val="20"/>
          <w:szCs w:val="20"/>
        </w:rPr>
        <w:t>, gamintojas nutraukia susitarimą su Tiekėju dėl Prekių tiekimo</w:t>
      </w:r>
      <w:r w:rsidR="000F2A77" w:rsidRPr="005874B2">
        <w:rPr>
          <w:rFonts w:eastAsiaTheme="minorHAnsi"/>
          <w:sz w:val="20"/>
          <w:szCs w:val="20"/>
        </w:rPr>
        <w:t xml:space="preserve"> ir pan.). Norėdamas pristatyti kitas Prekes</w:t>
      </w:r>
      <w:r w:rsidR="00324FD2" w:rsidRPr="005874B2">
        <w:rPr>
          <w:rFonts w:eastAsiaTheme="minorHAnsi"/>
          <w:sz w:val="20"/>
          <w:szCs w:val="20"/>
        </w:rPr>
        <w:t>,</w:t>
      </w:r>
      <w:r w:rsidR="000F2A77" w:rsidRPr="005874B2">
        <w:rPr>
          <w:rFonts w:eastAsiaTheme="minorHAnsi"/>
          <w:sz w:val="20"/>
          <w:szCs w:val="20"/>
        </w:rPr>
        <w:t xml:space="preserve"> nei kad nurodyta Sutartyje, Tiekėjas turi informuoti Pirkėją</w:t>
      </w:r>
      <w:r w:rsidR="00324FD2" w:rsidRPr="005874B2">
        <w:rPr>
          <w:rFonts w:eastAsiaTheme="minorHAnsi"/>
          <w:sz w:val="20"/>
          <w:szCs w:val="20"/>
        </w:rPr>
        <w:t>, pateikti kitų Prekių atitikimą Sutarties 1 priede nustatytiems reikalavimams įrodančius dokumentus,</w:t>
      </w:r>
      <w:r w:rsidR="000F2A77" w:rsidRPr="005874B2">
        <w:rPr>
          <w:rFonts w:eastAsiaTheme="minorHAnsi"/>
          <w:sz w:val="20"/>
          <w:szCs w:val="20"/>
        </w:rPr>
        <w:t xml:space="preserve"> ir gauti Pirkėjo sutikimą. Pirkėjas turi teisę nepriimti kitų</w:t>
      </w:r>
      <w:r w:rsidR="00324FD2" w:rsidRPr="005874B2">
        <w:rPr>
          <w:rFonts w:eastAsiaTheme="minorHAnsi"/>
          <w:sz w:val="20"/>
          <w:szCs w:val="20"/>
        </w:rPr>
        <w:t>,</w:t>
      </w:r>
      <w:r w:rsidR="000F2A77" w:rsidRPr="005874B2">
        <w:rPr>
          <w:rFonts w:eastAsiaTheme="minorHAnsi"/>
          <w:sz w:val="20"/>
          <w:szCs w:val="20"/>
        </w:rPr>
        <w:t xml:space="preserve"> nei kad nurodyta Sutartyje Prekių, jei Tiekėjas jas pristato be Pirkėjo sutikimo. </w:t>
      </w:r>
      <w:r w:rsidR="00C4639F" w:rsidRPr="005874B2">
        <w:rPr>
          <w:rFonts w:eastAsiaTheme="minorHAnsi"/>
          <w:sz w:val="20"/>
          <w:szCs w:val="20"/>
        </w:rPr>
        <w:t xml:space="preserve">Kitos Prekės </w:t>
      </w:r>
      <w:r w:rsidR="007B7489" w:rsidRPr="005874B2">
        <w:rPr>
          <w:rFonts w:eastAsiaTheme="minorHAnsi"/>
          <w:sz w:val="20"/>
          <w:szCs w:val="20"/>
        </w:rPr>
        <w:t>turi</w:t>
      </w:r>
      <w:r w:rsidR="00C4639F" w:rsidRPr="005874B2">
        <w:rPr>
          <w:rFonts w:eastAsiaTheme="minorHAnsi"/>
          <w:sz w:val="20"/>
          <w:szCs w:val="20"/>
        </w:rPr>
        <w:t xml:space="preserve"> būti pristatomos tik </w:t>
      </w:r>
      <w:r w:rsidR="00324FD2" w:rsidRPr="005874B2">
        <w:rPr>
          <w:rFonts w:eastAsiaTheme="minorHAnsi"/>
          <w:sz w:val="20"/>
          <w:szCs w:val="20"/>
        </w:rPr>
        <w:t>už tą pačią Sutartyje nurodytą kainą.</w:t>
      </w:r>
    </w:p>
    <w:p w14:paraId="2D4A6C22" w14:textId="3BF48096" w:rsidR="00E23742" w:rsidRPr="005874B2" w:rsidRDefault="000E54BA" w:rsidP="008404D9">
      <w:pPr>
        <w:numPr>
          <w:ilvl w:val="1"/>
          <w:numId w:val="24"/>
        </w:numPr>
        <w:tabs>
          <w:tab w:val="left" w:pos="993"/>
        </w:tabs>
        <w:ind w:left="0" w:firstLine="567"/>
        <w:contextualSpacing/>
        <w:jc w:val="both"/>
        <w:rPr>
          <w:rFonts w:eastAsiaTheme="minorHAnsi"/>
          <w:sz w:val="20"/>
          <w:szCs w:val="20"/>
        </w:rPr>
      </w:pPr>
      <w:r w:rsidRPr="005874B2">
        <w:rPr>
          <w:rFonts w:eastAsiaTheme="minorHAnsi"/>
          <w:sz w:val="20"/>
          <w:szCs w:val="20"/>
        </w:rPr>
        <w:t>Tiekėjas, Pirkėjui pareikalavus, kartu su Prekėmis turi pateikti visus jų atitikimą Sutarties reikalavimams įrodančius dokumentus.</w:t>
      </w:r>
    </w:p>
    <w:p w14:paraId="59BDF1FB" w14:textId="2F50900B" w:rsidR="00C61C09" w:rsidRPr="005874B2" w:rsidRDefault="007B7489" w:rsidP="00C61C09">
      <w:pPr>
        <w:numPr>
          <w:ilvl w:val="1"/>
          <w:numId w:val="24"/>
        </w:numPr>
        <w:tabs>
          <w:tab w:val="left" w:pos="993"/>
        </w:tabs>
        <w:ind w:left="0" w:firstLine="567"/>
        <w:contextualSpacing/>
        <w:jc w:val="both"/>
        <w:rPr>
          <w:rFonts w:eastAsiaTheme="minorHAnsi"/>
          <w:sz w:val="20"/>
          <w:szCs w:val="20"/>
        </w:rPr>
      </w:pPr>
      <w:r w:rsidRPr="005874B2">
        <w:rPr>
          <w:rFonts w:eastAsiaTheme="minorHAnsi"/>
          <w:sz w:val="20"/>
          <w:szCs w:val="20"/>
        </w:rPr>
        <w:t>Tiekėjui pr</w:t>
      </w:r>
      <w:r w:rsidR="00C01CAB" w:rsidRPr="005874B2">
        <w:rPr>
          <w:rFonts w:eastAsiaTheme="minorHAnsi"/>
          <w:sz w:val="20"/>
          <w:szCs w:val="20"/>
        </w:rPr>
        <w:t xml:space="preserve">istačius </w:t>
      </w:r>
      <w:r w:rsidRPr="005874B2">
        <w:rPr>
          <w:rFonts w:eastAsiaTheme="minorHAnsi"/>
          <w:sz w:val="20"/>
          <w:szCs w:val="20"/>
        </w:rPr>
        <w:t>ir iškrovus Prekes, Pirkėjo atstovas patikrina, ar Tiekėjas pristatė visas užsakyme nurodytas Prekes ir visą nurodytų</w:t>
      </w:r>
      <w:r w:rsidR="00C01CAB" w:rsidRPr="005874B2">
        <w:rPr>
          <w:rFonts w:eastAsiaTheme="minorHAnsi"/>
          <w:sz w:val="20"/>
          <w:szCs w:val="20"/>
        </w:rPr>
        <w:t xml:space="preserve"> Prekių kiekį, ar Prekės atitinka Sutarties reikalavimus, ir įformina Prekių priėmimą</w:t>
      </w:r>
      <w:r w:rsidR="00A44917" w:rsidRPr="005874B2">
        <w:rPr>
          <w:rFonts w:eastAsiaTheme="minorHAnsi"/>
          <w:sz w:val="20"/>
          <w:szCs w:val="20"/>
        </w:rPr>
        <w:t xml:space="preserve"> – perdavimą</w:t>
      </w:r>
      <w:r w:rsidR="00C01CAB" w:rsidRPr="005874B2">
        <w:rPr>
          <w:rFonts w:eastAsiaTheme="minorHAnsi"/>
          <w:sz w:val="20"/>
          <w:szCs w:val="20"/>
        </w:rPr>
        <w:t>. Prekių priėmimas</w:t>
      </w:r>
      <w:r w:rsidR="00A44917" w:rsidRPr="005874B2">
        <w:rPr>
          <w:rFonts w:eastAsiaTheme="minorHAnsi"/>
          <w:sz w:val="20"/>
          <w:szCs w:val="20"/>
        </w:rPr>
        <w:t xml:space="preserve"> – perdavimas</w:t>
      </w:r>
      <w:r w:rsidR="00C01CAB" w:rsidRPr="005874B2">
        <w:rPr>
          <w:rFonts w:eastAsiaTheme="minorHAnsi"/>
          <w:sz w:val="20"/>
          <w:szCs w:val="20"/>
        </w:rPr>
        <w:t xml:space="preserve"> įforminamas </w:t>
      </w:r>
      <w:r w:rsidR="00A44917" w:rsidRPr="005874B2">
        <w:rPr>
          <w:rFonts w:eastAsiaTheme="minorHAnsi"/>
          <w:sz w:val="20"/>
          <w:szCs w:val="20"/>
        </w:rPr>
        <w:t xml:space="preserve">Šalims pasirašius Prekių priėmimą – perdavimą patvirtinantį </w:t>
      </w:r>
      <w:r w:rsidR="00A44917" w:rsidRPr="005874B2">
        <w:rPr>
          <w:rFonts w:eastAsiaTheme="minorHAnsi"/>
          <w:sz w:val="20"/>
          <w:szCs w:val="20"/>
        </w:rPr>
        <w:lastRenderedPageBreak/>
        <w:t>dokumentą (važtaraštį ar kt.). Iki Prekių priėmimo visa atsakomybė dėl Prekių atsitiktinio žuvimo ar sugadinimo ten</w:t>
      </w:r>
      <w:r w:rsidR="00553FB6" w:rsidRPr="005874B2">
        <w:rPr>
          <w:rFonts w:eastAsiaTheme="minorHAnsi"/>
          <w:sz w:val="20"/>
          <w:szCs w:val="20"/>
        </w:rPr>
        <w:t>ka</w:t>
      </w:r>
      <w:r w:rsidR="00A44917" w:rsidRPr="005874B2">
        <w:rPr>
          <w:rFonts w:eastAsiaTheme="minorHAnsi"/>
          <w:sz w:val="20"/>
          <w:szCs w:val="20"/>
        </w:rPr>
        <w:t xml:space="preserve"> Tiekėjui.</w:t>
      </w:r>
      <w:r w:rsidR="00C61C09" w:rsidRPr="005874B2">
        <w:rPr>
          <w:rFonts w:eastAsiaTheme="minorHAnsi"/>
          <w:sz w:val="20"/>
          <w:szCs w:val="20"/>
        </w:rPr>
        <w:t xml:space="preserve"> </w:t>
      </w:r>
    </w:p>
    <w:p w14:paraId="1965582B" w14:textId="1E7134FE" w:rsidR="004F368C" w:rsidRPr="005874B2" w:rsidRDefault="00800545" w:rsidP="00590A94">
      <w:pPr>
        <w:numPr>
          <w:ilvl w:val="1"/>
          <w:numId w:val="24"/>
        </w:numPr>
        <w:tabs>
          <w:tab w:val="left" w:pos="993"/>
        </w:tabs>
        <w:ind w:left="0" w:firstLine="567"/>
        <w:contextualSpacing/>
        <w:jc w:val="both"/>
        <w:rPr>
          <w:rFonts w:eastAsiaTheme="minorHAnsi"/>
          <w:sz w:val="20"/>
          <w:szCs w:val="20"/>
        </w:rPr>
      </w:pPr>
      <w:r w:rsidRPr="005874B2">
        <w:rPr>
          <w:rFonts w:eastAsiaTheme="minorHAnsi"/>
          <w:sz w:val="20"/>
          <w:szCs w:val="20"/>
        </w:rPr>
        <w:t>Priimant – perduodant</w:t>
      </w:r>
      <w:r w:rsidR="004F368C" w:rsidRPr="005874B2">
        <w:rPr>
          <w:rFonts w:eastAsiaTheme="minorHAnsi"/>
          <w:sz w:val="20"/>
          <w:szCs w:val="20"/>
        </w:rPr>
        <w:t xml:space="preserve"> šaldytas Prekes</w:t>
      </w:r>
      <w:r w:rsidRPr="005874B2">
        <w:rPr>
          <w:rFonts w:eastAsiaTheme="minorHAnsi"/>
          <w:sz w:val="20"/>
          <w:szCs w:val="20"/>
        </w:rPr>
        <w:t xml:space="preserve"> (žuvį ir kt.) jų svoris tikrinamas du kartus: Pirkėjo atstovas fiksuoja esamą svorį </w:t>
      </w:r>
      <w:r w:rsidR="004F368C" w:rsidRPr="005874B2">
        <w:rPr>
          <w:rFonts w:eastAsiaTheme="minorHAnsi"/>
          <w:sz w:val="20"/>
          <w:szCs w:val="20"/>
        </w:rPr>
        <w:t>Prekių</w:t>
      </w:r>
      <w:r w:rsidRPr="005874B2">
        <w:rPr>
          <w:rFonts w:eastAsiaTheme="minorHAnsi"/>
          <w:sz w:val="20"/>
          <w:szCs w:val="20"/>
        </w:rPr>
        <w:t xml:space="preserve"> priėmimo – perdavimo metu ir faktinį svorį</w:t>
      </w:r>
      <w:r w:rsidR="004F368C" w:rsidRPr="005874B2">
        <w:rPr>
          <w:rFonts w:eastAsiaTheme="minorHAnsi"/>
          <w:sz w:val="20"/>
          <w:szCs w:val="20"/>
        </w:rPr>
        <w:t xml:space="preserve"> Prekes atšildžius. Jeigu atšildžius Prekes nustatomas neatitikimas Sutarties 1 priede nustatytam reikalavimui dėl gryno jų svorio (be </w:t>
      </w:r>
      <w:r w:rsidR="00590A94" w:rsidRPr="005874B2">
        <w:rPr>
          <w:rFonts w:eastAsiaTheme="minorHAnsi"/>
          <w:sz w:val="20"/>
          <w:szCs w:val="20"/>
        </w:rPr>
        <w:t>vandens</w:t>
      </w:r>
      <w:r w:rsidR="004F368C" w:rsidRPr="005874B2">
        <w:rPr>
          <w:rFonts w:eastAsiaTheme="minorHAnsi"/>
          <w:sz w:val="20"/>
          <w:szCs w:val="20"/>
        </w:rPr>
        <w:t xml:space="preserve">), Pirkėjo atstovas surašo aktą ir nedelsiant informuoja Tiekėją. </w:t>
      </w:r>
      <w:r w:rsidR="00DF2F37" w:rsidRPr="005874B2">
        <w:rPr>
          <w:rFonts w:eastAsiaTheme="minorHAnsi"/>
          <w:sz w:val="20"/>
          <w:szCs w:val="20"/>
        </w:rPr>
        <w:t xml:space="preserve">Tokiu atveju </w:t>
      </w:r>
      <w:r w:rsidR="004F368C" w:rsidRPr="005874B2">
        <w:rPr>
          <w:rFonts w:eastAsiaTheme="minorHAnsi"/>
          <w:sz w:val="20"/>
          <w:szCs w:val="20"/>
        </w:rPr>
        <w:t>Pirkėjas apmoka tik už faktinį Prekių svorį, atsižvelgiant į Sutarties 1 priede nurodytą leistiną svorio nuokrypį. Tiekėjas turi teisę dalyvauti faktinio</w:t>
      </w:r>
      <w:r w:rsidR="00DF2F37" w:rsidRPr="005874B2">
        <w:rPr>
          <w:rFonts w:eastAsiaTheme="minorHAnsi"/>
          <w:sz w:val="20"/>
          <w:szCs w:val="20"/>
        </w:rPr>
        <w:t xml:space="preserve"> Prekių svorio tikrinimo metu, jeigu jam kyla abejonių</w:t>
      </w:r>
      <w:r w:rsidR="00221F46" w:rsidRPr="005874B2">
        <w:rPr>
          <w:rFonts w:eastAsiaTheme="minorHAnsi"/>
          <w:sz w:val="20"/>
          <w:szCs w:val="20"/>
        </w:rPr>
        <w:t xml:space="preserve">, ar Pirkėjas </w:t>
      </w:r>
      <w:r w:rsidR="00DF2F37" w:rsidRPr="005874B2">
        <w:rPr>
          <w:rFonts w:eastAsiaTheme="minorHAnsi"/>
          <w:sz w:val="20"/>
          <w:szCs w:val="20"/>
        </w:rPr>
        <w:t xml:space="preserve">teisingai vertina Prekių svorį. </w:t>
      </w:r>
    </w:p>
    <w:p w14:paraId="1C12AF70" w14:textId="2335B180" w:rsidR="001A289F" w:rsidRPr="005874B2" w:rsidRDefault="00C61C09" w:rsidP="004F368C">
      <w:pPr>
        <w:numPr>
          <w:ilvl w:val="1"/>
          <w:numId w:val="24"/>
        </w:numPr>
        <w:tabs>
          <w:tab w:val="left" w:pos="993"/>
        </w:tabs>
        <w:ind w:left="0" w:firstLine="567"/>
        <w:contextualSpacing/>
        <w:jc w:val="both"/>
        <w:rPr>
          <w:rFonts w:eastAsiaTheme="minorHAnsi"/>
          <w:sz w:val="20"/>
          <w:szCs w:val="20"/>
        </w:rPr>
      </w:pPr>
      <w:r w:rsidRPr="005874B2">
        <w:rPr>
          <w:rFonts w:eastAsiaTheme="minorHAnsi"/>
          <w:sz w:val="20"/>
          <w:szCs w:val="20"/>
        </w:rPr>
        <w:t xml:space="preserve">Jeigu </w:t>
      </w:r>
      <w:r w:rsidR="008404D9" w:rsidRPr="005874B2">
        <w:rPr>
          <w:rFonts w:eastAsiaTheme="minorHAnsi"/>
          <w:sz w:val="20"/>
          <w:szCs w:val="20"/>
        </w:rPr>
        <w:t>Tiekėjas pristato Sutarties reikalavimų neatitinkančias Prekes, Pirkėjas turi teisę nepriimti Prekių ir reikalauti pakeisti Prekes tinkamomis. Jei Prekių trūkumai paaiškėja Pirkėjui priėmus Prekes</w:t>
      </w:r>
      <w:r w:rsidR="008060AA" w:rsidRPr="005874B2">
        <w:rPr>
          <w:rFonts w:eastAsiaTheme="minorHAnsi"/>
          <w:sz w:val="20"/>
          <w:szCs w:val="20"/>
        </w:rPr>
        <w:t xml:space="preserve"> (pvz., tais atvejais, kai Prekių  priėmimo metu jų tinkamumo nėra įmanoma įvertinti vizualiai ir/ar nepažeidus Prekių pakuotės (pvz. pristatoma sugedusi varškė ar prarūgęs pienas</w:t>
      </w:r>
      <w:r w:rsidR="00FF3B5E" w:rsidRPr="005874B2">
        <w:rPr>
          <w:rFonts w:eastAsiaTheme="minorHAnsi"/>
          <w:sz w:val="20"/>
          <w:szCs w:val="20"/>
        </w:rPr>
        <w:t>, pašvinkusi mėsa</w:t>
      </w:r>
      <w:r w:rsidR="008060AA" w:rsidRPr="005874B2">
        <w:rPr>
          <w:rFonts w:eastAsiaTheme="minorHAnsi"/>
          <w:sz w:val="20"/>
          <w:szCs w:val="20"/>
        </w:rPr>
        <w:t xml:space="preserve"> ir kt.)</w:t>
      </w:r>
      <w:r w:rsidR="008404D9" w:rsidRPr="005874B2">
        <w:rPr>
          <w:rFonts w:eastAsiaTheme="minorHAnsi"/>
          <w:sz w:val="20"/>
          <w:szCs w:val="20"/>
        </w:rPr>
        <w:t xml:space="preserve">, Pirkėjas turi teisę nemokėti už Prekes, o jei sumokėjo, </w:t>
      </w:r>
      <w:r w:rsidR="00F73813" w:rsidRPr="005874B2">
        <w:rPr>
          <w:rFonts w:eastAsiaTheme="minorHAnsi"/>
          <w:sz w:val="20"/>
          <w:szCs w:val="20"/>
        </w:rPr>
        <w:t xml:space="preserve">reikalauti </w:t>
      </w:r>
      <w:r w:rsidR="008404D9" w:rsidRPr="005874B2">
        <w:rPr>
          <w:rFonts w:eastAsiaTheme="minorHAnsi"/>
          <w:sz w:val="20"/>
          <w:szCs w:val="20"/>
        </w:rPr>
        <w:t>grąžinti pinigus. Jeigu Šalys konkrečiu atveju nesusitarė kitaip, netinkamos Prekės tink</w:t>
      </w:r>
      <w:r w:rsidR="008060AA" w:rsidRPr="005874B2">
        <w:rPr>
          <w:rFonts w:eastAsiaTheme="minorHAnsi"/>
          <w:sz w:val="20"/>
          <w:szCs w:val="20"/>
        </w:rPr>
        <w:t>amomis turi būti pakeistos per 1 (vieną) darbo dieną</w:t>
      </w:r>
      <w:r w:rsidR="00774AF9" w:rsidRPr="005874B2">
        <w:rPr>
          <w:rFonts w:eastAsiaTheme="minorHAnsi"/>
          <w:sz w:val="20"/>
          <w:szCs w:val="20"/>
        </w:rPr>
        <w:t>, o pieno produktai</w:t>
      </w:r>
      <w:r w:rsidR="0088559A" w:rsidRPr="005874B2">
        <w:rPr>
          <w:rFonts w:eastAsiaTheme="minorHAnsi"/>
          <w:sz w:val="20"/>
          <w:szCs w:val="20"/>
        </w:rPr>
        <w:t>,</w:t>
      </w:r>
      <w:r w:rsidR="00774AF9" w:rsidRPr="005874B2">
        <w:rPr>
          <w:rFonts w:eastAsiaTheme="minorHAnsi"/>
          <w:sz w:val="20"/>
          <w:szCs w:val="20"/>
        </w:rPr>
        <w:t xml:space="preserve"> mėsa ir jos gaminiai</w:t>
      </w:r>
      <w:r w:rsidR="0088559A" w:rsidRPr="005874B2">
        <w:rPr>
          <w:rFonts w:eastAsiaTheme="minorHAnsi"/>
          <w:sz w:val="20"/>
          <w:szCs w:val="20"/>
        </w:rPr>
        <w:t>, duonos gaminiai ir bandelės</w:t>
      </w:r>
      <w:r w:rsidR="00774AF9" w:rsidRPr="005874B2">
        <w:rPr>
          <w:rFonts w:eastAsiaTheme="minorHAnsi"/>
          <w:sz w:val="20"/>
          <w:szCs w:val="20"/>
        </w:rPr>
        <w:t xml:space="preserve"> – per </w:t>
      </w:r>
      <w:r w:rsidR="0088559A" w:rsidRPr="005874B2">
        <w:rPr>
          <w:rFonts w:eastAsiaTheme="minorHAnsi"/>
          <w:sz w:val="20"/>
          <w:szCs w:val="20"/>
        </w:rPr>
        <w:t>3</w:t>
      </w:r>
      <w:r w:rsidR="00774AF9" w:rsidRPr="005874B2">
        <w:rPr>
          <w:rFonts w:eastAsiaTheme="minorHAnsi"/>
          <w:sz w:val="20"/>
          <w:szCs w:val="20"/>
        </w:rPr>
        <w:t xml:space="preserve"> (</w:t>
      </w:r>
      <w:r w:rsidR="0088559A" w:rsidRPr="005874B2">
        <w:rPr>
          <w:rFonts w:eastAsiaTheme="minorHAnsi"/>
          <w:sz w:val="20"/>
          <w:szCs w:val="20"/>
        </w:rPr>
        <w:t>tris</w:t>
      </w:r>
      <w:r w:rsidR="00774AF9" w:rsidRPr="005874B2">
        <w:rPr>
          <w:rFonts w:eastAsiaTheme="minorHAnsi"/>
          <w:sz w:val="20"/>
          <w:szCs w:val="20"/>
        </w:rPr>
        <w:t>) valandas nuo Tiekėjo informavimo</w:t>
      </w:r>
      <w:r w:rsidR="00165D26" w:rsidRPr="005874B2">
        <w:rPr>
          <w:rFonts w:eastAsiaTheme="minorHAnsi"/>
          <w:sz w:val="20"/>
          <w:szCs w:val="20"/>
        </w:rPr>
        <w:t xml:space="preserve"> apie nustatytus Prekių trūkumus</w:t>
      </w:r>
      <w:r w:rsidR="00774AF9" w:rsidRPr="005874B2">
        <w:rPr>
          <w:rFonts w:eastAsiaTheme="minorHAnsi"/>
          <w:sz w:val="20"/>
          <w:szCs w:val="20"/>
        </w:rPr>
        <w:t xml:space="preserve">. </w:t>
      </w:r>
      <w:r w:rsidR="008404D9" w:rsidRPr="005874B2">
        <w:rPr>
          <w:rFonts w:eastAsiaTheme="minorHAnsi"/>
          <w:sz w:val="20"/>
          <w:szCs w:val="20"/>
        </w:rPr>
        <w:t xml:space="preserve">Netinkamas Prekes Tiekėjas turi </w:t>
      </w:r>
      <w:r w:rsidR="00774AF9" w:rsidRPr="005874B2">
        <w:rPr>
          <w:rFonts w:eastAsiaTheme="minorHAnsi"/>
          <w:sz w:val="20"/>
          <w:szCs w:val="20"/>
        </w:rPr>
        <w:t>pakeisti savo sąskaita</w:t>
      </w:r>
      <w:r w:rsidR="008404D9" w:rsidRPr="005874B2">
        <w:rPr>
          <w:rFonts w:eastAsiaTheme="minorHAnsi"/>
          <w:sz w:val="20"/>
          <w:szCs w:val="20"/>
        </w:rPr>
        <w:t xml:space="preserve">. </w:t>
      </w:r>
    </w:p>
    <w:p w14:paraId="1DCCE238" w14:textId="1140ED25" w:rsidR="00C61C09" w:rsidRPr="005874B2" w:rsidRDefault="00C61C09" w:rsidP="00C61C09">
      <w:pPr>
        <w:numPr>
          <w:ilvl w:val="1"/>
          <w:numId w:val="24"/>
        </w:numPr>
        <w:tabs>
          <w:tab w:val="left" w:pos="993"/>
        </w:tabs>
        <w:ind w:left="0" w:firstLine="567"/>
        <w:contextualSpacing/>
        <w:jc w:val="both"/>
        <w:rPr>
          <w:rFonts w:eastAsiaTheme="minorHAnsi"/>
          <w:sz w:val="20"/>
          <w:szCs w:val="20"/>
        </w:rPr>
      </w:pPr>
      <w:r w:rsidRPr="005874B2">
        <w:rPr>
          <w:rFonts w:eastAsiaTheme="minorHAnsi"/>
          <w:sz w:val="20"/>
          <w:szCs w:val="20"/>
        </w:rPr>
        <w:t>Jeigu Tiekėjas nepristato dalies ar visų užsakyme nurodytų Prekių, trūkst</w:t>
      </w:r>
      <w:r w:rsidR="00CB4519" w:rsidRPr="005874B2">
        <w:rPr>
          <w:rFonts w:eastAsiaTheme="minorHAnsi"/>
          <w:sz w:val="20"/>
          <w:szCs w:val="20"/>
        </w:rPr>
        <w:t xml:space="preserve">amas Prekes Tiekėjas turi pristatyti per </w:t>
      </w:r>
      <w:r w:rsidR="0088559A" w:rsidRPr="005874B2">
        <w:rPr>
          <w:rFonts w:eastAsiaTheme="minorHAnsi"/>
          <w:sz w:val="20"/>
          <w:szCs w:val="20"/>
        </w:rPr>
        <w:t>3</w:t>
      </w:r>
      <w:r w:rsidR="00CB4519" w:rsidRPr="005874B2">
        <w:rPr>
          <w:rFonts w:eastAsiaTheme="minorHAnsi"/>
          <w:sz w:val="20"/>
          <w:szCs w:val="20"/>
        </w:rPr>
        <w:t xml:space="preserve"> (</w:t>
      </w:r>
      <w:r w:rsidR="0088559A" w:rsidRPr="005874B2">
        <w:rPr>
          <w:rFonts w:eastAsiaTheme="minorHAnsi"/>
          <w:sz w:val="20"/>
          <w:szCs w:val="20"/>
        </w:rPr>
        <w:t>tris</w:t>
      </w:r>
      <w:r w:rsidR="00CB4519" w:rsidRPr="005874B2">
        <w:rPr>
          <w:rFonts w:eastAsiaTheme="minorHAnsi"/>
          <w:sz w:val="20"/>
          <w:szCs w:val="20"/>
        </w:rPr>
        <w:t>) valandas nuo Tiekėjo informavimo apie nustatytą Prekių trūkumą, jeigu konkrečiu atveju Šalys nesusitarė kitaip.</w:t>
      </w:r>
      <w:r w:rsidR="00250649" w:rsidRPr="005874B2">
        <w:rPr>
          <w:rFonts w:eastAsiaTheme="minorHAnsi"/>
          <w:sz w:val="20"/>
          <w:szCs w:val="20"/>
        </w:rPr>
        <w:t xml:space="preserve"> Šis reikalavimas taikomas ir tuo atveju, jei atšildžius Prekes paaiškėja, kad pristatytas ne visas užsakytas Prekių kiekis.</w:t>
      </w:r>
    </w:p>
    <w:p w14:paraId="3B8AA637" w14:textId="525305A3" w:rsidR="008404D9" w:rsidRPr="005874B2" w:rsidRDefault="00774AF9" w:rsidP="00774AF9">
      <w:pPr>
        <w:numPr>
          <w:ilvl w:val="1"/>
          <w:numId w:val="24"/>
        </w:numPr>
        <w:tabs>
          <w:tab w:val="left" w:pos="993"/>
        </w:tabs>
        <w:ind w:left="0" w:firstLine="567"/>
        <w:contextualSpacing/>
        <w:jc w:val="both"/>
        <w:rPr>
          <w:rFonts w:eastAsiaTheme="minorHAnsi"/>
          <w:sz w:val="20"/>
          <w:szCs w:val="20"/>
        </w:rPr>
      </w:pPr>
      <w:r w:rsidRPr="005874B2">
        <w:rPr>
          <w:rFonts w:eastAsiaTheme="minorHAnsi"/>
          <w:sz w:val="20"/>
          <w:szCs w:val="20"/>
        </w:rPr>
        <w:t xml:space="preserve">Kadangi </w:t>
      </w:r>
      <w:r w:rsidR="008404D9" w:rsidRPr="005874B2">
        <w:rPr>
          <w:rFonts w:eastAsiaTheme="minorHAnsi"/>
          <w:sz w:val="20"/>
          <w:szCs w:val="20"/>
        </w:rPr>
        <w:t>Tiekėjo kvalifikacija dėl teisės verstis atitinkama veikla nebuvo tikrinama, Tiekėjas Pirkėjui įsipareigoja, kad Sutartį vykdys tik tokią teisę turintys asmenys.</w:t>
      </w:r>
    </w:p>
    <w:p w14:paraId="241036FF" w14:textId="77777777" w:rsidR="00C03A12" w:rsidRPr="005874B2" w:rsidRDefault="00C03A12" w:rsidP="00C03A12">
      <w:pPr>
        <w:pStyle w:val="ListParagraph"/>
        <w:tabs>
          <w:tab w:val="left" w:pos="851"/>
          <w:tab w:val="left" w:pos="1134"/>
        </w:tabs>
        <w:overflowPunct w:val="0"/>
        <w:autoSpaceDE w:val="0"/>
        <w:autoSpaceDN w:val="0"/>
        <w:adjustRightInd w:val="0"/>
        <w:ind w:left="567"/>
        <w:jc w:val="both"/>
        <w:rPr>
          <w:rFonts w:eastAsiaTheme="minorHAnsi"/>
          <w:sz w:val="20"/>
          <w:szCs w:val="20"/>
        </w:rPr>
      </w:pPr>
    </w:p>
    <w:p w14:paraId="0B702688" w14:textId="77777777" w:rsidR="008404D9" w:rsidRPr="005874B2" w:rsidRDefault="008404D9" w:rsidP="008404D9">
      <w:pPr>
        <w:numPr>
          <w:ilvl w:val="0"/>
          <w:numId w:val="24"/>
        </w:numPr>
        <w:tabs>
          <w:tab w:val="left" w:pos="851"/>
        </w:tabs>
        <w:ind w:left="0" w:firstLine="567"/>
        <w:contextualSpacing/>
        <w:rPr>
          <w:rFonts w:eastAsiaTheme="minorHAnsi"/>
          <w:b/>
          <w:sz w:val="20"/>
          <w:szCs w:val="20"/>
        </w:rPr>
      </w:pPr>
      <w:r w:rsidRPr="005874B2">
        <w:rPr>
          <w:rFonts w:eastAsiaTheme="minorHAnsi"/>
          <w:b/>
          <w:sz w:val="20"/>
          <w:szCs w:val="20"/>
        </w:rPr>
        <w:t>Kainodaros taisyklės, atsiskaitymų ir mokėjimų tvarka</w:t>
      </w:r>
    </w:p>
    <w:p w14:paraId="06E82A58" w14:textId="781F3B25" w:rsidR="00C466B4" w:rsidRPr="005874B2" w:rsidRDefault="00C466B4" w:rsidP="00C466B4">
      <w:pPr>
        <w:pStyle w:val="ListParagraph"/>
        <w:numPr>
          <w:ilvl w:val="1"/>
          <w:numId w:val="24"/>
        </w:numPr>
        <w:tabs>
          <w:tab w:val="left" w:pos="900"/>
        </w:tabs>
        <w:ind w:left="0" w:firstLine="540"/>
        <w:jc w:val="both"/>
        <w:rPr>
          <w:sz w:val="20"/>
          <w:szCs w:val="20"/>
        </w:rPr>
      </w:pPr>
      <w:r w:rsidRPr="005874B2">
        <w:rPr>
          <w:sz w:val="20"/>
          <w:szCs w:val="20"/>
        </w:rPr>
        <w:t>Vadovaujantis Kainodaros taisyklių nustatymo metodikos, patvirtintos Viešųjų pirkimų tarnybos direktoriaus 2017 m. birželio 28 d. įsakymu Nr. 1S-95 „Dėl kainodaros taisyklių nustatymo metodikos patvirtinimo“, 17.1 p. ir 23 p., naudojamas fiksuoto įkainio su peržiūra Sutarties kainos apskaičiavimo būdas.</w:t>
      </w:r>
    </w:p>
    <w:p w14:paraId="6882E37B" w14:textId="1B8D656B" w:rsidR="008404D9" w:rsidRPr="002D21E7" w:rsidRDefault="008404D9" w:rsidP="008404D9">
      <w:pPr>
        <w:pStyle w:val="ListParagraph"/>
        <w:numPr>
          <w:ilvl w:val="1"/>
          <w:numId w:val="24"/>
        </w:numPr>
        <w:tabs>
          <w:tab w:val="left" w:pos="993"/>
        </w:tabs>
        <w:overflowPunct w:val="0"/>
        <w:autoSpaceDE w:val="0"/>
        <w:autoSpaceDN w:val="0"/>
        <w:adjustRightInd w:val="0"/>
        <w:ind w:left="0" w:firstLine="567"/>
        <w:jc w:val="both"/>
        <w:rPr>
          <w:sz w:val="20"/>
          <w:szCs w:val="20"/>
        </w:rPr>
      </w:pPr>
      <w:r w:rsidRPr="002D21E7">
        <w:rPr>
          <w:sz w:val="20"/>
          <w:szCs w:val="20"/>
        </w:rPr>
        <w:t xml:space="preserve">Sutarties vertė </w:t>
      </w:r>
      <w:r w:rsidR="00466014" w:rsidRPr="002D21E7">
        <w:rPr>
          <w:sz w:val="20"/>
          <w:szCs w:val="20"/>
        </w:rPr>
        <w:t xml:space="preserve"> </w:t>
      </w:r>
      <w:r w:rsidR="002D21E7" w:rsidRPr="002D21E7">
        <w:rPr>
          <w:sz w:val="20"/>
          <w:szCs w:val="20"/>
        </w:rPr>
        <w:t>24.385,13</w:t>
      </w:r>
      <w:r w:rsidR="00466014" w:rsidRPr="002D21E7">
        <w:rPr>
          <w:sz w:val="20"/>
          <w:szCs w:val="20"/>
        </w:rPr>
        <w:t xml:space="preserve"> </w:t>
      </w:r>
      <w:r w:rsidRPr="002D21E7">
        <w:rPr>
          <w:sz w:val="20"/>
          <w:szCs w:val="20"/>
        </w:rPr>
        <w:t>Eur (</w:t>
      </w:r>
      <w:r w:rsidR="002D21E7" w:rsidRPr="002D21E7">
        <w:rPr>
          <w:i/>
          <w:sz w:val="20"/>
          <w:szCs w:val="20"/>
        </w:rPr>
        <w:t>dvidešimt keturi tūkstančiai trys šimtai aštuoniasdešimt penki eurai, 13 ct</w:t>
      </w:r>
      <w:r w:rsidR="00774AF9" w:rsidRPr="002D21E7">
        <w:rPr>
          <w:sz w:val="20"/>
          <w:szCs w:val="20"/>
        </w:rPr>
        <w:t xml:space="preserve">) be PVM, </w:t>
      </w:r>
      <w:r w:rsidR="002D21E7" w:rsidRPr="002D21E7">
        <w:rPr>
          <w:sz w:val="20"/>
          <w:szCs w:val="20"/>
        </w:rPr>
        <w:t>29.506,00</w:t>
      </w:r>
      <w:r w:rsidR="00774AF9" w:rsidRPr="002D21E7">
        <w:rPr>
          <w:sz w:val="20"/>
          <w:szCs w:val="20"/>
        </w:rPr>
        <w:t xml:space="preserve"> Eur (</w:t>
      </w:r>
      <w:r w:rsidR="002D21E7" w:rsidRPr="002D21E7">
        <w:rPr>
          <w:i/>
          <w:sz w:val="20"/>
          <w:szCs w:val="20"/>
        </w:rPr>
        <w:t>dvidešimt devyni tūkstančiai penki šimtai šeši eurai, 00 ct</w:t>
      </w:r>
      <w:r w:rsidR="00774AF9" w:rsidRPr="002D21E7">
        <w:rPr>
          <w:sz w:val="20"/>
          <w:szCs w:val="20"/>
        </w:rPr>
        <w:t>) su PVM.</w:t>
      </w:r>
    </w:p>
    <w:p w14:paraId="005DC8BE" w14:textId="77777777" w:rsidR="008404D9" w:rsidRPr="005874B2" w:rsidRDefault="008404D9" w:rsidP="008404D9">
      <w:pPr>
        <w:pStyle w:val="ListParagraph"/>
        <w:numPr>
          <w:ilvl w:val="1"/>
          <w:numId w:val="24"/>
        </w:numPr>
        <w:tabs>
          <w:tab w:val="left" w:pos="993"/>
        </w:tabs>
        <w:overflowPunct w:val="0"/>
        <w:autoSpaceDE w:val="0"/>
        <w:autoSpaceDN w:val="0"/>
        <w:adjustRightInd w:val="0"/>
        <w:ind w:left="0" w:firstLine="567"/>
        <w:jc w:val="both"/>
        <w:rPr>
          <w:sz w:val="20"/>
          <w:szCs w:val="20"/>
        </w:rPr>
      </w:pPr>
      <w:r w:rsidRPr="005874B2">
        <w:rPr>
          <w:sz w:val="20"/>
          <w:szCs w:val="20"/>
        </w:rPr>
        <w:t>Su Tiekėju atsiskaitoma už faktiškai pristatytas Prekes taikant Sutarties 1 priede nurodytus Prekių įkainius.</w:t>
      </w:r>
    </w:p>
    <w:p w14:paraId="28EAD972" w14:textId="77777777" w:rsidR="008404D9" w:rsidRPr="005874B2" w:rsidRDefault="008404D9" w:rsidP="008404D9">
      <w:pPr>
        <w:pStyle w:val="ListParagraph"/>
        <w:numPr>
          <w:ilvl w:val="1"/>
          <w:numId w:val="24"/>
        </w:numPr>
        <w:tabs>
          <w:tab w:val="left" w:pos="993"/>
        </w:tabs>
        <w:overflowPunct w:val="0"/>
        <w:autoSpaceDE w:val="0"/>
        <w:autoSpaceDN w:val="0"/>
        <w:adjustRightInd w:val="0"/>
        <w:ind w:left="0" w:firstLine="567"/>
        <w:jc w:val="both"/>
        <w:rPr>
          <w:sz w:val="20"/>
          <w:szCs w:val="20"/>
        </w:rPr>
      </w:pPr>
      <w:r w:rsidRPr="005874B2">
        <w:rPr>
          <w:sz w:val="20"/>
          <w:szCs w:val="20"/>
        </w:rPr>
        <w:t xml:space="preserve">Į Prekių įkainius yra įskaičiuoti visi mokesčiai ir visos Tiekėjo išlaidos, būtinos tinkamam Sutarties įvykdymui (Prekių pristatymo ir kt.), išskyrus PVM. </w:t>
      </w:r>
      <w:r w:rsidRPr="005874B2">
        <w:rPr>
          <w:rFonts w:eastAsiaTheme="minorHAnsi"/>
          <w:sz w:val="20"/>
          <w:szCs w:val="20"/>
        </w:rPr>
        <w:t>Atsiskaitant už Prekes taikomas tuo metu Prekėms galiojantis Lietuvos Respublikos teisės aktais nustatytas PVM tarifas. Atskiras Šalių susitarimas prie Sutarties, pasikeitus PVM tarifui, nereikalingas.</w:t>
      </w:r>
    </w:p>
    <w:p w14:paraId="54A4BBA3" w14:textId="77777777" w:rsidR="008404D9" w:rsidRPr="005874B2" w:rsidRDefault="008404D9" w:rsidP="008404D9">
      <w:pPr>
        <w:pStyle w:val="ListParagraph"/>
        <w:numPr>
          <w:ilvl w:val="1"/>
          <w:numId w:val="24"/>
        </w:numPr>
        <w:tabs>
          <w:tab w:val="left" w:pos="993"/>
        </w:tabs>
        <w:overflowPunct w:val="0"/>
        <w:autoSpaceDE w:val="0"/>
        <w:autoSpaceDN w:val="0"/>
        <w:adjustRightInd w:val="0"/>
        <w:ind w:left="0" w:firstLine="567"/>
        <w:jc w:val="both"/>
        <w:rPr>
          <w:rFonts w:eastAsiaTheme="minorHAnsi"/>
          <w:sz w:val="20"/>
          <w:szCs w:val="20"/>
        </w:rPr>
      </w:pPr>
      <w:r w:rsidRPr="005874B2">
        <w:rPr>
          <w:rFonts w:eastAsiaTheme="minorHAnsi"/>
          <w:sz w:val="20"/>
          <w:szCs w:val="20"/>
        </w:rPr>
        <w:t>Sutartyje nustatyti Prekių įkainiai (be PVM) nebus keičiami per visą Sutarties galiojimo laikotarpį.</w:t>
      </w:r>
    </w:p>
    <w:p w14:paraId="4EBF408B" w14:textId="77777777" w:rsidR="008404D9" w:rsidRPr="005874B2" w:rsidRDefault="008404D9" w:rsidP="008404D9">
      <w:pPr>
        <w:pStyle w:val="ListParagraph"/>
        <w:numPr>
          <w:ilvl w:val="1"/>
          <w:numId w:val="24"/>
        </w:numPr>
        <w:tabs>
          <w:tab w:val="left" w:pos="709"/>
          <w:tab w:val="left" w:pos="993"/>
        </w:tabs>
        <w:ind w:left="0" w:right="4" w:firstLine="567"/>
        <w:jc w:val="both"/>
        <w:rPr>
          <w:color w:val="000000"/>
          <w:sz w:val="20"/>
          <w:szCs w:val="20"/>
        </w:rPr>
      </w:pPr>
      <w:r w:rsidRPr="005874B2">
        <w:rPr>
          <w:rFonts w:eastAsia="Calibri"/>
          <w:sz w:val="20"/>
          <w:szCs w:val="20"/>
        </w:rPr>
        <w:t xml:space="preserve">Su Tiekėju atsiskaitoma per 30 (trisdešimt) kalendorinių dienų nuo sąskaitos – faktūros už Pirkėjui laiku pristatytas tinkamas Prekes pateikimo dienos. </w:t>
      </w:r>
    </w:p>
    <w:p w14:paraId="1A1BF6A8" w14:textId="77777777" w:rsidR="008404D9" w:rsidRPr="005874B2" w:rsidRDefault="008404D9" w:rsidP="008404D9">
      <w:pPr>
        <w:pStyle w:val="ListParagraph"/>
        <w:numPr>
          <w:ilvl w:val="1"/>
          <w:numId w:val="24"/>
        </w:numPr>
        <w:tabs>
          <w:tab w:val="left" w:pos="709"/>
          <w:tab w:val="left" w:pos="993"/>
        </w:tabs>
        <w:ind w:left="0" w:right="4" w:firstLine="567"/>
        <w:jc w:val="both"/>
        <w:rPr>
          <w:color w:val="000000"/>
          <w:sz w:val="20"/>
          <w:szCs w:val="20"/>
        </w:rPr>
      </w:pPr>
      <w:r w:rsidRPr="005874B2">
        <w:rPr>
          <w:rFonts w:eastAsia="Calibri"/>
          <w:color w:val="000000"/>
          <w:sz w:val="20"/>
          <w:szCs w:val="20"/>
        </w:rPr>
        <w:t>Vykdant Sutartį, visi atsiskaitymo dokumentai turi būti teikiami naudojant informacinę sistemą „E. sąskaita“. Išlaidas, susijusias su atsiskaitymo dokumentų pateikimu per informacinę sistemą „E. sąskaita“, apmoka Tiekėjas.</w:t>
      </w:r>
    </w:p>
    <w:p w14:paraId="3DD23C8F" w14:textId="77777777" w:rsidR="008404D9" w:rsidRPr="005874B2" w:rsidRDefault="008404D9" w:rsidP="008404D9">
      <w:pPr>
        <w:pStyle w:val="ListParagraph"/>
        <w:numPr>
          <w:ilvl w:val="1"/>
          <w:numId w:val="24"/>
        </w:numPr>
        <w:tabs>
          <w:tab w:val="left" w:pos="709"/>
          <w:tab w:val="left" w:pos="993"/>
        </w:tabs>
        <w:ind w:left="0" w:right="4" w:firstLine="567"/>
        <w:jc w:val="both"/>
        <w:rPr>
          <w:color w:val="000000"/>
          <w:sz w:val="20"/>
          <w:szCs w:val="20"/>
        </w:rPr>
      </w:pPr>
      <w:r w:rsidRPr="005874B2">
        <w:rPr>
          <w:sz w:val="20"/>
          <w:szCs w:val="20"/>
        </w:rPr>
        <w:t xml:space="preserve">Atsiskaitoma eurais, mokėjimo pavedimu į Tiekėjo Sutartyje nurodytą sąskaitą. Mokėjimas laikomas įvykdytu, kai pinigai patenka į Tiekėjo Sutartyje nurodytą sąskaitą. </w:t>
      </w:r>
    </w:p>
    <w:p w14:paraId="456A1643" w14:textId="7623F199" w:rsidR="008404D9" w:rsidRPr="005874B2" w:rsidRDefault="008404D9" w:rsidP="008404D9">
      <w:pPr>
        <w:pStyle w:val="ListParagraph"/>
        <w:numPr>
          <w:ilvl w:val="1"/>
          <w:numId w:val="24"/>
        </w:numPr>
        <w:tabs>
          <w:tab w:val="left" w:pos="993"/>
        </w:tabs>
        <w:overflowPunct w:val="0"/>
        <w:autoSpaceDE w:val="0"/>
        <w:autoSpaceDN w:val="0"/>
        <w:adjustRightInd w:val="0"/>
        <w:ind w:left="0" w:firstLine="567"/>
        <w:jc w:val="both"/>
        <w:rPr>
          <w:sz w:val="20"/>
          <w:szCs w:val="20"/>
        </w:rPr>
      </w:pPr>
      <w:r w:rsidRPr="005874B2">
        <w:rPr>
          <w:color w:val="000000"/>
          <w:sz w:val="20"/>
          <w:szCs w:val="20"/>
        </w:rPr>
        <w:t>Pirkėjas numato tiesioginio atsiskaitymo su subtiekėjais galimybę, vadovaujantis šiame punkte nustatyta tvarka. Pirkėjas ne vėliau kaip per 3 d</w:t>
      </w:r>
      <w:r w:rsidR="00277FDA" w:rsidRPr="005874B2">
        <w:rPr>
          <w:color w:val="000000"/>
          <w:sz w:val="20"/>
          <w:szCs w:val="20"/>
        </w:rPr>
        <w:t xml:space="preserve">arbo dienas nuo šios Sutarties </w:t>
      </w:r>
      <w:r w:rsidR="00277FDA" w:rsidRPr="005874B2">
        <w:rPr>
          <w:sz w:val="20"/>
          <w:szCs w:val="20"/>
        </w:rPr>
        <w:t>9</w:t>
      </w:r>
      <w:r w:rsidRPr="005874B2">
        <w:rPr>
          <w:sz w:val="20"/>
          <w:szCs w:val="20"/>
        </w:rPr>
        <w:t>.2 punkte nurodytos informacijos gavimo raštu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kurioje aprašoma tiesioginio atsiskaitymo su subtiekėju tvarka, kurioje numatoma teisė Tiekėjui prieštarauti nepagrįstiems mokėjimams subtiekėjui.</w:t>
      </w:r>
    </w:p>
    <w:p w14:paraId="11E4D9CA" w14:textId="77777777" w:rsidR="008404D9" w:rsidRPr="005874B2" w:rsidRDefault="008404D9" w:rsidP="008404D9">
      <w:pPr>
        <w:jc w:val="both"/>
        <w:rPr>
          <w:rFonts w:eastAsiaTheme="minorHAnsi"/>
          <w:sz w:val="20"/>
          <w:szCs w:val="20"/>
        </w:rPr>
      </w:pPr>
    </w:p>
    <w:p w14:paraId="1383DEDF" w14:textId="77777777" w:rsidR="008404D9" w:rsidRPr="005874B2" w:rsidRDefault="008404D9" w:rsidP="000811D6">
      <w:pPr>
        <w:numPr>
          <w:ilvl w:val="0"/>
          <w:numId w:val="24"/>
        </w:numPr>
        <w:tabs>
          <w:tab w:val="left" w:pos="851"/>
        </w:tabs>
        <w:ind w:left="0" w:firstLine="567"/>
        <w:contextualSpacing/>
        <w:rPr>
          <w:rFonts w:eastAsiaTheme="minorHAnsi"/>
          <w:b/>
          <w:sz w:val="20"/>
          <w:szCs w:val="20"/>
        </w:rPr>
      </w:pPr>
      <w:r w:rsidRPr="005874B2">
        <w:rPr>
          <w:rFonts w:eastAsiaTheme="minorHAnsi"/>
          <w:b/>
          <w:sz w:val="20"/>
          <w:szCs w:val="20"/>
        </w:rPr>
        <w:t>Šalių atsakomybė</w:t>
      </w:r>
    </w:p>
    <w:p w14:paraId="38FEF8B1" w14:textId="2F5FC774" w:rsidR="00165D26" w:rsidRPr="005874B2" w:rsidRDefault="008404D9" w:rsidP="00B418ED">
      <w:pPr>
        <w:pStyle w:val="ListParagraph"/>
        <w:numPr>
          <w:ilvl w:val="1"/>
          <w:numId w:val="24"/>
        </w:numPr>
        <w:tabs>
          <w:tab w:val="left" w:pos="993"/>
        </w:tabs>
        <w:overflowPunct w:val="0"/>
        <w:autoSpaceDE w:val="0"/>
        <w:autoSpaceDN w:val="0"/>
        <w:adjustRightInd w:val="0"/>
        <w:ind w:left="0" w:firstLine="567"/>
        <w:jc w:val="both"/>
        <w:rPr>
          <w:rFonts w:eastAsiaTheme="minorHAnsi"/>
          <w:sz w:val="20"/>
          <w:szCs w:val="20"/>
        </w:rPr>
      </w:pPr>
      <w:r w:rsidRPr="005874B2">
        <w:rPr>
          <w:rFonts w:eastAsiaTheme="minorHAnsi"/>
          <w:sz w:val="20"/>
          <w:szCs w:val="20"/>
        </w:rPr>
        <w:t xml:space="preserve">Jei Tiekėjas </w:t>
      </w:r>
      <w:r w:rsidR="00165D26" w:rsidRPr="005874B2">
        <w:rPr>
          <w:rFonts w:eastAsiaTheme="minorHAnsi"/>
          <w:sz w:val="20"/>
          <w:szCs w:val="20"/>
        </w:rPr>
        <w:t>nevykdo ar netinkamai vykdo savo sutartinius įsipareigojimus</w:t>
      </w:r>
      <w:r w:rsidR="00C61C09" w:rsidRPr="005874B2">
        <w:rPr>
          <w:rFonts w:eastAsiaTheme="minorHAnsi"/>
          <w:sz w:val="20"/>
          <w:szCs w:val="20"/>
        </w:rPr>
        <w:t>, Pirkėjas turi teisę taikyti šias Sutarties įvykdymo užtikrinimo priemones:</w:t>
      </w:r>
    </w:p>
    <w:p w14:paraId="4D8688E5" w14:textId="1DF84AD8" w:rsidR="00BE3D20" w:rsidRPr="005874B2" w:rsidRDefault="00C61C09" w:rsidP="00B418ED">
      <w:pPr>
        <w:pStyle w:val="ListParagraph"/>
        <w:numPr>
          <w:ilvl w:val="2"/>
          <w:numId w:val="24"/>
        </w:numPr>
        <w:tabs>
          <w:tab w:val="left" w:pos="1134"/>
        </w:tabs>
        <w:overflowPunct w:val="0"/>
        <w:autoSpaceDE w:val="0"/>
        <w:autoSpaceDN w:val="0"/>
        <w:adjustRightInd w:val="0"/>
        <w:ind w:left="0" w:firstLine="567"/>
        <w:jc w:val="both"/>
        <w:rPr>
          <w:rFonts w:eastAsiaTheme="minorHAnsi"/>
          <w:sz w:val="20"/>
          <w:szCs w:val="20"/>
        </w:rPr>
      </w:pPr>
      <w:r w:rsidRPr="005874B2">
        <w:rPr>
          <w:rFonts w:eastAsiaTheme="minorHAnsi"/>
          <w:sz w:val="20"/>
          <w:szCs w:val="20"/>
        </w:rPr>
        <w:t>Jeigu Tiekėjas nepristato visų ar dalies užsakyme nurodytų Prekių,</w:t>
      </w:r>
      <w:r w:rsidR="00BE3D20" w:rsidRPr="005874B2">
        <w:rPr>
          <w:rFonts w:eastAsiaTheme="minorHAnsi"/>
          <w:sz w:val="20"/>
          <w:szCs w:val="20"/>
        </w:rPr>
        <w:t xml:space="preserve"> </w:t>
      </w:r>
      <w:r w:rsidR="0088559A" w:rsidRPr="005874B2">
        <w:rPr>
          <w:rFonts w:eastAsiaTheme="minorHAnsi"/>
          <w:sz w:val="20"/>
          <w:szCs w:val="20"/>
        </w:rPr>
        <w:t>ir/</w:t>
      </w:r>
      <w:r w:rsidR="00BE3D20" w:rsidRPr="005874B2">
        <w:rPr>
          <w:rFonts w:eastAsiaTheme="minorHAnsi"/>
          <w:sz w:val="20"/>
          <w:szCs w:val="20"/>
        </w:rPr>
        <w:t>ar pristato Sutarties reikalavimų neatitinkančias Prekes,</w:t>
      </w:r>
      <w:r w:rsidRPr="005874B2">
        <w:rPr>
          <w:rFonts w:eastAsiaTheme="minorHAnsi"/>
          <w:sz w:val="20"/>
          <w:szCs w:val="20"/>
        </w:rPr>
        <w:t xml:space="preserve"> Pirkėjas turi teisę taikyti 50 (penkiasdešimties) eurų baudą už kiekvieną tokį atvejį.</w:t>
      </w:r>
      <w:r w:rsidR="00BE3D20" w:rsidRPr="005874B2">
        <w:rPr>
          <w:rFonts w:eastAsiaTheme="minorHAnsi"/>
          <w:sz w:val="20"/>
          <w:szCs w:val="20"/>
        </w:rPr>
        <w:t xml:space="preserve"> Jeigu Tiekėjas nepristato trūkstamų Prekių </w:t>
      </w:r>
      <w:r w:rsidR="0088559A" w:rsidRPr="005874B2">
        <w:rPr>
          <w:rFonts w:eastAsiaTheme="minorHAnsi"/>
          <w:sz w:val="20"/>
          <w:szCs w:val="20"/>
        </w:rPr>
        <w:t>ir/</w:t>
      </w:r>
      <w:r w:rsidR="00BE3D20" w:rsidRPr="005874B2">
        <w:rPr>
          <w:rFonts w:eastAsiaTheme="minorHAnsi"/>
          <w:sz w:val="20"/>
          <w:szCs w:val="20"/>
        </w:rPr>
        <w:t xml:space="preserve">ar nepakeičia Prekių atitinkančiomis Sutarties reikalavimus per Sutartyje nustatytą terminą, Pirkėjas turi teisę vietoje 50 (penkiasdešimties) taikyti 100 (vieno šimto) eurų baudą už kiekvieną tokį atvejį. </w:t>
      </w:r>
    </w:p>
    <w:p w14:paraId="071C4A77" w14:textId="1FEF85A3" w:rsidR="00986772" w:rsidRPr="00C61C48" w:rsidRDefault="00986772" w:rsidP="00986772">
      <w:pPr>
        <w:pStyle w:val="ListParagraph"/>
        <w:tabs>
          <w:tab w:val="left" w:pos="1134"/>
        </w:tabs>
        <w:overflowPunct w:val="0"/>
        <w:autoSpaceDE w:val="0"/>
        <w:autoSpaceDN w:val="0"/>
        <w:adjustRightInd w:val="0"/>
        <w:ind w:left="0" w:firstLine="567"/>
        <w:jc w:val="both"/>
        <w:rPr>
          <w:rFonts w:eastAsiaTheme="minorHAnsi"/>
          <w:color w:val="000000" w:themeColor="text1"/>
          <w:sz w:val="20"/>
          <w:szCs w:val="20"/>
        </w:rPr>
      </w:pPr>
      <w:r w:rsidRPr="00C61C48">
        <w:rPr>
          <w:rFonts w:eastAsiaTheme="minorHAnsi"/>
          <w:color w:val="000000" w:themeColor="text1"/>
          <w:sz w:val="20"/>
          <w:szCs w:val="20"/>
        </w:rPr>
        <w:t>4.1.2.</w:t>
      </w:r>
      <w:r w:rsidRPr="00C61C48">
        <w:rPr>
          <w:rFonts w:eastAsiaTheme="minorHAnsi"/>
          <w:color w:val="000000" w:themeColor="text1"/>
          <w:sz w:val="20"/>
          <w:szCs w:val="20"/>
        </w:rPr>
        <w:tab/>
        <w:t>Jeigu Tiekėjas 3 (tris) kartus (nebūtinai iš eilės) nepristato visų ar dalies užsakyme nurodytų Prekių ir/ar pristato Sutarties reikalavimų neatitinkančias Prekes (atvejai, kada nepristatomos visos ar dalis Prekių, ir kada pristatomos netinkamos Prekės, sumuojami), nepriklausomai nuo to, ar per Sutartyje nustatytą ar Šalių sutartą terminą pristatė trūkstamas Prekes ar netinkamas Prekes pakeitė tinkamomis, Pirkėjas turi teisę vienašališkai nutraukti Sutartį ir taikyti 5 (</w:t>
      </w:r>
      <w:r w:rsidR="009F5AF5" w:rsidRPr="00C61C48">
        <w:rPr>
          <w:rFonts w:eastAsiaTheme="minorHAnsi"/>
          <w:color w:val="000000" w:themeColor="text1"/>
          <w:sz w:val="20"/>
          <w:szCs w:val="20"/>
        </w:rPr>
        <w:t>penkių</w:t>
      </w:r>
      <w:r w:rsidRPr="00C61C48">
        <w:rPr>
          <w:rFonts w:eastAsiaTheme="minorHAnsi"/>
          <w:color w:val="000000" w:themeColor="text1"/>
          <w:sz w:val="20"/>
          <w:szCs w:val="20"/>
        </w:rPr>
        <w:t>) proc. dydžio baudą nuo bendros Sutarties vertės su PVM.</w:t>
      </w:r>
    </w:p>
    <w:p w14:paraId="595BF9A3" w14:textId="62238117" w:rsidR="00277FDA" w:rsidRPr="005874B2" w:rsidRDefault="00277FDA" w:rsidP="00B418ED">
      <w:pPr>
        <w:pStyle w:val="ListParagraph"/>
        <w:tabs>
          <w:tab w:val="left" w:pos="1134"/>
        </w:tabs>
        <w:overflowPunct w:val="0"/>
        <w:autoSpaceDE w:val="0"/>
        <w:autoSpaceDN w:val="0"/>
        <w:adjustRightInd w:val="0"/>
        <w:ind w:left="0" w:firstLine="567"/>
        <w:jc w:val="both"/>
        <w:rPr>
          <w:rFonts w:eastAsiaTheme="minorHAnsi"/>
          <w:i/>
          <w:sz w:val="20"/>
          <w:szCs w:val="20"/>
        </w:rPr>
      </w:pPr>
      <w:r w:rsidRPr="005874B2">
        <w:rPr>
          <w:rFonts w:eastAsiaTheme="minorHAnsi"/>
          <w:i/>
          <w:sz w:val="20"/>
          <w:szCs w:val="20"/>
        </w:rPr>
        <w:t xml:space="preserve">Taikoma, kai </w:t>
      </w:r>
      <w:r w:rsidR="00990602" w:rsidRPr="005874B2">
        <w:rPr>
          <w:rFonts w:eastAsiaTheme="minorHAnsi"/>
          <w:i/>
          <w:sz w:val="20"/>
          <w:szCs w:val="20"/>
        </w:rPr>
        <w:t xml:space="preserve">bendra </w:t>
      </w:r>
      <w:r w:rsidRPr="005874B2">
        <w:rPr>
          <w:rFonts w:eastAsiaTheme="minorHAnsi"/>
          <w:i/>
          <w:sz w:val="20"/>
          <w:szCs w:val="20"/>
        </w:rPr>
        <w:t>Sutarti</w:t>
      </w:r>
      <w:r w:rsidR="00116F19" w:rsidRPr="005874B2">
        <w:rPr>
          <w:rFonts w:eastAsiaTheme="minorHAnsi"/>
          <w:i/>
          <w:sz w:val="20"/>
          <w:szCs w:val="20"/>
        </w:rPr>
        <w:t xml:space="preserve">es vertė </w:t>
      </w:r>
      <w:r w:rsidR="00412A19" w:rsidRPr="005874B2">
        <w:rPr>
          <w:rFonts w:eastAsiaTheme="minorHAnsi"/>
          <w:i/>
          <w:sz w:val="20"/>
          <w:szCs w:val="20"/>
        </w:rPr>
        <w:t xml:space="preserve">(Maisto produkto / produktų tiekimo dalies/dalių), </w:t>
      </w:r>
      <w:r w:rsidR="00116F19" w:rsidRPr="005874B2">
        <w:rPr>
          <w:rFonts w:eastAsiaTheme="minorHAnsi"/>
          <w:i/>
          <w:sz w:val="20"/>
          <w:szCs w:val="20"/>
        </w:rPr>
        <w:t>neviršija 3</w:t>
      </w:r>
      <w:r w:rsidRPr="005874B2">
        <w:rPr>
          <w:rFonts w:eastAsiaTheme="minorHAnsi"/>
          <w:i/>
          <w:sz w:val="20"/>
          <w:szCs w:val="20"/>
        </w:rPr>
        <w:t>0 000 (dešimt tūkstančių) eurų</w:t>
      </w:r>
      <w:r w:rsidR="00990602" w:rsidRPr="005874B2">
        <w:rPr>
          <w:rFonts w:eastAsiaTheme="minorHAnsi"/>
          <w:i/>
          <w:sz w:val="20"/>
          <w:szCs w:val="20"/>
        </w:rPr>
        <w:t xml:space="preserve"> be PVM</w:t>
      </w:r>
      <w:r w:rsidRPr="005874B2">
        <w:rPr>
          <w:rFonts w:eastAsiaTheme="minorHAnsi"/>
          <w:i/>
          <w:sz w:val="20"/>
          <w:szCs w:val="20"/>
        </w:rPr>
        <w:t>.</w:t>
      </w:r>
    </w:p>
    <w:p w14:paraId="098522D9" w14:textId="77777777" w:rsidR="00B418ED" w:rsidRPr="005874B2" w:rsidRDefault="00B418ED" w:rsidP="00B418ED">
      <w:pPr>
        <w:pStyle w:val="ListParagraph"/>
        <w:numPr>
          <w:ilvl w:val="2"/>
          <w:numId w:val="24"/>
        </w:numPr>
        <w:tabs>
          <w:tab w:val="left" w:pos="1134"/>
        </w:tabs>
        <w:overflowPunct w:val="0"/>
        <w:autoSpaceDE w:val="0"/>
        <w:autoSpaceDN w:val="0"/>
        <w:adjustRightInd w:val="0"/>
        <w:ind w:left="0" w:firstLine="567"/>
        <w:jc w:val="both"/>
        <w:rPr>
          <w:rFonts w:eastAsiaTheme="minorHAnsi"/>
          <w:i/>
          <w:sz w:val="20"/>
          <w:szCs w:val="20"/>
        </w:rPr>
      </w:pPr>
      <w:r w:rsidRPr="005874B2">
        <w:rPr>
          <w:rFonts w:eastAsiaTheme="minorHAnsi"/>
          <w:sz w:val="20"/>
          <w:szCs w:val="20"/>
        </w:rPr>
        <w:lastRenderedPageBreak/>
        <w:t xml:space="preserve">Jeigu Tiekėjas 3 (tris) kartus (nebūtinai iš eilės) nepristato visų ar dalies užsakyme nurodytų Prekių ir/ar pristato Sutarties reikalavimų neatitinkančias Prekes (atvejai, kada nepristatomos visos ar dalis Prekių, ir kada pristatomos netinkamos Prekės, sumuojami), nepriklausomai nuo to, ar per Sutartyje nustatytą ar Šalių sutartą terminą pristatė trūkstamas Prekes ar netinkamas Prekes pakeitė tinkamomis, Pirkėjas turi teisę vienašališkai nutraukti Sutartį ir pasinaudoti Sutarties įvykdymo užtikrinimu, numatytu Sutarties 5 straipsnyje. </w:t>
      </w:r>
    </w:p>
    <w:p w14:paraId="30F84CE0" w14:textId="2C065204" w:rsidR="00277FDA" w:rsidRPr="005874B2" w:rsidRDefault="00277FDA" w:rsidP="00B418ED">
      <w:pPr>
        <w:pStyle w:val="ListParagraph"/>
        <w:tabs>
          <w:tab w:val="left" w:pos="1134"/>
        </w:tabs>
        <w:overflowPunct w:val="0"/>
        <w:autoSpaceDE w:val="0"/>
        <w:autoSpaceDN w:val="0"/>
        <w:adjustRightInd w:val="0"/>
        <w:ind w:left="0" w:firstLine="567"/>
        <w:jc w:val="both"/>
        <w:rPr>
          <w:rFonts w:eastAsiaTheme="minorHAnsi"/>
          <w:i/>
          <w:sz w:val="20"/>
          <w:szCs w:val="20"/>
        </w:rPr>
      </w:pPr>
      <w:r w:rsidRPr="005874B2">
        <w:rPr>
          <w:rFonts w:eastAsiaTheme="minorHAnsi"/>
          <w:i/>
          <w:sz w:val="20"/>
          <w:szCs w:val="20"/>
        </w:rPr>
        <w:t xml:space="preserve">Taikoma, kai </w:t>
      </w:r>
      <w:r w:rsidR="00990602" w:rsidRPr="005874B2">
        <w:rPr>
          <w:rFonts w:eastAsiaTheme="minorHAnsi"/>
          <w:i/>
          <w:sz w:val="20"/>
          <w:szCs w:val="20"/>
        </w:rPr>
        <w:t xml:space="preserve">bendra </w:t>
      </w:r>
      <w:r w:rsidRPr="005874B2">
        <w:rPr>
          <w:rFonts w:eastAsiaTheme="minorHAnsi"/>
          <w:i/>
          <w:sz w:val="20"/>
          <w:szCs w:val="20"/>
        </w:rPr>
        <w:t>Sutar</w:t>
      </w:r>
      <w:r w:rsidR="00116F19" w:rsidRPr="005874B2">
        <w:rPr>
          <w:rFonts w:eastAsiaTheme="minorHAnsi"/>
          <w:i/>
          <w:sz w:val="20"/>
          <w:szCs w:val="20"/>
        </w:rPr>
        <w:t xml:space="preserve">ties vertė </w:t>
      </w:r>
      <w:r w:rsidR="00B418ED" w:rsidRPr="005874B2">
        <w:rPr>
          <w:rFonts w:eastAsiaTheme="minorHAnsi"/>
          <w:i/>
          <w:sz w:val="20"/>
          <w:szCs w:val="20"/>
        </w:rPr>
        <w:t xml:space="preserve">(Maisto produkto/produktų tiekimo dalies/dalių), </w:t>
      </w:r>
      <w:r w:rsidR="00116F19" w:rsidRPr="005874B2">
        <w:rPr>
          <w:rFonts w:eastAsiaTheme="minorHAnsi"/>
          <w:i/>
          <w:sz w:val="20"/>
          <w:szCs w:val="20"/>
        </w:rPr>
        <w:t>yra lygi ar viršija 3</w:t>
      </w:r>
      <w:r w:rsidRPr="005874B2">
        <w:rPr>
          <w:rFonts w:eastAsiaTheme="minorHAnsi"/>
          <w:i/>
          <w:sz w:val="20"/>
          <w:szCs w:val="20"/>
        </w:rPr>
        <w:t>0 000 (</w:t>
      </w:r>
      <w:r w:rsidR="00116F19" w:rsidRPr="005874B2">
        <w:rPr>
          <w:rFonts w:eastAsiaTheme="minorHAnsi"/>
          <w:i/>
          <w:sz w:val="20"/>
          <w:szCs w:val="20"/>
        </w:rPr>
        <w:t>trisdešimt</w:t>
      </w:r>
      <w:r w:rsidRPr="005874B2">
        <w:rPr>
          <w:rFonts w:eastAsiaTheme="minorHAnsi"/>
          <w:i/>
          <w:sz w:val="20"/>
          <w:szCs w:val="20"/>
        </w:rPr>
        <w:t xml:space="preserve"> tūkstančių) eurų</w:t>
      </w:r>
      <w:r w:rsidR="00990602" w:rsidRPr="005874B2">
        <w:rPr>
          <w:rFonts w:eastAsiaTheme="minorHAnsi"/>
          <w:i/>
          <w:sz w:val="20"/>
          <w:szCs w:val="20"/>
        </w:rPr>
        <w:t xml:space="preserve"> be PVM</w:t>
      </w:r>
      <w:r w:rsidRPr="005874B2">
        <w:rPr>
          <w:rFonts w:eastAsiaTheme="minorHAnsi"/>
          <w:i/>
          <w:sz w:val="20"/>
          <w:szCs w:val="20"/>
        </w:rPr>
        <w:t>.</w:t>
      </w:r>
    </w:p>
    <w:p w14:paraId="103E61AC" w14:textId="6DFD370D" w:rsidR="00DF6604" w:rsidRPr="005874B2" w:rsidRDefault="003671E0" w:rsidP="003671E0">
      <w:pPr>
        <w:pStyle w:val="ListParagraph"/>
        <w:numPr>
          <w:ilvl w:val="1"/>
          <w:numId w:val="24"/>
        </w:numPr>
        <w:tabs>
          <w:tab w:val="left" w:pos="993"/>
        </w:tabs>
        <w:overflowPunct w:val="0"/>
        <w:autoSpaceDE w:val="0"/>
        <w:autoSpaceDN w:val="0"/>
        <w:adjustRightInd w:val="0"/>
        <w:ind w:left="0" w:firstLine="567"/>
        <w:jc w:val="both"/>
        <w:rPr>
          <w:rFonts w:eastAsiaTheme="minorHAnsi"/>
          <w:sz w:val="20"/>
          <w:szCs w:val="20"/>
        </w:rPr>
      </w:pPr>
      <w:r w:rsidRPr="005874B2">
        <w:rPr>
          <w:rFonts w:eastAsiaTheme="minorHAnsi"/>
          <w:sz w:val="20"/>
          <w:szCs w:val="20"/>
        </w:rPr>
        <w:t>Pirkėjas turi teisę baudas išskaičiuoti iš Tiekėjui pagal Sutartį mokėtinų sumų.</w:t>
      </w:r>
    </w:p>
    <w:p w14:paraId="79718E5C" w14:textId="15A07192" w:rsidR="000D35BF" w:rsidRPr="005874B2" w:rsidRDefault="003671E0" w:rsidP="000D35BF">
      <w:pPr>
        <w:pStyle w:val="ListParagraph"/>
        <w:numPr>
          <w:ilvl w:val="1"/>
          <w:numId w:val="24"/>
        </w:numPr>
        <w:tabs>
          <w:tab w:val="left" w:pos="993"/>
        </w:tabs>
        <w:overflowPunct w:val="0"/>
        <w:autoSpaceDE w:val="0"/>
        <w:autoSpaceDN w:val="0"/>
        <w:adjustRightInd w:val="0"/>
        <w:ind w:left="0" w:firstLine="567"/>
        <w:jc w:val="both"/>
        <w:rPr>
          <w:rFonts w:eastAsiaTheme="minorHAnsi"/>
          <w:sz w:val="20"/>
          <w:szCs w:val="20"/>
        </w:rPr>
      </w:pPr>
      <w:r w:rsidRPr="005874B2">
        <w:rPr>
          <w:rFonts w:eastAsiaTheme="minorHAnsi"/>
          <w:sz w:val="20"/>
          <w:szCs w:val="20"/>
        </w:rPr>
        <w:t xml:space="preserve">Baudos (-ų) sumokėjimas </w:t>
      </w:r>
      <w:r w:rsidR="008404D9" w:rsidRPr="005874B2">
        <w:rPr>
          <w:rFonts w:eastAsiaTheme="minorHAnsi"/>
          <w:sz w:val="20"/>
          <w:szCs w:val="20"/>
        </w:rPr>
        <w:t>neatleidžia Šalies nuo pareigos vykdyti šia Sutartimi prisiimtus įsipareigojimus.</w:t>
      </w:r>
    </w:p>
    <w:p w14:paraId="26567C07" w14:textId="77777777" w:rsidR="00C61C48" w:rsidRDefault="00C61C48" w:rsidP="000D35BF">
      <w:pPr>
        <w:pStyle w:val="ListParagraph"/>
        <w:keepNext/>
        <w:ind w:left="0" w:right="44" w:firstLine="709"/>
        <w:jc w:val="both"/>
        <w:outlineLvl w:val="1"/>
        <w:rPr>
          <w:i/>
          <w:color w:val="FF0000"/>
          <w:sz w:val="20"/>
          <w:szCs w:val="20"/>
        </w:rPr>
      </w:pPr>
    </w:p>
    <w:p w14:paraId="4D008D33" w14:textId="68808AB7" w:rsidR="000D35BF" w:rsidRPr="00C61C48" w:rsidRDefault="000D35BF" w:rsidP="000D35BF">
      <w:pPr>
        <w:pStyle w:val="ListParagraph"/>
        <w:keepNext/>
        <w:ind w:left="0" w:right="44" w:firstLine="709"/>
        <w:jc w:val="both"/>
        <w:outlineLvl w:val="1"/>
        <w:rPr>
          <w:i/>
          <w:color w:val="000000" w:themeColor="text1"/>
          <w:sz w:val="20"/>
          <w:szCs w:val="20"/>
        </w:rPr>
      </w:pPr>
      <w:r w:rsidRPr="00C61C48">
        <w:rPr>
          <w:i/>
          <w:color w:val="000000" w:themeColor="text1"/>
          <w:sz w:val="20"/>
          <w:szCs w:val="20"/>
        </w:rPr>
        <w:t>Sutarties 5 straipsnis taikomas, kai bendra Sutarties vertė (Maisto produkto/produktų tiekimo dalies/dalių), yra lygi ar viršija 30 000 (trisdešimt tūkstančių) eurų be PVM.</w:t>
      </w:r>
    </w:p>
    <w:p w14:paraId="5F4ED488" w14:textId="2F0CB0E7" w:rsidR="00412A19" w:rsidRPr="005874B2" w:rsidRDefault="00277FDA" w:rsidP="00412A19">
      <w:pPr>
        <w:pStyle w:val="ListParagraph"/>
        <w:keepNext/>
        <w:numPr>
          <w:ilvl w:val="0"/>
          <w:numId w:val="24"/>
        </w:numPr>
        <w:tabs>
          <w:tab w:val="left" w:pos="851"/>
        </w:tabs>
        <w:overflowPunct w:val="0"/>
        <w:autoSpaceDE w:val="0"/>
        <w:autoSpaceDN w:val="0"/>
        <w:adjustRightInd w:val="0"/>
        <w:ind w:left="0" w:right="44" w:firstLine="567"/>
        <w:jc w:val="both"/>
        <w:outlineLvl w:val="1"/>
        <w:rPr>
          <w:b/>
          <w:sz w:val="20"/>
          <w:szCs w:val="20"/>
        </w:rPr>
      </w:pPr>
      <w:r w:rsidRPr="005874B2">
        <w:rPr>
          <w:b/>
          <w:sz w:val="20"/>
          <w:szCs w:val="20"/>
        </w:rPr>
        <w:t>Sutarties įvykdymo užtikrinimas</w:t>
      </w:r>
    </w:p>
    <w:p w14:paraId="1DA12085" w14:textId="489DC76E" w:rsidR="002C7794" w:rsidRPr="005874B2" w:rsidRDefault="002C7794" w:rsidP="000D35BF">
      <w:pPr>
        <w:pStyle w:val="ListParagraph"/>
        <w:numPr>
          <w:ilvl w:val="1"/>
          <w:numId w:val="24"/>
        </w:numPr>
        <w:tabs>
          <w:tab w:val="left" w:pos="993"/>
        </w:tabs>
        <w:ind w:left="0" w:firstLine="567"/>
        <w:jc w:val="both"/>
        <w:rPr>
          <w:sz w:val="20"/>
          <w:szCs w:val="20"/>
        </w:rPr>
      </w:pPr>
      <w:r w:rsidRPr="005874B2">
        <w:rPr>
          <w:sz w:val="20"/>
          <w:szCs w:val="20"/>
        </w:rPr>
        <w:t>Sutarties įvykdymo užtikrinimui ne vėliau kaip per 5 (penkias) darbo dienas nuo sutarties pasirašymo dienos tiekėjas privalo pateikti pirmo pareikalavimo neatšaukiamą besąlyginę – Lietuvos Respublikoje ar užsienyje registruoto banko garantiją (originalą) arba draudimo bendrovės laidavimo raštą (originalą) su laidavimo draudimo liudijimo (poliso) kopija</w:t>
      </w:r>
      <w:r w:rsidRPr="005874B2">
        <w:rPr>
          <w:iCs/>
          <w:sz w:val="20"/>
          <w:szCs w:val="20"/>
        </w:rPr>
        <w:t xml:space="preserve"> ir </w:t>
      </w:r>
      <w:r w:rsidR="00116DAD" w:rsidRPr="005874B2">
        <w:rPr>
          <w:iCs/>
          <w:sz w:val="20"/>
          <w:szCs w:val="20"/>
        </w:rPr>
        <w:t xml:space="preserve">dokumentu </w:t>
      </w:r>
      <w:r w:rsidRPr="005874B2">
        <w:rPr>
          <w:iCs/>
          <w:sz w:val="20"/>
          <w:szCs w:val="20"/>
        </w:rPr>
        <w:t>(pvz. mokestinis pavedimas), įrodan</w:t>
      </w:r>
      <w:r w:rsidR="00116DAD" w:rsidRPr="005874B2">
        <w:rPr>
          <w:iCs/>
          <w:sz w:val="20"/>
          <w:szCs w:val="20"/>
        </w:rPr>
        <w:t>čiu</w:t>
      </w:r>
      <w:r w:rsidRPr="005874B2">
        <w:rPr>
          <w:iCs/>
          <w:sz w:val="20"/>
          <w:szCs w:val="20"/>
        </w:rPr>
        <w:t xml:space="preserve"> polise nurodytos draudimo įmokos sumokėjimą draudimo bendrovei)</w:t>
      </w:r>
      <w:r w:rsidRPr="005874B2">
        <w:rPr>
          <w:sz w:val="20"/>
          <w:szCs w:val="20"/>
        </w:rPr>
        <w:t>. Užtikrinimo dydis – 5 (penki) procentai nuo bendros maksimalios sutarties kainos</w:t>
      </w:r>
      <w:r w:rsidR="00116DAD" w:rsidRPr="005874B2">
        <w:rPr>
          <w:sz w:val="20"/>
          <w:szCs w:val="20"/>
        </w:rPr>
        <w:t xml:space="preserve"> su PVM</w:t>
      </w:r>
      <w:r w:rsidRPr="005874B2">
        <w:rPr>
          <w:sz w:val="20"/>
          <w:szCs w:val="20"/>
        </w:rPr>
        <w:t>. Jei su Tiekėju sudaroma Sutartis dėl kelių Pirkimo dalių</w:t>
      </w:r>
      <w:r w:rsidR="00B25991" w:rsidRPr="005874B2">
        <w:rPr>
          <w:sz w:val="20"/>
          <w:szCs w:val="20"/>
        </w:rPr>
        <w:t xml:space="preserve">, </w:t>
      </w:r>
      <w:r w:rsidRPr="005874B2">
        <w:rPr>
          <w:sz w:val="20"/>
          <w:szCs w:val="20"/>
        </w:rPr>
        <w:t xml:space="preserve">tai sutarties įvykdymo užtikrinimas turės būti ne mažesnis nei 5 proc. nuo viso šių Pirkimo dalių Bendros maksimalios pasiūlymo kainos su PVM (Eur) Sutarties užtikrinimas turi galioti visą pirkimo sutarties galiojimo laiką. </w:t>
      </w:r>
    </w:p>
    <w:p w14:paraId="45E1FA56" w14:textId="6895E921" w:rsidR="002C7794" w:rsidRPr="005874B2" w:rsidRDefault="002C7794" w:rsidP="000D35BF">
      <w:pPr>
        <w:pStyle w:val="ListParagraph"/>
        <w:numPr>
          <w:ilvl w:val="1"/>
          <w:numId w:val="24"/>
        </w:numPr>
        <w:tabs>
          <w:tab w:val="left" w:pos="993"/>
        </w:tabs>
        <w:ind w:left="0" w:firstLine="567"/>
        <w:jc w:val="both"/>
        <w:rPr>
          <w:sz w:val="20"/>
          <w:szCs w:val="20"/>
        </w:rPr>
      </w:pPr>
      <w:r w:rsidRPr="005874B2">
        <w:rPr>
          <w:sz w:val="20"/>
          <w:szCs w:val="20"/>
        </w:rPr>
        <w:t xml:space="preserve">Jei </w:t>
      </w:r>
      <w:r w:rsidR="00116DAD" w:rsidRPr="005874B2">
        <w:rPr>
          <w:sz w:val="20"/>
          <w:szCs w:val="20"/>
        </w:rPr>
        <w:t>Tiekėjas</w:t>
      </w:r>
      <w:r w:rsidRPr="005874B2">
        <w:rPr>
          <w:sz w:val="20"/>
          <w:szCs w:val="20"/>
        </w:rPr>
        <w:t xml:space="preserve"> </w:t>
      </w:r>
      <w:r w:rsidRPr="005874B2">
        <w:rPr>
          <w:iCs/>
          <w:sz w:val="20"/>
          <w:szCs w:val="20"/>
        </w:rPr>
        <w:t>per 5 (penkias) darbo dienas nuo Sutarties pasirašymo dienos nepateikia</w:t>
      </w:r>
      <w:r w:rsidRPr="005874B2">
        <w:rPr>
          <w:sz w:val="20"/>
          <w:szCs w:val="20"/>
        </w:rPr>
        <w:t xml:space="preserve"> Sutarties įvykdymo užtikrinimo, laikoma, kad </w:t>
      </w:r>
      <w:r w:rsidR="00116DAD" w:rsidRPr="005874B2">
        <w:rPr>
          <w:sz w:val="20"/>
          <w:szCs w:val="20"/>
        </w:rPr>
        <w:t>Tiekėjas</w:t>
      </w:r>
      <w:r w:rsidRPr="005874B2">
        <w:rPr>
          <w:sz w:val="20"/>
          <w:szCs w:val="20"/>
        </w:rPr>
        <w:t xml:space="preserve"> atsisakė sudaryti Sutartį.</w:t>
      </w:r>
    </w:p>
    <w:p w14:paraId="14EB4B5D" w14:textId="36A1AF9F" w:rsidR="002C7794" w:rsidRPr="005874B2" w:rsidRDefault="00A20904" w:rsidP="000D35BF">
      <w:pPr>
        <w:pStyle w:val="ListParagraph"/>
        <w:keepNext/>
        <w:numPr>
          <w:ilvl w:val="1"/>
          <w:numId w:val="24"/>
        </w:numPr>
        <w:tabs>
          <w:tab w:val="left" w:pos="851"/>
          <w:tab w:val="left" w:pos="993"/>
        </w:tabs>
        <w:overflowPunct w:val="0"/>
        <w:autoSpaceDE w:val="0"/>
        <w:autoSpaceDN w:val="0"/>
        <w:adjustRightInd w:val="0"/>
        <w:ind w:left="0" w:right="44" w:firstLine="567"/>
        <w:jc w:val="both"/>
        <w:outlineLvl w:val="1"/>
        <w:rPr>
          <w:sz w:val="20"/>
          <w:szCs w:val="20"/>
        </w:rPr>
      </w:pPr>
      <w:r w:rsidRPr="005874B2">
        <w:rPr>
          <w:sz w:val="20"/>
          <w:szCs w:val="20"/>
        </w:rPr>
        <w:t xml:space="preserve">Sutarties įvykdymo užtikrinimas užtikrina, kad Pirkėjui bus atlyginti minimalūs nuostoliai, atsiradę dėl to, kad </w:t>
      </w:r>
      <w:r w:rsidR="00116DAD" w:rsidRPr="005874B2">
        <w:rPr>
          <w:sz w:val="20"/>
          <w:szCs w:val="20"/>
        </w:rPr>
        <w:t>Tiekėjas</w:t>
      </w:r>
      <w:r w:rsidRPr="005874B2">
        <w:rPr>
          <w:sz w:val="20"/>
          <w:szCs w:val="20"/>
        </w:rPr>
        <w:t xml:space="preserve"> neįvykdė sutartinių įsipareigojimų ar vykdė juos netinkamai.</w:t>
      </w:r>
    </w:p>
    <w:p w14:paraId="70C387B5" w14:textId="603F5064" w:rsidR="002C7794" w:rsidRPr="005874B2" w:rsidRDefault="00B25991" w:rsidP="000D35BF">
      <w:pPr>
        <w:pStyle w:val="ListParagraph"/>
        <w:keepNext/>
        <w:numPr>
          <w:ilvl w:val="1"/>
          <w:numId w:val="24"/>
        </w:numPr>
        <w:tabs>
          <w:tab w:val="left" w:pos="426"/>
          <w:tab w:val="left" w:pos="993"/>
        </w:tabs>
        <w:overflowPunct w:val="0"/>
        <w:autoSpaceDE w:val="0"/>
        <w:autoSpaceDN w:val="0"/>
        <w:adjustRightInd w:val="0"/>
        <w:ind w:left="0" w:right="44" w:firstLine="567"/>
        <w:jc w:val="both"/>
        <w:outlineLvl w:val="1"/>
        <w:rPr>
          <w:sz w:val="20"/>
          <w:szCs w:val="20"/>
        </w:rPr>
      </w:pPr>
      <w:r w:rsidRPr="005874B2">
        <w:rPr>
          <w:sz w:val="20"/>
          <w:szCs w:val="20"/>
        </w:rPr>
        <w:t xml:space="preserve">Jei Sutarties vykdymo metu Sutarties įvykdymo užtikrinimą išdavęs juridinis asmuo negali įvykdyti savo įsipareigojimų, Pirkėjas raštu pareikalauja </w:t>
      </w:r>
      <w:r w:rsidR="00116DAD" w:rsidRPr="005874B2">
        <w:rPr>
          <w:sz w:val="20"/>
          <w:szCs w:val="20"/>
        </w:rPr>
        <w:t>Tiekėjo</w:t>
      </w:r>
      <w:r w:rsidRPr="005874B2">
        <w:rPr>
          <w:sz w:val="20"/>
          <w:szCs w:val="20"/>
        </w:rPr>
        <w:t xml:space="preserve"> per 5 darbo dienas pateikti naują Sutarties įvykdymo užtikrinimą tomis pačiomis sąlygomis kaip ir ankstesnysis. Jei </w:t>
      </w:r>
      <w:r w:rsidR="00116DAD" w:rsidRPr="005874B2">
        <w:rPr>
          <w:sz w:val="20"/>
          <w:szCs w:val="20"/>
        </w:rPr>
        <w:t>Tiekėjas</w:t>
      </w:r>
      <w:r w:rsidRPr="005874B2">
        <w:rPr>
          <w:sz w:val="20"/>
          <w:szCs w:val="20"/>
        </w:rPr>
        <w:t xml:space="preserve"> nepateikia naujo Sutarties įvykdymo užtikrinimo, Pirkėjas turi teisę vienašališkai nutraukti Sutartį.</w:t>
      </w:r>
    </w:p>
    <w:p w14:paraId="09D601D0" w14:textId="7E078A2A" w:rsidR="00B25991" w:rsidRPr="005874B2" w:rsidRDefault="00B25991" w:rsidP="000D35BF">
      <w:pPr>
        <w:pStyle w:val="ListParagraph"/>
        <w:keepNext/>
        <w:numPr>
          <w:ilvl w:val="1"/>
          <w:numId w:val="24"/>
        </w:numPr>
        <w:tabs>
          <w:tab w:val="left" w:pos="426"/>
          <w:tab w:val="left" w:pos="993"/>
        </w:tabs>
        <w:overflowPunct w:val="0"/>
        <w:autoSpaceDE w:val="0"/>
        <w:autoSpaceDN w:val="0"/>
        <w:adjustRightInd w:val="0"/>
        <w:ind w:left="0" w:right="44" w:firstLine="567"/>
        <w:jc w:val="both"/>
        <w:outlineLvl w:val="1"/>
        <w:rPr>
          <w:sz w:val="20"/>
          <w:szCs w:val="20"/>
        </w:rPr>
      </w:pPr>
      <w:r w:rsidRPr="005874B2">
        <w:rPr>
          <w:sz w:val="20"/>
          <w:szCs w:val="20"/>
        </w:rPr>
        <w:t>Jei Tiekėjas nevykdo savo sutartinių įsipareigojimų Pirkėjui, Pirkėjas pareikalauja sumokėti visą Sutarties įvykdymo užtikrinime nurodytą sumą. Prieš pateikdamas reikalavimą sumokėti pagal Sutarties įvykdymo užtikrinimą, Pirkėjas įspėja apie tai Tiekėją ir nurodo, dėl kokio pažeidimo pateikia šį reikalavimą. Jei Pirkėjui pasinaudojus Sutarties įvykdymo užtikrinimu, Tiekėjas ketina toliau vykdyti sutartinius įsipareigojimus, Pirkėjui sutikus leisti jam toliau vykdyti sutartinius įsipareigojimus, Tiekėjas privalo pateikti naują Sutarties įvykdymo užtikrinimą šiame Sutarties straipsnyje nurodyta tvarka. Jei Sutartis nutraukiama dėl Tiekėjo kaltės, Pirkėjas bet kokiu atveju įgyja teisę į visą Pirkimo Sutarties įvykdymo užtikrinime nurodytą sumą.</w:t>
      </w:r>
    </w:p>
    <w:p w14:paraId="4195B4EC" w14:textId="6F1375BD" w:rsidR="00277FDA" w:rsidRPr="005874B2" w:rsidRDefault="00277FDA" w:rsidP="00277FDA">
      <w:pPr>
        <w:keepNext/>
        <w:tabs>
          <w:tab w:val="left" w:pos="851"/>
        </w:tabs>
        <w:overflowPunct w:val="0"/>
        <w:autoSpaceDE w:val="0"/>
        <w:autoSpaceDN w:val="0"/>
        <w:adjustRightInd w:val="0"/>
        <w:ind w:right="44"/>
        <w:jc w:val="both"/>
        <w:outlineLvl w:val="1"/>
        <w:rPr>
          <w:b/>
          <w:sz w:val="20"/>
          <w:szCs w:val="20"/>
        </w:rPr>
      </w:pPr>
    </w:p>
    <w:p w14:paraId="592D49FF" w14:textId="5F9A8109" w:rsidR="008404D9" w:rsidRPr="005874B2" w:rsidRDefault="008404D9" w:rsidP="00A20904">
      <w:pPr>
        <w:pStyle w:val="ListParagraph"/>
        <w:keepNext/>
        <w:numPr>
          <w:ilvl w:val="0"/>
          <w:numId w:val="24"/>
        </w:numPr>
        <w:tabs>
          <w:tab w:val="left" w:pos="851"/>
        </w:tabs>
        <w:overflowPunct w:val="0"/>
        <w:autoSpaceDE w:val="0"/>
        <w:autoSpaceDN w:val="0"/>
        <w:adjustRightInd w:val="0"/>
        <w:ind w:left="0" w:right="44" w:firstLine="567"/>
        <w:jc w:val="both"/>
        <w:outlineLvl w:val="1"/>
        <w:rPr>
          <w:b/>
          <w:sz w:val="20"/>
          <w:szCs w:val="20"/>
        </w:rPr>
      </w:pPr>
      <w:r w:rsidRPr="005874B2">
        <w:rPr>
          <w:b/>
          <w:sz w:val="20"/>
          <w:szCs w:val="20"/>
        </w:rPr>
        <w:t>Nenugalima jėga (</w:t>
      </w:r>
      <w:r w:rsidRPr="005874B2">
        <w:rPr>
          <w:b/>
          <w:i/>
          <w:sz w:val="20"/>
          <w:szCs w:val="20"/>
        </w:rPr>
        <w:t>force majeure</w:t>
      </w:r>
      <w:r w:rsidRPr="005874B2">
        <w:rPr>
          <w:b/>
          <w:sz w:val="20"/>
          <w:szCs w:val="20"/>
        </w:rPr>
        <w:t>)</w:t>
      </w:r>
    </w:p>
    <w:p w14:paraId="397C9FE4" w14:textId="77777777" w:rsidR="008404D9" w:rsidRPr="005874B2" w:rsidRDefault="008404D9" w:rsidP="00A20904">
      <w:pPr>
        <w:pStyle w:val="ListParagraph"/>
        <w:keepNext/>
        <w:numPr>
          <w:ilvl w:val="1"/>
          <w:numId w:val="24"/>
        </w:numPr>
        <w:tabs>
          <w:tab w:val="left" w:pos="851"/>
          <w:tab w:val="left" w:pos="993"/>
        </w:tabs>
        <w:overflowPunct w:val="0"/>
        <w:autoSpaceDE w:val="0"/>
        <w:autoSpaceDN w:val="0"/>
        <w:adjustRightInd w:val="0"/>
        <w:ind w:left="0" w:right="44" w:firstLine="567"/>
        <w:jc w:val="both"/>
        <w:outlineLvl w:val="1"/>
        <w:rPr>
          <w:b/>
          <w:sz w:val="20"/>
          <w:szCs w:val="20"/>
        </w:rPr>
      </w:pPr>
      <w:r w:rsidRPr="005874B2">
        <w:rPr>
          <w:sz w:val="20"/>
          <w:szCs w:val="20"/>
        </w:rPr>
        <w:t>Nė viena Šalis nėra laikoma pažeidusia šią Sutartį arba nevykdančia savo įsipareigojimų pagal šią Sutartį, jei įsipareigojimus vykdyti jai trukdo nenugalimos jėgos (</w:t>
      </w:r>
      <w:r w:rsidRPr="005874B2">
        <w:rPr>
          <w:i/>
          <w:sz w:val="20"/>
          <w:szCs w:val="20"/>
        </w:rPr>
        <w:t>force majeure</w:t>
      </w:r>
      <w:r w:rsidRPr="005874B2">
        <w:rPr>
          <w:sz w:val="20"/>
          <w:szCs w:val="20"/>
        </w:rPr>
        <w:t>) aplinkybės, atsiradusios po Sutarties įsigaliojimo dienos. Nenugalimos jėgos (</w:t>
      </w:r>
      <w:r w:rsidRPr="005874B2">
        <w:rPr>
          <w:i/>
          <w:sz w:val="20"/>
          <w:szCs w:val="20"/>
        </w:rPr>
        <w:t>force majeure</w:t>
      </w:r>
      <w:r w:rsidRPr="005874B2">
        <w:rPr>
          <w:sz w:val="20"/>
          <w:szCs w:val="20"/>
        </w:rPr>
        <w:t>)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 Dėl atleidimo nuo atsakomybės esant nenugalimos jėgos (force majeure) aplinkybėms taisyklių patvirtinimo”).</w:t>
      </w:r>
    </w:p>
    <w:p w14:paraId="28D8FC4B" w14:textId="6F635EB8" w:rsidR="00454342" w:rsidRPr="005874B2" w:rsidRDefault="00454342" w:rsidP="008404D9">
      <w:pPr>
        <w:jc w:val="both"/>
        <w:rPr>
          <w:rFonts w:eastAsiaTheme="minorHAnsi"/>
          <w:sz w:val="20"/>
          <w:szCs w:val="20"/>
        </w:rPr>
      </w:pPr>
    </w:p>
    <w:p w14:paraId="3B427A77" w14:textId="77777777" w:rsidR="008404D9" w:rsidRPr="005874B2" w:rsidRDefault="008404D9" w:rsidP="00A20904">
      <w:pPr>
        <w:numPr>
          <w:ilvl w:val="0"/>
          <w:numId w:val="24"/>
        </w:numPr>
        <w:tabs>
          <w:tab w:val="left" w:pos="851"/>
        </w:tabs>
        <w:ind w:left="0" w:firstLine="567"/>
        <w:contextualSpacing/>
        <w:rPr>
          <w:rFonts w:eastAsiaTheme="minorHAnsi"/>
          <w:b/>
          <w:sz w:val="20"/>
          <w:szCs w:val="20"/>
        </w:rPr>
      </w:pPr>
      <w:r w:rsidRPr="005874B2">
        <w:rPr>
          <w:rFonts w:eastAsiaTheme="minorHAnsi"/>
          <w:b/>
          <w:sz w:val="20"/>
          <w:szCs w:val="20"/>
        </w:rPr>
        <w:t>Sutarties keitimas ir nutraukimas</w:t>
      </w:r>
    </w:p>
    <w:p w14:paraId="0061032C" w14:textId="77777777" w:rsidR="008404D9" w:rsidRPr="005874B2" w:rsidRDefault="008404D9" w:rsidP="00A20904">
      <w:pPr>
        <w:pStyle w:val="ListParagraph"/>
        <w:numPr>
          <w:ilvl w:val="1"/>
          <w:numId w:val="24"/>
        </w:numPr>
        <w:tabs>
          <w:tab w:val="left" w:pos="851"/>
          <w:tab w:val="left" w:pos="993"/>
        </w:tabs>
        <w:ind w:left="0" w:firstLine="567"/>
        <w:jc w:val="both"/>
        <w:rPr>
          <w:rFonts w:eastAsiaTheme="minorHAnsi"/>
          <w:sz w:val="20"/>
          <w:szCs w:val="20"/>
        </w:rPr>
      </w:pPr>
      <w:r w:rsidRPr="005874B2">
        <w:rPr>
          <w:rFonts w:eastAsiaTheme="minorHAnsi"/>
          <w:sz w:val="20"/>
          <w:szCs w:val="20"/>
        </w:rPr>
        <w:t>Sutarties sąlygos gali būti keičiamos tik vadovaujantis Lietuvos Respublikos viešųjų pirkimų įstatymo (toliau – VPĮ) 89 straipsniu.</w:t>
      </w:r>
    </w:p>
    <w:p w14:paraId="24C35D97" w14:textId="77777777" w:rsidR="008404D9" w:rsidRPr="005874B2" w:rsidRDefault="008404D9" w:rsidP="00A20904">
      <w:pPr>
        <w:pStyle w:val="ListParagraph"/>
        <w:numPr>
          <w:ilvl w:val="1"/>
          <w:numId w:val="24"/>
        </w:numPr>
        <w:tabs>
          <w:tab w:val="left" w:pos="851"/>
          <w:tab w:val="left" w:pos="993"/>
        </w:tabs>
        <w:ind w:left="0" w:firstLine="567"/>
        <w:jc w:val="both"/>
        <w:rPr>
          <w:rFonts w:eastAsiaTheme="minorHAnsi"/>
          <w:sz w:val="20"/>
          <w:szCs w:val="20"/>
        </w:rPr>
      </w:pPr>
      <w:r w:rsidRPr="005874B2">
        <w:rPr>
          <w:rFonts w:eastAsiaTheme="minorHAnsi"/>
          <w:sz w:val="20"/>
          <w:szCs w:val="20"/>
        </w:rPr>
        <w:t xml:space="preserve">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Pirkėjui. </w:t>
      </w:r>
    </w:p>
    <w:p w14:paraId="75EA42F2" w14:textId="77777777" w:rsidR="008404D9" w:rsidRPr="005874B2" w:rsidRDefault="008404D9" w:rsidP="00A20904">
      <w:pPr>
        <w:pStyle w:val="ListParagraph"/>
        <w:numPr>
          <w:ilvl w:val="1"/>
          <w:numId w:val="24"/>
        </w:numPr>
        <w:tabs>
          <w:tab w:val="left" w:pos="851"/>
          <w:tab w:val="left" w:pos="993"/>
        </w:tabs>
        <w:ind w:left="0" w:firstLine="567"/>
        <w:jc w:val="both"/>
        <w:rPr>
          <w:rFonts w:eastAsiaTheme="minorHAnsi"/>
          <w:sz w:val="20"/>
          <w:szCs w:val="20"/>
        </w:rPr>
      </w:pPr>
      <w:r w:rsidRPr="005874B2">
        <w:rPr>
          <w:rFonts w:eastAsiaTheme="minorHAnsi"/>
          <w:sz w:val="20"/>
          <w:szCs w:val="20"/>
        </w:rPr>
        <w:t>Sutartis gali būti nutraukta bet kuriuo metu bendru Sutarties Šalių susitarimu.</w:t>
      </w:r>
    </w:p>
    <w:p w14:paraId="37172504" w14:textId="6DA60A3E" w:rsidR="008404D9" w:rsidRPr="005874B2" w:rsidRDefault="008404D9" w:rsidP="00A20904">
      <w:pPr>
        <w:pStyle w:val="ListParagraph"/>
        <w:numPr>
          <w:ilvl w:val="1"/>
          <w:numId w:val="24"/>
        </w:numPr>
        <w:tabs>
          <w:tab w:val="left" w:pos="851"/>
          <w:tab w:val="left" w:pos="993"/>
        </w:tabs>
        <w:ind w:left="0" w:firstLine="567"/>
        <w:jc w:val="both"/>
        <w:rPr>
          <w:rFonts w:eastAsiaTheme="minorHAnsi"/>
          <w:sz w:val="20"/>
          <w:szCs w:val="20"/>
        </w:rPr>
      </w:pPr>
      <w:r w:rsidRPr="005874B2">
        <w:rPr>
          <w:rFonts w:eastAsiaTheme="minorHAnsi"/>
          <w:sz w:val="20"/>
          <w:szCs w:val="20"/>
        </w:rPr>
        <w:t xml:space="preserve">Sutartis gali būti nutraukta abejų Sutarties Šalių iniciatyva ne mažiau kaip prieš </w:t>
      </w:r>
      <w:r w:rsidR="003671E0" w:rsidRPr="005874B2">
        <w:rPr>
          <w:rFonts w:eastAsiaTheme="minorHAnsi"/>
          <w:sz w:val="20"/>
          <w:szCs w:val="20"/>
        </w:rPr>
        <w:t>6</w:t>
      </w:r>
      <w:r w:rsidRPr="005874B2">
        <w:rPr>
          <w:rFonts w:eastAsiaTheme="minorHAnsi"/>
          <w:sz w:val="20"/>
          <w:szCs w:val="20"/>
        </w:rPr>
        <w:t>0 (</w:t>
      </w:r>
      <w:r w:rsidR="003671E0" w:rsidRPr="005874B2">
        <w:rPr>
          <w:rFonts w:eastAsiaTheme="minorHAnsi"/>
          <w:sz w:val="20"/>
          <w:szCs w:val="20"/>
        </w:rPr>
        <w:t>šešiasdešimt</w:t>
      </w:r>
      <w:r w:rsidRPr="005874B2">
        <w:rPr>
          <w:rFonts w:eastAsiaTheme="minorHAnsi"/>
          <w:sz w:val="20"/>
          <w:szCs w:val="20"/>
        </w:rPr>
        <w:t>) dienų raštu informavus kitą Šalį.</w:t>
      </w:r>
    </w:p>
    <w:p w14:paraId="0DF3E1E6" w14:textId="77777777" w:rsidR="008404D9" w:rsidRPr="005874B2" w:rsidRDefault="008404D9" w:rsidP="00A20904">
      <w:pPr>
        <w:pStyle w:val="ListParagraph"/>
        <w:numPr>
          <w:ilvl w:val="1"/>
          <w:numId w:val="24"/>
        </w:numPr>
        <w:tabs>
          <w:tab w:val="left" w:pos="851"/>
          <w:tab w:val="left" w:pos="993"/>
        </w:tabs>
        <w:ind w:left="0" w:firstLine="567"/>
        <w:jc w:val="both"/>
        <w:rPr>
          <w:rFonts w:eastAsiaTheme="minorHAnsi"/>
          <w:sz w:val="20"/>
          <w:szCs w:val="20"/>
        </w:rPr>
      </w:pPr>
      <w:r w:rsidRPr="005874B2">
        <w:rPr>
          <w:rFonts w:eastAsiaTheme="minorHAnsi"/>
          <w:sz w:val="20"/>
          <w:szCs w:val="20"/>
        </w:rPr>
        <w:t>Sutartis gali būti nutraukta bet kuriuo metu vienos iš Šalių iniciatyva, jei:</w:t>
      </w:r>
    </w:p>
    <w:p w14:paraId="602DE70E" w14:textId="77777777" w:rsidR="008404D9" w:rsidRPr="005874B2" w:rsidRDefault="008404D9" w:rsidP="00A20904">
      <w:pPr>
        <w:pStyle w:val="ListParagraph"/>
        <w:numPr>
          <w:ilvl w:val="2"/>
          <w:numId w:val="24"/>
        </w:numPr>
        <w:tabs>
          <w:tab w:val="left" w:pos="1134"/>
        </w:tabs>
        <w:ind w:left="0" w:firstLine="567"/>
        <w:jc w:val="both"/>
        <w:rPr>
          <w:rFonts w:eastAsiaTheme="minorHAnsi"/>
          <w:sz w:val="20"/>
          <w:szCs w:val="20"/>
        </w:rPr>
      </w:pPr>
      <w:r w:rsidRPr="005874B2">
        <w:rPr>
          <w:rFonts w:eastAsiaTheme="minorHAnsi"/>
          <w:sz w:val="20"/>
          <w:szCs w:val="20"/>
        </w:rPr>
        <w:t>kita Šalis bankrutuoja arba yra likviduojama, sustabdo ūkinę veiklą arba įstatymuose ir kituose teisės aktuose numatyta tvarka susidaro analogiška situacija;</w:t>
      </w:r>
    </w:p>
    <w:p w14:paraId="5C05EE42" w14:textId="77777777" w:rsidR="008404D9" w:rsidRPr="005874B2" w:rsidRDefault="008404D9" w:rsidP="00A20904">
      <w:pPr>
        <w:pStyle w:val="ListParagraph"/>
        <w:numPr>
          <w:ilvl w:val="2"/>
          <w:numId w:val="24"/>
        </w:numPr>
        <w:tabs>
          <w:tab w:val="left" w:pos="1134"/>
        </w:tabs>
        <w:ind w:left="0" w:firstLine="567"/>
        <w:jc w:val="both"/>
        <w:rPr>
          <w:rFonts w:eastAsiaTheme="minorHAnsi"/>
          <w:sz w:val="20"/>
          <w:szCs w:val="20"/>
        </w:rPr>
      </w:pPr>
      <w:r w:rsidRPr="005874B2">
        <w:rPr>
          <w:rFonts w:eastAsiaTheme="minorHAnsi"/>
          <w:sz w:val="20"/>
          <w:szCs w:val="20"/>
        </w:rPr>
        <w:t>keičiasi kitos Šalies organizacinė struktūra – juridinis statusas, pobūdis ar valdymo struktūra ir tai gali turėti įtakos tinkamam Sutarties įvykdymui;</w:t>
      </w:r>
    </w:p>
    <w:p w14:paraId="6A924293" w14:textId="77777777" w:rsidR="008404D9" w:rsidRPr="005874B2" w:rsidRDefault="008404D9" w:rsidP="00A20904">
      <w:pPr>
        <w:pStyle w:val="ListParagraph"/>
        <w:numPr>
          <w:ilvl w:val="2"/>
          <w:numId w:val="24"/>
        </w:numPr>
        <w:tabs>
          <w:tab w:val="left" w:pos="1134"/>
        </w:tabs>
        <w:ind w:left="0" w:firstLine="567"/>
        <w:jc w:val="both"/>
        <w:rPr>
          <w:rFonts w:eastAsiaTheme="minorHAnsi"/>
          <w:sz w:val="20"/>
          <w:szCs w:val="20"/>
        </w:rPr>
      </w:pPr>
      <w:r w:rsidRPr="005874B2">
        <w:rPr>
          <w:rFonts w:eastAsiaTheme="minorHAnsi"/>
          <w:sz w:val="20"/>
          <w:szCs w:val="20"/>
        </w:rPr>
        <w:t>kita Šalis nevykdo ar netinkamai vykdo savo sutartinius įsipareigojimus ir tai yra esminis Sutarties pažeidimas.</w:t>
      </w:r>
    </w:p>
    <w:p w14:paraId="0810F120" w14:textId="082A60D3" w:rsidR="008404D9" w:rsidRPr="005874B2" w:rsidRDefault="008404D9" w:rsidP="00A20904">
      <w:pPr>
        <w:pStyle w:val="ListParagraph"/>
        <w:numPr>
          <w:ilvl w:val="1"/>
          <w:numId w:val="24"/>
        </w:numPr>
        <w:tabs>
          <w:tab w:val="left" w:pos="993"/>
        </w:tabs>
        <w:ind w:left="0" w:firstLine="567"/>
        <w:jc w:val="both"/>
        <w:rPr>
          <w:rFonts w:eastAsiaTheme="minorHAnsi"/>
          <w:sz w:val="20"/>
          <w:szCs w:val="20"/>
        </w:rPr>
      </w:pPr>
      <w:r w:rsidRPr="005874B2">
        <w:rPr>
          <w:rFonts w:eastAsiaTheme="minorHAnsi"/>
          <w:sz w:val="20"/>
          <w:szCs w:val="20"/>
        </w:rPr>
        <w:lastRenderedPageBreak/>
        <w:t>Šalys žino ir supranta, kad jei Sutartis bus nutraukta dėl Tiekėjo esminio Sutarties pažeidimo, Pirkėjas, vadovaudamasis VPĮ 91 straipsnio 1 dalimi, privalės viešai paskelbti apie Sutarties neįvykdymą ar netinkamą įvykdymą. Bet kokiu atveju Tiekėjo esminiu Sutarties</w:t>
      </w:r>
      <w:r w:rsidR="003671E0" w:rsidRPr="005874B2">
        <w:rPr>
          <w:rFonts w:eastAsiaTheme="minorHAnsi"/>
          <w:sz w:val="20"/>
          <w:szCs w:val="20"/>
        </w:rPr>
        <w:t xml:space="preserve"> pažeidimu </w:t>
      </w:r>
      <w:r w:rsidR="00277FDA" w:rsidRPr="005874B2">
        <w:rPr>
          <w:rFonts w:eastAsiaTheme="minorHAnsi"/>
          <w:sz w:val="20"/>
          <w:szCs w:val="20"/>
        </w:rPr>
        <w:t>bus laikomi Sutarties 4.1.2 ir 9</w:t>
      </w:r>
      <w:r w:rsidR="003671E0" w:rsidRPr="005874B2">
        <w:rPr>
          <w:rFonts w:eastAsiaTheme="minorHAnsi"/>
          <w:sz w:val="20"/>
          <w:szCs w:val="20"/>
        </w:rPr>
        <w:t xml:space="preserve">.3 punkte nurodyti atvejai. </w:t>
      </w:r>
      <w:r w:rsidRPr="005874B2">
        <w:rPr>
          <w:rFonts w:eastAsiaTheme="minorHAnsi"/>
          <w:sz w:val="20"/>
          <w:szCs w:val="20"/>
        </w:rPr>
        <w:t xml:space="preserve">Pirkėjo esminiu Sutarties pažeidimu laikomas Sutartyje nustatyto apmokėjimo už tinkamas ir laiku pristatytas Prekes termino praleidimas daugiau nei </w:t>
      </w:r>
      <w:r w:rsidR="003671E0" w:rsidRPr="005874B2">
        <w:rPr>
          <w:rFonts w:eastAsiaTheme="minorHAnsi"/>
          <w:sz w:val="20"/>
          <w:szCs w:val="20"/>
        </w:rPr>
        <w:t>3</w:t>
      </w:r>
      <w:r w:rsidRPr="005874B2">
        <w:rPr>
          <w:rFonts w:eastAsiaTheme="minorHAnsi"/>
          <w:sz w:val="20"/>
          <w:szCs w:val="20"/>
        </w:rPr>
        <w:t xml:space="preserve"> (</w:t>
      </w:r>
      <w:r w:rsidR="003671E0" w:rsidRPr="005874B2">
        <w:rPr>
          <w:rFonts w:eastAsiaTheme="minorHAnsi"/>
          <w:sz w:val="20"/>
          <w:szCs w:val="20"/>
        </w:rPr>
        <w:t>tris</w:t>
      </w:r>
      <w:r w:rsidRPr="005874B2">
        <w:rPr>
          <w:rFonts w:eastAsiaTheme="minorHAnsi"/>
          <w:sz w:val="20"/>
          <w:szCs w:val="20"/>
        </w:rPr>
        <w:t>) kartus.</w:t>
      </w:r>
    </w:p>
    <w:p w14:paraId="0CFF0570" w14:textId="77777777" w:rsidR="008404D9" w:rsidRPr="005874B2" w:rsidRDefault="008404D9" w:rsidP="00A20904">
      <w:pPr>
        <w:pStyle w:val="ListParagraph"/>
        <w:numPr>
          <w:ilvl w:val="1"/>
          <w:numId w:val="24"/>
        </w:numPr>
        <w:tabs>
          <w:tab w:val="left" w:pos="993"/>
        </w:tabs>
        <w:ind w:left="0" w:firstLine="567"/>
        <w:jc w:val="both"/>
        <w:rPr>
          <w:rFonts w:eastAsiaTheme="minorHAnsi"/>
          <w:sz w:val="20"/>
          <w:szCs w:val="20"/>
        </w:rPr>
      </w:pPr>
      <w:r w:rsidRPr="005874B2">
        <w:rPr>
          <w:rFonts w:eastAsiaTheme="minorHAnsi"/>
          <w:sz w:val="20"/>
          <w:szCs w:val="20"/>
        </w:rPr>
        <w:t>Pirkėjas turi teisę vienašališkai nutraukti Sutartį VPĮ 90 straipsnyje nurodytais atvejais.</w:t>
      </w:r>
    </w:p>
    <w:p w14:paraId="2E803EA1" w14:textId="77777777" w:rsidR="008404D9" w:rsidRPr="005874B2" w:rsidRDefault="008404D9" w:rsidP="00A20904">
      <w:pPr>
        <w:pStyle w:val="ListParagraph"/>
        <w:numPr>
          <w:ilvl w:val="1"/>
          <w:numId w:val="24"/>
        </w:numPr>
        <w:tabs>
          <w:tab w:val="left" w:pos="851"/>
          <w:tab w:val="left" w:pos="993"/>
          <w:tab w:val="left" w:pos="1134"/>
          <w:tab w:val="left" w:pos="1276"/>
        </w:tabs>
        <w:ind w:left="0" w:firstLine="567"/>
        <w:jc w:val="both"/>
        <w:rPr>
          <w:rFonts w:eastAsiaTheme="minorHAnsi"/>
          <w:sz w:val="20"/>
          <w:szCs w:val="20"/>
        </w:rPr>
      </w:pPr>
      <w:r w:rsidRPr="005874B2">
        <w:rPr>
          <w:rFonts w:eastAsiaTheme="minorHAnsi"/>
          <w:sz w:val="20"/>
          <w:szCs w:val="20"/>
        </w:rPr>
        <w:t>Sutarties nutraukimas nepanaikina nė vienos iš Sutarties Šalių teisės reikalauti sumokėti netesybas, numatytas šioje Sutartyje už sutartinių įsipareigojimų neįvykdymą iki Sutarties nutraukimo, taip pat Pirkėjo pareigos atsiskaityti su Tiekėju už iki Sutarties nutraukimo laiku pristatytas tinkamas Prekes.</w:t>
      </w:r>
    </w:p>
    <w:p w14:paraId="08EF6F06" w14:textId="77777777" w:rsidR="008404D9" w:rsidRPr="005874B2" w:rsidRDefault="008404D9" w:rsidP="008404D9">
      <w:pPr>
        <w:pStyle w:val="ListParagraph"/>
        <w:tabs>
          <w:tab w:val="left" w:pos="851"/>
          <w:tab w:val="left" w:pos="993"/>
          <w:tab w:val="left" w:pos="1134"/>
          <w:tab w:val="left" w:pos="1276"/>
        </w:tabs>
        <w:ind w:left="567"/>
        <w:jc w:val="both"/>
        <w:rPr>
          <w:rFonts w:eastAsiaTheme="minorHAnsi"/>
          <w:sz w:val="20"/>
          <w:szCs w:val="20"/>
        </w:rPr>
      </w:pPr>
    </w:p>
    <w:p w14:paraId="6482E60F" w14:textId="77777777" w:rsidR="008404D9" w:rsidRPr="005874B2" w:rsidRDefault="008404D9" w:rsidP="00A20904">
      <w:pPr>
        <w:pStyle w:val="ListParagraph"/>
        <w:numPr>
          <w:ilvl w:val="0"/>
          <w:numId w:val="24"/>
        </w:numPr>
        <w:tabs>
          <w:tab w:val="left" w:pos="851"/>
        </w:tabs>
        <w:autoSpaceDN w:val="0"/>
        <w:ind w:left="0" w:right="-68" w:firstLine="567"/>
        <w:jc w:val="both"/>
        <w:rPr>
          <w:b/>
          <w:sz w:val="20"/>
          <w:szCs w:val="20"/>
        </w:rPr>
      </w:pPr>
      <w:r w:rsidRPr="005874B2">
        <w:rPr>
          <w:b/>
          <w:sz w:val="20"/>
          <w:szCs w:val="20"/>
        </w:rPr>
        <w:t>Ginčų sprendimo tvarka</w:t>
      </w:r>
    </w:p>
    <w:p w14:paraId="0CC0C616" w14:textId="77777777" w:rsidR="008404D9" w:rsidRPr="005874B2" w:rsidRDefault="008404D9" w:rsidP="00A20904">
      <w:pPr>
        <w:numPr>
          <w:ilvl w:val="1"/>
          <w:numId w:val="24"/>
        </w:numPr>
        <w:tabs>
          <w:tab w:val="left" w:pos="851"/>
          <w:tab w:val="left" w:pos="993"/>
        </w:tabs>
        <w:autoSpaceDN w:val="0"/>
        <w:ind w:left="0" w:right="-68" w:firstLine="567"/>
        <w:jc w:val="both"/>
        <w:rPr>
          <w:sz w:val="20"/>
          <w:szCs w:val="20"/>
        </w:rPr>
      </w:pPr>
      <w:r w:rsidRPr="005874B2">
        <w:rPr>
          <w:sz w:val="20"/>
          <w:szCs w:val="20"/>
        </w:rPr>
        <w:t xml:space="preserve">Sutartis aiškinama, visi joje neaptarti klausimai ir visi ginčai, kylantys iš Sutarties ar su ja susiję, sprendžiami remiantis Lietuvos Respublikos teise. </w:t>
      </w:r>
    </w:p>
    <w:p w14:paraId="5A7BFE67" w14:textId="77777777" w:rsidR="008404D9" w:rsidRPr="005874B2" w:rsidRDefault="008404D9" w:rsidP="00A20904">
      <w:pPr>
        <w:numPr>
          <w:ilvl w:val="1"/>
          <w:numId w:val="24"/>
        </w:numPr>
        <w:tabs>
          <w:tab w:val="left" w:pos="851"/>
          <w:tab w:val="left" w:pos="993"/>
        </w:tabs>
        <w:autoSpaceDN w:val="0"/>
        <w:ind w:left="0" w:right="-68" w:firstLine="567"/>
        <w:jc w:val="both"/>
        <w:rPr>
          <w:sz w:val="20"/>
          <w:szCs w:val="20"/>
        </w:rPr>
      </w:pPr>
      <w:r w:rsidRPr="005874B2">
        <w:rPr>
          <w:sz w:val="20"/>
          <w:szCs w:val="20"/>
        </w:rPr>
        <w:t xml:space="preserve">Visi ginčai, kylantys iš Sutarties ar su ja susiję, sprendžiami derybų būdu. Jei Šalims nepavyksta išspręsti ginčo derybų būdu, ginčas sprendžiamas kompetentingame Lietuvos Respublikos teisme. Teritorinis teismingumas nustatomas pagal Pirkėjo buveinės vietą. </w:t>
      </w:r>
    </w:p>
    <w:p w14:paraId="61DB8909" w14:textId="77777777" w:rsidR="008404D9" w:rsidRPr="005874B2" w:rsidRDefault="008404D9" w:rsidP="008404D9">
      <w:pPr>
        <w:tabs>
          <w:tab w:val="left" w:pos="851"/>
        </w:tabs>
        <w:ind w:firstLine="567"/>
        <w:jc w:val="both"/>
        <w:rPr>
          <w:rFonts w:eastAsiaTheme="minorHAnsi"/>
          <w:sz w:val="20"/>
          <w:szCs w:val="20"/>
        </w:rPr>
      </w:pPr>
    </w:p>
    <w:p w14:paraId="3E251362" w14:textId="77777777" w:rsidR="008404D9" w:rsidRPr="005874B2" w:rsidRDefault="008404D9" w:rsidP="00A20904">
      <w:pPr>
        <w:pStyle w:val="ListParagraph"/>
        <w:numPr>
          <w:ilvl w:val="0"/>
          <w:numId w:val="24"/>
        </w:numPr>
        <w:tabs>
          <w:tab w:val="left" w:pos="851"/>
        </w:tabs>
        <w:ind w:left="0" w:firstLine="567"/>
        <w:jc w:val="both"/>
        <w:rPr>
          <w:rFonts w:eastAsiaTheme="minorHAnsi"/>
          <w:b/>
          <w:sz w:val="20"/>
          <w:szCs w:val="20"/>
        </w:rPr>
      </w:pPr>
      <w:r w:rsidRPr="005874B2">
        <w:rPr>
          <w:rFonts w:eastAsiaTheme="minorHAnsi"/>
          <w:b/>
          <w:sz w:val="20"/>
          <w:szCs w:val="20"/>
        </w:rPr>
        <w:t xml:space="preserve">Subtiekėjai ir jų keitimo tvarka </w:t>
      </w:r>
    </w:p>
    <w:p w14:paraId="2F656CC5" w14:textId="7E3B6FAB" w:rsidR="008404D9" w:rsidRPr="005874B2" w:rsidRDefault="008404D9" w:rsidP="00A20904">
      <w:pPr>
        <w:numPr>
          <w:ilvl w:val="1"/>
          <w:numId w:val="24"/>
        </w:numPr>
        <w:tabs>
          <w:tab w:val="left" w:pos="993"/>
        </w:tabs>
        <w:ind w:left="0" w:firstLine="567"/>
        <w:jc w:val="both"/>
        <w:rPr>
          <w:rFonts w:eastAsiaTheme="minorHAnsi"/>
          <w:sz w:val="20"/>
          <w:szCs w:val="20"/>
        </w:rPr>
      </w:pPr>
      <w:r w:rsidRPr="005874B2">
        <w:rPr>
          <w:rFonts w:eastAsiaTheme="minorHAnsi"/>
          <w:sz w:val="20"/>
          <w:szCs w:val="20"/>
        </w:rPr>
        <w:t xml:space="preserve">Sutartyje numatytų įsipareigojimų vykdymui Tiekėjas ketina pasitelkti šiuos subtiekėjus: </w:t>
      </w:r>
      <w:r w:rsidR="003671E0" w:rsidRPr="005874B2">
        <w:rPr>
          <w:rFonts w:eastAsiaTheme="minorHAnsi"/>
          <w:i/>
          <w:sz w:val="20"/>
          <w:szCs w:val="20"/>
        </w:rPr>
        <w:t>(nurodyti)</w:t>
      </w:r>
    </w:p>
    <w:p w14:paraId="04B46741" w14:textId="7BE0EDB6" w:rsidR="00C52E69" w:rsidRPr="005874B2" w:rsidRDefault="00C52E69" w:rsidP="00A20904">
      <w:pPr>
        <w:numPr>
          <w:ilvl w:val="1"/>
          <w:numId w:val="24"/>
        </w:numPr>
        <w:tabs>
          <w:tab w:val="left" w:pos="993"/>
        </w:tabs>
        <w:ind w:left="0" w:firstLine="567"/>
        <w:jc w:val="both"/>
        <w:rPr>
          <w:rFonts w:eastAsiaTheme="minorHAnsi"/>
          <w:sz w:val="20"/>
          <w:szCs w:val="20"/>
        </w:rPr>
      </w:pPr>
      <w:r w:rsidRPr="005874B2">
        <w:rPr>
          <w:rFonts w:eastAsiaTheme="minorHAnsi"/>
          <w:sz w:val="20"/>
          <w:szCs w:val="20"/>
        </w:rPr>
        <w:t>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w:t>
      </w:r>
    </w:p>
    <w:p w14:paraId="7F0C5414" w14:textId="10313E0E" w:rsidR="00C52E69" w:rsidRPr="005874B2" w:rsidRDefault="00C52E69" w:rsidP="00A20904">
      <w:pPr>
        <w:numPr>
          <w:ilvl w:val="1"/>
          <w:numId w:val="24"/>
        </w:numPr>
        <w:tabs>
          <w:tab w:val="left" w:pos="993"/>
        </w:tabs>
        <w:ind w:left="0" w:firstLine="567"/>
        <w:jc w:val="both"/>
        <w:rPr>
          <w:rFonts w:eastAsiaTheme="minorHAnsi"/>
          <w:sz w:val="20"/>
          <w:szCs w:val="20"/>
        </w:rPr>
      </w:pPr>
      <w:r w:rsidRPr="005874B2">
        <w:rPr>
          <w:rFonts w:eastAsiaTheme="minorHAnsi"/>
          <w:sz w:val="20"/>
          <w:szCs w:val="20"/>
        </w:rPr>
        <w:t xml:space="preserve">Tiekėjas gali keisti Sutarties </w:t>
      </w:r>
      <w:r w:rsidR="00277FDA" w:rsidRPr="005874B2">
        <w:rPr>
          <w:rFonts w:eastAsiaTheme="minorHAnsi"/>
          <w:sz w:val="20"/>
          <w:szCs w:val="20"/>
        </w:rPr>
        <w:t>9</w:t>
      </w:r>
      <w:r w:rsidR="003671E0" w:rsidRPr="005874B2">
        <w:rPr>
          <w:rFonts w:eastAsiaTheme="minorHAnsi"/>
          <w:sz w:val="20"/>
          <w:szCs w:val="20"/>
        </w:rPr>
        <w:t xml:space="preserve">.1 punkte </w:t>
      </w:r>
      <w:r w:rsidRPr="005874B2">
        <w:rPr>
          <w:rFonts w:eastAsiaTheme="minorHAnsi"/>
          <w:sz w:val="20"/>
          <w:szCs w:val="20"/>
        </w:rPr>
        <w:t>nurodytus subtiekėjus tik prieš tai raštu pranešęs Pirkėjui apie tokio keitimo būtinybę ir gavęs jo raštišką sutikimą. Subtiekėjo keitimo tvarkos pažeidimas laikomas esminiu pirkimo sutarties pažeidimu.</w:t>
      </w:r>
    </w:p>
    <w:p w14:paraId="4FA2108F" w14:textId="481F7D37" w:rsidR="00C52E69" w:rsidRPr="005874B2" w:rsidRDefault="00C52E69" w:rsidP="00A20904">
      <w:pPr>
        <w:numPr>
          <w:ilvl w:val="1"/>
          <w:numId w:val="24"/>
        </w:numPr>
        <w:tabs>
          <w:tab w:val="left" w:pos="993"/>
        </w:tabs>
        <w:ind w:left="0" w:firstLine="567"/>
        <w:jc w:val="both"/>
        <w:rPr>
          <w:rFonts w:eastAsiaTheme="minorHAnsi"/>
          <w:sz w:val="20"/>
          <w:szCs w:val="20"/>
        </w:rPr>
      </w:pPr>
      <w:r w:rsidRPr="005874B2">
        <w:rPr>
          <w:rFonts w:eastAsiaTheme="minorHAnsi"/>
          <w:sz w:val="20"/>
          <w:szCs w:val="20"/>
        </w:rPr>
        <w:t>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VPĮ numatytų pašalinimo pagrindų. Tokiu atveju, jeigu subtiekėjo padėtis atitinka bent vieną pagal VPĮ 46 straipsnį nustatytą pašalinimo pagrindą, Pirkėjas reikalauja, kad Tiekėjas per Pirkėjo nustatytą terminą pakeistų minėtą subtiekėją reikalavimus atitinkančiu subtiekėju.</w:t>
      </w:r>
    </w:p>
    <w:p w14:paraId="0A657085" w14:textId="135B0F54" w:rsidR="00C52E69" w:rsidRPr="005874B2" w:rsidRDefault="00C52E69" w:rsidP="00A20904">
      <w:pPr>
        <w:numPr>
          <w:ilvl w:val="1"/>
          <w:numId w:val="24"/>
        </w:numPr>
        <w:tabs>
          <w:tab w:val="left" w:pos="993"/>
        </w:tabs>
        <w:ind w:left="0" w:firstLine="567"/>
        <w:jc w:val="both"/>
        <w:rPr>
          <w:rFonts w:eastAsiaTheme="minorHAnsi"/>
          <w:sz w:val="20"/>
          <w:szCs w:val="20"/>
        </w:rPr>
      </w:pPr>
      <w:r w:rsidRPr="005874B2">
        <w:rPr>
          <w:rFonts w:eastAsiaTheme="minorHAnsi"/>
          <w:sz w:val="20"/>
          <w:szCs w:val="20"/>
        </w:rPr>
        <w:t>Tiekėjo iniciatyva subtiekėjas (-ai) gali būti keičiamas šiais atvejais:</w:t>
      </w:r>
    </w:p>
    <w:p w14:paraId="709A6499" w14:textId="7712421A" w:rsidR="00C52E69" w:rsidRPr="005874B2" w:rsidRDefault="00C52E69" w:rsidP="00A20904">
      <w:pPr>
        <w:numPr>
          <w:ilvl w:val="2"/>
          <w:numId w:val="24"/>
        </w:numPr>
        <w:tabs>
          <w:tab w:val="left" w:pos="1134"/>
        </w:tabs>
        <w:ind w:left="0" w:firstLine="567"/>
        <w:jc w:val="both"/>
        <w:rPr>
          <w:rFonts w:eastAsiaTheme="minorHAnsi"/>
          <w:sz w:val="20"/>
          <w:szCs w:val="20"/>
        </w:rPr>
      </w:pPr>
      <w:r w:rsidRPr="005874B2">
        <w:rPr>
          <w:rFonts w:eastAsiaTheme="minorHAnsi"/>
          <w:sz w:val="20"/>
          <w:szCs w:val="20"/>
        </w:rPr>
        <w:t xml:space="preserve"> kai Tiekėjo subtiekėjas (-ai) bankrutuoja ar yra likviduojamas;</w:t>
      </w:r>
    </w:p>
    <w:p w14:paraId="6E1240F3" w14:textId="4937F6FB" w:rsidR="00C52E69" w:rsidRPr="005874B2" w:rsidRDefault="00C52E69" w:rsidP="00A20904">
      <w:pPr>
        <w:numPr>
          <w:ilvl w:val="2"/>
          <w:numId w:val="24"/>
        </w:numPr>
        <w:tabs>
          <w:tab w:val="left" w:pos="1134"/>
        </w:tabs>
        <w:ind w:left="0" w:firstLine="567"/>
        <w:jc w:val="both"/>
        <w:rPr>
          <w:rFonts w:eastAsiaTheme="minorHAnsi"/>
          <w:sz w:val="20"/>
          <w:szCs w:val="20"/>
        </w:rPr>
      </w:pPr>
      <w:r w:rsidRPr="005874B2">
        <w:rPr>
          <w:rFonts w:eastAsiaTheme="minorHAnsi"/>
          <w:sz w:val="20"/>
          <w:szCs w:val="20"/>
        </w:rPr>
        <w:t>kai Tiekėjo subtiekėjas (-ai) dėl objektyvių priežasčių (nutrūkus teisiniams santykiams su Tiekėju, subtiekėjui (-ams) atsisakius atlikti suteikti paslaugas/pateikti prekes) nebegali atlikti visų ar dalies Sutartyje nurodytų paslaugų teikimo/prekių tiekimo;</w:t>
      </w:r>
    </w:p>
    <w:p w14:paraId="7AE2BCA3" w14:textId="3FABF8FF" w:rsidR="00C52E69" w:rsidRPr="005874B2" w:rsidRDefault="00C52E69" w:rsidP="00A20904">
      <w:pPr>
        <w:numPr>
          <w:ilvl w:val="2"/>
          <w:numId w:val="24"/>
        </w:numPr>
        <w:tabs>
          <w:tab w:val="left" w:pos="1134"/>
        </w:tabs>
        <w:ind w:left="0" w:firstLine="567"/>
        <w:jc w:val="both"/>
        <w:rPr>
          <w:rFonts w:eastAsiaTheme="minorHAnsi"/>
          <w:sz w:val="20"/>
          <w:szCs w:val="20"/>
        </w:rPr>
      </w:pPr>
      <w:r w:rsidRPr="005874B2">
        <w:rPr>
          <w:rFonts w:eastAsiaTheme="minorHAnsi"/>
          <w:sz w:val="20"/>
          <w:szCs w:val="20"/>
        </w:rPr>
        <w:t xml:space="preserve"> kai tai numatyta galiojančiame Viešųjų pirkimų įstatyme.</w:t>
      </w:r>
    </w:p>
    <w:p w14:paraId="437C28A0" w14:textId="3E49E672" w:rsidR="00C52E69" w:rsidRPr="005874B2" w:rsidRDefault="00C52E69" w:rsidP="00A20904">
      <w:pPr>
        <w:numPr>
          <w:ilvl w:val="1"/>
          <w:numId w:val="24"/>
        </w:numPr>
        <w:tabs>
          <w:tab w:val="left" w:pos="993"/>
        </w:tabs>
        <w:ind w:left="0" w:firstLine="567"/>
        <w:jc w:val="both"/>
        <w:rPr>
          <w:rFonts w:eastAsiaTheme="minorHAnsi"/>
          <w:sz w:val="20"/>
          <w:szCs w:val="20"/>
        </w:rPr>
      </w:pPr>
      <w:r w:rsidRPr="005874B2">
        <w:rPr>
          <w:rFonts w:eastAsiaTheme="minorHAnsi"/>
          <w:sz w:val="20"/>
          <w:szCs w:val="20"/>
        </w:rPr>
        <w:t xml:space="preserve">Jei Pirkėjas yra pagrįstai nepatenkintas Sutarties vykdymui paskirtu subtiekėju ar jo kompetencija, Pirkėjas turi teisę raštišku prašymu kreiptis į Tiekėją dėl šio subtiekėjo pakeitimo, nurodydamas motyvus. Tiekėjas, gavęs Pirkėjo prašymą dėl Tiekėjo subtiekėjo pakeitimo, turi pareigą per protingą terminą, bet ne ilgesnį kaip </w:t>
      </w:r>
      <w:r w:rsidR="00454342" w:rsidRPr="005874B2">
        <w:rPr>
          <w:rFonts w:eastAsiaTheme="minorHAnsi"/>
          <w:sz w:val="20"/>
          <w:szCs w:val="20"/>
        </w:rPr>
        <w:t>10</w:t>
      </w:r>
      <w:r w:rsidRPr="005874B2">
        <w:rPr>
          <w:rFonts w:eastAsiaTheme="minorHAnsi"/>
          <w:sz w:val="20"/>
          <w:szCs w:val="20"/>
        </w:rPr>
        <w:t xml:space="preserve"> (</w:t>
      </w:r>
      <w:r w:rsidR="00454342" w:rsidRPr="005874B2">
        <w:rPr>
          <w:rFonts w:eastAsiaTheme="minorHAnsi"/>
          <w:sz w:val="20"/>
          <w:szCs w:val="20"/>
        </w:rPr>
        <w:t>dešimt) dienų</w:t>
      </w:r>
      <w:r w:rsidRPr="005874B2">
        <w:rPr>
          <w:rFonts w:eastAsiaTheme="minorHAnsi"/>
          <w:sz w:val="20"/>
          <w:szCs w:val="20"/>
        </w:rPr>
        <w:t>, pasiūlyti kitą subtiekėją Sutarties vykdymui bei gauti Pirkėjo sutikimą jo paskyrimui.</w:t>
      </w:r>
    </w:p>
    <w:p w14:paraId="0B13973E" w14:textId="32436735" w:rsidR="00C52E69" w:rsidRPr="005874B2" w:rsidRDefault="00C52E69" w:rsidP="00A20904">
      <w:pPr>
        <w:numPr>
          <w:ilvl w:val="1"/>
          <w:numId w:val="24"/>
        </w:numPr>
        <w:tabs>
          <w:tab w:val="left" w:pos="993"/>
        </w:tabs>
        <w:ind w:left="0" w:firstLine="567"/>
        <w:jc w:val="both"/>
        <w:rPr>
          <w:rFonts w:eastAsiaTheme="minorHAnsi"/>
          <w:sz w:val="20"/>
          <w:szCs w:val="20"/>
        </w:rPr>
      </w:pPr>
      <w:r w:rsidRPr="005874B2">
        <w:rPr>
          <w:rFonts w:eastAsiaTheme="minorHAnsi"/>
          <w:sz w:val="20"/>
          <w:szCs w:val="20"/>
        </w:rPr>
        <w:t>Pirkėjui sutikus su subtiekėjo pakeitimu ar naujo subtiekėjo pasitelkimu, Pirkėjas kartu su Tiekėju raštu sudaro susitarimą dėl subtiekėjo pakeitimo ar naujo subtiekėjo pasitelkimo, kurį pasirašo Šalys. Šis susitarimas yra neatskiriama Sutarties dalis.</w:t>
      </w:r>
    </w:p>
    <w:p w14:paraId="3C3958F2" w14:textId="0013C549" w:rsidR="008404D9" w:rsidRPr="005874B2" w:rsidRDefault="008404D9" w:rsidP="00A20904">
      <w:pPr>
        <w:numPr>
          <w:ilvl w:val="1"/>
          <w:numId w:val="24"/>
        </w:numPr>
        <w:tabs>
          <w:tab w:val="left" w:pos="993"/>
        </w:tabs>
        <w:ind w:left="0" w:firstLine="567"/>
        <w:jc w:val="both"/>
        <w:rPr>
          <w:rFonts w:eastAsiaTheme="minorHAnsi"/>
          <w:sz w:val="20"/>
          <w:szCs w:val="20"/>
        </w:rPr>
      </w:pPr>
      <w:r w:rsidRPr="005874B2">
        <w:rPr>
          <w:rFonts w:eastAsiaTheme="minorHAnsi"/>
          <w:sz w:val="20"/>
          <w:szCs w:val="20"/>
        </w:rPr>
        <w:t>Subtiekimas nesukuria sutartinių santykių tarp Pirkėjo ir subtiekėjo. Tiekėjas atsako už savo subtiekėjų veiksmus ar neveikimą. Pirkėjo sutikimas, kad sutartiniams įsipareigojimams vykdyti būtų pasitelkiamas subtiekėjas, neatleidžia Tiekėjo nuo jokių jo įsipareigojimų pagal Sutartį.</w:t>
      </w:r>
    </w:p>
    <w:p w14:paraId="761413D6" w14:textId="6AB72652" w:rsidR="002707B1" w:rsidRPr="005874B2" w:rsidRDefault="002707B1" w:rsidP="008404D9">
      <w:pPr>
        <w:jc w:val="both"/>
        <w:rPr>
          <w:rFonts w:eastAsiaTheme="minorHAnsi"/>
          <w:sz w:val="20"/>
          <w:szCs w:val="20"/>
        </w:rPr>
      </w:pPr>
    </w:p>
    <w:p w14:paraId="0E19759B" w14:textId="77777777" w:rsidR="008404D9" w:rsidRPr="005874B2" w:rsidRDefault="008404D9" w:rsidP="00A20904">
      <w:pPr>
        <w:pStyle w:val="ListParagraph"/>
        <w:numPr>
          <w:ilvl w:val="0"/>
          <w:numId w:val="24"/>
        </w:numPr>
        <w:tabs>
          <w:tab w:val="left" w:pos="709"/>
          <w:tab w:val="left" w:pos="851"/>
        </w:tabs>
        <w:ind w:left="0" w:firstLine="567"/>
        <w:jc w:val="both"/>
        <w:rPr>
          <w:rFonts w:eastAsiaTheme="minorHAnsi"/>
          <w:b/>
          <w:sz w:val="20"/>
          <w:szCs w:val="20"/>
        </w:rPr>
      </w:pPr>
      <w:r w:rsidRPr="005874B2">
        <w:rPr>
          <w:rFonts w:eastAsiaTheme="minorHAnsi"/>
          <w:b/>
          <w:sz w:val="20"/>
          <w:szCs w:val="20"/>
        </w:rPr>
        <w:t>Sutarties galiojimas</w:t>
      </w:r>
    </w:p>
    <w:p w14:paraId="01C17CBA" w14:textId="35EFA350" w:rsidR="008404D9" w:rsidRPr="005874B2" w:rsidRDefault="008404D9" w:rsidP="00A20904">
      <w:pPr>
        <w:numPr>
          <w:ilvl w:val="1"/>
          <w:numId w:val="24"/>
        </w:numPr>
        <w:tabs>
          <w:tab w:val="left" w:pos="851"/>
          <w:tab w:val="left" w:pos="993"/>
        </w:tabs>
        <w:ind w:left="0" w:firstLine="567"/>
        <w:jc w:val="both"/>
        <w:rPr>
          <w:rFonts w:eastAsiaTheme="minorHAnsi"/>
          <w:sz w:val="20"/>
          <w:szCs w:val="20"/>
        </w:rPr>
      </w:pPr>
      <w:r w:rsidRPr="005874B2">
        <w:rPr>
          <w:rFonts w:eastAsiaTheme="minorHAnsi"/>
          <w:sz w:val="20"/>
          <w:szCs w:val="20"/>
        </w:rPr>
        <w:t>Sutartis įsigalioja, kai Sutartį pasirašo abi Sutarties Šalys</w:t>
      </w:r>
      <w:r w:rsidR="00116DAD" w:rsidRPr="005874B2">
        <w:rPr>
          <w:rFonts w:eastAsiaTheme="minorHAnsi"/>
          <w:sz w:val="20"/>
          <w:szCs w:val="20"/>
        </w:rPr>
        <w:t xml:space="preserve"> ir Tiekėjas pateikia Sutarties įvykdymo užtikrinimą</w:t>
      </w:r>
      <w:r w:rsidR="000D35BF" w:rsidRPr="005874B2">
        <w:rPr>
          <w:rFonts w:eastAsiaTheme="minorHAnsi"/>
          <w:sz w:val="20"/>
          <w:szCs w:val="20"/>
        </w:rPr>
        <w:t xml:space="preserve"> </w:t>
      </w:r>
      <w:r w:rsidR="000D35BF" w:rsidRPr="00C61C48">
        <w:rPr>
          <w:rFonts w:eastAsiaTheme="minorHAnsi"/>
          <w:color w:val="000000" w:themeColor="text1"/>
          <w:sz w:val="20"/>
          <w:szCs w:val="20"/>
        </w:rPr>
        <w:t>(</w:t>
      </w:r>
      <w:r w:rsidR="000D35BF" w:rsidRPr="00C61C48">
        <w:rPr>
          <w:rFonts w:eastAsiaTheme="minorHAnsi"/>
          <w:i/>
          <w:color w:val="000000" w:themeColor="text1"/>
          <w:sz w:val="20"/>
          <w:szCs w:val="20"/>
        </w:rPr>
        <w:t>jeigu toks reikalaujamas</w:t>
      </w:r>
      <w:r w:rsidR="000D35BF" w:rsidRPr="00C61C48">
        <w:rPr>
          <w:rFonts w:eastAsiaTheme="minorHAnsi"/>
          <w:color w:val="000000" w:themeColor="text1"/>
          <w:sz w:val="20"/>
          <w:szCs w:val="20"/>
        </w:rPr>
        <w:t>)</w:t>
      </w:r>
      <w:r w:rsidRPr="00C61C48">
        <w:rPr>
          <w:rFonts w:eastAsiaTheme="minorHAnsi"/>
          <w:color w:val="000000" w:themeColor="text1"/>
          <w:sz w:val="20"/>
          <w:szCs w:val="20"/>
        </w:rPr>
        <w:t xml:space="preserve">, ir </w:t>
      </w:r>
      <w:r w:rsidRPr="005874B2">
        <w:rPr>
          <w:rFonts w:eastAsiaTheme="minorHAnsi"/>
          <w:sz w:val="20"/>
          <w:szCs w:val="20"/>
        </w:rPr>
        <w:t>galioja iki kol bus išpirkti Sutarties 1 priede nurodyti maksimalūs Prekių kiekiai, bet ne ilgiau kaip 36 (trisdešimt šešis) mėnesius.</w:t>
      </w:r>
    </w:p>
    <w:p w14:paraId="76DA8EA2" w14:textId="77777777" w:rsidR="008404D9" w:rsidRPr="005874B2" w:rsidRDefault="008404D9" w:rsidP="008404D9">
      <w:pPr>
        <w:contextualSpacing/>
        <w:jc w:val="both"/>
        <w:rPr>
          <w:rFonts w:eastAsiaTheme="minorHAnsi"/>
          <w:sz w:val="20"/>
          <w:szCs w:val="20"/>
        </w:rPr>
      </w:pPr>
    </w:p>
    <w:p w14:paraId="399EDD5B" w14:textId="77777777" w:rsidR="008404D9" w:rsidRPr="005874B2" w:rsidRDefault="008404D9" w:rsidP="00A20904">
      <w:pPr>
        <w:pStyle w:val="ListParagraph"/>
        <w:numPr>
          <w:ilvl w:val="0"/>
          <w:numId w:val="24"/>
        </w:numPr>
        <w:tabs>
          <w:tab w:val="left" w:pos="993"/>
        </w:tabs>
        <w:ind w:left="0" w:firstLine="567"/>
        <w:jc w:val="both"/>
        <w:rPr>
          <w:rFonts w:eastAsiaTheme="minorHAnsi"/>
          <w:b/>
          <w:sz w:val="20"/>
          <w:szCs w:val="20"/>
        </w:rPr>
      </w:pPr>
      <w:r w:rsidRPr="005874B2">
        <w:rPr>
          <w:rFonts w:eastAsiaTheme="minorHAnsi"/>
          <w:b/>
          <w:sz w:val="20"/>
          <w:szCs w:val="20"/>
        </w:rPr>
        <w:t>Asmens duomenų tvarkymas</w:t>
      </w:r>
    </w:p>
    <w:p w14:paraId="1E9ECA3F" w14:textId="77777777" w:rsidR="008404D9" w:rsidRPr="005874B2" w:rsidRDefault="008404D9" w:rsidP="00A20904">
      <w:pPr>
        <w:pStyle w:val="ListParagraph"/>
        <w:numPr>
          <w:ilvl w:val="1"/>
          <w:numId w:val="24"/>
        </w:numPr>
        <w:tabs>
          <w:tab w:val="left" w:pos="1134"/>
        </w:tabs>
        <w:ind w:left="0" w:firstLine="567"/>
        <w:jc w:val="both"/>
        <w:rPr>
          <w:rFonts w:eastAsiaTheme="minorHAnsi"/>
          <w:sz w:val="20"/>
          <w:szCs w:val="20"/>
        </w:rPr>
      </w:pPr>
      <w:r w:rsidRPr="005874B2">
        <w:rPr>
          <w:rFonts w:eastAsiaTheme="minorHAnsi"/>
          <w:sz w:val="20"/>
          <w:szCs w:val="20"/>
        </w:rPr>
        <w:t>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išvardinti Sutartyje, yra supažindinti su Sutartyje pateiktais jų asmeniniais duomenimis, ir Šalies nustatyta tvarka tam davė savo sutikimą.</w:t>
      </w:r>
    </w:p>
    <w:p w14:paraId="3926BA1E" w14:textId="77777777" w:rsidR="008404D9" w:rsidRPr="005874B2" w:rsidRDefault="008404D9" w:rsidP="00A20904">
      <w:pPr>
        <w:numPr>
          <w:ilvl w:val="0"/>
          <w:numId w:val="24"/>
        </w:numPr>
        <w:tabs>
          <w:tab w:val="left" w:pos="993"/>
        </w:tabs>
        <w:ind w:left="0" w:firstLine="567"/>
        <w:contextualSpacing/>
        <w:rPr>
          <w:rFonts w:eastAsiaTheme="minorHAnsi"/>
          <w:b/>
          <w:sz w:val="20"/>
          <w:szCs w:val="20"/>
        </w:rPr>
      </w:pPr>
      <w:r w:rsidRPr="005874B2">
        <w:rPr>
          <w:rFonts w:eastAsiaTheme="minorHAnsi"/>
          <w:b/>
          <w:sz w:val="20"/>
          <w:szCs w:val="20"/>
        </w:rPr>
        <w:lastRenderedPageBreak/>
        <w:t>Baigiamosios nuostatos</w:t>
      </w:r>
    </w:p>
    <w:p w14:paraId="1DBEF4DB" w14:textId="77777777" w:rsidR="008404D9" w:rsidRPr="005874B2" w:rsidRDefault="008404D9" w:rsidP="00A20904">
      <w:pPr>
        <w:pStyle w:val="ListParagraph"/>
        <w:numPr>
          <w:ilvl w:val="1"/>
          <w:numId w:val="24"/>
        </w:numPr>
        <w:tabs>
          <w:tab w:val="left" w:pos="1134"/>
        </w:tabs>
        <w:ind w:left="0" w:firstLine="567"/>
        <w:jc w:val="both"/>
        <w:rPr>
          <w:rFonts w:eastAsiaTheme="minorHAnsi"/>
          <w:sz w:val="20"/>
          <w:szCs w:val="20"/>
        </w:rPr>
      </w:pPr>
      <w:r w:rsidRPr="005874B2">
        <w:rPr>
          <w:rFonts w:eastAsiaTheme="minorHAnsi"/>
          <w:sz w:val="20"/>
          <w:szCs w:val="20"/>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toliau nurodytais adresais ar fakso numeriais, kitais adresais ar fakso numeriais, kuriuos nurodė viena Šalis, pateikdama pranešimą:</w:t>
      </w:r>
    </w:p>
    <w:tbl>
      <w:tblPr>
        <w:tblStyle w:val="TableGrid"/>
        <w:tblW w:w="0" w:type="auto"/>
        <w:tblLook w:val="04A0" w:firstRow="1" w:lastRow="0" w:firstColumn="1" w:lastColumn="0" w:noHBand="0" w:noVBand="1"/>
      </w:tblPr>
      <w:tblGrid>
        <w:gridCol w:w="1871"/>
        <w:gridCol w:w="4018"/>
        <w:gridCol w:w="3739"/>
      </w:tblGrid>
      <w:tr w:rsidR="008404D9" w:rsidRPr="005874B2" w14:paraId="269590D1" w14:textId="77777777" w:rsidTr="00E93FDB">
        <w:tc>
          <w:tcPr>
            <w:tcW w:w="1980" w:type="dxa"/>
          </w:tcPr>
          <w:p w14:paraId="41C434E0" w14:textId="77777777" w:rsidR="008404D9" w:rsidRPr="005874B2" w:rsidRDefault="008404D9" w:rsidP="00E93FDB">
            <w:pPr>
              <w:jc w:val="both"/>
              <w:rPr>
                <w:rFonts w:eastAsiaTheme="minorHAnsi"/>
                <w:sz w:val="20"/>
                <w:szCs w:val="20"/>
              </w:rPr>
            </w:pPr>
          </w:p>
        </w:tc>
        <w:tc>
          <w:tcPr>
            <w:tcW w:w="4224" w:type="dxa"/>
          </w:tcPr>
          <w:p w14:paraId="1F2D3B83" w14:textId="77777777" w:rsidR="008404D9" w:rsidRPr="005874B2" w:rsidRDefault="008404D9" w:rsidP="00E93FDB">
            <w:pPr>
              <w:jc w:val="center"/>
              <w:rPr>
                <w:rFonts w:eastAsiaTheme="minorHAnsi"/>
                <w:sz w:val="20"/>
                <w:szCs w:val="20"/>
              </w:rPr>
            </w:pPr>
            <w:r w:rsidRPr="005874B2">
              <w:rPr>
                <w:rFonts w:eastAsiaTheme="minorHAnsi"/>
                <w:sz w:val="20"/>
                <w:szCs w:val="20"/>
              </w:rPr>
              <w:t>Pirkėjo atstovas, atsakingas už Sutarties vykdymą</w:t>
            </w:r>
          </w:p>
        </w:tc>
        <w:tc>
          <w:tcPr>
            <w:tcW w:w="3970" w:type="dxa"/>
          </w:tcPr>
          <w:p w14:paraId="2550C4AB" w14:textId="77777777" w:rsidR="008404D9" w:rsidRPr="005874B2" w:rsidRDefault="008404D9" w:rsidP="00E93FDB">
            <w:pPr>
              <w:jc w:val="center"/>
              <w:rPr>
                <w:rFonts w:eastAsiaTheme="minorHAnsi"/>
                <w:sz w:val="20"/>
                <w:szCs w:val="20"/>
              </w:rPr>
            </w:pPr>
            <w:r w:rsidRPr="00772397">
              <w:rPr>
                <w:rFonts w:eastAsiaTheme="minorHAnsi"/>
                <w:sz w:val="20"/>
                <w:szCs w:val="20"/>
              </w:rPr>
              <w:t>Tiekėjo atstovas, atsakingas už Sutarties vykdymą</w:t>
            </w:r>
          </w:p>
        </w:tc>
      </w:tr>
      <w:tr w:rsidR="008404D9" w:rsidRPr="005874B2" w14:paraId="10DE0BFF" w14:textId="77777777" w:rsidTr="00E93FDB">
        <w:tc>
          <w:tcPr>
            <w:tcW w:w="1980" w:type="dxa"/>
          </w:tcPr>
          <w:p w14:paraId="52E15A59" w14:textId="77777777" w:rsidR="008404D9" w:rsidRPr="005874B2" w:rsidRDefault="008404D9" w:rsidP="00E93FDB">
            <w:pPr>
              <w:jc w:val="right"/>
              <w:rPr>
                <w:rFonts w:eastAsiaTheme="minorHAnsi"/>
                <w:sz w:val="20"/>
                <w:szCs w:val="20"/>
              </w:rPr>
            </w:pPr>
            <w:r w:rsidRPr="005874B2">
              <w:rPr>
                <w:rFonts w:eastAsiaTheme="minorHAnsi"/>
                <w:sz w:val="20"/>
                <w:szCs w:val="20"/>
              </w:rPr>
              <w:t>Pareigos:</w:t>
            </w:r>
          </w:p>
        </w:tc>
        <w:tc>
          <w:tcPr>
            <w:tcW w:w="4224" w:type="dxa"/>
          </w:tcPr>
          <w:p w14:paraId="2A53D98E" w14:textId="431BAD0E" w:rsidR="008404D9" w:rsidRPr="005874B2" w:rsidRDefault="00C61C48" w:rsidP="00E93FDB">
            <w:pPr>
              <w:jc w:val="both"/>
              <w:rPr>
                <w:rFonts w:eastAsiaTheme="minorHAnsi"/>
                <w:sz w:val="20"/>
                <w:szCs w:val="20"/>
              </w:rPr>
            </w:pPr>
            <w:r>
              <w:rPr>
                <w:rFonts w:eastAsiaTheme="minorHAnsi"/>
                <w:sz w:val="20"/>
                <w:szCs w:val="20"/>
              </w:rPr>
              <w:t>Sandėlininkas</w:t>
            </w:r>
          </w:p>
        </w:tc>
        <w:tc>
          <w:tcPr>
            <w:tcW w:w="3970" w:type="dxa"/>
          </w:tcPr>
          <w:p w14:paraId="6DCDF287" w14:textId="0BF73B05" w:rsidR="008404D9" w:rsidRPr="005874B2" w:rsidRDefault="00BA7C6D" w:rsidP="00E93FDB">
            <w:pPr>
              <w:jc w:val="both"/>
              <w:rPr>
                <w:rFonts w:eastAsiaTheme="minorHAnsi"/>
                <w:sz w:val="20"/>
                <w:szCs w:val="20"/>
              </w:rPr>
            </w:pPr>
            <w:r>
              <w:rPr>
                <w:rFonts w:eastAsiaTheme="minorHAnsi"/>
                <w:sz w:val="20"/>
                <w:szCs w:val="20"/>
              </w:rPr>
              <w:t>Vadybininkė</w:t>
            </w:r>
          </w:p>
        </w:tc>
      </w:tr>
      <w:tr w:rsidR="008404D9" w:rsidRPr="005874B2" w14:paraId="42EA2D43" w14:textId="77777777" w:rsidTr="00E93FDB">
        <w:tc>
          <w:tcPr>
            <w:tcW w:w="1980" w:type="dxa"/>
          </w:tcPr>
          <w:p w14:paraId="317EFF4B" w14:textId="77777777" w:rsidR="008404D9" w:rsidRPr="005874B2" w:rsidRDefault="008404D9" w:rsidP="00E93FDB">
            <w:pPr>
              <w:jc w:val="right"/>
              <w:rPr>
                <w:rFonts w:eastAsiaTheme="minorHAnsi"/>
                <w:sz w:val="20"/>
                <w:szCs w:val="20"/>
              </w:rPr>
            </w:pPr>
            <w:r w:rsidRPr="005874B2">
              <w:rPr>
                <w:rFonts w:eastAsiaTheme="minorHAnsi"/>
                <w:sz w:val="20"/>
                <w:szCs w:val="20"/>
              </w:rPr>
              <w:t>Vardas, Pavardė:</w:t>
            </w:r>
          </w:p>
        </w:tc>
        <w:tc>
          <w:tcPr>
            <w:tcW w:w="4224" w:type="dxa"/>
          </w:tcPr>
          <w:p w14:paraId="7014A8ED" w14:textId="760F547A" w:rsidR="008404D9" w:rsidRPr="005874B2" w:rsidRDefault="00C61C48" w:rsidP="00E93FDB">
            <w:pPr>
              <w:jc w:val="both"/>
              <w:rPr>
                <w:rFonts w:eastAsiaTheme="minorHAnsi"/>
                <w:sz w:val="20"/>
                <w:szCs w:val="20"/>
              </w:rPr>
            </w:pPr>
            <w:r>
              <w:rPr>
                <w:rFonts w:eastAsiaTheme="minorHAnsi"/>
                <w:sz w:val="20"/>
                <w:szCs w:val="20"/>
              </w:rPr>
              <w:t>Egidijus Mečionis</w:t>
            </w:r>
          </w:p>
        </w:tc>
        <w:tc>
          <w:tcPr>
            <w:tcW w:w="3970" w:type="dxa"/>
          </w:tcPr>
          <w:p w14:paraId="63A16D47" w14:textId="61F37D93" w:rsidR="008404D9" w:rsidRPr="005874B2" w:rsidRDefault="00BA7C6D" w:rsidP="00E93FDB">
            <w:pPr>
              <w:jc w:val="both"/>
              <w:rPr>
                <w:rFonts w:eastAsiaTheme="minorHAnsi"/>
                <w:sz w:val="20"/>
                <w:szCs w:val="20"/>
              </w:rPr>
            </w:pPr>
            <w:r>
              <w:rPr>
                <w:rFonts w:eastAsiaTheme="minorHAnsi"/>
                <w:sz w:val="20"/>
                <w:szCs w:val="20"/>
              </w:rPr>
              <w:t>Greta Petraitienė</w:t>
            </w:r>
          </w:p>
        </w:tc>
      </w:tr>
      <w:tr w:rsidR="008404D9" w:rsidRPr="005874B2" w14:paraId="178A0865" w14:textId="77777777" w:rsidTr="00E93FDB">
        <w:tc>
          <w:tcPr>
            <w:tcW w:w="1980" w:type="dxa"/>
          </w:tcPr>
          <w:p w14:paraId="2CD72F78" w14:textId="77777777" w:rsidR="008404D9" w:rsidRPr="005874B2" w:rsidRDefault="008404D9" w:rsidP="00E93FDB">
            <w:pPr>
              <w:tabs>
                <w:tab w:val="center" w:pos="1587"/>
              </w:tabs>
              <w:jc w:val="right"/>
              <w:rPr>
                <w:rFonts w:eastAsiaTheme="minorHAnsi"/>
                <w:sz w:val="20"/>
                <w:szCs w:val="20"/>
              </w:rPr>
            </w:pPr>
            <w:r w:rsidRPr="005874B2">
              <w:rPr>
                <w:rFonts w:eastAsiaTheme="minorHAnsi"/>
                <w:sz w:val="20"/>
                <w:szCs w:val="20"/>
              </w:rPr>
              <w:t>Tel.:</w:t>
            </w:r>
          </w:p>
        </w:tc>
        <w:tc>
          <w:tcPr>
            <w:tcW w:w="4224" w:type="dxa"/>
          </w:tcPr>
          <w:p w14:paraId="5644D70C" w14:textId="3D5D596C" w:rsidR="008404D9" w:rsidRPr="005874B2" w:rsidRDefault="00C61C48" w:rsidP="00E93FDB">
            <w:pPr>
              <w:jc w:val="both"/>
              <w:rPr>
                <w:rFonts w:eastAsiaTheme="minorHAnsi"/>
                <w:sz w:val="20"/>
                <w:szCs w:val="20"/>
              </w:rPr>
            </w:pPr>
            <w:r>
              <w:rPr>
                <w:rFonts w:eastAsiaTheme="minorHAnsi"/>
                <w:sz w:val="20"/>
                <w:szCs w:val="20"/>
              </w:rPr>
              <w:t>8 600 64574</w:t>
            </w:r>
          </w:p>
        </w:tc>
        <w:tc>
          <w:tcPr>
            <w:tcW w:w="3970" w:type="dxa"/>
          </w:tcPr>
          <w:p w14:paraId="29FADA00" w14:textId="4A961A50" w:rsidR="008404D9" w:rsidRPr="005874B2" w:rsidRDefault="00BA7C6D" w:rsidP="00E93FDB">
            <w:pPr>
              <w:jc w:val="both"/>
              <w:rPr>
                <w:rFonts w:eastAsiaTheme="minorHAnsi"/>
                <w:sz w:val="20"/>
                <w:szCs w:val="20"/>
              </w:rPr>
            </w:pPr>
            <w:r>
              <w:rPr>
                <w:rFonts w:eastAsiaTheme="minorHAnsi"/>
                <w:sz w:val="20"/>
                <w:szCs w:val="20"/>
              </w:rPr>
              <w:t>8 692 05956</w:t>
            </w:r>
          </w:p>
        </w:tc>
      </w:tr>
      <w:tr w:rsidR="008404D9" w:rsidRPr="005874B2" w14:paraId="4044C767" w14:textId="77777777" w:rsidTr="00E93FDB">
        <w:tc>
          <w:tcPr>
            <w:tcW w:w="1980" w:type="dxa"/>
          </w:tcPr>
          <w:p w14:paraId="2570CEBA" w14:textId="77777777" w:rsidR="008404D9" w:rsidRPr="005874B2" w:rsidRDefault="008404D9" w:rsidP="00E93FDB">
            <w:pPr>
              <w:jc w:val="right"/>
              <w:rPr>
                <w:rFonts w:eastAsiaTheme="minorHAnsi"/>
                <w:sz w:val="20"/>
                <w:szCs w:val="20"/>
              </w:rPr>
            </w:pPr>
            <w:r w:rsidRPr="005874B2">
              <w:rPr>
                <w:rFonts w:eastAsiaTheme="minorHAnsi"/>
                <w:sz w:val="20"/>
                <w:szCs w:val="20"/>
              </w:rPr>
              <w:t>El. p.:</w:t>
            </w:r>
          </w:p>
        </w:tc>
        <w:tc>
          <w:tcPr>
            <w:tcW w:w="4224" w:type="dxa"/>
          </w:tcPr>
          <w:p w14:paraId="73B78CB6" w14:textId="3EDB26EE" w:rsidR="008404D9" w:rsidRPr="00C61C48" w:rsidRDefault="008A1A48" w:rsidP="00E93FDB">
            <w:pPr>
              <w:jc w:val="both"/>
              <w:rPr>
                <w:rFonts w:eastAsiaTheme="minorHAnsi"/>
                <w:sz w:val="20"/>
                <w:szCs w:val="20"/>
                <w:lang w:val="en-US"/>
              </w:rPr>
            </w:pPr>
            <w:hyperlink r:id="rId8" w:history="1">
              <w:r w:rsidR="00C61C48" w:rsidRPr="00F832A0">
                <w:rPr>
                  <w:rStyle w:val="Hyperlink"/>
                  <w:rFonts w:eastAsiaTheme="minorHAnsi"/>
                  <w:sz w:val="20"/>
                  <w:szCs w:val="20"/>
                </w:rPr>
                <w:t>egidijus.mecionis</w:t>
              </w:r>
              <w:r w:rsidR="00C61C48" w:rsidRPr="00F832A0">
                <w:rPr>
                  <w:rStyle w:val="Hyperlink"/>
                  <w:rFonts w:eastAsiaTheme="minorHAnsi"/>
                  <w:sz w:val="20"/>
                  <w:szCs w:val="20"/>
                  <w:lang w:val="en-US"/>
                </w:rPr>
                <w:t>@rvpl.lt</w:t>
              </w:r>
            </w:hyperlink>
            <w:r w:rsidR="00C61C48">
              <w:rPr>
                <w:rFonts w:eastAsiaTheme="minorHAnsi"/>
                <w:sz w:val="20"/>
                <w:szCs w:val="20"/>
                <w:lang w:val="en-US"/>
              </w:rPr>
              <w:t xml:space="preserve"> </w:t>
            </w:r>
          </w:p>
        </w:tc>
        <w:tc>
          <w:tcPr>
            <w:tcW w:w="3970" w:type="dxa"/>
          </w:tcPr>
          <w:p w14:paraId="639E0578" w14:textId="7C3388A9" w:rsidR="008404D9" w:rsidRPr="00BA7C6D" w:rsidRDefault="008A1A48" w:rsidP="00E93FDB">
            <w:pPr>
              <w:jc w:val="both"/>
              <w:rPr>
                <w:rFonts w:eastAsiaTheme="minorHAnsi"/>
                <w:sz w:val="20"/>
                <w:szCs w:val="20"/>
                <w:lang w:val="en-US"/>
              </w:rPr>
            </w:pPr>
            <w:hyperlink r:id="rId9" w:history="1">
              <w:r w:rsidR="00BA7C6D" w:rsidRPr="00407EBC">
                <w:rPr>
                  <w:rStyle w:val="Hyperlink"/>
                  <w:rFonts w:eastAsiaTheme="minorHAnsi"/>
                  <w:sz w:val="20"/>
                  <w:szCs w:val="20"/>
                </w:rPr>
                <w:t>greta</w:t>
              </w:r>
              <w:r w:rsidR="00BA7C6D" w:rsidRPr="00407EBC">
                <w:rPr>
                  <w:rStyle w:val="Hyperlink"/>
                  <w:rFonts w:eastAsiaTheme="minorHAnsi"/>
                  <w:sz w:val="20"/>
                  <w:szCs w:val="20"/>
                  <w:lang w:val="en-US"/>
                </w:rPr>
                <w:t>@tandemus.eu</w:t>
              </w:r>
            </w:hyperlink>
            <w:r w:rsidR="00BA7C6D">
              <w:rPr>
                <w:rFonts w:eastAsiaTheme="minorHAnsi"/>
                <w:sz w:val="20"/>
                <w:szCs w:val="20"/>
                <w:lang w:val="en-US"/>
              </w:rPr>
              <w:t xml:space="preserve"> </w:t>
            </w:r>
          </w:p>
        </w:tc>
      </w:tr>
    </w:tbl>
    <w:p w14:paraId="1B636006" w14:textId="3020A37C" w:rsidR="00BA7C6D" w:rsidRDefault="00BA7C6D" w:rsidP="00A20904">
      <w:pPr>
        <w:pStyle w:val="ListParagraph"/>
        <w:numPr>
          <w:ilvl w:val="1"/>
          <w:numId w:val="24"/>
        </w:numPr>
        <w:tabs>
          <w:tab w:val="left" w:pos="1134"/>
        </w:tabs>
        <w:overflowPunct w:val="0"/>
        <w:autoSpaceDE w:val="0"/>
        <w:autoSpaceDN w:val="0"/>
        <w:adjustRightInd w:val="0"/>
        <w:ind w:left="0" w:firstLine="567"/>
        <w:jc w:val="both"/>
        <w:rPr>
          <w:rFonts w:eastAsiaTheme="minorHAnsi"/>
          <w:sz w:val="20"/>
          <w:szCs w:val="20"/>
        </w:rPr>
      </w:pPr>
      <w:r>
        <w:rPr>
          <w:rFonts w:eastAsiaTheme="minorHAnsi"/>
          <w:sz w:val="20"/>
          <w:szCs w:val="20"/>
        </w:rPr>
        <w:t xml:space="preserve">Užsakymus priimantis asmuo: šaldytų produktų padalinio vadovė Vilma Baublienė, tel. Nr. 8 640 33373, el. p. </w:t>
      </w:r>
      <w:hyperlink r:id="rId10" w:history="1">
        <w:r w:rsidRPr="00407EBC">
          <w:rPr>
            <w:rStyle w:val="Hyperlink"/>
            <w:rFonts w:eastAsiaTheme="minorHAnsi"/>
            <w:sz w:val="20"/>
            <w:szCs w:val="20"/>
          </w:rPr>
          <w:t>uzsakymai</w:t>
        </w:r>
        <w:r w:rsidRPr="00407EBC">
          <w:rPr>
            <w:rStyle w:val="Hyperlink"/>
            <w:rFonts w:eastAsiaTheme="minorHAnsi"/>
            <w:sz w:val="20"/>
            <w:szCs w:val="20"/>
            <w:lang w:val="en-US"/>
          </w:rPr>
          <w:t>@tandemus.eu</w:t>
        </w:r>
      </w:hyperlink>
      <w:r>
        <w:rPr>
          <w:rFonts w:eastAsiaTheme="minorHAnsi"/>
          <w:sz w:val="20"/>
          <w:szCs w:val="20"/>
          <w:lang w:val="en-US"/>
        </w:rPr>
        <w:t xml:space="preserve"> </w:t>
      </w:r>
    </w:p>
    <w:p w14:paraId="29A28918" w14:textId="737CF22B" w:rsidR="008404D9" w:rsidRPr="005874B2" w:rsidRDefault="008404D9" w:rsidP="00A20904">
      <w:pPr>
        <w:pStyle w:val="ListParagraph"/>
        <w:numPr>
          <w:ilvl w:val="1"/>
          <w:numId w:val="24"/>
        </w:numPr>
        <w:tabs>
          <w:tab w:val="left" w:pos="1134"/>
        </w:tabs>
        <w:overflowPunct w:val="0"/>
        <w:autoSpaceDE w:val="0"/>
        <w:autoSpaceDN w:val="0"/>
        <w:adjustRightInd w:val="0"/>
        <w:ind w:left="0" w:firstLine="567"/>
        <w:jc w:val="both"/>
        <w:rPr>
          <w:rFonts w:eastAsiaTheme="minorHAnsi"/>
          <w:sz w:val="20"/>
          <w:szCs w:val="20"/>
        </w:rPr>
      </w:pPr>
      <w:r w:rsidRPr="005874B2">
        <w:rPr>
          <w:rFonts w:eastAsiaTheme="minorHAnsi"/>
          <w:sz w:val="20"/>
          <w:szCs w:val="20"/>
        </w:rPr>
        <w:t>Asmuo, atsakingas už tai, kad Sutartis ir jos pakeitimai būtų paskelbti VPĮ nustatyta tvarka:</w:t>
      </w:r>
      <w:r w:rsidR="00466014" w:rsidRPr="005874B2">
        <w:rPr>
          <w:rFonts w:eastAsiaTheme="minorHAnsi"/>
          <w:sz w:val="20"/>
          <w:szCs w:val="20"/>
        </w:rPr>
        <w:t xml:space="preserve"> </w:t>
      </w:r>
      <w:r w:rsidR="00C61C48">
        <w:rPr>
          <w:rFonts w:eastAsiaTheme="minorHAnsi"/>
          <w:sz w:val="20"/>
          <w:szCs w:val="20"/>
        </w:rPr>
        <w:t xml:space="preserve">viešųjų pirkimų specialistė Audra Žurauskaitė-Kleinauskienė, tel. 8 645 75675, el. p. </w:t>
      </w:r>
      <w:hyperlink r:id="rId11" w:history="1">
        <w:r w:rsidR="00C61C48" w:rsidRPr="00F832A0">
          <w:rPr>
            <w:rStyle w:val="Hyperlink"/>
            <w:rFonts w:eastAsiaTheme="minorHAnsi"/>
            <w:sz w:val="20"/>
            <w:szCs w:val="20"/>
          </w:rPr>
          <w:t>audra.zurauskaite</w:t>
        </w:r>
        <w:r w:rsidR="00C61C48" w:rsidRPr="00F832A0">
          <w:rPr>
            <w:rStyle w:val="Hyperlink"/>
            <w:rFonts w:eastAsiaTheme="minorHAnsi"/>
            <w:sz w:val="20"/>
            <w:szCs w:val="20"/>
            <w:lang w:val="en-US"/>
          </w:rPr>
          <w:t>@rvpl.lt</w:t>
        </w:r>
      </w:hyperlink>
      <w:r w:rsidR="00C61C48">
        <w:rPr>
          <w:rFonts w:eastAsiaTheme="minorHAnsi"/>
          <w:sz w:val="20"/>
          <w:szCs w:val="20"/>
          <w:lang w:val="en-US"/>
        </w:rPr>
        <w:t xml:space="preserve"> </w:t>
      </w:r>
    </w:p>
    <w:p w14:paraId="5B722CEB" w14:textId="77777777" w:rsidR="008404D9" w:rsidRPr="005874B2" w:rsidRDefault="008404D9" w:rsidP="00A20904">
      <w:pPr>
        <w:pStyle w:val="ListParagraph"/>
        <w:numPr>
          <w:ilvl w:val="1"/>
          <w:numId w:val="24"/>
        </w:numPr>
        <w:tabs>
          <w:tab w:val="left" w:pos="851"/>
          <w:tab w:val="left" w:pos="1134"/>
        </w:tabs>
        <w:overflowPunct w:val="0"/>
        <w:autoSpaceDE w:val="0"/>
        <w:autoSpaceDN w:val="0"/>
        <w:adjustRightInd w:val="0"/>
        <w:ind w:left="0" w:firstLine="567"/>
        <w:jc w:val="both"/>
        <w:rPr>
          <w:rFonts w:eastAsiaTheme="minorHAnsi"/>
          <w:sz w:val="20"/>
          <w:szCs w:val="20"/>
        </w:rPr>
      </w:pPr>
      <w:r w:rsidRPr="005874B2">
        <w:rPr>
          <w:rFonts w:eastAsiaTheme="minorHAnsi"/>
          <w:sz w:val="20"/>
          <w:szCs w:val="20"/>
        </w:rPr>
        <w:t>Jei pasikeičia Šalies adresas ir/ar kiti duomenys,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6320CFC" w14:textId="77777777" w:rsidR="008404D9" w:rsidRPr="005874B2" w:rsidRDefault="008404D9" w:rsidP="00A20904">
      <w:pPr>
        <w:numPr>
          <w:ilvl w:val="1"/>
          <w:numId w:val="24"/>
        </w:numPr>
        <w:tabs>
          <w:tab w:val="left" w:pos="851"/>
          <w:tab w:val="left" w:pos="1134"/>
        </w:tabs>
        <w:overflowPunct w:val="0"/>
        <w:autoSpaceDE w:val="0"/>
        <w:autoSpaceDN w:val="0"/>
        <w:adjustRightInd w:val="0"/>
        <w:ind w:left="0" w:firstLine="567"/>
        <w:jc w:val="both"/>
        <w:rPr>
          <w:rFonts w:eastAsiaTheme="minorHAnsi"/>
          <w:sz w:val="20"/>
          <w:szCs w:val="20"/>
        </w:rPr>
      </w:pPr>
      <w:r w:rsidRPr="005874B2">
        <w:rPr>
          <w:rFonts w:eastAsiaTheme="minorHAnsi"/>
          <w:sz w:val="20"/>
          <w:szCs w:val="20"/>
        </w:rPr>
        <w:t>Sutartis sudaryta lietuvių kalba, dviem vienodą juridinę galią turinčiais egzemplioriais – po vieną kiekvienai Šaliai.</w:t>
      </w:r>
    </w:p>
    <w:p w14:paraId="092902AE" w14:textId="77777777" w:rsidR="008404D9" w:rsidRPr="005874B2" w:rsidRDefault="008404D9" w:rsidP="00A20904">
      <w:pPr>
        <w:numPr>
          <w:ilvl w:val="1"/>
          <w:numId w:val="24"/>
        </w:numPr>
        <w:tabs>
          <w:tab w:val="left" w:pos="851"/>
          <w:tab w:val="left" w:pos="1134"/>
        </w:tabs>
        <w:overflowPunct w:val="0"/>
        <w:autoSpaceDE w:val="0"/>
        <w:autoSpaceDN w:val="0"/>
        <w:adjustRightInd w:val="0"/>
        <w:ind w:left="0" w:firstLine="567"/>
        <w:rPr>
          <w:rFonts w:eastAsiaTheme="minorHAnsi"/>
          <w:sz w:val="20"/>
          <w:szCs w:val="20"/>
        </w:rPr>
      </w:pPr>
      <w:r w:rsidRPr="005874B2">
        <w:rPr>
          <w:rFonts w:eastAsiaTheme="minorHAnsi"/>
          <w:sz w:val="20"/>
          <w:szCs w:val="20"/>
        </w:rPr>
        <w:t>Šią Sutartį sudaro Sutartis ir jos priedai:</w:t>
      </w:r>
    </w:p>
    <w:p w14:paraId="05588C9B" w14:textId="77777777" w:rsidR="008404D9" w:rsidRPr="005874B2" w:rsidRDefault="008404D9" w:rsidP="00A20904">
      <w:pPr>
        <w:numPr>
          <w:ilvl w:val="2"/>
          <w:numId w:val="24"/>
        </w:numPr>
        <w:tabs>
          <w:tab w:val="left" w:pos="851"/>
          <w:tab w:val="left" w:pos="1134"/>
        </w:tabs>
        <w:overflowPunct w:val="0"/>
        <w:autoSpaceDE w:val="0"/>
        <w:autoSpaceDN w:val="0"/>
        <w:adjustRightInd w:val="0"/>
        <w:ind w:left="0" w:firstLine="567"/>
        <w:rPr>
          <w:rFonts w:eastAsiaTheme="minorHAnsi"/>
          <w:sz w:val="20"/>
          <w:szCs w:val="20"/>
        </w:rPr>
      </w:pPr>
      <w:r w:rsidRPr="005874B2">
        <w:rPr>
          <w:rFonts w:eastAsiaTheme="minorHAnsi"/>
          <w:sz w:val="20"/>
          <w:szCs w:val="20"/>
        </w:rPr>
        <w:t>Techninė specifikacija (1 priedas).</w:t>
      </w:r>
    </w:p>
    <w:p w14:paraId="3116BD0C" w14:textId="77777777" w:rsidR="008404D9" w:rsidRPr="005874B2" w:rsidRDefault="008404D9" w:rsidP="008404D9">
      <w:pPr>
        <w:ind w:firstLine="567"/>
        <w:rPr>
          <w:rFonts w:eastAsiaTheme="minorHAnsi"/>
          <w:sz w:val="20"/>
          <w:szCs w:val="20"/>
        </w:rPr>
      </w:pPr>
    </w:p>
    <w:p w14:paraId="505F4BAD" w14:textId="77777777" w:rsidR="008404D9" w:rsidRPr="005874B2" w:rsidRDefault="008404D9" w:rsidP="00A20904">
      <w:pPr>
        <w:pStyle w:val="ListParagraph"/>
        <w:numPr>
          <w:ilvl w:val="0"/>
          <w:numId w:val="24"/>
        </w:numPr>
        <w:tabs>
          <w:tab w:val="left" w:pos="426"/>
          <w:tab w:val="left" w:pos="851"/>
        </w:tabs>
        <w:ind w:left="0" w:firstLine="567"/>
        <w:jc w:val="both"/>
        <w:rPr>
          <w:rFonts w:eastAsiaTheme="minorHAnsi"/>
          <w:b/>
          <w:sz w:val="20"/>
          <w:szCs w:val="20"/>
        </w:rPr>
      </w:pPr>
      <w:r w:rsidRPr="005874B2">
        <w:rPr>
          <w:rFonts w:eastAsiaTheme="minorHAnsi"/>
          <w:b/>
          <w:sz w:val="20"/>
          <w:szCs w:val="20"/>
        </w:rPr>
        <w:t>Šalių rekvizitai ir parašai:</w:t>
      </w:r>
    </w:p>
    <w:p w14:paraId="72E70F46" w14:textId="77777777" w:rsidR="008404D9" w:rsidRPr="005874B2" w:rsidRDefault="008404D9" w:rsidP="008404D9">
      <w:pPr>
        <w:rPr>
          <w:sz w:val="20"/>
          <w:szCs w:val="20"/>
        </w:rPr>
      </w:pPr>
    </w:p>
    <w:tbl>
      <w:tblPr>
        <w:tblStyle w:val="TableGrid3"/>
        <w:tblW w:w="0" w:type="auto"/>
        <w:tblLook w:val="04A0" w:firstRow="1" w:lastRow="0" w:firstColumn="1" w:lastColumn="0" w:noHBand="0" w:noVBand="1"/>
      </w:tblPr>
      <w:tblGrid>
        <w:gridCol w:w="4664"/>
        <w:gridCol w:w="816"/>
        <w:gridCol w:w="4158"/>
      </w:tblGrid>
      <w:tr w:rsidR="008404D9" w:rsidRPr="005874B2" w14:paraId="1D32468D" w14:textId="77777777" w:rsidTr="00E93FDB">
        <w:tc>
          <w:tcPr>
            <w:tcW w:w="4791" w:type="dxa"/>
            <w:tcBorders>
              <w:top w:val="nil"/>
              <w:left w:val="nil"/>
              <w:bottom w:val="nil"/>
              <w:right w:val="nil"/>
            </w:tcBorders>
            <w:hideMark/>
          </w:tcPr>
          <w:p w14:paraId="2541F20F" w14:textId="77777777" w:rsidR="008404D9" w:rsidRPr="005874B2" w:rsidRDefault="008404D9" w:rsidP="00E93FDB">
            <w:pPr>
              <w:tabs>
                <w:tab w:val="left" w:pos="851"/>
                <w:tab w:val="left" w:pos="993"/>
              </w:tabs>
              <w:suppressAutoHyphens/>
              <w:ind w:left="709" w:hanging="709"/>
              <w:rPr>
                <w:rFonts w:eastAsia="Calibri"/>
                <w:b/>
                <w:sz w:val="20"/>
                <w:szCs w:val="20"/>
              </w:rPr>
            </w:pPr>
            <w:r w:rsidRPr="005874B2">
              <w:rPr>
                <w:rFonts w:eastAsia="Calibri"/>
                <w:b/>
                <w:sz w:val="20"/>
                <w:szCs w:val="20"/>
              </w:rPr>
              <w:t>PIRKĖJAS</w:t>
            </w:r>
          </w:p>
        </w:tc>
        <w:tc>
          <w:tcPr>
            <w:tcW w:w="846" w:type="dxa"/>
            <w:tcBorders>
              <w:top w:val="nil"/>
              <w:left w:val="nil"/>
              <w:bottom w:val="nil"/>
              <w:right w:val="nil"/>
            </w:tcBorders>
          </w:tcPr>
          <w:p w14:paraId="6DEFE637" w14:textId="77777777" w:rsidR="008404D9" w:rsidRPr="005874B2" w:rsidRDefault="008404D9" w:rsidP="00E93FDB">
            <w:pPr>
              <w:tabs>
                <w:tab w:val="left" w:pos="851"/>
                <w:tab w:val="left" w:pos="993"/>
              </w:tabs>
              <w:suppressAutoHyphens/>
              <w:ind w:left="709" w:hanging="709"/>
              <w:jc w:val="center"/>
              <w:rPr>
                <w:rFonts w:eastAsia="Calibri"/>
                <w:b/>
                <w:sz w:val="20"/>
                <w:szCs w:val="20"/>
              </w:rPr>
            </w:pPr>
          </w:p>
        </w:tc>
        <w:tc>
          <w:tcPr>
            <w:tcW w:w="4218" w:type="dxa"/>
            <w:tcBorders>
              <w:top w:val="nil"/>
              <w:left w:val="nil"/>
              <w:bottom w:val="nil"/>
              <w:right w:val="nil"/>
            </w:tcBorders>
            <w:hideMark/>
          </w:tcPr>
          <w:p w14:paraId="275FB1BC" w14:textId="77777777" w:rsidR="008404D9" w:rsidRPr="005874B2" w:rsidRDefault="008404D9" w:rsidP="00E93FDB">
            <w:pPr>
              <w:tabs>
                <w:tab w:val="left" w:pos="851"/>
                <w:tab w:val="left" w:pos="993"/>
              </w:tabs>
              <w:suppressAutoHyphens/>
              <w:ind w:left="709" w:hanging="709"/>
              <w:rPr>
                <w:rFonts w:eastAsia="Calibri"/>
                <w:b/>
                <w:sz w:val="20"/>
                <w:szCs w:val="20"/>
              </w:rPr>
            </w:pPr>
            <w:r w:rsidRPr="005874B2">
              <w:rPr>
                <w:rFonts w:eastAsia="Calibri"/>
                <w:b/>
                <w:sz w:val="20"/>
                <w:szCs w:val="20"/>
              </w:rPr>
              <w:t>TIEKĖJAS</w:t>
            </w:r>
          </w:p>
        </w:tc>
      </w:tr>
      <w:tr w:rsidR="008404D9" w:rsidRPr="005874B2" w14:paraId="1A2FED49" w14:textId="77777777" w:rsidTr="00E93FDB">
        <w:tc>
          <w:tcPr>
            <w:tcW w:w="4791" w:type="dxa"/>
            <w:tcBorders>
              <w:top w:val="nil"/>
              <w:left w:val="nil"/>
              <w:bottom w:val="nil"/>
              <w:right w:val="nil"/>
            </w:tcBorders>
            <w:hideMark/>
          </w:tcPr>
          <w:p w14:paraId="2CC94D1D" w14:textId="77777777" w:rsidR="008404D9" w:rsidRPr="005874B2" w:rsidRDefault="008404D9" w:rsidP="00E93FDB">
            <w:pPr>
              <w:tabs>
                <w:tab w:val="left" w:pos="851"/>
                <w:tab w:val="left" w:pos="993"/>
              </w:tabs>
              <w:suppressAutoHyphens/>
              <w:jc w:val="both"/>
              <w:rPr>
                <w:rFonts w:eastAsia="Calibri"/>
                <w:b/>
                <w:sz w:val="20"/>
                <w:szCs w:val="20"/>
              </w:rPr>
            </w:pPr>
            <w:r w:rsidRPr="005874B2">
              <w:rPr>
                <w:rFonts w:eastAsia="Calibri"/>
                <w:b/>
                <w:sz w:val="20"/>
                <w:szCs w:val="20"/>
              </w:rPr>
              <w:t>Viešoji įstaiga Respublikinė Vilniaus psichiatrijos ligoninė</w:t>
            </w:r>
          </w:p>
        </w:tc>
        <w:tc>
          <w:tcPr>
            <w:tcW w:w="846" w:type="dxa"/>
            <w:tcBorders>
              <w:top w:val="nil"/>
              <w:left w:val="nil"/>
              <w:bottom w:val="nil"/>
              <w:right w:val="nil"/>
            </w:tcBorders>
          </w:tcPr>
          <w:p w14:paraId="41A02CB9" w14:textId="77777777" w:rsidR="008404D9" w:rsidRPr="005874B2" w:rsidRDefault="008404D9" w:rsidP="00E93FDB">
            <w:pPr>
              <w:tabs>
                <w:tab w:val="left" w:pos="851"/>
                <w:tab w:val="left" w:pos="993"/>
              </w:tabs>
              <w:suppressAutoHyphens/>
              <w:ind w:left="709" w:hanging="709"/>
              <w:jc w:val="both"/>
              <w:rPr>
                <w:rFonts w:eastAsia="Calibri"/>
                <w:sz w:val="20"/>
                <w:szCs w:val="20"/>
              </w:rPr>
            </w:pPr>
          </w:p>
        </w:tc>
        <w:tc>
          <w:tcPr>
            <w:tcW w:w="4218" w:type="dxa"/>
            <w:tcBorders>
              <w:top w:val="nil"/>
              <w:left w:val="nil"/>
              <w:bottom w:val="nil"/>
              <w:right w:val="nil"/>
            </w:tcBorders>
            <w:hideMark/>
          </w:tcPr>
          <w:p w14:paraId="38E09138" w14:textId="6B60299A" w:rsidR="008404D9" w:rsidRPr="005874B2" w:rsidRDefault="002D21E7" w:rsidP="002D21E7">
            <w:pPr>
              <w:tabs>
                <w:tab w:val="left" w:pos="851"/>
                <w:tab w:val="left" w:pos="993"/>
              </w:tabs>
              <w:suppressAutoHyphens/>
              <w:jc w:val="both"/>
              <w:rPr>
                <w:rFonts w:eastAsia="Calibri"/>
                <w:b/>
                <w:sz w:val="20"/>
                <w:szCs w:val="20"/>
              </w:rPr>
            </w:pPr>
            <w:r>
              <w:rPr>
                <w:rFonts w:eastAsia="Calibri"/>
                <w:b/>
                <w:sz w:val="20"/>
                <w:szCs w:val="20"/>
              </w:rPr>
              <w:t>Uždaroji a</w:t>
            </w:r>
            <w:r w:rsidR="00C61C48">
              <w:rPr>
                <w:rFonts w:eastAsia="Calibri"/>
                <w:b/>
                <w:sz w:val="20"/>
                <w:szCs w:val="20"/>
              </w:rPr>
              <w:t>kcinė bendrovė „</w:t>
            </w:r>
            <w:r>
              <w:rPr>
                <w:rFonts w:eastAsia="Calibri"/>
                <w:b/>
                <w:sz w:val="20"/>
                <w:szCs w:val="20"/>
              </w:rPr>
              <w:t>Tandemus</w:t>
            </w:r>
            <w:r w:rsidR="00C61C48">
              <w:rPr>
                <w:rFonts w:eastAsia="Calibri"/>
                <w:b/>
                <w:sz w:val="20"/>
                <w:szCs w:val="20"/>
              </w:rPr>
              <w:t>“</w:t>
            </w:r>
          </w:p>
        </w:tc>
      </w:tr>
      <w:tr w:rsidR="008404D9" w:rsidRPr="005874B2" w14:paraId="680AC766" w14:textId="77777777" w:rsidTr="00E93FDB">
        <w:tc>
          <w:tcPr>
            <w:tcW w:w="4791" w:type="dxa"/>
            <w:tcBorders>
              <w:top w:val="nil"/>
              <w:left w:val="nil"/>
              <w:bottom w:val="nil"/>
              <w:right w:val="nil"/>
            </w:tcBorders>
            <w:hideMark/>
          </w:tcPr>
          <w:p w14:paraId="3BAEB820" w14:textId="77777777" w:rsidR="008404D9" w:rsidRPr="005874B2" w:rsidRDefault="008404D9" w:rsidP="00E93FDB">
            <w:pPr>
              <w:suppressAutoHyphens/>
              <w:rPr>
                <w:rFonts w:eastAsia="Calibri"/>
                <w:sz w:val="20"/>
                <w:szCs w:val="20"/>
              </w:rPr>
            </w:pPr>
            <w:r w:rsidRPr="005874B2">
              <w:rPr>
                <w:rFonts w:eastAsia="Calibri"/>
                <w:sz w:val="20"/>
                <w:szCs w:val="20"/>
              </w:rPr>
              <w:t>Parko g. 21, LT-11205 Vilnius</w:t>
            </w:r>
          </w:p>
        </w:tc>
        <w:tc>
          <w:tcPr>
            <w:tcW w:w="846" w:type="dxa"/>
            <w:tcBorders>
              <w:top w:val="nil"/>
              <w:left w:val="nil"/>
              <w:bottom w:val="nil"/>
              <w:right w:val="nil"/>
            </w:tcBorders>
          </w:tcPr>
          <w:p w14:paraId="38DA7CB7" w14:textId="77777777" w:rsidR="008404D9" w:rsidRPr="005874B2" w:rsidRDefault="008404D9" w:rsidP="00E93FDB">
            <w:pPr>
              <w:tabs>
                <w:tab w:val="left" w:pos="851"/>
                <w:tab w:val="left" w:pos="993"/>
              </w:tabs>
              <w:suppressAutoHyphens/>
              <w:ind w:left="709" w:hanging="709"/>
              <w:jc w:val="both"/>
              <w:rPr>
                <w:rFonts w:eastAsia="Calibri"/>
                <w:sz w:val="20"/>
                <w:szCs w:val="20"/>
              </w:rPr>
            </w:pPr>
          </w:p>
        </w:tc>
        <w:tc>
          <w:tcPr>
            <w:tcW w:w="4218" w:type="dxa"/>
            <w:tcBorders>
              <w:top w:val="nil"/>
              <w:left w:val="nil"/>
              <w:bottom w:val="nil"/>
              <w:right w:val="nil"/>
            </w:tcBorders>
            <w:hideMark/>
          </w:tcPr>
          <w:p w14:paraId="30EF5132" w14:textId="0756A3A4" w:rsidR="008404D9" w:rsidRPr="00772397" w:rsidRDefault="00772397" w:rsidP="00E93FDB">
            <w:pPr>
              <w:tabs>
                <w:tab w:val="left" w:pos="851"/>
                <w:tab w:val="left" w:pos="993"/>
              </w:tabs>
              <w:suppressAutoHyphens/>
              <w:ind w:left="709" w:hanging="709"/>
              <w:jc w:val="both"/>
              <w:rPr>
                <w:rFonts w:eastAsia="Calibri"/>
                <w:sz w:val="20"/>
                <w:szCs w:val="20"/>
              </w:rPr>
            </w:pPr>
            <w:r w:rsidRPr="00772397">
              <w:rPr>
                <w:rFonts w:eastAsia="Calibri"/>
                <w:sz w:val="20"/>
                <w:szCs w:val="20"/>
              </w:rPr>
              <w:t>J. Basanavičiaus g. 41, LT-65204 Varėna</w:t>
            </w:r>
          </w:p>
        </w:tc>
      </w:tr>
      <w:tr w:rsidR="008404D9" w:rsidRPr="005874B2" w14:paraId="731D82C9" w14:textId="77777777" w:rsidTr="00E93FDB">
        <w:tc>
          <w:tcPr>
            <w:tcW w:w="4791" w:type="dxa"/>
            <w:tcBorders>
              <w:top w:val="nil"/>
              <w:left w:val="nil"/>
              <w:bottom w:val="nil"/>
              <w:right w:val="nil"/>
            </w:tcBorders>
            <w:hideMark/>
          </w:tcPr>
          <w:p w14:paraId="009084E7" w14:textId="77777777" w:rsidR="008404D9" w:rsidRPr="005874B2" w:rsidRDefault="008404D9" w:rsidP="00E93FDB">
            <w:pPr>
              <w:suppressAutoHyphens/>
              <w:rPr>
                <w:rFonts w:eastAsia="Calibri"/>
                <w:sz w:val="20"/>
                <w:szCs w:val="20"/>
              </w:rPr>
            </w:pPr>
            <w:r w:rsidRPr="005874B2">
              <w:rPr>
                <w:rFonts w:eastAsia="Calibri"/>
                <w:sz w:val="20"/>
                <w:szCs w:val="20"/>
              </w:rPr>
              <w:t>Įstaigos kodas 124247526</w:t>
            </w:r>
          </w:p>
        </w:tc>
        <w:tc>
          <w:tcPr>
            <w:tcW w:w="846" w:type="dxa"/>
            <w:tcBorders>
              <w:top w:val="nil"/>
              <w:left w:val="nil"/>
              <w:bottom w:val="nil"/>
              <w:right w:val="nil"/>
            </w:tcBorders>
          </w:tcPr>
          <w:p w14:paraId="43473429" w14:textId="77777777" w:rsidR="008404D9" w:rsidRPr="005874B2" w:rsidRDefault="008404D9" w:rsidP="00E93FDB">
            <w:pPr>
              <w:tabs>
                <w:tab w:val="left" w:pos="851"/>
                <w:tab w:val="left" w:pos="993"/>
              </w:tabs>
              <w:suppressAutoHyphens/>
              <w:ind w:left="709" w:hanging="709"/>
              <w:jc w:val="both"/>
              <w:rPr>
                <w:rFonts w:eastAsia="Calibri"/>
                <w:sz w:val="20"/>
                <w:szCs w:val="20"/>
              </w:rPr>
            </w:pPr>
          </w:p>
        </w:tc>
        <w:tc>
          <w:tcPr>
            <w:tcW w:w="4218" w:type="dxa"/>
            <w:tcBorders>
              <w:top w:val="nil"/>
              <w:left w:val="nil"/>
              <w:bottom w:val="nil"/>
              <w:right w:val="nil"/>
            </w:tcBorders>
            <w:hideMark/>
          </w:tcPr>
          <w:p w14:paraId="1DA8E31D" w14:textId="692C5287" w:rsidR="008404D9" w:rsidRPr="00772397" w:rsidRDefault="008404D9" w:rsidP="00E93FDB">
            <w:pPr>
              <w:tabs>
                <w:tab w:val="left" w:pos="851"/>
                <w:tab w:val="left" w:pos="993"/>
              </w:tabs>
              <w:suppressAutoHyphens/>
              <w:ind w:left="709" w:hanging="709"/>
              <w:jc w:val="both"/>
              <w:rPr>
                <w:rFonts w:eastAsia="Calibri"/>
                <w:sz w:val="20"/>
                <w:szCs w:val="20"/>
              </w:rPr>
            </w:pPr>
            <w:r w:rsidRPr="00772397">
              <w:rPr>
                <w:rFonts w:eastAsia="Calibri"/>
                <w:sz w:val="20"/>
                <w:szCs w:val="20"/>
              </w:rPr>
              <w:t>Įmonės kodas</w:t>
            </w:r>
            <w:r w:rsidR="00772397" w:rsidRPr="00772397">
              <w:rPr>
                <w:rFonts w:eastAsia="Calibri"/>
                <w:sz w:val="20"/>
                <w:szCs w:val="20"/>
              </w:rPr>
              <w:t xml:space="preserve"> 184631428</w:t>
            </w:r>
          </w:p>
        </w:tc>
      </w:tr>
      <w:tr w:rsidR="008404D9" w:rsidRPr="005874B2" w14:paraId="7F665CED" w14:textId="77777777" w:rsidTr="00E93FDB">
        <w:tc>
          <w:tcPr>
            <w:tcW w:w="4791" w:type="dxa"/>
            <w:tcBorders>
              <w:top w:val="nil"/>
              <w:left w:val="nil"/>
              <w:bottom w:val="nil"/>
              <w:right w:val="nil"/>
            </w:tcBorders>
            <w:hideMark/>
          </w:tcPr>
          <w:p w14:paraId="4E2F3C26" w14:textId="77777777" w:rsidR="008404D9" w:rsidRPr="005874B2" w:rsidRDefault="008404D9" w:rsidP="00E93FDB">
            <w:pPr>
              <w:suppressAutoHyphens/>
              <w:rPr>
                <w:rFonts w:eastAsia="Calibri"/>
                <w:sz w:val="20"/>
                <w:szCs w:val="20"/>
              </w:rPr>
            </w:pPr>
            <w:r w:rsidRPr="005874B2">
              <w:rPr>
                <w:rFonts w:eastAsia="Calibri"/>
                <w:sz w:val="20"/>
                <w:szCs w:val="20"/>
              </w:rPr>
              <w:t>PVM mokėtojo kodas LT242475219</w:t>
            </w:r>
          </w:p>
        </w:tc>
        <w:tc>
          <w:tcPr>
            <w:tcW w:w="846" w:type="dxa"/>
            <w:tcBorders>
              <w:top w:val="nil"/>
              <w:left w:val="nil"/>
              <w:bottom w:val="nil"/>
              <w:right w:val="nil"/>
            </w:tcBorders>
          </w:tcPr>
          <w:p w14:paraId="052363A3" w14:textId="77777777" w:rsidR="008404D9" w:rsidRPr="005874B2" w:rsidRDefault="008404D9" w:rsidP="00E93FDB">
            <w:pPr>
              <w:tabs>
                <w:tab w:val="left" w:pos="851"/>
                <w:tab w:val="left" w:pos="993"/>
              </w:tabs>
              <w:suppressAutoHyphens/>
              <w:ind w:left="709" w:hanging="709"/>
              <w:jc w:val="both"/>
              <w:rPr>
                <w:rFonts w:eastAsia="Calibri"/>
                <w:sz w:val="20"/>
                <w:szCs w:val="20"/>
              </w:rPr>
            </w:pPr>
          </w:p>
        </w:tc>
        <w:tc>
          <w:tcPr>
            <w:tcW w:w="4218" w:type="dxa"/>
            <w:tcBorders>
              <w:top w:val="nil"/>
              <w:left w:val="nil"/>
              <w:bottom w:val="nil"/>
              <w:right w:val="nil"/>
            </w:tcBorders>
            <w:hideMark/>
          </w:tcPr>
          <w:p w14:paraId="39B211EC" w14:textId="10CD8496" w:rsidR="008404D9" w:rsidRPr="00772397" w:rsidRDefault="008404D9" w:rsidP="00E93FDB">
            <w:pPr>
              <w:tabs>
                <w:tab w:val="left" w:pos="851"/>
                <w:tab w:val="left" w:pos="993"/>
              </w:tabs>
              <w:suppressAutoHyphens/>
              <w:ind w:left="709" w:hanging="709"/>
              <w:jc w:val="both"/>
              <w:rPr>
                <w:rFonts w:eastAsia="Calibri"/>
                <w:sz w:val="20"/>
                <w:szCs w:val="20"/>
              </w:rPr>
            </w:pPr>
            <w:r w:rsidRPr="00772397">
              <w:rPr>
                <w:rFonts w:eastAsia="Calibri"/>
                <w:sz w:val="20"/>
                <w:szCs w:val="20"/>
              </w:rPr>
              <w:t>PVM mokėtojo kodas</w:t>
            </w:r>
            <w:r w:rsidR="00772397" w:rsidRPr="00772397">
              <w:rPr>
                <w:rFonts w:eastAsia="Calibri"/>
                <w:sz w:val="20"/>
                <w:szCs w:val="20"/>
              </w:rPr>
              <w:t xml:space="preserve"> LT846314219</w:t>
            </w:r>
          </w:p>
        </w:tc>
      </w:tr>
      <w:tr w:rsidR="008404D9" w:rsidRPr="005874B2" w14:paraId="552DC039" w14:textId="77777777" w:rsidTr="00E93FDB">
        <w:tc>
          <w:tcPr>
            <w:tcW w:w="4791" w:type="dxa"/>
            <w:tcBorders>
              <w:top w:val="nil"/>
              <w:left w:val="nil"/>
              <w:bottom w:val="nil"/>
              <w:right w:val="nil"/>
            </w:tcBorders>
            <w:hideMark/>
          </w:tcPr>
          <w:p w14:paraId="1507FA45" w14:textId="77777777" w:rsidR="008404D9" w:rsidRPr="005874B2" w:rsidRDefault="008404D9" w:rsidP="00E93FDB">
            <w:pPr>
              <w:suppressAutoHyphens/>
              <w:rPr>
                <w:rFonts w:eastAsia="Calibri"/>
                <w:sz w:val="20"/>
                <w:szCs w:val="20"/>
              </w:rPr>
            </w:pPr>
            <w:r w:rsidRPr="005874B2">
              <w:rPr>
                <w:rFonts w:eastAsia="Calibri"/>
                <w:sz w:val="20"/>
                <w:szCs w:val="20"/>
              </w:rPr>
              <w:t>AB Luminor bankas</w:t>
            </w:r>
          </w:p>
        </w:tc>
        <w:tc>
          <w:tcPr>
            <w:tcW w:w="846" w:type="dxa"/>
            <w:tcBorders>
              <w:top w:val="nil"/>
              <w:left w:val="nil"/>
              <w:bottom w:val="nil"/>
              <w:right w:val="nil"/>
            </w:tcBorders>
          </w:tcPr>
          <w:p w14:paraId="6E18DA71" w14:textId="77777777" w:rsidR="008404D9" w:rsidRPr="005874B2" w:rsidRDefault="008404D9" w:rsidP="00E93FDB">
            <w:pPr>
              <w:tabs>
                <w:tab w:val="left" w:pos="851"/>
                <w:tab w:val="left" w:pos="993"/>
              </w:tabs>
              <w:suppressAutoHyphens/>
              <w:ind w:left="709" w:hanging="709"/>
              <w:jc w:val="both"/>
              <w:rPr>
                <w:rFonts w:eastAsia="Calibri"/>
                <w:sz w:val="20"/>
                <w:szCs w:val="20"/>
              </w:rPr>
            </w:pPr>
          </w:p>
        </w:tc>
        <w:tc>
          <w:tcPr>
            <w:tcW w:w="4218" w:type="dxa"/>
            <w:tcBorders>
              <w:top w:val="nil"/>
              <w:left w:val="nil"/>
              <w:bottom w:val="nil"/>
              <w:right w:val="nil"/>
            </w:tcBorders>
            <w:hideMark/>
          </w:tcPr>
          <w:p w14:paraId="4A8115CA" w14:textId="1F133FF0" w:rsidR="008404D9" w:rsidRPr="00772397" w:rsidRDefault="00772397" w:rsidP="00E93FDB">
            <w:pPr>
              <w:tabs>
                <w:tab w:val="left" w:pos="851"/>
                <w:tab w:val="left" w:pos="993"/>
              </w:tabs>
              <w:suppressAutoHyphens/>
              <w:ind w:left="709" w:hanging="709"/>
              <w:jc w:val="both"/>
              <w:rPr>
                <w:rFonts w:eastAsia="Calibri"/>
                <w:sz w:val="20"/>
                <w:szCs w:val="20"/>
              </w:rPr>
            </w:pPr>
            <w:r w:rsidRPr="00772397">
              <w:rPr>
                <w:rFonts w:eastAsia="Calibri"/>
                <w:sz w:val="20"/>
                <w:szCs w:val="20"/>
              </w:rPr>
              <w:t>Swedbank, AB bankas</w:t>
            </w:r>
          </w:p>
        </w:tc>
      </w:tr>
      <w:tr w:rsidR="008404D9" w:rsidRPr="005874B2" w14:paraId="0EA52C3C" w14:textId="77777777" w:rsidTr="00E93FDB">
        <w:tc>
          <w:tcPr>
            <w:tcW w:w="4791" w:type="dxa"/>
            <w:tcBorders>
              <w:top w:val="nil"/>
              <w:left w:val="nil"/>
              <w:bottom w:val="nil"/>
              <w:right w:val="nil"/>
            </w:tcBorders>
            <w:hideMark/>
          </w:tcPr>
          <w:p w14:paraId="57341C61" w14:textId="77777777" w:rsidR="008404D9" w:rsidRPr="005874B2" w:rsidRDefault="008404D9" w:rsidP="00E93FDB">
            <w:pPr>
              <w:suppressAutoHyphens/>
              <w:rPr>
                <w:rFonts w:eastAsia="Calibri"/>
                <w:sz w:val="20"/>
                <w:szCs w:val="20"/>
              </w:rPr>
            </w:pPr>
            <w:r w:rsidRPr="005874B2">
              <w:rPr>
                <w:rFonts w:eastAsia="Calibri"/>
                <w:sz w:val="20"/>
                <w:szCs w:val="20"/>
              </w:rPr>
              <w:t>Banko kodas 40100</w:t>
            </w:r>
          </w:p>
        </w:tc>
        <w:tc>
          <w:tcPr>
            <w:tcW w:w="846" w:type="dxa"/>
            <w:tcBorders>
              <w:top w:val="nil"/>
              <w:left w:val="nil"/>
              <w:bottom w:val="nil"/>
              <w:right w:val="nil"/>
            </w:tcBorders>
          </w:tcPr>
          <w:p w14:paraId="05318EA2" w14:textId="77777777" w:rsidR="008404D9" w:rsidRPr="005874B2" w:rsidRDefault="008404D9" w:rsidP="00E93FDB">
            <w:pPr>
              <w:tabs>
                <w:tab w:val="left" w:pos="851"/>
                <w:tab w:val="left" w:pos="993"/>
              </w:tabs>
              <w:suppressAutoHyphens/>
              <w:ind w:left="709" w:hanging="709"/>
              <w:jc w:val="both"/>
              <w:rPr>
                <w:rFonts w:eastAsia="Calibri"/>
                <w:sz w:val="20"/>
                <w:szCs w:val="20"/>
              </w:rPr>
            </w:pPr>
          </w:p>
        </w:tc>
        <w:tc>
          <w:tcPr>
            <w:tcW w:w="4218" w:type="dxa"/>
            <w:tcBorders>
              <w:top w:val="nil"/>
              <w:left w:val="nil"/>
              <w:bottom w:val="nil"/>
              <w:right w:val="nil"/>
            </w:tcBorders>
            <w:hideMark/>
          </w:tcPr>
          <w:p w14:paraId="593984B6" w14:textId="68E45BC9" w:rsidR="008404D9" w:rsidRPr="00772397" w:rsidRDefault="008404D9" w:rsidP="00E93FDB">
            <w:pPr>
              <w:tabs>
                <w:tab w:val="left" w:pos="851"/>
                <w:tab w:val="left" w:pos="993"/>
              </w:tabs>
              <w:suppressAutoHyphens/>
              <w:ind w:left="709" w:hanging="709"/>
              <w:jc w:val="both"/>
              <w:rPr>
                <w:rFonts w:eastAsia="Calibri"/>
                <w:sz w:val="20"/>
                <w:szCs w:val="20"/>
              </w:rPr>
            </w:pPr>
            <w:r w:rsidRPr="00772397">
              <w:rPr>
                <w:rFonts w:eastAsia="Calibri"/>
                <w:sz w:val="20"/>
                <w:szCs w:val="20"/>
              </w:rPr>
              <w:t>Banko kodas</w:t>
            </w:r>
            <w:r w:rsidR="00772397" w:rsidRPr="00772397">
              <w:rPr>
                <w:rFonts w:eastAsia="Calibri"/>
                <w:sz w:val="20"/>
                <w:szCs w:val="20"/>
              </w:rPr>
              <w:t xml:space="preserve"> 73000</w:t>
            </w:r>
          </w:p>
        </w:tc>
      </w:tr>
      <w:tr w:rsidR="008404D9" w:rsidRPr="005874B2" w14:paraId="54D4A037" w14:textId="77777777" w:rsidTr="00E93FDB">
        <w:tc>
          <w:tcPr>
            <w:tcW w:w="4791" w:type="dxa"/>
            <w:tcBorders>
              <w:top w:val="nil"/>
              <w:left w:val="nil"/>
              <w:bottom w:val="nil"/>
              <w:right w:val="nil"/>
            </w:tcBorders>
            <w:hideMark/>
          </w:tcPr>
          <w:p w14:paraId="719EC5C5" w14:textId="77777777" w:rsidR="008404D9" w:rsidRPr="005874B2" w:rsidRDefault="008404D9" w:rsidP="00E93FDB">
            <w:pPr>
              <w:suppressAutoHyphens/>
              <w:rPr>
                <w:rFonts w:eastAsia="Calibri"/>
                <w:sz w:val="20"/>
                <w:szCs w:val="20"/>
              </w:rPr>
            </w:pPr>
            <w:r w:rsidRPr="005874B2">
              <w:rPr>
                <w:rFonts w:eastAsia="Calibri"/>
                <w:sz w:val="20"/>
                <w:szCs w:val="20"/>
              </w:rPr>
              <w:t>A/S Nr. LT24 4010 0441 0003 0870</w:t>
            </w:r>
          </w:p>
        </w:tc>
        <w:tc>
          <w:tcPr>
            <w:tcW w:w="846" w:type="dxa"/>
            <w:tcBorders>
              <w:top w:val="nil"/>
              <w:left w:val="nil"/>
              <w:bottom w:val="nil"/>
              <w:right w:val="nil"/>
            </w:tcBorders>
          </w:tcPr>
          <w:p w14:paraId="73161DCF" w14:textId="77777777" w:rsidR="008404D9" w:rsidRPr="005874B2" w:rsidRDefault="008404D9" w:rsidP="00E93FDB">
            <w:pPr>
              <w:tabs>
                <w:tab w:val="left" w:pos="851"/>
                <w:tab w:val="left" w:pos="993"/>
              </w:tabs>
              <w:suppressAutoHyphens/>
              <w:ind w:left="709" w:hanging="709"/>
              <w:jc w:val="both"/>
              <w:rPr>
                <w:rFonts w:eastAsia="Calibri"/>
                <w:sz w:val="20"/>
                <w:szCs w:val="20"/>
              </w:rPr>
            </w:pPr>
          </w:p>
        </w:tc>
        <w:tc>
          <w:tcPr>
            <w:tcW w:w="4218" w:type="dxa"/>
            <w:tcBorders>
              <w:top w:val="nil"/>
              <w:left w:val="nil"/>
              <w:bottom w:val="nil"/>
              <w:right w:val="nil"/>
            </w:tcBorders>
            <w:hideMark/>
          </w:tcPr>
          <w:p w14:paraId="32828928" w14:textId="38725E7A" w:rsidR="008404D9" w:rsidRPr="00772397" w:rsidRDefault="008404D9" w:rsidP="00E93FDB">
            <w:pPr>
              <w:tabs>
                <w:tab w:val="left" w:pos="851"/>
                <w:tab w:val="left" w:pos="993"/>
              </w:tabs>
              <w:suppressAutoHyphens/>
              <w:ind w:left="709" w:hanging="709"/>
              <w:jc w:val="both"/>
              <w:rPr>
                <w:rFonts w:eastAsia="Calibri"/>
                <w:sz w:val="20"/>
                <w:szCs w:val="20"/>
              </w:rPr>
            </w:pPr>
            <w:r w:rsidRPr="00772397">
              <w:rPr>
                <w:rFonts w:eastAsia="Calibri"/>
                <w:sz w:val="20"/>
                <w:szCs w:val="20"/>
              </w:rPr>
              <w:t>A/S Nr.</w:t>
            </w:r>
            <w:r w:rsidR="00772397" w:rsidRPr="00772397">
              <w:rPr>
                <w:rFonts w:eastAsia="Calibri"/>
                <w:sz w:val="20"/>
                <w:szCs w:val="20"/>
              </w:rPr>
              <w:t xml:space="preserve"> LT217300010122744254</w:t>
            </w:r>
          </w:p>
        </w:tc>
      </w:tr>
      <w:tr w:rsidR="008404D9" w:rsidRPr="005874B2" w14:paraId="2C7CDA27" w14:textId="77777777" w:rsidTr="00E93FDB">
        <w:tc>
          <w:tcPr>
            <w:tcW w:w="4791" w:type="dxa"/>
            <w:tcBorders>
              <w:top w:val="nil"/>
              <w:left w:val="nil"/>
              <w:bottom w:val="nil"/>
              <w:right w:val="nil"/>
            </w:tcBorders>
            <w:hideMark/>
          </w:tcPr>
          <w:p w14:paraId="7C135244" w14:textId="77777777" w:rsidR="008404D9" w:rsidRPr="005874B2" w:rsidRDefault="008404D9" w:rsidP="00E93FDB">
            <w:pPr>
              <w:suppressAutoHyphens/>
              <w:rPr>
                <w:rFonts w:eastAsia="Calibri"/>
                <w:sz w:val="20"/>
                <w:szCs w:val="20"/>
              </w:rPr>
            </w:pPr>
            <w:r w:rsidRPr="005874B2">
              <w:rPr>
                <w:rFonts w:eastAsia="Calibri"/>
                <w:sz w:val="20"/>
                <w:szCs w:val="20"/>
              </w:rPr>
              <w:t>Tel. (8 5) 267 1451</w:t>
            </w:r>
          </w:p>
        </w:tc>
        <w:tc>
          <w:tcPr>
            <w:tcW w:w="846" w:type="dxa"/>
            <w:tcBorders>
              <w:top w:val="nil"/>
              <w:left w:val="nil"/>
              <w:bottom w:val="nil"/>
              <w:right w:val="nil"/>
            </w:tcBorders>
          </w:tcPr>
          <w:p w14:paraId="0C47F750" w14:textId="77777777" w:rsidR="008404D9" w:rsidRPr="005874B2" w:rsidRDefault="008404D9" w:rsidP="00E93FDB">
            <w:pPr>
              <w:tabs>
                <w:tab w:val="left" w:pos="851"/>
                <w:tab w:val="left" w:pos="993"/>
              </w:tabs>
              <w:suppressAutoHyphens/>
              <w:ind w:left="709" w:hanging="709"/>
              <w:jc w:val="both"/>
              <w:rPr>
                <w:rFonts w:eastAsia="Calibri"/>
                <w:sz w:val="20"/>
                <w:szCs w:val="20"/>
              </w:rPr>
            </w:pPr>
          </w:p>
        </w:tc>
        <w:tc>
          <w:tcPr>
            <w:tcW w:w="4218" w:type="dxa"/>
            <w:tcBorders>
              <w:top w:val="nil"/>
              <w:left w:val="nil"/>
              <w:bottom w:val="nil"/>
              <w:right w:val="nil"/>
            </w:tcBorders>
            <w:hideMark/>
          </w:tcPr>
          <w:p w14:paraId="3FE76E3C" w14:textId="625BA130" w:rsidR="008404D9" w:rsidRPr="00772397" w:rsidRDefault="008404D9" w:rsidP="00E93FDB">
            <w:pPr>
              <w:tabs>
                <w:tab w:val="left" w:pos="851"/>
                <w:tab w:val="left" w:pos="993"/>
              </w:tabs>
              <w:suppressAutoHyphens/>
              <w:ind w:left="709" w:hanging="709"/>
              <w:jc w:val="both"/>
              <w:rPr>
                <w:rFonts w:eastAsia="Calibri"/>
                <w:sz w:val="20"/>
                <w:szCs w:val="20"/>
              </w:rPr>
            </w:pPr>
            <w:r w:rsidRPr="00772397">
              <w:rPr>
                <w:rFonts w:eastAsia="Calibri"/>
                <w:sz w:val="20"/>
                <w:szCs w:val="20"/>
              </w:rPr>
              <w:t>Tel.</w:t>
            </w:r>
            <w:r w:rsidR="00772397" w:rsidRPr="00772397">
              <w:rPr>
                <w:rFonts w:eastAsia="Calibri"/>
                <w:sz w:val="20"/>
                <w:szCs w:val="20"/>
              </w:rPr>
              <w:t xml:space="preserve"> (8 310) 31041</w:t>
            </w:r>
          </w:p>
        </w:tc>
      </w:tr>
      <w:tr w:rsidR="008404D9" w:rsidRPr="005874B2" w14:paraId="49C14478" w14:textId="77777777" w:rsidTr="00E93FDB">
        <w:tc>
          <w:tcPr>
            <w:tcW w:w="4791" w:type="dxa"/>
            <w:tcBorders>
              <w:top w:val="nil"/>
              <w:left w:val="nil"/>
              <w:bottom w:val="nil"/>
              <w:right w:val="nil"/>
            </w:tcBorders>
            <w:hideMark/>
          </w:tcPr>
          <w:p w14:paraId="4CC9C24A" w14:textId="77777777" w:rsidR="008404D9" w:rsidRPr="005874B2" w:rsidRDefault="008404D9" w:rsidP="00E93FDB">
            <w:pPr>
              <w:suppressAutoHyphens/>
              <w:rPr>
                <w:rFonts w:eastAsia="Calibri"/>
                <w:sz w:val="20"/>
                <w:szCs w:val="20"/>
              </w:rPr>
            </w:pPr>
            <w:r w:rsidRPr="005874B2">
              <w:rPr>
                <w:rFonts w:eastAsia="Calibri"/>
                <w:sz w:val="20"/>
                <w:szCs w:val="20"/>
              </w:rPr>
              <w:t>Faks. (8 5) 267 1503</w:t>
            </w:r>
          </w:p>
        </w:tc>
        <w:tc>
          <w:tcPr>
            <w:tcW w:w="846" w:type="dxa"/>
            <w:tcBorders>
              <w:top w:val="nil"/>
              <w:left w:val="nil"/>
              <w:bottom w:val="nil"/>
              <w:right w:val="nil"/>
            </w:tcBorders>
          </w:tcPr>
          <w:p w14:paraId="732F6C98" w14:textId="77777777" w:rsidR="008404D9" w:rsidRPr="005874B2" w:rsidRDefault="008404D9" w:rsidP="00E93FDB">
            <w:pPr>
              <w:tabs>
                <w:tab w:val="left" w:pos="851"/>
                <w:tab w:val="left" w:pos="993"/>
              </w:tabs>
              <w:suppressAutoHyphens/>
              <w:ind w:left="709" w:hanging="709"/>
              <w:jc w:val="both"/>
              <w:rPr>
                <w:rFonts w:eastAsia="Calibri"/>
                <w:sz w:val="20"/>
                <w:szCs w:val="20"/>
              </w:rPr>
            </w:pPr>
          </w:p>
        </w:tc>
        <w:tc>
          <w:tcPr>
            <w:tcW w:w="4218" w:type="dxa"/>
            <w:tcBorders>
              <w:top w:val="nil"/>
              <w:left w:val="nil"/>
              <w:bottom w:val="nil"/>
              <w:right w:val="nil"/>
            </w:tcBorders>
            <w:hideMark/>
          </w:tcPr>
          <w:p w14:paraId="7D65E9A4" w14:textId="77777777" w:rsidR="008404D9" w:rsidRPr="00772397" w:rsidRDefault="008404D9" w:rsidP="00E93FDB">
            <w:pPr>
              <w:tabs>
                <w:tab w:val="left" w:pos="851"/>
                <w:tab w:val="left" w:pos="993"/>
              </w:tabs>
              <w:suppressAutoHyphens/>
              <w:ind w:left="709" w:hanging="709"/>
              <w:jc w:val="both"/>
              <w:rPr>
                <w:rFonts w:eastAsia="Calibri"/>
                <w:sz w:val="20"/>
                <w:szCs w:val="20"/>
              </w:rPr>
            </w:pPr>
            <w:r w:rsidRPr="00772397">
              <w:rPr>
                <w:rFonts w:eastAsia="Calibri"/>
                <w:sz w:val="20"/>
                <w:szCs w:val="20"/>
              </w:rPr>
              <w:t>Faks.</w:t>
            </w:r>
          </w:p>
        </w:tc>
      </w:tr>
      <w:tr w:rsidR="008404D9" w:rsidRPr="005874B2" w14:paraId="5F3BAFBE" w14:textId="77777777" w:rsidTr="00E93FDB">
        <w:tc>
          <w:tcPr>
            <w:tcW w:w="4791" w:type="dxa"/>
            <w:tcBorders>
              <w:top w:val="nil"/>
              <w:left w:val="nil"/>
              <w:bottom w:val="nil"/>
              <w:right w:val="nil"/>
            </w:tcBorders>
            <w:hideMark/>
          </w:tcPr>
          <w:p w14:paraId="166C8E3B" w14:textId="77777777" w:rsidR="008404D9" w:rsidRPr="005874B2" w:rsidRDefault="008404D9" w:rsidP="00E93FDB">
            <w:pPr>
              <w:suppressAutoHyphens/>
              <w:rPr>
                <w:rFonts w:eastAsia="Calibri"/>
                <w:sz w:val="20"/>
                <w:szCs w:val="20"/>
              </w:rPr>
            </w:pPr>
            <w:r w:rsidRPr="005874B2">
              <w:rPr>
                <w:rFonts w:eastAsia="Calibri"/>
                <w:sz w:val="20"/>
                <w:szCs w:val="20"/>
              </w:rPr>
              <w:t xml:space="preserve">El. p. </w:t>
            </w:r>
            <w:hyperlink r:id="rId12" w:history="1">
              <w:r w:rsidRPr="005874B2">
                <w:rPr>
                  <w:rFonts w:eastAsia="Calibri"/>
                  <w:color w:val="0563C1"/>
                  <w:sz w:val="20"/>
                  <w:szCs w:val="20"/>
                  <w:u w:val="single"/>
                </w:rPr>
                <w:t>psichiatrija@rvpl.lt</w:t>
              </w:r>
            </w:hyperlink>
            <w:r w:rsidRPr="005874B2">
              <w:rPr>
                <w:rFonts w:eastAsia="Calibri"/>
                <w:sz w:val="20"/>
                <w:szCs w:val="20"/>
              </w:rPr>
              <w:t xml:space="preserve"> </w:t>
            </w:r>
          </w:p>
        </w:tc>
        <w:tc>
          <w:tcPr>
            <w:tcW w:w="846" w:type="dxa"/>
            <w:tcBorders>
              <w:top w:val="nil"/>
              <w:left w:val="nil"/>
              <w:bottom w:val="nil"/>
              <w:right w:val="nil"/>
            </w:tcBorders>
          </w:tcPr>
          <w:p w14:paraId="5D9930B8" w14:textId="77777777" w:rsidR="008404D9" w:rsidRPr="005874B2" w:rsidRDefault="008404D9" w:rsidP="00E93FDB">
            <w:pPr>
              <w:tabs>
                <w:tab w:val="left" w:pos="851"/>
                <w:tab w:val="left" w:pos="993"/>
              </w:tabs>
              <w:suppressAutoHyphens/>
              <w:ind w:left="709" w:hanging="709"/>
              <w:jc w:val="both"/>
              <w:rPr>
                <w:rFonts w:eastAsia="Calibri"/>
                <w:sz w:val="20"/>
                <w:szCs w:val="20"/>
              </w:rPr>
            </w:pPr>
          </w:p>
        </w:tc>
        <w:tc>
          <w:tcPr>
            <w:tcW w:w="4218" w:type="dxa"/>
            <w:tcBorders>
              <w:top w:val="nil"/>
              <w:left w:val="nil"/>
              <w:bottom w:val="nil"/>
              <w:right w:val="nil"/>
            </w:tcBorders>
            <w:hideMark/>
          </w:tcPr>
          <w:p w14:paraId="58EEE107" w14:textId="59964163" w:rsidR="008404D9" w:rsidRPr="00772397" w:rsidRDefault="008404D9" w:rsidP="00E93FDB">
            <w:pPr>
              <w:tabs>
                <w:tab w:val="left" w:pos="851"/>
                <w:tab w:val="left" w:pos="993"/>
              </w:tabs>
              <w:suppressAutoHyphens/>
              <w:ind w:left="709" w:hanging="709"/>
              <w:jc w:val="both"/>
              <w:rPr>
                <w:rFonts w:eastAsia="Calibri"/>
                <w:sz w:val="20"/>
                <w:szCs w:val="20"/>
                <w:lang w:val="en-US"/>
              </w:rPr>
            </w:pPr>
            <w:r w:rsidRPr="00772397">
              <w:rPr>
                <w:rFonts w:eastAsia="Calibri"/>
                <w:sz w:val="20"/>
                <w:szCs w:val="20"/>
              </w:rPr>
              <w:t>El. p.</w:t>
            </w:r>
            <w:r w:rsidR="00772397" w:rsidRPr="00772397">
              <w:rPr>
                <w:rFonts w:eastAsia="Calibri"/>
                <w:sz w:val="20"/>
                <w:szCs w:val="20"/>
              </w:rPr>
              <w:t xml:space="preserve"> info</w:t>
            </w:r>
            <w:r w:rsidR="00772397" w:rsidRPr="00772397">
              <w:rPr>
                <w:rFonts w:eastAsia="Calibri"/>
                <w:sz w:val="20"/>
                <w:szCs w:val="20"/>
                <w:lang w:val="en-US"/>
              </w:rPr>
              <w:t>@tandemus.eu</w:t>
            </w:r>
          </w:p>
        </w:tc>
      </w:tr>
      <w:tr w:rsidR="008404D9" w:rsidRPr="005874B2" w14:paraId="71ABEF96" w14:textId="77777777" w:rsidTr="00E93FDB">
        <w:tc>
          <w:tcPr>
            <w:tcW w:w="4791" w:type="dxa"/>
            <w:tcBorders>
              <w:top w:val="nil"/>
              <w:left w:val="nil"/>
              <w:bottom w:val="nil"/>
              <w:right w:val="nil"/>
            </w:tcBorders>
          </w:tcPr>
          <w:p w14:paraId="0FD202F0" w14:textId="77777777" w:rsidR="008404D9" w:rsidRPr="005874B2" w:rsidRDefault="008404D9" w:rsidP="00E93FDB">
            <w:pPr>
              <w:tabs>
                <w:tab w:val="left" w:pos="851"/>
                <w:tab w:val="left" w:pos="993"/>
              </w:tabs>
              <w:suppressAutoHyphens/>
              <w:ind w:left="709" w:hanging="709"/>
              <w:jc w:val="both"/>
              <w:rPr>
                <w:rFonts w:eastAsia="Calibri"/>
                <w:sz w:val="20"/>
                <w:szCs w:val="20"/>
              </w:rPr>
            </w:pPr>
          </w:p>
        </w:tc>
        <w:tc>
          <w:tcPr>
            <w:tcW w:w="846" w:type="dxa"/>
            <w:tcBorders>
              <w:top w:val="nil"/>
              <w:left w:val="nil"/>
              <w:bottom w:val="nil"/>
              <w:right w:val="nil"/>
            </w:tcBorders>
          </w:tcPr>
          <w:p w14:paraId="06C76EC8" w14:textId="77777777" w:rsidR="008404D9" w:rsidRPr="005874B2" w:rsidRDefault="008404D9" w:rsidP="00E93FDB">
            <w:pPr>
              <w:tabs>
                <w:tab w:val="left" w:pos="851"/>
                <w:tab w:val="left" w:pos="993"/>
              </w:tabs>
              <w:suppressAutoHyphens/>
              <w:ind w:left="709" w:hanging="709"/>
              <w:jc w:val="both"/>
              <w:rPr>
                <w:rFonts w:eastAsia="Calibri"/>
                <w:sz w:val="20"/>
                <w:szCs w:val="20"/>
              </w:rPr>
            </w:pPr>
          </w:p>
        </w:tc>
        <w:tc>
          <w:tcPr>
            <w:tcW w:w="4218" w:type="dxa"/>
            <w:tcBorders>
              <w:top w:val="nil"/>
              <w:left w:val="nil"/>
              <w:bottom w:val="nil"/>
              <w:right w:val="nil"/>
            </w:tcBorders>
          </w:tcPr>
          <w:p w14:paraId="2BF1ADF9" w14:textId="77777777" w:rsidR="008404D9" w:rsidRPr="00772397" w:rsidRDefault="008404D9" w:rsidP="00E93FDB">
            <w:pPr>
              <w:tabs>
                <w:tab w:val="left" w:pos="851"/>
                <w:tab w:val="left" w:pos="993"/>
              </w:tabs>
              <w:suppressAutoHyphens/>
              <w:ind w:left="709" w:hanging="709"/>
              <w:jc w:val="both"/>
              <w:rPr>
                <w:rFonts w:eastAsia="Calibri"/>
                <w:sz w:val="20"/>
                <w:szCs w:val="20"/>
              </w:rPr>
            </w:pPr>
          </w:p>
        </w:tc>
      </w:tr>
      <w:tr w:rsidR="008404D9" w:rsidRPr="005874B2" w14:paraId="71A29B75" w14:textId="77777777" w:rsidTr="00E93FDB">
        <w:tc>
          <w:tcPr>
            <w:tcW w:w="4791" w:type="dxa"/>
            <w:tcBorders>
              <w:top w:val="nil"/>
              <w:left w:val="nil"/>
              <w:bottom w:val="nil"/>
              <w:right w:val="nil"/>
            </w:tcBorders>
            <w:hideMark/>
          </w:tcPr>
          <w:p w14:paraId="6C134E4B" w14:textId="77777777" w:rsidR="008404D9" w:rsidRPr="005874B2" w:rsidRDefault="008404D9" w:rsidP="00E93FDB">
            <w:pPr>
              <w:tabs>
                <w:tab w:val="left" w:pos="851"/>
                <w:tab w:val="left" w:pos="993"/>
              </w:tabs>
              <w:suppressAutoHyphens/>
              <w:ind w:left="709" w:hanging="709"/>
              <w:jc w:val="both"/>
              <w:rPr>
                <w:rFonts w:eastAsia="Calibri"/>
                <w:sz w:val="20"/>
                <w:szCs w:val="20"/>
              </w:rPr>
            </w:pPr>
            <w:r w:rsidRPr="005874B2">
              <w:rPr>
                <w:rFonts w:eastAsia="Calibri"/>
                <w:sz w:val="20"/>
                <w:szCs w:val="20"/>
              </w:rPr>
              <w:t>Direktorius</w:t>
            </w:r>
          </w:p>
        </w:tc>
        <w:tc>
          <w:tcPr>
            <w:tcW w:w="846" w:type="dxa"/>
            <w:tcBorders>
              <w:top w:val="nil"/>
              <w:left w:val="nil"/>
              <w:bottom w:val="nil"/>
              <w:right w:val="nil"/>
            </w:tcBorders>
          </w:tcPr>
          <w:p w14:paraId="3BAF7660" w14:textId="77777777" w:rsidR="008404D9" w:rsidRPr="005874B2" w:rsidRDefault="008404D9" w:rsidP="00E93FDB">
            <w:pPr>
              <w:tabs>
                <w:tab w:val="left" w:pos="851"/>
                <w:tab w:val="left" w:pos="993"/>
              </w:tabs>
              <w:suppressAutoHyphens/>
              <w:ind w:left="709" w:hanging="709"/>
              <w:jc w:val="both"/>
              <w:rPr>
                <w:rFonts w:eastAsia="Calibri"/>
                <w:sz w:val="20"/>
                <w:szCs w:val="20"/>
              </w:rPr>
            </w:pPr>
          </w:p>
        </w:tc>
        <w:tc>
          <w:tcPr>
            <w:tcW w:w="4218" w:type="dxa"/>
            <w:tcBorders>
              <w:top w:val="nil"/>
              <w:left w:val="nil"/>
              <w:bottom w:val="nil"/>
              <w:right w:val="nil"/>
            </w:tcBorders>
            <w:hideMark/>
          </w:tcPr>
          <w:p w14:paraId="555D26B4" w14:textId="47332A2F" w:rsidR="008404D9" w:rsidRPr="00772397" w:rsidRDefault="00772397" w:rsidP="00E93FDB">
            <w:pPr>
              <w:tabs>
                <w:tab w:val="left" w:pos="851"/>
                <w:tab w:val="left" w:pos="993"/>
              </w:tabs>
              <w:suppressAutoHyphens/>
              <w:ind w:left="709" w:hanging="709"/>
              <w:jc w:val="both"/>
              <w:rPr>
                <w:rFonts w:eastAsia="Calibri"/>
                <w:sz w:val="20"/>
                <w:szCs w:val="20"/>
              </w:rPr>
            </w:pPr>
            <w:r w:rsidRPr="00772397">
              <w:rPr>
                <w:rFonts w:eastAsia="Calibri"/>
                <w:sz w:val="20"/>
                <w:szCs w:val="20"/>
              </w:rPr>
              <w:t>Direktorė</w:t>
            </w:r>
          </w:p>
        </w:tc>
      </w:tr>
      <w:tr w:rsidR="008404D9" w:rsidRPr="005874B2" w14:paraId="11BE4F59" w14:textId="77777777" w:rsidTr="00E93FDB">
        <w:tc>
          <w:tcPr>
            <w:tcW w:w="4791" w:type="dxa"/>
            <w:tcBorders>
              <w:top w:val="nil"/>
              <w:left w:val="nil"/>
              <w:bottom w:val="nil"/>
              <w:right w:val="nil"/>
            </w:tcBorders>
            <w:hideMark/>
          </w:tcPr>
          <w:p w14:paraId="0632D011" w14:textId="77777777" w:rsidR="008404D9" w:rsidRPr="005874B2" w:rsidRDefault="008404D9" w:rsidP="00E93FDB">
            <w:pPr>
              <w:tabs>
                <w:tab w:val="left" w:pos="851"/>
                <w:tab w:val="left" w:pos="993"/>
              </w:tabs>
              <w:suppressAutoHyphens/>
              <w:ind w:left="709" w:hanging="709"/>
              <w:jc w:val="both"/>
              <w:rPr>
                <w:rFonts w:eastAsia="Calibri"/>
                <w:sz w:val="20"/>
                <w:szCs w:val="20"/>
              </w:rPr>
            </w:pPr>
            <w:r w:rsidRPr="005874B2">
              <w:rPr>
                <w:rFonts w:eastAsia="Calibri"/>
                <w:sz w:val="20"/>
                <w:szCs w:val="20"/>
              </w:rPr>
              <w:t>Med. dr. prof. Arūnas Germanavičius</w:t>
            </w:r>
          </w:p>
        </w:tc>
        <w:tc>
          <w:tcPr>
            <w:tcW w:w="846" w:type="dxa"/>
            <w:tcBorders>
              <w:top w:val="nil"/>
              <w:left w:val="nil"/>
              <w:bottom w:val="nil"/>
              <w:right w:val="nil"/>
            </w:tcBorders>
          </w:tcPr>
          <w:p w14:paraId="6664D9B1" w14:textId="77777777" w:rsidR="008404D9" w:rsidRPr="005874B2" w:rsidRDefault="008404D9" w:rsidP="00E93FDB">
            <w:pPr>
              <w:tabs>
                <w:tab w:val="left" w:pos="851"/>
                <w:tab w:val="left" w:pos="993"/>
              </w:tabs>
              <w:suppressAutoHyphens/>
              <w:ind w:left="709" w:hanging="709"/>
              <w:jc w:val="both"/>
              <w:rPr>
                <w:rFonts w:eastAsia="Calibri"/>
                <w:sz w:val="20"/>
                <w:szCs w:val="20"/>
              </w:rPr>
            </w:pPr>
          </w:p>
        </w:tc>
        <w:tc>
          <w:tcPr>
            <w:tcW w:w="4218" w:type="dxa"/>
            <w:tcBorders>
              <w:top w:val="nil"/>
              <w:left w:val="nil"/>
              <w:bottom w:val="nil"/>
              <w:right w:val="nil"/>
            </w:tcBorders>
            <w:hideMark/>
          </w:tcPr>
          <w:p w14:paraId="46003A03" w14:textId="74D898BB" w:rsidR="008404D9" w:rsidRPr="00772397" w:rsidRDefault="00772397" w:rsidP="00E93FDB">
            <w:pPr>
              <w:tabs>
                <w:tab w:val="left" w:pos="851"/>
                <w:tab w:val="left" w:pos="993"/>
              </w:tabs>
              <w:suppressAutoHyphens/>
              <w:ind w:left="709" w:hanging="709"/>
              <w:jc w:val="both"/>
              <w:rPr>
                <w:rFonts w:eastAsia="Calibri"/>
                <w:sz w:val="20"/>
                <w:szCs w:val="20"/>
              </w:rPr>
            </w:pPr>
            <w:r w:rsidRPr="00772397">
              <w:rPr>
                <w:rFonts w:eastAsia="Calibri"/>
                <w:sz w:val="20"/>
                <w:szCs w:val="20"/>
              </w:rPr>
              <w:t>Raida Budrikienė</w:t>
            </w:r>
          </w:p>
        </w:tc>
      </w:tr>
      <w:tr w:rsidR="008404D9" w:rsidRPr="005874B2" w14:paraId="77029440" w14:textId="77777777" w:rsidTr="00E93FDB">
        <w:tc>
          <w:tcPr>
            <w:tcW w:w="4791" w:type="dxa"/>
            <w:tcBorders>
              <w:top w:val="nil"/>
              <w:left w:val="nil"/>
              <w:bottom w:val="single" w:sz="4" w:space="0" w:color="auto"/>
              <w:right w:val="nil"/>
            </w:tcBorders>
          </w:tcPr>
          <w:p w14:paraId="4CF6BD08" w14:textId="77777777" w:rsidR="008404D9" w:rsidRPr="005874B2" w:rsidRDefault="008404D9" w:rsidP="00E93FDB">
            <w:pPr>
              <w:tabs>
                <w:tab w:val="left" w:pos="993"/>
              </w:tabs>
              <w:suppressAutoHyphens/>
              <w:jc w:val="both"/>
              <w:rPr>
                <w:rFonts w:eastAsia="Calibri"/>
                <w:sz w:val="20"/>
                <w:szCs w:val="20"/>
              </w:rPr>
            </w:pPr>
          </w:p>
        </w:tc>
        <w:tc>
          <w:tcPr>
            <w:tcW w:w="846" w:type="dxa"/>
            <w:tcBorders>
              <w:top w:val="nil"/>
              <w:left w:val="nil"/>
              <w:bottom w:val="nil"/>
              <w:right w:val="nil"/>
            </w:tcBorders>
          </w:tcPr>
          <w:p w14:paraId="30BEC27C" w14:textId="77777777" w:rsidR="008404D9" w:rsidRPr="005874B2" w:rsidRDefault="008404D9" w:rsidP="00E93FDB">
            <w:pPr>
              <w:tabs>
                <w:tab w:val="left" w:pos="993"/>
              </w:tabs>
              <w:suppressAutoHyphens/>
              <w:ind w:left="709" w:hanging="709"/>
              <w:jc w:val="both"/>
              <w:rPr>
                <w:rFonts w:eastAsia="Calibri"/>
                <w:sz w:val="20"/>
                <w:szCs w:val="20"/>
              </w:rPr>
            </w:pPr>
          </w:p>
        </w:tc>
        <w:tc>
          <w:tcPr>
            <w:tcW w:w="4218" w:type="dxa"/>
            <w:tcBorders>
              <w:top w:val="nil"/>
              <w:left w:val="nil"/>
              <w:bottom w:val="single" w:sz="4" w:space="0" w:color="auto"/>
              <w:right w:val="nil"/>
            </w:tcBorders>
          </w:tcPr>
          <w:p w14:paraId="2137DC13" w14:textId="77777777" w:rsidR="008404D9" w:rsidRPr="005874B2" w:rsidRDefault="008404D9" w:rsidP="00E93FDB">
            <w:pPr>
              <w:tabs>
                <w:tab w:val="left" w:pos="993"/>
              </w:tabs>
              <w:suppressAutoHyphens/>
              <w:ind w:left="709" w:hanging="709"/>
              <w:jc w:val="both"/>
              <w:rPr>
                <w:rFonts w:eastAsia="Calibri"/>
                <w:sz w:val="20"/>
                <w:szCs w:val="20"/>
              </w:rPr>
            </w:pPr>
          </w:p>
        </w:tc>
      </w:tr>
      <w:tr w:rsidR="008404D9" w:rsidRPr="005874B2" w14:paraId="1AAD65F1" w14:textId="77777777" w:rsidTr="00E93FDB">
        <w:tc>
          <w:tcPr>
            <w:tcW w:w="4791" w:type="dxa"/>
            <w:tcBorders>
              <w:top w:val="single" w:sz="4" w:space="0" w:color="auto"/>
              <w:left w:val="nil"/>
              <w:bottom w:val="nil"/>
              <w:right w:val="nil"/>
            </w:tcBorders>
            <w:hideMark/>
          </w:tcPr>
          <w:p w14:paraId="38FE42CD" w14:textId="77777777" w:rsidR="008404D9" w:rsidRPr="005874B2" w:rsidRDefault="008404D9" w:rsidP="00E93FDB">
            <w:pPr>
              <w:tabs>
                <w:tab w:val="left" w:pos="993"/>
              </w:tabs>
              <w:suppressAutoHyphens/>
              <w:ind w:left="709" w:hanging="709"/>
              <w:jc w:val="center"/>
              <w:rPr>
                <w:rFonts w:eastAsia="Calibri"/>
                <w:i/>
                <w:sz w:val="20"/>
                <w:szCs w:val="20"/>
              </w:rPr>
            </w:pPr>
            <w:r w:rsidRPr="005874B2">
              <w:rPr>
                <w:rFonts w:eastAsia="Calibri"/>
                <w:i/>
                <w:sz w:val="20"/>
                <w:szCs w:val="20"/>
              </w:rPr>
              <w:t>(parašas)</w:t>
            </w:r>
          </w:p>
        </w:tc>
        <w:tc>
          <w:tcPr>
            <w:tcW w:w="846" w:type="dxa"/>
            <w:tcBorders>
              <w:top w:val="nil"/>
              <w:left w:val="nil"/>
              <w:bottom w:val="nil"/>
              <w:right w:val="nil"/>
            </w:tcBorders>
          </w:tcPr>
          <w:p w14:paraId="0D558D84" w14:textId="77777777" w:rsidR="008404D9" w:rsidRPr="005874B2" w:rsidRDefault="008404D9" w:rsidP="00E93FDB">
            <w:pPr>
              <w:tabs>
                <w:tab w:val="left" w:pos="993"/>
              </w:tabs>
              <w:suppressAutoHyphens/>
              <w:ind w:left="709" w:hanging="709"/>
              <w:jc w:val="center"/>
              <w:rPr>
                <w:rFonts w:eastAsia="Calibri"/>
                <w:sz w:val="20"/>
                <w:szCs w:val="20"/>
              </w:rPr>
            </w:pPr>
          </w:p>
        </w:tc>
        <w:tc>
          <w:tcPr>
            <w:tcW w:w="4218" w:type="dxa"/>
            <w:tcBorders>
              <w:top w:val="single" w:sz="4" w:space="0" w:color="auto"/>
              <w:left w:val="nil"/>
              <w:bottom w:val="nil"/>
              <w:right w:val="nil"/>
            </w:tcBorders>
            <w:hideMark/>
          </w:tcPr>
          <w:p w14:paraId="2622A8AB" w14:textId="77777777" w:rsidR="008404D9" w:rsidRPr="005874B2" w:rsidRDefault="008404D9" w:rsidP="00E93FDB">
            <w:pPr>
              <w:tabs>
                <w:tab w:val="left" w:pos="993"/>
              </w:tabs>
              <w:suppressAutoHyphens/>
              <w:ind w:left="709" w:hanging="709"/>
              <w:jc w:val="center"/>
              <w:rPr>
                <w:rFonts w:eastAsia="Calibri"/>
                <w:i/>
                <w:sz w:val="20"/>
                <w:szCs w:val="20"/>
              </w:rPr>
            </w:pPr>
            <w:r w:rsidRPr="005874B2">
              <w:rPr>
                <w:rFonts w:eastAsia="Calibri"/>
                <w:i/>
                <w:sz w:val="20"/>
                <w:szCs w:val="20"/>
              </w:rPr>
              <w:t>(parašas)</w:t>
            </w:r>
          </w:p>
        </w:tc>
      </w:tr>
      <w:tr w:rsidR="008404D9" w:rsidRPr="005874B2" w14:paraId="520ABE87" w14:textId="77777777" w:rsidTr="00E93FDB">
        <w:tc>
          <w:tcPr>
            <w:tcW w:w="4791" w:type="dxa"/>
            <w:tcBorders>
              <w:top w:val="nil"/>
              <w:left w:val="nil"/>
              <w:bottom w:val="nil"/>
              <w:right w:val="nil"/>
            </w:tcBorders>
            <w:hideMark/>
          </w:tcPr>
          <w:p w14:paraId="092C7C69" w14:textId="77777777" w:rsidR="008404D9" w:rsidRPr="005874B2" w:rsidRDefault="008404D9" w:rsidP="00E93FDB">
            <w:pPr>
              <w:tabs>
                <w:tab w:val="left" w:pos="993"/>
              </w:tabs>
              <w:suppressAutoHyphens/>
              <w:ind w:left="709" w:hanging="709"/>
              <w:jc w:val="right"/>
              <w:rPr>
                <w:rFonts w:eastAsia="Calibri"/>
                <w:sz w:val="20"/>
                <w:szCs w:val="20"/>
              </w:rPr>
            </w:pPr>
            <w:r w:rsidRPr="005874B2">
              <w:rPr>
                <w:rFonts w:eastAsia="Calibri"/>
                <w:sz w:val="20"/>
                <w:szCs w:val="20"/>
              </w:rPr>
              <w:t>A. V.</w:t>
            </w:r>
          </w:p>
        </w:tc>
        <w:tc>
          <w:tcPr>
            <w:tcW w:w="846" w:type="dxa"/>
            <w:tcBorders>
              <w:top w:val="nil"/>
              <w:left w:val="nil"/>
              <w:bottom w:val="nil"/>
              <w:right w:val="nil"/>
            </w:tcBorders>
          </w:tcPr>
          <w:p w14:paraId="0AAD81EB" w14:textId="77777777" w:rsidR="008404D9" w:rsidRPr="005874B2" w:rsidRDefault="008404D9" w:rsidP="00E93FDB">
            <w:pPr>
              <w:tabs>
                <w:tab w:val="left" w:pos="993"/>
              </w:tabs>
              <w:suppressAutoHyphens/>
              <w:ind w:left="709" w:hanging="709"/>
              <w:jc w:val="right"/>
              <w:rPr>
                <w:rFonts w:eastAsia="Calibri"/>
                <w:sz w:val="20"/>
                <w:szCs w:val="20"/>
              </w:rPr>
            </w:pPr>
          </w:p>
        </w:tc>
        <w:tc>
          <w:tcPr>
            <w:tcW w:w="4218" w:type="dxa"/>
            <w:tcBorders>
              <w:top w:val="nil"/>
              <w:left w:val="nil"/>
              <w:bottom w:val="nil"/>
              <w:right w:val="nil"/>
            </w:tcBorders>
            <w:hideMark/>
          </w:tcPr>
          <w:p w14:paraId="3D5DC992" w14:textId="77777777" w:rsidR="008404D9" w:rsidRPr="005874B2" w:rsidRDefault="008404D9" w:rsidP="00E93FDB">
            <w:pPr>
              <w:tabs>
                <w:tab w:val="left" w:pos="993"/>
              </w:tabs>
              <w:suppressAutoHyphens/>
              <w:ind w:left="709" w:hanging="709"/>
              <w:jc w:val="right"/>
              <w:rPr>
                <w:rFonts w:eastAsia="Calibri"/>
                <w:sz w:val="20"/>
                <w:szCs w:val="20"/>
              </w:rPr>
            </w:pPr>
            <w:r w:rsidRPr="005874B2">
              <w:rPr>
                <w:rFonts w:eastAsia="Calibri"/>
                <w:sz w:val="20"/>
                <w:szCs w:val="20"/>
              </w:rPr>
              <w:t>A. V.</w:t>
            </w:r>
          </w:p>
        </w:tc>
      </w:tr>
      <w:tr w:rsidR="008404D9" w:rsidRPr="005874B2" w14:paraId="7B9F6348" w14:textId="77777777" w:rsidTr="00E93FDB">
        <w:tc>
          <w:tcPr>
            <w:tcW w:w="4791" w:type="dxa"/>
            <w:tcBorders>
              <w:top w:val="nil"/>
              <w:left w:val="nil"/>
              <w:bottom w:val="single" w:sz="4" w:space="0" w:color="auto"/>
              <w:right w:val="nil"/>
            </w:tcBorders>
            <w:hideMark/>
          </w:tcPr>
          <w:p w14:paraId="013C2EBE" w14:textId="77777777" w:rsidR="008404D9" w:rsidRPr="005874B2" w:rsidRDefault="008404D9" w:rsidP="00E93FDB">
            <w:pPr>
              <w:tabs>
                <w:tab w:val="left" w:pos="993"/>
              </w:tabs>
              <w:suppressAutoHyphens/>
              <w:ind w:left="709" w:hanging="709"/>
              <w:rPr>
                <w:rFonts w:eastAsia="Calibri"/>
                <w:sz w:val="20"/>
                <w:szCs w:val="20"/>
              </w:rPr>
            </w:pPr>
            <w:r w:rsidRPr="005874B2">
              <w:rPr>
                <w:rFonts w:eastAsia="Calibri"/>
                <w:sz w:val="20"/>
                <w:szCs w:val="20"/>
              </w:rPr>
              <w:t xml:space="preserve">Sutarties pasirašymo data: </w:t>
            </w:r>
          </w:p>
        </w:tc>
        <w:tc>
          <w:tcPr>
            <w:tcW w:w="846" w:type="dxa"/>
            <w:tcBorders>
              <w:top w:val="nil"/>
              <w:left w:val="nil"/>
              <w:bottom w:val="nil"/>
              <w:right w:val="nil"/>
            </w:tcBorders>
          </w:tcPr>
          <w:p w14:paraId="7CD9DF80" w14:textId="77777777" w:rsidR="008404D9" w:rsidRPr="005874B2" w:rsidRDefault="008404D9" w:rsidP="00E93FDB">
            <w:pPr>
              <w:tabs>
                <w:tab w:val="left" w:pos="993"/>
              </w:tabs>
              <w:suppressAutoHyphens/>
              <w:ind w:left="709" w:hanging="709"/>
              <w:jc w:val="right"/>
              <w:rPr>
                <w:rFonts w:eastAsia="Calibri"/>
                <w:sz w:val="20"/>
                <w:szCs w:val="20"/>
              </w:rPr>
            </w:pPr>
          </w:p>
        </w:tc>
        <w:tc>
          <w:tcPr>
            <w:tcW w:w="4218" w:type="dxa"/>
            <w:tcBorders>
              <w:top w:val="nil"/>
              <w:left w:val="nil"/>
              <w:bottom w:val="single" w:sz="4" w:space="0" w:color="auto"/>
              <w:right w:val="nil"/>
            </w:tcBorders>
            <w:hideMark/>
          </w:tcPr>
          <w:p w14:paraId="4D601F58" w14:textId="77777777" w:rsidR="008404D9" w:rsidRPr="005874B2" w:rsidRDefault="008404D9" w:rsidP="00E93FDB">
            <w:pPr>
              <w:tabs>
                <w:tab w:val="left" w:pos="993"/>
              </w:tabs>
              <w:suppressAutoHyphens/>
              <w:ind w:left="709" w:hanging="709"/>
              <w:rPr>
                <w:rFonts w:eastAsia="Calibri"/>
                <w:sz w:val="20"/>
                <w:szCs w:val="20"/>
              </w:rPr>
            </w:pPr>
            <w:r w:rsidRPr="005874B2">
              <w:rPr>
                <w:rFonts w:eastAsia="Calibri"/>
                <w:sz w:val="20"/>
                <w:szCs w:val="20"/>
              </w:rPr>
              <w:t>Sutarties pasirašymo data:</w:t>
            </w:r>
          </w:p>
        </w:tc>
      </w:tr>
    </w:tbl>
    <w:p w14:paraId="740D39BE" w14:textId="0FFB8A77" w:rsidR="0063107D" w:rsidRDefault="0063107D" w:rsidP="00454342">
      <w:pPr>
        <w:jc w:val="both"/>
        <w:rPr>
          <w:b/>
          <w:sz w:val="20"/>
          <w:szCs w:val="20"/>
        </w:rPr>
      </w:pPr>
    </w:p>
    <w:p w14:paraId="3FFBBA84" w14:textId="13050FD5" w:rsidR="002D21E7" w:rsidRDefault="002D21E7" w:rsidP="00454342">
      <w:pPr>
        <w:jc w:val="both"/>
        <w:rPr>
          <w:b/>
          <w:sz w:val="20"/>
          <w:szCs w:val="20"/>
        </w:rPr>
      </w:pPr>
    </w:p>
    <w:p w14:paraId="443D2483" w14:textId="68E0383C" w:rsidR="002D21E7" w:rsidRDefault="002D21E7" w:rsidP="00454342">
      <w:pPr>
        <w:jc w:val="both"/>
        <w:rPr>
          <w:b/>
          <w:sz w:val="20"/>
          <w:szCs w:val="20"/>
        </w:rPr>
      </w:pPr>
    </w:p>
    <w:p w14:paraId="7CDA3D7F" w14:textId="47526CCD" w:rsidR="002D21E7" w:rsidRDefault="002D21E7" w:rsidP="00454342">
      <w:pPr>
        <w:jc w:val="both"/>
        <w:rPr>
          <w:b/>
          <w:sz w:val="20"/>
          <w:szCs w:val="20"/>
        </w:rPr>
      </w:pPr>
    </w:p>
    <w:p w14:paraId="4024D31B" w14:textId="6AE26F27" w:rsidR="002D21E7" w:rsidRDefault="002D21E7" w:rsidP="00454342">
      <w:pPr>
        <w:jc w:val="both"/>
        <w:rPr>
          <w:b/>
          <w:sz w:val="20"/>
          <w:szCs w:val="20"/>
        </w:rPr>
      </w:pPr>
    </w:p>
    <w:p w14:paraId="0BCF17D1" w14:textId="4692581C" w:rsidR="002D21E7" w:rsidRDefault="002D21E7" w:rsidP="00454342">
      <w:pPr>
        <w:jc w:val="both"/>
        <w:rPr>
          <w:b/>
          <w:sz w:val="20"/>
          <w:szCs w:val="20"/>
        </w:rPr>
      </w:pPr>
    </w:p>
    <w:p w14:paraId="774B1205" w14:textId="47CA0F7D" w:rsidR="002D21E7" w:rsidRDefault="002D21E7" w:rsidP="00454342">
      <w:pPr>
        <w:jc w:val="both"/>
        <w:rPr>
          <w:b/>
          <w:sz w:val="20"/>
          <w:szCs w:val="20"/>
        </w:rPr>
      </w:pPr>
    </w:p>
    <w:p w14:paraId="2252FF23" w14:textId="40B4D82C" w:rsidR="002D21E7" w:rsidRDefault="002D21E7" w:rsidP="00454342">
      <w:pPr>
        <w:jc w:val="both"/>
        <w:rPr>
          <w:b/>
          <w:sz w:val="20"/>
          <w:szCs w:val="20"/>
        </w:rPr>
      </w:pPr>
    </w:p>
    <w:p w14:paraId="74D5E2C7" w14:textId="09F9D025" w:rsidR="002D21E7" w:rsidRDefault="002D21E7" w:rsidP="00454342">
      <w:pPr>
        <w:jc w:val="both"/>
        <w:rPr>
          <w:b/>
          <w:sz w:val="20"/>
          <w:szCs w:val="20"/>
        </w:rPr>
      </w:pPr>
    </w:p>
    <w:p w14:paraId="4FB2BF55" w14:textId="717DBC19" w:rsidR="002D21E7" w:rsidRDefault="002D21E7" w:rsidP="00454342">
      <w:pPr>
        <w:jc w:val="both"/>
        <w:rPr>
          <w:b/>
          <w:sz w:val="20"/>
          <w:szCs w:val="20"/>
        </w:rPr>
      </w:pPr>
    </w:p>
    <w:p w14:paraId="7FA5ECEF" w14:textId="35C2297F" w:rsidR="002D21E7" w:rsidRDefault="002D21E7" w:rsidP="00454342">
      <w:pPr>
        <w:jc w:val="both"/>
        <w:rPr>
          <w:b/>
          <w:sz w:val="20"/>
          <w:szCs w:val="20"/>
        </w:rPr>
      </w:pPr>
    </w:p>
    <w:p w14:paraId="74BEB0DE" w14:textId="597AF940" w:rsidR="002D21E7" w:rsidRDefault="002D21E7" w:rsidP="00454342">
      <w:pPr>
        <w:jc w:val="both"/>
        <w:rPr>
          <w:b/>
          <w:sz w:val="20"/>
          <w:szCs w:val="20"/>
        </w:rPr>
      </w:pPr>
    </w:p>
    <w:p w14:paraId="5DB90076" w14:textId="31BFDB5E" w:rsidR="002D21E7" w:rsidRDefault="002D21E7" w:rsidP="00454342">
      <w:pPr>
        <w:jc w:val="both"/>
        <w:rPr>
          <w:b/>
          <w:sz w:val="20"/>
          <w:szCs w:val="20"/>
        </w:rPr>
      </w:pPr>
    </w:p>
    <w:p w14:paraId="284F66DD" w14:textId="0C8C295B" w:rsidR="002D21E7" w:rsidRDefault="002D21E7" w:rsidP="00454342">
      <w:pPr>
        <w:jc w:val="both"/>
        <w:rPr>
          <w:b/>
          <w:sz w:val="20"/>
          <w:szCs w:val="20"/>
        </w:rPr>
      </w:pPr>
    </w:p>
    <w:p w14:paraId="781B4D37" w14:textId="134CBCFB" w:rsidR="002D21E7" w:rsidRDefault="002D21E7" w:rsidP="00454342">
      <w:pPr>
        <w:jc w:val="both"/>
        <w:rPr>
          <w:b/>
          <w:sz w:val="20"/>
          <w:szCs w:val="20"/>
        </w:rPr>
      </w:pPr>
    </w:p>
    <w:p w14:paraId="01FAAF78" w14:textId="4E33CE4C" w:rsidR="002D21E7" w:rsidRDefault="002D21E7" w:rsidP="00454342">
      <w:pPr>
        <w:jc w:val="both"/>
        <w:rPr>
          <w:b/>
          <w:sz w:val="20"/>
          <w:szCs w:val="20"/>
        </w:rPr>
      </w:pPr>
    </w:p>
    <w:p w14:paraId="347E27E8" w14:textId="2C96A3CD" w:rsidR="002D21E7" w:rsidRDefault="002D21E7" w:rsidP="00454342">
      <w:pPr>
        <w:jc w:val="both"/>
        <w:rPr>
          <w:b/>
          <w:sz w:val="20"/>
          <w:szCs w:val="20"/>
        </w:rPr>
      </w:pPr>
    </w:p>
    <w:p w14:paraId="51117EB0" w14:textId="77777777" w:rsidR="002D21E7" w:rsidRDefault="002D21E7" w:rsidP="00454342">
      <w:pPr>
        <w:jc w:val="both"/>
        <w:rPr>
          <w:b/>
          <w:sz w:val="20"/>
          <w:szCs w:val="20"/>
        </w:rPr>
        <w:sectPr w:rsidR="002D21E7" w:rsidSect="00454342">
          <w:headerReference w:type="default" r:id="rId13"/>
          <w:headerReference w:type="first" r:id="rId14"/>
          <w:pgSz w:w="11906" w:h="16838"/>
          <w:pgMar w:top="1134" w:right="567" w:bottom="1134" w:left="1701" w:header="709" w:footer="567" w:gutter="0"/>
          <w:pgNumType w:start="1"/>
          <w:cols w:space="1296"/>
          <w:titlePg/>
          <w:docGrid w:linePitch="360"/>
        </w:sectPr>
      </w:pPr>
    </w:p>
    <w:p w14:paraId="2E331E49" w14:textId="1AEB0FA6" w:rsidR="002D21E7" w:rsidRDefault="002D21E7" w:rsidP="002D21E7">
      <w:pPr>
        <w:tabs>
          <w:tab w:val="left" w:pos="142"/>
          <w:tab w:val="left" w:pos="426"/>
        </w:tabs>
        <w:jc w:val="right"/>
        <w:rPr>
          <w:sz w:val="20"/>
          <w:szCs w:val="20"/>
        </w:rPr>
      </w:pPr>
      <w:r w:rsidRPr="0015519D">
        <w:rPr>
          <w:sz w:val="20"/>
          <w:szCs w:val="20"/>
        </w:rPr>
        <w:lastRenderedPageBreak/>
        <w:t>2020</w:t>
      </w:r>
      <w:r w:rsidRPr="00BA7C6D">
        <w:rPr>
          <w:sz w:val="20"/>
          <w:szCs w:val="20"/>
        </w:rPr>
        <w:t>-</w:t>
      </w:r>
      <w:r w:rsidR="00BA7C6D" w:rsidRPr="00BA7C6D">
        <w:rPr>
          <w:sz w:val="20"/>
          <w:szCs w:val="20"/>
        </w:rPr>
        <w:t>01</w:t>
      </w:r>
      <w:r w:rsidRPr="00BA7C6D">
        <w:rPr>
          <w:sz w:val="20"/>
          <w:szCs w:val="20"/>
        </w:rPr>
        <w:t>-</w:t>
      </w:r>
      <w:r w:rsidR="00BA7C6D" w:rsidRPr="00BA7C6D">
        <w:rPr>
          <w:sz w:val="20"/>
          <w:szCs w:val="20"/>
        </w:rPr>
        <w:t>07</w:t>
      </w:r>
      <w:r w:rsidRPr="0015519D">
        <w:rPr>
          <w:sz w:val="20"/>
          <w:szCs w:val="20"/>
        </w:rPr>
        <w:t xml:space="preserve"> sutarties Nr. </w:t>
      </w:r>
      <w:r w:rsidR="00933DAE" w:rsidRPr="00933DAE">
        <w:rPr>
          <w:sz w:val="20"/>
          <w:szCs w:val="20"/>
        </w:rPr>
        <w:t>BS-01/</w:t>
      </w:r>
      <w:r w:rsidR="00933DAE" w:rsidRPr="0051139E">
        <w:rPr>
          <w:sz w:val="20"/>
          <w:szCs w:val="20"/>
        </w:rPr>
        <w:t xml:space="preserve">2020 </w:t>
      </w:r>
      <w:r w:rsidRPr="0051139E">
        <w:rPr>
          <w:sz w:val="20"/>
          <w:szCs w:val="20"/>
        </w:rPr>
        <w:t>1</w:t>
      </w:r>
      <w:r w:rsidRPr="0015519D">
        <w:rPr>
          <w:sz w:val="20"/>
          <w:szCs w:val="20"/>
        </w:rPr>
        <w:t xml:space="preserve"> priedas</w:t>
      </w:r>
    </w:p>
    <w:p w14:paraId="7A1DB2E7" w14:textId="77777777" w:rsidR="002D21E7" w:rsidRDefault="002D21E7" w:rsidP="002D21E7">
      <w:pPr>
        <w:tabs>
          <w:tab w:val="left" w:pos="0"/>
        </w:tabs>
        <w:jc w:val="right"/>
        <w:rPr>
          <w:sz w:val="20"/>
          <w:szCs w:val="20"/>
        </w:rPr>
      </w:pPr>
    </w:p>
    <w:p w14:paraId="606546B2" w14:textId="77777777" w:rsidR="002D21E7" w:rsidRPr="0015519D" w:rsidRDefault="002D21E7" w:rsidP="002D21E7">
      <w:pPr>
        <w:tabs>
          <w:tab w:val="left" w:pos="0"/>
        </w:tabs>
        <w:jc w:val="center"/>
        <w:rPr>
          <w:b/>
          <w:sz w:val="20"/>
          <w:szCs w:val="20"/>
        </w:rPr>
      </w:pPr>
      <w:r w:rsidRPr="0015519D">
        <w:rPr>
          <w:b/>
          <w:sz w:val="20"/>
          <w:szCs w:val="20"/>
        </w:rPr>
        <w:t>TECHNINĖ SPECIFIKACIJA</w:t>
      </w:r>
    </w:p>
    <w:p w14:paraId="2A16B289" w14:textId="69DA4ECF" w:rsidR="002D21E7" w:rsidRDefault="002D21E7" w:rsidP="002D21E7">
      <w:pPr>
        <w:jc w:val="both"/>
        <w:rPr>
          <w:b/>
          <w:sz w:val="20"/>
          <w:szCs w:val="20"/>
        </w:rPr>
      </w:pPr>
    </w:p>
    <w:tbl>
      <w:tblPr>
        <w:tblStyle w:val="TableGrid"/>
        <w:tblW w:w="0" w:type="auto"/>
        <w:tblLook w:val="04A0" w:firstRow="1" w:lastRow="0" w:firstColumn="1" w:lastColumn="0" w:noHBand="0" w:noVBand="1"/>
      </w:tblPr>
      <w:tblGrid>
        <w:gridCol w:w="927"/>
        <w:gridCol w:w="1902"/>
        <w:gridCol w:w="4679"/>
        <w:gridCol w:w="709"/>
        <w:gridCol w:w="992"/>
        <w:gridCol w:w="3260"/>
        <w:gridCol w:w="1289"/>
        <w:gridCol w:w="878"/>
        <w:gridCol w:w="1089"/>
      </w:tblGrid>
      <w:tr w:rsidR="002D21E7" w:rsidRPr="002D21E7" w14:paraId="022B3882" w14:textId="77777777" w:rsidTr="00E369F5">
        <w:trPr>
          <w:trHeight w:val="1213"/>
        </w:trPr>
        <w:tc>
          <w:tcPr>
            <w:tcW w:w="927" w:type="dxa"/>
            <w:hideMark/>
          </w:tcPr>
          <w:p w14:paraId="18D7FE81" w14:textId="77777777" w:rsidR="002D21E7" w:rsidRPr="002D21E7" w:rsidRDefault="002D21E7" w:rsidP="002D21E7">
            <w:pPr>
              <w:jc w:val="center"/>
              <w:rPr>
                <w:b/>
                <w:bCs/>
                <w:sz w:val="20"/>
                <w:szCs w:val="20"/>
                <w:lang w:val="en-US"/>
              </w:rPr>
            </w:pPr>
            <w:r w:rsidRPr="002D21E7">
              <w:rPr>
                <w:b/>
                <w:bCs/>
                <w:sz w:val="20"/>
                <w:szCs w:val="20"/>
              </w:rPr>
              <w:t>Pirkimo dalies numeris</w:t>
            </w:r>
          </w:p>
        </w:tc>
        <w:tc>
          <w:tcPr>
            <w:tcW w:w="1902" w:type="dxa"/>
            <w:hideMark/>
          </w:tcPr>
          <w:p w14:paraId="314B48A5" w14:textId="77777777" w:rsidR="002D21E7" w:rsidRPr="002D21E7" w:rsidRDefault="002D21E7" w:rsidP="002D21E7">
            <w:pPr>
              <w:jc w:val="center"/>
              <w:rPr>
                <w:b/>
                <w:sz w:val="20"/>
                <w:szCs w:val="20"/>
              </w:rPr>
            </w:pPr>
            <w:r w:rsidRPr="002D21E7">
              <w:rPr>
                <w:b/>
                <w:sz w:val="20"/>
                <w:szCs w:val="20"/>
              </w:rPr>
              <w:t>Produkto pavadinimas</w:t>
            </w:r>
          </w:p>
        </w:tc>
        <w:tc>
          <w:tcPr>
            <w:tcW w:w="4679" w:type="dxa"/>
            <w:hideMark/>
          </w:tcPr>
          <w:p w14:paraId="302EBB1B" w14:textId="77777777" w:rsidR="002D21E7" w:rsidRPr="002D21E7" w:rsidRDefault="002D21E7" w:rsidP="002D21E7">
            <w:pPr>
              <w:jc w:val="center"/>
              <w:rPr>
                <w:b/>
                <w:bCs/>
                <w:sz w:val="20"/>
                <w:szCs w:val="20"/>
              </w:rPr>
            </w:pPr>
            <w:r w:rsidRPr="002D21E7">
              <w:rPr>
                <w:b/>
                <w:bCs/>
                <w:sz w:val="20"/>
                <w:szCs w:val="20"/>
              </w:rPr>
              <w:t>Aprašymas, techniniai reikalavimai</w:t>
            </w:r>
          </w:p>
        </w:tc>
        <w:tc>
          <w:tcPr>
            <w:tcW w:w="709" w:type="dxa"/>
            <w:hideMark/>
          </w:tcPr>
          <w:p w14:paraId="0BCCDA7F" w14:textId="77777777" w:rsidR="002D21E7" w:rsidRPr="002D21E7" w:rsidRDefault="002D21E7" w:rsidP="002D21E7">
            <w:pPr>
              <w:jc w:val="center"/>
              <w:rPr>
                <w:b/>
                <w:bCs/>
                <w:sz w:val="20"/>
                <w:szCs w:val="20"/>
              </w:rPr>
            </w:pPr>
            <w:r w:rsidRPr="002D21E7">
              <w:rPr>
                <w:b/>
                <w:bCs/>
                <w:sz w:val="20"/>
                <w:szCs w:val="20"/>
              </w:rPr>
              <w:t>Mato vnt.</w:t>
            </w:r>
          </w:p>
        </w:tc>
        <w:tc>
          <w:tcPr>
            <w:tcW w:w="992" w:type="dxa"/>
            <w:hideMark/>
          </w:tcPr>
          <w:p w14:paraId="4CE6EBE3" w14:textId="77777777" w:rsidR="002D21E7" w:rsidRPr="002D21E7" w:rsidRDefault="002D21E7" w:rsidP="002D21E7">
            <w:pPr>
              <w:jc w:val="center"/>
              <w:rPr>
                <w:b/>
                <w:bCs/>
                <w:sz w:val="20"/>
                <w:szCs w:val="20"/>
              </w:rPr>
            </w:pPr>
            <w:r w:rsidRPr="002D21E7">
              <w:rPr>
                <w:b/>
                <w:bCs/>
                <w:sz w:val="20"/>
                <w:szCs w:val="20"/>
              </w:rPr>
              <w:t>Maksi-malus kiekis 36 mėn.</w:t>
            </w:r>
          </w:p>
        </w:tc>
        <w:tc>
          <w:tcPr>
            <w:tcW w:w="3260" w:type="dxa"/>
            <w:hideMark/>
          </w:tcPr>
          <w:p w14:paraId="51F454AE" w14:textId="66CDC36C" w:rsidR="002D21E7" w:rsidRPr="002D21E7" w:rsidRDefault="002D21E7" w:rsidP="002D21E7">
            <w:pPr>
              <w:jc w:val="center"/>
              <w:rPr>
                <w:b/>
                <w:bCs/>
                <w:sz w:val="20"/>
                <w:szCs w:val="20"/>
              </w:rPr>
            </w:pPr>
            <w:r w:rsidRPr="002D21E7">
              <w:rPr>
                <w:b/>
                <w:bCs/>
                <w:sz w:val="20"/>
                <w:szCs w:val="20"/>
              </w:rPr>
              <w:t>Siūlomo produkto pavadinimas, gamintojas* (</w:t>
            </w:r>
            <w:r w:rsidRPr="002D21E7">
              <w:rPr>
                <w:b/>
                <w:bCs/>
                <w:i/>
                <w:iCs/>
                <w:sz w:val="20"/>
                <w:szCs w:val="20"/>
              </w:rPr>
              <w:t>taikoma tik toms prekėms, kurioms nurodyta</w:t>
            </w:r>
            <w:r w:rsidRPr="002D21E7">
              <w:rPr>
                <w:b/>
                <w:bCs/>
                <w:sz w:val="20"/>
                <w:szCs w:val="20"/>
              </w:rPr>
              <w:t xml:space="preserve">)                      </w:t>
            </w:r>
          </w:p>
        </w:tc>
        <w:tc>
          <w:tcPr>
            <w:tcW w:w="1289" w:type="dxa"/>
            <w:hideMark/>
          </w:tcPr>
          <w:p w14:paraId="256182A9" w14:textId="77777777" w:rsidR="002D21E7" w:rsidRPr="002D21E7" w:rsidRDefault="002D21E7" w:rsidP="002D21E7">
            <w:pPr>
              <w:jc w:val="center"/>
              <w:rPr>
                <w:b/>
                <w:bCs/>
                <w:sz w:val="20"/>
                <w:szCs w:val="20"/>
              </w:rPr>
            </w:pPr>
            <w:r w:rsidRPr="002D21E7">
              <w:rPr>
                <w:b/>
                <w:bCs/>
                <w:sz w:val="20"/>
                <w:szCs w:val="20"/>
              </w:rPr>
              <w:t>Kartu su pasiūlymu privaloma pateikti šiuos dokumentus (</w:t>
            </w:r>
            <w:r w:rsidRPr="002D21E7">
              <w:rPr>
                <w:b/>
                <w:bCs/>
                <w:i/>
                <w:iCs/>
                <w:sz w:val="20"/>
                <w:szCs w:val="20"/>
                <w:u w:val="single"/>
              </w:rPr>
              <w:t>taikoma tik toms prekėms, kurioms nurodyta</w:t>
            </w:r>
            <w:r w:rsidRPr="002D21E7">
              <w:rPr>
                <w:b/>
                <w:bCs/>
                <w:sz w:val="20"/>
                <w:szCs w:val="20"/>
              </w:rPr>
              <w:t>)</w:t>
            </w:r>
          </w:p>
        </w:tc>
        <w:tc>
          <w:tcPr>
            <w:tcW w:w="878" w:type="dxa"/>
            <w:hideMark/>
          </w:tcPr>
          <w:p w14:paraId="28DE5301" w14:textId="77777777" w:rsidR="002D21E7" w:rsidRPr="002D21E7" w:rsidRDefault="002D21E7" w:rsidP="002D21E7">
            <w:pPr>
              <w:jc w:val="center"/>
              <w:rPr>
                <w:b/>
                <w:bCs/>
                <w:sz w:val="20"/>
                <w:szCs w:val="20"/>
              </w:rPr>
            </w:pPr>
            <w:r w:rsidRPr="002D21E7">
              <w:rPr>
                <w:b/>
                <w:bCs/>
                <w:sz w:val="20"/>
                <w:szCs w:val="20"/>
              </w:rPr>
              <w:t>1 mato vnt. įkainis Eur be PVM</w:t>
            </w:r>
          </w:p>
        </w:tc>
        <w:tc>
          <w:tcPr>
            <w:tcW w:w="1089" w:type="dxa"/>
            <w:hideMark/>
          </w:tcPr>
          <w:p w14:paraId="74231D62" w14:textId="77777777" w:rsidR="002D21E7" w:rsidRPr="002D21E7" w:rsidRDefault="002D21E7" w:rsidP="002D21E7">
            <w:pPr>
              <w:jc w:val="center"/>
              <w:rPr>
                <w:b/>
                <w:bCs/>
                <w:sz w:val="20"/>
                <w:szCs w:val="20"/>
              </w:rPr>
            </w:pPr>
            <w:r w:rsidRPr="002D21E7">
              <w:rPr>
                <w:b/>
                <w:bCs/>
                <w:sz w:val="20"/>
                <w:szCs w:val="20"/>
              </w:rPr>
              <w:t>Viso kiekio kaina Eur be PVM</w:t>
            </w:r>
          </w:p>
        </w:tc>
      </w:tr>
      <w:tr w:rsidR="002D21E7" w:rsidRPr="002D21E7" w14:paraId="730C2175" w14:textId="77777777" w:rsidTr="00E369F5">
        <w:trPr>
          <w:trHeight w:val="346"/>
        </w:trPr>
        <w:tc>
          <w:tcPr>
            <w:tcW w:w="927" w:type="dxa"/>
            <w:hideMark/>
          </w:tcPr>
          <w:p w14:paraId="4F238919" w14:textId="77777777" w:rsidR="002D21E7" w:rsidRPr="002D21E7" w:rsidRDefault="002D21E7" w:rsidP="002D21E7">
            <w:pPr>
              <w:jc w:val="center"/>
              <w:rPr>
                <w:b/>
                <w:bCs/>
                <w:sz w:val="20"/>
                <w:szCs w:val="20"/>
              </w:rPr>
            </w:pPr>
            <w:r w:rsidRPr="002D21E7">
              <w:rPr>
                <w:b/>
                <w:bCs/>
                <w:sz w:val="20"/>
                <w:szCs w:val="20"/>
              </w:rPr>
              <w:t>36</w:t>
            </w:r>
          </w:p>
        </w:tc>
        <w:tc>
          <w:tcPr>
            <w:tcW w:w="1902" w:type="dxa"/>
            <w:hideMark/>
          </w:tcPr>
          <w:p w14:paraId="214F74EE" w14:textId="77777777" w:rsidR="002D21E7" w:rsidRPr="002D21E7" w:rsidRDefault="002D21E7" w:rsidP="002D21E7">
            <w:pPr>
              <w:jc w:val="both"/>
              <w:rPr>
                <w:b/>
                <w:sz w:val="20"/>
                <w:szCs w:val="20"/>
              </w:rPr>
            </w:pPr>
            <w:r w:rsidRPr="002D21E7">
              <w:rPr>
                <w:b/>
                <w:sz w:val="20"/>
                <w:szCs w:val="20"/>
              </w:rPr>
              <w:t>Šaldyti vaisai, daržovės ir grybai</w:t>
            </w:r>
          </w:p>
        </w:tc>
        <w:tc>
          <w:tcPr>
            <w:tcW w:w="4679" w:type="dxa"/>
            <w:hideMark/>
          </w:tcPr>
          <w:p w14:paraId="004587B6" w14:textId="77777777" w:rsidR="002D21E7" w:rsidRPr="002D21E7" w:rsidRDefault="002D21E7" w:rsidP="002D21E7">
            <w:pPr>
              <w:jc w:val="both"/>
              <w:rPr>
                <w:b/>
                <w:sz w:val="20"/>
                <w:szCs w:val="20"/>
              </w:rPr>
            </w:pPr>
            <w:r w:rsidRPr="002D21E7">
              <w:rPr>
                <w:b/>
                <w:sz w:val="20"/>
                <w:szCs w:val="20"/>
              </w:rPr>
              <w:t> </w:t>
            </w:r>
          </w:p>
        </w:tc>
        <w:tc>
          <w:tcPr>
            <w:tcW w:w="709" w:type="dxa"/>
            <w:hideMark/>
          </w:tcPr>
          <w:p w14:paraId="0673FBE8" w14:textId="77777777" w:rsidR="002D21E7" w:rsidRPr="002D21E7" w:rsidRDefault="002D21E7" w:rsidP="002D21E7">
            <w:pPr>
              <w:jc w:val="both"/>
              <w:rPr>
                <w:b/>
                <w:sz w:val="20"/>
                <w:szCs w:val="20"/>
              </w:rPr>
            </w:pPr>
            <w:r w:rsidRPr="002D21E7">
              <w:rPr>
                <w:b/>
                <w:sz w:val="20"/>
                <w:szCs w:val="20"/>
              </w:rPr>
              <w:t> </w:t>
            </w:r>
          </w:p>
        </w:tc>
        <w:tc>
          <w:tcPr>
            <w:tcW w:w="992" w:type="dxa"/>
            <w:hideMark/>
          </w:tcPr>
          <w:p w14:paraId="2A939BE5" w14:textId="77777777" w:rsidR="002D21E7" w:rsidRPr="002D21E7" w:rsidRDefault="002D21E7" w:rsidP="002D21E7">
            <w:pPr>
              <w:jc w:val="both"/>
              <w:rPr>
                <w:b/>
                <w:sz w:val="20"/>
                <w:szCs w:val="20"/>
              </w:rPr>
            </w:pPr>
            <w:r w:rsidRPr="002D21E7">
              <w:rPr>
                <w:b/>
                <w:sz w:val="20"/>
                <w:szCs w:val="20"/>
              </w:rPr>
              <w:t> </w:t>
            </w:r>
          </w:p>
        </w:tc>
        <w:tc>
          <w:tcPr>
            <w:tcW w:w="3260" w:type="dxa"/>
            <w:hideMark/>
          </w:tcPr>
          <w:p w14:paraId="7BD07345" w14:textId="77777777" w:rsidR="002D21E7" w:rsidRPr="002D21E7" w:rsidRDefault="002D21E7" w:rsidP="002D21E7">
            <w:pPr>
              <w:jc w:val="both"/>
              <w:rPr>
                <w:b/>
                <w:sz w:val="20"/>
                <w:szCs w:val="20"/>
              </w:rPr>
            </w:pPr>
            <w:r w:rsidRPr="002D21E7">
              <w:rPr>
                <w:b/>
                <w:sz w:val="20"/>
                <w:szCs w:val="20"/>
              </w:rPr>
              <w:t> </w:t>
            </w:r>
          </w:p>
        </w:tc>
        <w:tc>
          <w:tcPr>
            <w:tcW w:w="1289" w:type="dxa"/>
            <w:hideMark/>
          </w:tcPr>
          <w:p w14:paraId="06E3183E" w14:textId="77777777" w:rsidR="002D21E7" w:rsidRPr="002D21E7" w:rsidRDefault="002D21E7" w:rsidP="002D21E7">
            <w:pPr>
              <w:jc w:val="both"/>
              <w:rPr>
                <w:b/>
                <w:sz w:val="20"/>
                <w:szCs w:val="20"/>
              </w:rPr>
            </w:pPr>
            <w:r w:rsidRPr="002D21E7">
              <w:rPr>
                <w:b/>
                <w:sz w:val="20"/>
                <w:szCs w:val="20"/>
              </w:rPr>
              <w:t> </w:t>
            </w:r>
          </w:p>
        </w:tc>
        <w:tc>
          <w:tcPr>
            <w:tcW w:w="878" w:type="dxa"/>
            <w:hideMark/>
          </w:tcPr>
          <w:p w14:paraId="5125A943" w14:textId="77777777" w:rsidR="002D21E7" w:rsidRPr="002D21E7" w:rsidRDefault="002D21E7" w:rsidP="002D21E7">
            <w:pPr>
              <w:jc w:val="both"/>
              <w:rPr>
                <w:b/>
                <w:sz w:val="20"/>
                <w:szCs w:val="20"/>
              </w:rPr>
            </w:pPr>
            <w:r w:rsidRPr="002D21E7">
              <w:rPr>
                <w:b/>
                <w:sz w:val="20"/>
                <w:szCs w:val="20"/>
              </w:rPr>
              <w:t> </w:t>
            </w:r>
          </w:p>
        </w:tc>
        <w:tc>
          <w:tcPr>
            <w:tcW w:w="1089" w:type="dxa"/>
            <w:hideMark/>
          </w:tcPr>
          <w:p w14:paraId="2CDB45A9" w14:textId="77777777" w:rsidR="002D21E7" w:rsidRPr="002D21E7" w:rsidRDefault="002D21E7" w:rsidP="002D21E7">
            <w:pPr>
              <w:jc w:val="both"/>
              <w:rPr>
                <w:b/>
                <w:sz w:val="20"/>
                <w:szCs w:val="20"/>
              </w:rPr>
            </w:pPr>
            <w:r w:rsidRPr="002D21E7">
              <w:rPr>
                <w:b/>
                <w:sz w:val="20"/>
                <w:szCs w:val="20"/>
              </w:rPr>
              <w:t> </w:t>
            </w:r>
          </w:p>
        </w:tc>
      </w:tr>
      <w:tr w:rsidR="002D21E7" w:rsidRPr="002D21E7" w14:paraId="439CE29D" w14:textId="77777777" w:rsidTr="00E369F5">
        <w:trPr>
          <w:trHeight w:val="914"/>
        </w:trPr>
        <w:tc>
          <w:tcPr>
            <w:tcW w:w="927" w:type="dxa"/>
            <w:hideMark/>
          </w:tcPr>
          <w:p w14:paraId="336C8722" w14:textId="77777777" w:rsidR="002D21E7" w:rsidRPr="002D21E7" w:rsidRDefault="002D21E7" w:rsidP="002D21E7">
            <w:pPr>
              <w:jc w:val="center"/>
              <w:rPr>
                <w:sz w:val="20"/>
                <w:szCs w:val="20"/>
              </w:rPr>
            </w:pPr>
            <w:r w:rsidRPr="002D21E7">
              <w:rPr>
                <w:sz w:val="20"/>
                <w:szCs w:val="20"/>
              </w:rPr>
              <w:t>36.1</w:t>
            </w:r>
          </w:p>
        </w:tc>
        <w:tc>
          <w:tcPr>
            <w:tcW w:w="1902" w:type="dxa"/>
            <w:hideMark/>
          </w:tcPr>
          <w:p w14:paraId="6588E01E" w14:textId="77777777" w:rsidR="002D21E7" w:rsidRPr="002D21E7" w:rsidRDefault="002D21E7" w:rsidP="002D21E7">
            <w:pPr>
              <w:jc w:val="both"/>
              <w:rPr>
                <w:sz w:val="20"/>
                <w:szCs w:val="20"/>
              </w:rPr>
            </w:pPr>
            <w:r w:rsidRPr="002D21E7">
              <w:rPr>
                <w:sz w:val="20"/>
                <w:szCs w:val="20"/>
              </w:rPr>
              <w:t>Šaldytų daržovių mišinys</w:t>
            </w:r>
          </w:p>
        </w:tc>
        <w:tc>
          <w:tcPr>
            <w:tcW w:w="4679" w:type="dxa"/>
            <w:hideMark/>
          </w:tcPr>
          <w:p w14:paraId="4F0AC4A7" w14:textId="77777777" w:rsidR="002D21E7" w:rsidRPr="002D21E7" w:rsidRDefault="002D21E7" w:rsidP="002D21E7">
            <w:pPr>
              <w:jc w:val="both"/>
              <w:rPr>
                <w:sz w:val="20"/>
                <w:szCs w:val="20"/>
              </w:rPr>
            </w:pPr>
            <w:r w:rsidRPr="002D21E7">
              <w:rPr>
                <w:sz w:val="20"/>
                <w:szCs w:val="20"/>
              </w:rPr>
              <w:t>Morkų, žaliųjų žirnelių, šparaginių pupelių, žiedinių kopūstų, brokolių mišinys. Pakuotės nepažeistos. Išfasavimas iki 2 kg.</w:t>
            </w:r>
          </w:p>
        </w:tc>
        <w:tc>
          <w:tcPr>
            <w:tcW w:w="709" w:type="dxa"/>
            <w:hideMark/>
          </w:tcPr>
          <w:p w14:paraId="6B2707C4" w14:textId="099BA8BC" w:rsidR="002D21E7" w:rsidRPr="002D21E7" w:rsidRDefault="002D21E7" w:rsidP="002D21E7">
            <w:pPr>
              <w:jc w:val="center"/>
              <w:rPr>
                <w:sz w:val="20"/>
                <w:szCs w:val="20"/>
              </w:rPr>
            </w:pPr>
            <w:r w:rsidRPr="002D21E7">
              <w:rPr>
                <w:sz w:val="20"/>
                <w:szCs w:val="20"/>
              </w:rPr>
              <w:t>Kg</w:t>
            </w:r>
          </w:p>
        </w:tc>
        <w:tc>
          <w:tcPr>
            <w:tcW w:w="992" w:type="dxa"/>
            <w:hideMark/>
          </w:tcPr>
          <w:p w14:paraId="5361E6E2" w14:textId="77777777" w:rsidR="002D21E7" w:rsidRPr="002D21E7" w:rsidRDefault="002D21E7" w:rsidP="002D21E7">
            <w:pPr>
              <w:jc w:val="center"/>
              <w:rPr>
                <w:sz w:val="20"/>
                <w:szCs w:val="20"/>
              </w:rPr>
            </w:pPr>
            <w:r w:rsidRPr="002D21E7">
              <w:rPr>
                <w:sz w:val="20"/>
                <w:szCs w:val="20"/>
              </w:rPr>
              <w:t>3000</w:t>
            </w:r>
          </w:p>
        </w:tc>
        <w:tc>
          <w:tcPr>
            <w:tcW w:w="3260" w:type="dxa"/>
            <w:hideMark/>
          </w:tcPr>
          <w:p w14:paraId="6DE34F87" w14:textId="7D4AC3FE" w:rsidR="002D21E7" w:rsidRPr="002D21E7" w:rsidRDefault="002D21E7" w:rsidP="002D21E7">
            <w:pPr>
              <w:rPr>
                <w:i/>
                <w:iCs/>
                <w:sz w:val="20"/>
                <w:szCs w:val="20"/>
              </w:rPr>
            </w:pPr>
            <w:r w:rsidRPr="002D21E7">
              <w:rPr>
                <w:i/>
                <w:iCs/>
                <w:sz w:val="20"/>
                <w:szCs w:val="20"/>
              </w:rPr>
              <w:t>Daržovių mišinys</w:t>
            </w:r>
            <w:r w:rsidR="0051139E">
              <w:rPr>
                <w:i/>
                <w:iCs/>
                <w:sz w:val="20"/>
                <w:szCs w:val="20"/>
              </w:rPr>
              <w:t xml:space="preserve"> </w:t>
            </w:r>
            <w:r w:rsidRPr="002D21E7">
              <w:rPr>
                <w:i/>
                <w:iCs/>
                <w:sz w:val="20"/>
                <w:szCs w:val="20"/>
              </w:rPr>
              <w:t>"Pavasaris", GU. UAB "Tandemus".</w:t>
            </w:r>
            <w:r w:rsidRPr="002D21E7">
              <w:rPr>
                <w:i/>
                <w:iCs/>
                <w:sz w:val="20"/>
                <w:szCs w:val="20"/>
              </w:rPr>
              <w:br/>
              <w:t>Daržovių mišinys "Vasara", GU. UAB "Tandemus"</w:t>
            </w:r>
          </w:p>
        </w:tc>
        <w:tc>
          <w:tcPr>
            <w:tcW w:w="1289" w:type="dxa"/>
            <w:hideMark/>
          </w:tcPr>
          <w:p w14:paraId="446EEFAB" w14:textId="77777777" w:rsidR="002D21E7" w:rsidRPr="002D21E7" w:rsidRDefault="002D21E7" w:rsidP="002D21E7">
            <w:pPr>
              <w:jc w:val="both"/>
              <w:rPr>
                <w:sz w:val="20"/>
                <w:szCs w:val="20"/>
              </w:rPr>
            </w:pPr>
            <w:r w:rsidRPr="002D21E7">
              <w:rPr>
                <w:sz w:val="20"/>
                <w:szCs w:val="20"/>
              </w:rPr>
              <w:t> </w:t>
            </w:r>
          </w:p>
        </w:tc>
        <w:tc>
          <w:tcPr>
            <w:tcW w:w="878" w:type="dxa"/>
            <w:hideMark/>
          </w:tcPr>
          <w:p w14:paraId="6EED5640" w14:textId="497E1C2F" w:rsidR="002D21E7" w:rsidRPr="002D21E7" w:rsidRDefault="002D21E7" w:rsidP="002D21E7">
            <w:pPr>
              <w:jc w:val="center"/>
              <w:rPr>
                <w:sz w:val="20"/>
                <w:szCs w:val="20"/>
              </w:rPr>
            </w:pPr>
            <w:r w:rsidRPr="002D21E7">
              <w:rPr>
                <w:sz w:val="20"/>
                <w:szCs w:val="20"/>
              </w:rPr>
              <w:t>1,1000</w:t>
            </w:r>
          </w:p>
        </w:tc>
        <w:tc>
          <w:tcPr>
            <w:tcW w:w="1089" w:type="dxa"/>
            <w:hideMark/>
          </w:tcPr>
          <w:p w14:paraId="2212BB01" w14:textId="060C19AF" w:rsidR="002D21E7" w:rsidRPr="002D21E7" w:rsidRDefault="002D21E7" w:rsidP="002D21E7">
            <w:pPr>
              <w:jc w:val="center"/>
              <w:rPr>
                <w:sz w:val="20"/>
                <w:szCs w:val="20"/>
              </w:rPr>
            </w:pPr>
            <w:r w:rsidRPr="002D21E7">
              <w:rPr>
                <w:sz w:val="20"/>
                <w:szCs w:val="20"/>
              </w:rPr>
              <w:t>3 300,00</w:t>
            </w:r>
          </w:p>
        </w:tc>
      </w:tr>
      <w:tr w:rsidR="002D21E7" w:rsidRPr="002D21E7" w14:paraId="59EDDE6C" w14:textId="77777777" w:rsidTr="00E369F5">
        <w:trPr>
          <w:trHeight w:val="545"/>
        </w:trPr>
        <w:tc>
          <w:tcPr>
            <w:tcW w:w="927" w:type="dxa"/>
            <w:hideMark/>
          </w:tcPr>
          <w:p w14:paraId="74AE8549" w14:textId="77777777" w:rsidR="002D21E7" w:rsidRPr="002D21E7" w:rsidRDefault="002D21E7" w:rsidP="002D21E7">
            <w:pPr>
              <w:jc w:val="center"/>
              <w:rPr>
                <w:sz w:val="20"/>
                <w:szCs w:val="20"/>
              </w:rPr>
            </w:pPr>
            <w:r w:rsidRPr="002D21E7">
              <w:rPr>
                <w:sz w:val="20"/>
                <w:szCs w:val="20"/>
              </w:rPr>
              <w:t>36.2</w:t>
            </w:r>
          </w:p>
        </w:tc>
        <w:tc>
          <w:tcPr>
            <w:tcW w:w="1902" w:type="dxa"/>
            <w:hideMark/>
          </w:tcPr>
          <w:p w14:paraId="663C4312" w14:textId="77777777" w:rsidR="002D21E7" w:rsidRPr="002D21E7" w:rsidRDefault="002D21E7" w:rsidP="002D21E7">
            <w:pPr>
              <w:jc w:val="both"/>
              <w:rPr>
                <w:sz w:val="20"/>
                <w:szCs w:val="20"/>
              </w:rPr>
            </w:pPr>
            <w:r w:rsidRPr="002D21E7">
              <w:rPr>
                <w:sz w:val="20"/>
                <w:szCs w:val="20"/>
              </w:rPr>
              <w:t>Šaldyti žalieji žirneliai</w:t>
            </w:r>
          </w:p>
        </w:tc>
        <w:tc>
          <w:tcPr>
            <w:tcW w:w="4679" w:type="dxa"/>
            <w:hideMark/>
          </w:tcPr>
          <w:p w14:paraId="30E5E5A1" w14:textId="77777777" w:rsidR="002D21E7" w:rsidRPr="002D21E7" w:rsidRDefault="002D21E7" w:rsidP="002D21E7">
            <w:pPr>
              <w:jc w:val="both"/>
              <w:rPr>
                <w:sz w:val="20"/>
                <w:szCs w:val="20"/>
              </w:rPr>
            </w:pPr>
            <w:r w:rsidRPr="002D21E7">
              <w:rPr>
                <w:sz w:val="20"/>
                <w:szCs w:val="20"/>
              </w:rPr>
              <w:t>Vienarūšė produkcija, neatitirpę, nesulipę į gabalus. Išfasavimas iki 2 kg.</w:t>
            </w:r>
          </w:p>
        </w:tc>
        <w:tc>
          <w:tcPr>
            <w:tcW w:w="709" w:type="dxa"/>
            <w:hideMark/>
          </w:tcPr>
          <w:p w14:paraId="7EA70E07" w14:textId="77777777" w:rsidR="002D21E7" w:rsidRPr="002D21E7" w:rsidRDefault="002D21E7" w:rsidP="002D21E7">
            <w:pPr>
              <w:jc w:val="center"/>
              <w:rPr>
                <w:sz w:val="20"/>
                <w:szCs w:val="20"/>
              </w:rPr>
            </w:pPr>
            <w:r w:rsidRPr="002D21E7">
              <w:rPr>
                <w:sz w:val="20"/>
                <w:szCs w:val="20"/>
              </w:rPr>
              <w:t>Kg</w:t>
            </w:r>
          </w:p>
        </w:tc>
        <w:tc>
          <w:tcPr>
            <w:tcW w:w="992" w:type="dxa"/>
            <w:hideMark/>
          </w:tcPr>
          <w:p w14:paraId="69D219C0" w14:textId="77777777" w:rsidR="002D21E7" w:rsidRPr="002D21E7" w:rsidRDefault="002D21E7" w:rsidP="002D21E7">
            <w:pPr>
              <w:jc w:val="center"/>
              <w:rPr>
                <w:sz w:val="20"/>
                <w:szCs w:val="20"/>
              </w:rPr>
            </w:pPr>
            <w:r w:rsidRPr="002D21E7">
              <w:rPr>
                <w:sz w:val="20"/>
                <w:szCs w:val="20"/>
              </w:rPr>
              <w:t>1500</w:t>
            </w:r>
          </w:p>
        </w:tc>
        <w:tc>
          <w:tcPr>
            <w:tcW w:w="3260" w:type="dxa"/>
            <w:hideMark/>
          </w:tcPr>
          <w:p w14:paraId="3C32DAA7" w14:textId="77777777" w:rsidR="002D21E7" w:rsidRPr="002D21E7" w:rsidRDefault="002D21E7" w:rsidP="002D21E7">
            <w:pPr>
              <w:rPr>
                <w:i/>
                <w:iCs/>
                <w:sz w:val="20"/>
                <w:szCs w:val="20"/>
              </w:rPr>
            </w:pPr>
            <w:r w:rsidRPr="002D21E7">
              <w:rPr>
                <w:i/>
                <w:iCs/>
                <w:sz w:val="20"/>
                <w:szCs w:val="20"/>
              </w:rPr>
              <w:t xml:space="preserve">Žirneliai žalieji, GU. </w:t>
            </w:r>
            <w:r w:rsidRPr="002D21E7">
              <w:rPr>
                <w:i/>
                <w:iCs/>
                <w:sz w:val="20"/>
                <w:szCs w:val="20"/>
              </w:rPr>
              <w:br/>
              <w:t>UAB "Tandemus"</w:t>
            </w:r>
          </w:p>
        </w:tc>
        <w:tc>
          <w:tcPr>
            <w:tcW w:w="1289" w:type="dxa"/>
            <w:hideMark/>
          </w:tcPr>
          <w:p w14:paraId="05FB14D5" w14:textId="77777777" w:rsidR="002D21E7" w:rsidRPr="002D21E7" w:rsidRDefault="002D21E7" w:rsidP="002D21E7">
            <w:pPr>
              <w:jc w:val="both"/>
              <w:rPr>
                <w:sz w:val="20"/>
                <w:szCs w:val="20"/>
              </w:rPr>
            </w:pPr>
            <w:r w:rsidRPr="002D21E7">
              <w:rPr>
                <w:sz w:val="20"/>
                <w:szCs w:val="20"/>
              </w:rPr>
              <w:t> </w:t>
            </w:r>
          </w:p>
        </w:tc>
        <w:tc>
          <w:tcPr>
            <w:tcW w:w="878" w:type="dxa"/>
            <w:hideMark/>
          </w:tcPr>
          <w:p w14:paraId="0C5AF2E5" w14:textId="1942038D" w:rsidR="002D21E7" w:rsidRPr="002D21E7" w:rsidRDefault="002D21E7" w:rsidP="002D21E7">
            <w:pPr>
              <w:jc w:val="center"/>
              <w:rPr>
                <w:sz w:val="20"/>
                <w:szCs w:val="20"/>
              </w:rPr>
            </w:pPr>
            <w:r w:rsidRPr="002D21E7">
              <w:rPr>
                <w:sz w:val="20"/>
                <w:szCs w:val="20"/>
              </w:rPr>
              <w:t>1,2200</w:t>
            </w:r>
          </w:p>
        </w:tc>
        <w:tc>
          <w:tcPr>
            <w:tcW w:w="1089" w:type="dxa"/>
            <w:hideMark/>
          </w:tcPr>
          <w:p w14:paraId="1824E18F" w14:textId="148EFBD0" w:rsidR="002D21E7" w:rsidRPr="002D21E7" w:rsidRDefault="002D21E7" w:rsidP="002D21E7">
            <w:pPr>
              <w:jc w:val="center"/>
              <w:rPr>
                <w:sz w:val="20"/>
                <w:szCs w:val="20"/>
              </w:rPr>
            </w:pPr>
            <w:r w:rsidRPr="002D21E7">
              <w:rPr>
                <w:sz w:val="20"/>
                <w:szCs w:val="20"/>
              </w:rPr>
              <w:t>1 830,00</w:t>
            </w:r>
          </w:p>
        </w:tc>
      </w:tr>
      <w:tr w:rsidR="002D21E7" w:rsidRPr="002D21E7" w14:paraId="124EAB49" w14:textId="77777777" w:rsidTr="00E369F5">
        <w:trPr>
          <w:trHeight w:val="552"/>
        </w:trPr>
        <w:tc>
          <w:tcPr>
            <w:tcW w:w="927" w:type="dxa"/>
            <w:hideMark/>
          </w:tcPr>
          <w:p w14:paraId="157ACD46" w14:textId="77777777" w:rsidR="002D21E7" w:rsidRPr="002D21E7" w:rsidRDefault="002D21E7" w:rsidP="002D21E7">
            <w:pPr>
              <w:jc w:val="center"/>
              <w:rPr>
                <w:sz w:val="20"/>
                <w:szCs w:val="20"/>
              </w:rPr>
            </w:pPr>
            <w:r w:rsidRPr="002D21E7">
              <w:rPr>
                <w:sz w:val="20"/>
                <w:szCs w:val="20"/>
              </w:rPr>
              <w:t>36.3</w:t>
            </w:r>
          </w:p>
        </w:tc>
        <w:tc>
          <w:tcPr>
            <w:tcW w:w="1902" w:type="dxa"/>
            <w:hideMark/>
          </w:tcPr>
          <w:p w14:paraId="2321A975" w14:textId="77777777" w:rsidR="002D21E7" w:rsidRPr="002D21E7" w:rsidRDefault="002D21E7" w:rsidP="002D21E7">
            <w:pPr>
              <w:jc w:val="both"/>
              <w:rPr>
                <w:sz w:val="20"/>
                <w:szCs w:val="20"/>
              </w:rPr>
            </w:pPr>
            <w:r w:rsidRPr="002D21E7">
              <w:rPr>
                <w:sz w:val="20"/>
                <w:szCs w:val="20"/>
              </w:rPr>
              <w:t>Šaldytos šparaginės pupelės</w:t>
            </w:r>
          </w:p>
        </w:tc>
        <w:tc>
          <w:tcPr>
            <w:tcW w:w="4679" w:type="dxa"/>
            <w:hideMark/>
          </w:tcPr>
          <w:p w14:paraId="5D6EBBBA" w14:textId="77777777" w:rsidR="002D21E7" w:rsidRPr="002D21E7" w:rsidRDefault="002D21E7" w:rsidP="002D21E7">
            <w:pPr>
              <w:jc w:val="both"/>
              <w:rPr>
                <w:sz w:val="20"/>
                <w:szCs w:val="20"/>
              </w:rPr>
            </w:pPr>
            <w:r w:rsidRPr="002D21E7">
              <w:rPr>
                <w:sz w:val="20"/>
                <w:szCs w:val="20"/>
              </w:rPr>
              <w:t>Vienarūšė produkcija, neatitirpusios, nesulipusios į gabalus. Išfasavimas iki 1 kg.</w:t>
            </w:r>
          </w:p>
        </w:tc>
        <w:tc>
          <w:tcPr>
            <w:tcW w:w="709" w:type="dxa"/>
            <w:hideMark/>
          </w:tcPr>
          <w:p w14:paraId="7C24C0AF" w14:textId="33A4ED9E" w:rsidR="002D21E7" w:rsidRPr="002D21E7" w:rsidRDefault="002D21E7" w:rsidP="002D21E7">
            <w:pPr>
              <w:jc w:val="center"/>
              <w:rPr>
                <w:sz w:val="20"/>
                <w:szCs w:val="20"/>
              </w:rPr>
            </w:pPr>
            <w:r w:rsidRPr="002D21E7">
              <w:rPr>
                <w:sz w:val="20"/>
                <w:szCs w:val="20"/>
              </w:rPr>
              <w:t>Kg</w:t>
            </w:r>
          </w:p>
        </w:tc>
        <w:tc>
          <w:tcPr>
            <w:tcW w:w="992" w:type="dxa"/>
            <w:hideMark/>
          </w:tcPr>
          <w:p w14:paraId="2900EBEB" w14:textId="77777777" w:rsidR="002D21E7" w:rsidRPr="002D21E7" w:rsidRDefault="002D21E7" w:rsidP="002D21E7">
            <w:pPr>
              <w:jc w:val="center"/>
              <w:rPr>
                <w:sz w:val="20"/>
                <w:szCs w:val="20"/>
              </w:rPr>
            </w:pPr>
            <w:r w:rsidRPr="002D21E7">
              <w:rPr>
                <w:sz w:val="20"/>
                <w:szCs w:val="20"/>
              </w:rPr>
              <w:t>2400</w:t>
            </w:r>
          </w:p>
        </w:tc>
        <w:tc>
          <w:tcPr>
            <w:tcW w:w="3260" w:type="dxa"/>
            <w:hideMark/>
          </w:tcPr>
          <w:p w14:paraId="2367510B" w14:textId="77777777" w:rsidR="002D21E7" w:rsidRPr="002D21E7" w:rsidRDefault="002D21E7" w:rsidP="002D21E7">
            <w:pPr>
              <w:rPr>
                <w:i/>
                <w:iCs/>
                <w:sz w:val="20"/>
                <w:szCs w:val="20"/>
              </w:rPr>
            </w:pPr>
            <w:r w:rsidRPr="002D21E7">
              <w:rPr>
                <w:i/>
                <w:iCs/>
                <w:sz w:val="20"/>
                <w:szCs w:val="20"/>
              </w:rPr>
              <w:t>Šparaginės pupelės, žalios, kapotos, GU. UAB "Tandemus"</w:t>
            </w:r>
          </w:p>
        </w:tc>
        <w:tc>
          <w:tcPr>
            <w:tcW w:w="1289" w:type="dxa"/>
            <w:hideMark/>
          </w:tcPr>
          <w:p w14:paraId="4D9CCF17" w14:textId="77777777" w:rsidR="002D21E7" w:rsidRPr="002D21E7" w:rsidRDefault="002D21E7" w:rsidP="002D21E7">
            <w:pPr>
              <w:jc w:val="both"/>
              <w:rPr>
                <w:sz w:val="20"/>
                <w:szCs w:val="20"/>
              </w:rPr>
            </w:pPr>
            <w:r w:rsidRPr="002D21E7">
              <w:rPr>
                <w:sz w:val="20"/>
                <w:szCs w:val="20"/>
              </w:rPr>
              <w:t> </w:t>
            </w:r>
          </w:p>
        </w:tc>
        <w:tc>
          <w:tcPr>
            <w:tcW w:w="878" w:type="dxa"/>
            <w:hideMark/>
          </w:tcPr>
          <w:p w14:paraId="13C172C2" w14:textId="4C5F07E5" w:rsidR="002D21E7" w:rsidRPr="002D21E7" w:rsidRDefault="002D21E7" w:rsidP="002D21E7">
            <w:pPr>
              <w:jc w:val="center"/>
              <w:rPr>
                <w:sz w:val="20"/>
                <w:szCs w:val="20"/>
              </w:rPr>
            </w:pPr>
            <w:r w:rsidRPr="002D21E7">
              <w:rPr>
                <w:sz w:val="20"/>
                <w:szCs w:val="20"/>
              </w:rPr>
              <w:t>0,9500</w:t>
            </w:r>
          </w:p>
        </w:tc>
        <w:tc>
          <w:tcPr>
            <w:tcW w:w="1089" w:type="dxa"/>
            <w:hideMark/>
          </w:tcPr>
          <w:p w14:paraId="7F5C484D" w14:textId="74BEB1E8" w:rsidR="002D21E7" w:rsidRPr="002D21E7" w:rsidRDefault="002D21E7" w:rsidP="002D21E7">
            <w:pPr>
              <w:jc w:val="center"/>
              <w:rPr>
                <w:sz w:val="20"/>
                <w:szCs w:val="20"/>
              </w:rPr>
            </w:pPr>
            <w:r w:rsidRPr="002D21E7">
              <w:rPr>
                <w:sz w:val="20"/>
                <w:szCs w:val="20"/>
              </w:rPr>
              <w:t>2 280,00</w:t>
            </w:r>
          </w:p>
        </w:tc>
      </w:tr>
      <w:tr w:rsidR="002D21E7" w:rsidRPr="002D21E7" w14:paraId="1BB603AE" w14:textId="77777777" w:rsidTr="00E369F5">
        <w:trPr>
          <w:trHeight w:val="561"/>
        </w:trPr>
        <w:tc>
          <w:tcPr>
            <w:tcW w:w="927" w:type="dxa"/>
            <w:hideMark/>
          </w:tcPr>
          <w:p w14:paraId="6F0DC5FD" w14:textId="77777777" w:rsidR="002D21E7" w:rsidRPr="002D21E7" w:rsidRDefault="002D21E7" w:rsidP="002D21E7">
            <w:pPr>
              <w:jc w:val="center"/>
              <w:rPr>
                <w:sz w:val="20"/>
                <w:szCs w:val="20"/>
              </w:rPr>
            </w:pPr>
            <w:r w:rsidRPr="002D21E7">
              <w:rPr>
                <w:sz w:val="20"/>
                <w:szCs w:val="20"/>
              </w:rPr>
              <w:t>36.4</w:t>
            </w:r>
          </w:p>
        </w:tc>
        <w:tc>
          <w:tcPr>
            <w:tcW w:w="1902" w:type="dxa"/>
            <w:hideMark/>
          </w:tcPr>
          <w:p w14:paraId="7E717D22" w14:textId="77777777" w:rsidR="002D21E7" w:rsidRPr="002D21E7" w:rsidRDefault="002D21E7" w:rsidP="002D21E7">
            <w:pPr>
              <w:jc w:val="both"/>
              <w:rPr>
                <w:sz w:val="20"/>
                <w:szCs w:val="20"/>
              </w:rPr>
            </w:pPr>
            <w:r w:rsidRPr="002D21E7">
              <w:rPr>
                <w:sz w:val="20"/>
                <w:szCs w:val="20"/>
              </w:rPr>
              <w:t>Šaldyti moliūgų kubeliai</w:t>
            </w:r>
          </w:p>
        </w:tc>
        <w:tc>
          <w:tcPr>
            <w:tcW w:w="4679" w:type="dxa"/>
            <w:hideMark/>
          </w:tcPr>
          <w:p w14:paraId="62DA75DD" w14:textId="77777777" w:rsidR="002D21E7" w:rsidRPr="002D21E7" w:rsidRDefault="002D21E7" w:rsidP="002D21E7">
            <w:pPr>
              <w:jc w:val="both"/>
              <w:rPr>
                <w:sz w:val="20"/>
                <w:szCs w:val="20"/>
              </w:rPr>
            </w:pPr>
            <w:r w:rsidRPr="002D21E7">
              <w:rPr>
                <w:sz w:val="20"/>
                <w:szCs w:val="20"/>
              </w:rPr>
              <w:t>Vienarūšė produkcija, neatitirpę, nesulipę į gabalus. Išfasavimas iki 2 kg.</w:t>
            </w:r>
          </w:p>
        </w:tc>
        <w:tc>
          <w:tcPr>
            <w:tcW w:w="709" w:type="dxa"/>
            <w:hideMark/>
          </w:tcPr>
          <w:p w14:paraId="71E88A81" w14:textId="77777777" w:rsidR="002D21E7" w:rsidRPr="002D21E7" w:rsidRDefault="002D21E7" w:rsidP="002D21E7">
            <w:pPr>
              <w:jc w:val="center"/>
              <w:rPr>
                <w:sz w:val="20"/>
                <w:szCs w:val="20"/>
              </w:rPr>
            </w:pPr>
            <w:r w:rsidRPr="002D21E7">
              <w:rPr>
                <w:sz w:val="20"/>
                <w:szCs w:val="20"/>
              </w:rPr>
              <w:t>Kg</w:t>
            </w:r>
          </w:p>
        </w:tc>
        <w:tc>
          <w:tcPr>
            <w:tcW w:w="992" w:type="dxa"/>
            <w:hideMark/>
          </w:tcPr>
          <w:p w14:paraId="0116744C" w14:textId="77777777" w:rsidR="002D21E7" w:rsidRPr="002D21E7" w:rsidRDefault="002D21E7" w:rsidP="002D21E7">
            <w:pPr>
              <w:jc w:val="center"/>
              <w:rPr>
                <w:sz w:val="20"/>
                <w:szCs w:val="20"/>
              </w:rPr>
            </w:pPr>
            <w:r w:rsidRPr="002D21E7">
              <w:rPr>
                <w:sz w:val="20"/>
                <w:szCs w:val="20"/>
              </w:rPr>
              <w:t>900</w:t>
            </w:r>
          </w:p>
        </w:tc>
        <w:tc>
          <w:tcPr>
            <w:tcW w:w="3260" w:type="dxa"/>
            <w:hideMark/>
          </w:tcPr>
          <w:p w14:paraId="55783DC8" w14:textId="77777777" w:rsidR="002D21E7" w:rsidRPr="002D21E7" w:rsidRDefault="002D21E7" w:rsidP="002D21E7">
            <w:pPr>
              <w:rPr>
                <w:i/>
                <w:iCs/>
                <w:sz w:val="20"/>
                <w:szCs w:val="20"/>
              </w:rPr>
            </w:pPr>
            <w:r w:rsidRPr="002D21E7">
              <w:rPr>
                <w:i/>
                <w:iCs/>
                <w:sz w:val="20"/>
                <w:szCs w:val="20"/>
              </w:rPr>
              <w:t>Moliūgai, kubeliai, GU.</w:t>
            </w:r>
            <w:r w:rsidRPr="002D21E7">
              <w:rPr>
                <w:i/>
                <w:iCs/>
                <w:sz w:val="20"/>
                <w:szCs w:val="20"/>
              </w:rPr>
              <w:br/>
              <w:t>UAB "Tandemus"</w:t>
            </w:r>
          </w:p>
        </w:tc>
        <w:tc>
          <w:tcPr>
            <w:tcW w:w="1289" w:type="dxa"/>
            <w:hideMark/>
          </w:tcPr>
          <w:p w14:paraId="00E70803" w14:textId="77777777" w:rsidR="002D21E7" w:rsidRPr="002D21E7" w:rsidRDefault="002D21E7" w:rsidP="002D21E7">
            <w:pPr>
              <w:jc w:val="both"/>
              <w:rPr>
                <w:sz w:val="20"/>
                <w:szCs w:val="20"/>
              </w:rPr>
            </w:pPr>
            <w:r w:rsidRPr="002D21E7">
              <w:rPr>
                <w:sz w:val="20"/>
                <w:szCs w:val="20"/>
              </w:rPr>
              <w:t> </w:t>
            </w:r>
          </w:p>
        </w:tc>
        <w:tc>
          <w:tcPr>
            <w:tcW w:w="878" w:type="dxa"/>
            <w:hideMark/>
          </w:tcPr>
          <w:p w14:paraId="3A2B1EAD" w14:textId="52BC09B1" w:rsidR="002D21E7" w:rsidRPr="002D21E7" w:rsidRDefault="002D21E7" w:rsidP="002D21E7">
            <w:pPr>
              <w:jc w:val="center"/>
              <w:rPr>
                <w:sz w:val="20"/>
                <w:szCs w:val="20"/>
              </w:rPr>
            </w:pPr>
            <w:r w:rsidRPr="002D21E7">
              <w:rPr>
                <w:sz w:val="20"/>
                <w:szCs w:val="20"/>
              </w:rPr>
              <w:t>0,7901</w:t>
            </w:r>
          </w:p>
        </w:tc>
        <w:tc>
          <w:tcPr>
            <w:tcW w:w="1089" w:type="dxa"/>
            <w:hideMark/>
          </w:tcPr>
          <w:p w14:paraId="2344A68C" w14:textId="12CCA13F" w:rsidR="002D21E7" w:rsidRPr="002D21E7" w:rsidRDefault="002D21E7" w:rsidP="002D21E7">
            <w:pPr>
              <w:jc w:val="center"/>
              <w:rPr>
                <w:sz w:val="20"/>
                <w:szCs w:val="20"/>
              </w:rPr>
            </w:pPr>
            <w:r w:rsidRPr="002D21E7">
              <w:rPr>
                <w:sz w:val="20"/>
                <w:szCs w:val="20"/>
              </w:rPr>
              <w:t>711,09</w:t>
            </w:r>
          </w:p>
        </w:tc>
      </w:tr>
      <w:tr w:rsidR="002D21E7" w:rsidRPr="002D21E7" w14:paraId="2415325E" w14:textId="77777777" w:rsidTr="00E369F5">
        <w:trPr>
          <w:trHeight w:val="285"/>
        </w:trPr>
        <w:tc>
          <w:tcPr>
            <w:tcW w:w="927" w:type="dxa"/>
            <w:hideMark/>
          </w:tcPr>
          <w:p w14:paraId="30B7F43E" w14:textId="77777777" w:rsidR="002D21E7" w:rsidRPr="002D21E7" w:rsidRDefault="002D21E7" w:rsidP="002D21E7">
            <w:pPr>
              <w:jc w:val="center"/>
              <w:rPr>
                <w:sz w:val="20"/>
                <w:szCs w:val="20"/>
              </w:rPr>
            </w:pPr>
            <w:r w:rsidRPr="002D21E7">
              <w:rPr>
                <w:sz w:val="20"/>
                <w:szCs w:val="20"/>
              </w:rPr>
              <w:t>36.5</w:t>
            </w:r>
          </w:p>
        </w:tc>
        <w:tc>
          <w:tcPr>
            <w:tcW w:w="1902" w:type="dxa"/>
            <w:hideMark/>
          </w:tcPr>
          <w:p w14:paraId="1C21B3AF" w14:textId="77777777" w:rsidR="002D21E7" w:rsidRPr="002D21E7" w:rsidRDefault="002D21E7" w:rsidP="002D21E7">
            <w:pPr>
              <w:jc w:val="both"/>
              <w:rPr>
                <w:sz w:val="20"/>
                <w:szCs w:val="20"/>
              </w:rPr>
            </w:pPr>
            <w:r w:rsidRPr="002D21E7">
              <w:rPr>
                <w:sz w:val="20"/>
                <w:szCs w:val="20"/>
              </w:rPr>
              <w:t>Šaldytos voveraitės</w:t>
            </w:r>
          </w:p>
        </w:tc>
        <w:tc>
          <w:tcPr>
            <w:tcW w:w="4679" w:type="dxa"/>
            <w:hideMark/>
          </w:tcPr>
          <w:p w14:paraId="53F70D26" w14:textId="77777777" w:rsidR="002D21E7" w:rsidRPr="002D21E7" w:rsidRDefault="002D21E7" w:rsidP="002D21E7">
            <w:pPr>
              <w:jc w:val="both"/>
              <w:rPr>
                <w:sz w:val="20"/>
                <w:szCs w:val="20"/>
              </w:rPr>
            </w:pPr>
            <w:r w:rsidRPr="002D21E7">
              <w:rPr>
                <w:sz w:val="20"/>
                <w:szCs w:val="20"/>
              </w:rPr>
              <w:t>Virtos, pjaustytos, gerai užšaldytos, nesulipusios į gabalus. Išfasavimas iki 1 kg.</w:t>
            </w:r>
          </w:p>
        </w:tc>
        <w:tc>
          <w:tcPr>
            <w:tcW w:w="709" w:type="dxa"/>
            <w:hideMark/>
          </w:tcPr>
          <w:p w14:paraId="47C05D12" w14:textId="593C9E83" w:rsidR="002D21E7" w:rsidRPr="002D21E7" w:rsidRDefault="002D21E7" w:rsidP="002D21E7">
            <w:pPr>
              <w:jc w:val="center"/>
              <w:rPr>
                <w:sz w:val="20"/>
                <w:szCs w:val="20"/>
              </w:rPr>
            </w:pPr>
            <w:r w:rsidRPr="002D21E7">
              <w:rPr>
                <w:sz w:val="20"/>
                <w:szCs w:val="20"/>
              </w:rPr>
              <w:t>Kg</w:t>
            </w:r>
          </w:p>
        </w:tc>
        <w:tc>
          <w:tcPr>
            <w:tcW w:w="992" w:type="dxa"/>
            <w:hideMark/>
          </w:tcPr>
          <w:p w14:paraId="39BF5574" w14:textId="77777777" w:rsidR="002D21E7" w:rsidRPr="002D21E7" w:rsidRDefault="002D21E7" w:rsidP="002D21E7">
            <w:pPr>
              <w:jc w:val="center"/>
              <w:rPr>
                <w:sz w:val="20"/>
                <w:szCs w:val="20"/>
              </w:rPr>
            </w:pPr>
            <w:r w:rsidRPr="002D21E7">
              <w:rPr>
                <w:sz w:val="20"/>
                <w:szCs w:val="20"/>
              </w:rPr>
              <w:t>600</w:t>
            </w:r>
          </w:p>
        </w:tc>
        <w:tc>
          <w:tcPr>
            <w:tcW w:w="3260" w:type="dxa"/>
            <w:hideMark/>
          </w:tcPr>
          <w:p w14:paraId="7C3E1BC7" w14:textId="77777777" w:rsidR="002D21E7" w:rsidRPr="002D21E7" w:rsidRDefault="002D21E7" w:rsidP="002D21E7">
            <w:pPr>
              <w:rPr>
                <w:i/>
                <w:iCs/>
                <w:sz w:val="20"/>
                <w:szCs w:val="20"/>
              </w:rPr>
            </w:pPr>
            <w:r w:rsidRPr="002D21E7">
              <w:rPr>
                <w:i/>
                <w:iCs/>
                <w:sz w:val="20"/>
                <w:szCs w:val="20"/>
              </w:rPr>
              <w:t>Voveraitės, blanširuotos, 3 kl., GU. UAB "Tandemus"</w:t>
            </w:r>
          </w:p>
        </w:tc>
        <w:tc>
          <w:tcPr>
            <w:tcW w:w="1289" w:type="dxa"/>
            <w:hideMark/>
          </w:tcPr>
          <w:p w14:paraId="75BC9CEC" w14:textId="77777777" w:rsidR="002D21E7" w:rsidRPr="002D21E7" w:rsidRDefault="002D21E7" w:rsidP="002D21E7">
            <w:pPr>
              <w:jc w:val="both"/>
              <w:rPr>
                <w:sz w:val="20"/>
                <w:szCs w:val="20"/>
              </w:rPr>
            </w:pPr>
            <w:r w:rsidRPr="002D21E7">
              <w:rPr>
                <w:sz w:val="20"/>
                <w:szCs w:val="20"/>
              </w:rPr>
              <w:t> </w:t>
            </w:r>
          </w:p>
        </w:tc>
        <w:tc>
          <w:tcPr>
            <w:tcW w:w="878" w:type="dxa"/>
            <w:hideMark/>
          </w:tcPr>
          <w:p w14:paraId="5FDCFED8" w14:textId="4F52AE79" w:rsidR="002D21E7" w:rsidRPr="002D21E7" w:rsidRDefault="002D21E7" w:rsidP="002D21E7">
            <w:pPr>
              <w:jc w:val="center"/>
              <w:rPr>
                <w:sz w:val="20"/>
                <w:szCs w:val="20"/>
              </w:rPr>
            </w:pPr>
            <w:r w:rsidRPr="002D21E7">
              <w:rPr>
                <w:sz w:val="20"/>
                <w:szCs w:val="20"/>
              </w:rPr>
              <w:t>6,5002</w:t>
            </w:r>
          </w:p>
        </w:tc>
        <w:tc>
          <w:tcPr>
            <w:tcW w:w="1089" w:type="dxa"/>
            <w:hideMark/>
          </w:tcPr>
          <w:p w14:paraId="3C29A113" w14:textId="31FC47D3" w:rsidR="002D21E7" w:rsidRPr="002D21E7" w:rsidRDefault="002D21E7" w:rsidP="002D21E7">
            <w:pPr>
              <w:jc w:val="center"/>
              <w:rPr>
                <w:sz w:val="20"/>
                <w:szCs w:val="20"/>
              </w:rPr>
            </w:pPr>
            <w:r w:rsidRPr="002D21E7">
              <w:rPr>
                <w:sz w:val="20"/>
                <w:szCs w:val="20"/>
              </w:rPr>
              <w:t>3 900,12</w:t>
            </w:r>
          </w:p>
        </w:tc>
      </w:tr>
      <w:tr w:rsidR="002D21E7" w:rsidRPr="002D21E7" w14:paraId="3AC0CF06" w14:textId="77777777" w:rsidTr="00E369F5">
        <w:trPr>
          <w:trHeight w:val="936"/>
        </w:trPr>
        <w:tc>
          <w:tcPr>
            <w:tcW w:w="927" w:type="dxa"/>
            <w:hideMark/>
          </w:tcPr>
          <w:p w14:paraId="5C39F92B" w14:textId="77777777" w:rsidR="002D21E7" w:rsidRPr="002D21E7" w:rsidRDefault="002D21E7" w:rsidP="002D21E7">
            <w:pPr>
              <w:jc w:val="center"/>
              <w:rPr>
                <w:sz w:val="20"/>
                <w:szCs w:val="20"/>
              </w:rPr>
            </w:pPr>
            <w:r w:rsidRPr="002D21E7">
              <w:rPr>
                <w:sz w:val="20"/>
                <w:szCs w:val="20"/>
              </w:rPr>
              <w:t>36.6</w:t>
            </w:r>
          </w:p>
        </w:tc>
        <w:tc>
          <w:tcPr>
            <w:tcW w:w="1902" w:type="dxa"/>
            <w:hideMark/>
          </w:tcPr>
          <w:p w14:paraId="3718C93A" w14:textId="77777777" w:rsidR="002D21E7" w:rsidRPr="002D21E7" w:rsidRDefault="002D21E7" w:rsidP="002D21E7">
            <w:pPr>
              <w:jc w:val="both"/>
              <w:rPr>
                <w:sz w:val="20"/>
                <w:szCs w:val="20"/>
              </w:rPr>
            </w:pPr>
            <w:r w:rsidRPr="002D21E7">
              <w:rPr>
                <w:sz w:val="20"/>
                <w:szCs w:val="20"/>
              </w:rPr>
              <w:t xml:space="preserve">Šaldytų uogų mišinys </w:t>
            </w:r>
          </w:p>
        </w:tc>
        <w:tc>
          <w:tcPr>
            <w:tcW w:w="4679" w:type="dxa"/>
            <w:hideMark/>
          </w:tcPr>
          <w:p w14:paraId="4CEC9168" w14:textId="77777777" w:rsidR="002D21E7" w:rsidRPr="002D21E7" w:rsidRDefault="002D21E7" w:rsidP="002D21E7">
            <w:pPr>
              <w:jc w:val="both"/>
              <w:rPr>
                <w:sz w:val="20"/>
                <w:szCs w:val="20"/>
              </w:rPr>
            </w:pPr>
            <w:r w:rsidRPr="002D21E7">
              <w:rPr>
                <w:sz w:val="20"/>
                <w:szCs w:val="20"/>
              </w:rPr>
              <w:t>Įvairių uogų (braškių, slyvų, vyšnių, aviečių, juodųjų serbentų ir kt.) mišinys. Uogos išlaikiusios savo formą, nesulipusios į gabalus, neatitirpusios. Išfasavimas iki 2 kg.</w:t>
            </w:r>
          </w:p>
        </w:tc>
        <w:tc>
          <w:tcPr>
            <w:tcW w:w="709" w:type="dxa"/>
            <w:hideMark/>
          </w:tcPr>
          <w:p w14:paraId="2A932CBB" w14:textId="0599F8CF" w:rsidR="002D21E7" w:rsidRPr="002D21E7" w:rsidRDefault="002D21E7" w:rsidP="002D21E7">
            <w:pPr>
              <w:jc w:val="center"/>
              <w:rPr>
                <w:sz w:val="20"/>
                <w:szCs w:val="20"/>
              </w:rPr>
            </w:pPr>
            <w:r w:rsidRPr="002D21E7">
              <w:rPr>
                <w:sz w:val="20"/>
                <w:szCs w:val="20"/>
              </w:rPr>
              <w:t>Kg</w:t>
            </w:r>
          </w:p>
        </w:tc>
        <w:tc>
          <w:tcPr>
            <w:tcW w:w="992" w:type="dxa"/>
            <w:hideMark/>
          </w:tcPr>
          <w:p w14:paraId="6B27D5A0" w14:textId="77777777" w:rsidR="002D21E7" w:rsidRPr="002D21E7" w:rsidRDefault="002D21E7" w:rsidP="002D21E7">
            <w:pPr>
              <w:jc w:val="center"/>
              <w:rPr>
                <w:sz w:val="20"/>
                <w:szCs w:val="20"/>
              </w:rPr>
            </w:pPr>
            <w:r w:rsidRPr="002D21E7">
              <w:rPr>
                <w:sz w:val="20"/>
                <w:szCs w:val="20"/>
              </w:rPr>
              <w:t>1350</w:t>
            </w:r>
          </w:p>
        </w:tc>
        <w:tc>
          <w:tcPr>
            <w:tcW w:w="3260" w:type="dxa"/>
            <w:hideMark/>
          </w:tcPr>
          <w:p w14:paraId="723B5734" w14:textId="77777777" w:rsidR="002D21E7" w:rsidRPr="002D21E7" w:rsidRDefault="002D21E7" w:rsidP="002D21E7">
            <w:pPr>
              <w:rPr>
                <w:i/>
                <w:iCs/>
                <w:sz w:val="20"/>
                <w:szCs w:val="20"/>
              </w:rPr>
            </w:pPr>
            <w:r w:rsidRPr="002D21E7">
              <w:rPr>
                <w:i/>
                <w:iCs/>
                <w:sz w:val="20"/>
                <w:szCs w:val="20"/>
              </w:rPr>
              <w:t xml:space="preserve">Uogų ir vaisių mišinys "Kompotinis", GU. </w:t>
            </w:r>
            <w:r w:rsidRPr="002D21E7">
              <w:rPr>
                <w:i/>
                <w:iCs/>
                <w:sz w:val="20"/>
                <w:szCs w:val="20"/>
              </w:rPr>
              <w:br/>
              <w:t>UAB "Tandemus"</w:t>
            </w:r>
          </w:p>
        </w:tc>
        <w:tc>
          <w:tcPr>
            <w:tcW w:w="1289" w:type="dxa"/>
            <w:hideMark/>
          </w:tcPr>
          <w:p w14:paraId="698D5E4C" w14:textId="77777777" w:rsidR="002D21E7" w:rsidRPr="002D21E7" w:rsidRDefault="002D21E7" w:rsidP="002D21E7">
            <w:pPr>
              <w:jc w:val="both"/>
              <w:rPr>
                <w:sz w:val="20"/>
                <w:szCs w:val="20"/>
              </w:rPr>
            </w:pPr>
            <w:r w:rsidRPr="002D21E7">
              <w:rPr>
                <w:sz w:val="20"/>
                <w:szCs w:val="20"/>
              </w:rPr>
              <w:t> </w:t>
            </w:r>
          </w:p>
        </w:tc>
        <w:tc>
          <w:tcPr>
            <w:tcW w:w="878" w:type="dxa"/>
            <w:hideMark/>
          </w:tcPr>
          <w:p w14:paraId="6F6785EA" w14:textId="365C4AC3" w:rsidR="002D21E7" w:rsidRPr="002D21E7" w:rsidRDefault="002D21E7" w:rsidP="002D21E7">
            <w:pPr>
              <w:jc w:val="center"/>
              <w:rPr>
                <w:sz w:val="20"/>
                <w:szCs w:val="20"/>
              </w:rPr>
            </w:pPr>
            <w:r w:rsidRPr="002D21E7">
              <w:rPr>
                <w:sz w:val="20"/>
                <w:szCs w:val="20"/>
              </w:rPr>
              <w:t>1,6000</w:t>
            </w:r>
          </w:p>
        </w:tc>
        <w:tc>
          <w:tcPr>
            <w:tcW w:w="1089" w:type="dxa"/>
            <w:hideMark/>
          </w:tcPr>
          <w:p w14:paraId="718948F5" w14:textId="0DACDDE7" w:rsidR="002D21E7" w:rsidRPr="002D21E7" w:rsidRDefault="002D21E7" w:rsidP="002D21E7">
            <w:pPr>
              <w:jc w:val="center"/>
              <w:rPr>
                <w:sz w:val="20"/>
                <w:szCs w:val="20"/>
              </w:rPr>
            </w:pPr>
            <w:r w:rsidRPr="002D21E7">
              <w:rPr>
                <w:sz w:val="20"/>
                <w:szCs w:val="20"/>
              </w:rPr>
              <w:t>2 160,00</w:t>
            </w:r>
          </w:p>
        </w:tc>
      </w:tr>
      <w:tr w:rsidR="002D21E7" w:rsidRPr="002D21E7" w14:paraId="6CB702DD" w14:textId="77777777" w:rsidTr="00E369F5">
        <w:trPr>
          <w:trHeight w:val="480"/>
        </w:trPr>
        <w:tc>
          <w:tcPr>
            <w:tcW w:w="927" w:type="dxa"/>
            <w:hideMark/>
          </w:tcPr>
          <w:p w14:paraId="11D2E1F0" w14:textId="77777777" w:rsidR="002D21E7" w:rsidRPr="002D21E7" w:rsidRDefault="002D21E7" w:rsidP="002D21E7">
            <w:pPr>
              <w:jc w:val="center"/>
              <w:rPr>
                <w:sz w:val="20"/>
                <w:szCs w:val="20"/>
              </w:rPr>
            </w:pPr>
            <w:r w:rsidRPr="002D21E7">
              <w:rPr>
                <w:sz w:val="20"/>
                <w:szCs w:val="20"/>
              </w:rPr>
              <w:t>36.7</w:t>
            </w:r>
          </w:p>
        </w:tc>
        <w:tc>
          <w:tcPr>
            <w:tcW w:w="1902" w:type="dxa"/>
            <w:hideMark/>
          </w:tcPr>
          <w:p w14:paraId="623275F9" w14:textId="77777777" w:rsidR="002D21E7" w:rsidRPr="002D21E7" w:rsidRDefault="002D21E7" w:rsidP="002D21E7">
            <w:pPr>
              <w:jc w:val="both"/>
              <w:rPr>
                <w:sz w:val="20"/>
                <w:szCs w:val="20"/>
              </w:rPr>
            </w:pPr>
            <w:r w:rsidRPr="002D21E7">
              <w:rPr>
                <w:sz w:val="20"/>
                <w:szCs w:val="20"/>
              </w:rPr>
              <w:t>Šaldytos spanguolės</w:t>
            </w:r>
          </w:p>
        </w:tc>
        <w:tc>
          <w:tcPr>
            <w:tcW w:w="4679" w:type="dxa"/>
            <w:hideMark/>
          </w:tcPr>
          <w:p w14:paraId="44E4BDBA" w14:textId="77777777" w:rsidR="002D21E7" w:rsidRPr="002D21E7" w:rsidRDefault="002D21E7" w:rsidP="002D21E7">
            <w:pPr>
              <w:jc w:val="both"/>
              <w:rPr>
                <w:sz w:val="20"/>
                <w:szCs w:val="20"/>
              </w:rPr>
            </w:pPr>
            <w:r w:rsidRPr="002D21E7">
              <w:rPr>
                <w:sz w:val="20"/>
                <w:szCs w:val="20"/>
              </w:rPr>
              <w:t>Šaldytos, išlaikiusios savo formą, nesulipusios į gabalus. Išfasavimas iki 2 kg.</w:t>
            </w:r>
          </w:p>
        </w:tc>
        <w:tc>
          <w:tcPr>
            <w:tcW w:w="709" w:type="dxa"/>
            <w:hideMark/>
          </w:tcPr>
          <w:p w14:paraId="164F7478" w14:textId="7EEAE248" w:rsidR="002D21E7" w:rsidRPr="002D21E7" w:rsidRDefault="002D21E7" w:rsidP="002D21E7">
            <w:pPr>
              <w:jc w:val="center"/>
              <w:rPr>
                <w:sz w:val="20"/>
                <w:szCs w:val="20"/>
              </w:rPr>
            </w:pPr>
            <w:r w:rsidRPr="002D21E7">
              <w:rPr>
                <w:sz w:val="20"/>
                <w:szCs w:val="20"/>
              </w:rPr>
              <w:t>Kg</w:t>
            </w:r>
          </w:p>
        </w:tc>
        <w:tc>
          <w:tcPr>
            <w:tcW w:w="992" w:type="dxa"/>
            <w:hideMark/>
          </w:tcPr>
          <w:p w14:paraId="0133E8A7" w14:textId="77777777" w:rsidR="002D21E7" w:rsidRPr="002D21E7" w:rsidRDefault="002D21E7" w:rsidP="002D21E7">
            <w:pPr>
              <w:jc w:val="center"/>
              <w:rPr>
                <w:sz w:val="20"/>
                <w:szCs w:val="20"/>
              </w:rPr>
            </w:pPr>
            <w:r w:rsidRPr="002D21E7">
              <w:rPr>
                <w:sz w:val="20"/>
                <w:szCs w:val="20"/>
              </w:rPr>
              <w:t>1200</w:t>
            </w:r>
          </w:p>
        </w:tc>
        <w:tc>
          <w:tcPr>
            <w:tcW w:w="3260" w:type="dxa"/>
            <w:hideMark/>
          </w:tcPr>
          <w:p w14:paraId="3F7105F7" w14:textId="77777777" w:rsidR="002D21E7" w:rsidRPr="002D21E7" w:rsidRDefault="002D21E7" w:rsidP="002D21E7">
            <w:pPr>
              <w:rPr>
                <w:i/>
                <w:iCs/>
                <w:sz w:val="20"/>
                <w:szCs w:val="20"/>
              </w:rPr>
            </w:pPr>
            <w:r w:rsidRPr="002D21E7">
              <w:rPr>
                <w:i/>
                <w:iCs/>
                <w:sz w:val="20"/>
                <w:szCs w:val="20"/>
              </w:rPr>
              <w:t xml:space="preserve">Spanguolės, GU. </w:t>
            </w:r>
            <w:r w:rsidRPr="002D21E7">
              <w:rPr>
                <w:i/>
                <w:iCs/>
                <w:sz w:val="20"/>
                <w:szCs w:val="20"/>
              </w:rPr>
              <w:br/>
              <w:t>UAB "Tandemus"</w:t>
            </w:r>
          </w:p>
        </w:tc>
        <w:tc>
          <w:tcPr>
            <w:tcW w:w="1289" w:type="dxa"/>
            <w:hideMark/>
          </w:tcPr>
          <w:p w14:paraId="6DFEB084" w14:textId="77777777" w:rsidR="002D21E7" w:rsidRPr="002D21E7" w:rsidRDefault="002D21E7" w:rsidP="002D21E7">
            <w:pPr>
              <w:jc w:val="both"/>
              <w:rPr>
                <w:sz w:val="20"/>
                <w:szCs w:val="20"/>
              </w:rPr>
            </w:pPr>
            <w:r w:rsidRPr="002D21E7">
              <w:rPr>
                <w:sz w:val="20"/>
                <w:szCs w:val="20"/>
              </w:rPr>
              <w:t> </w:t>
            </w:r>
          </w:p>
        </w:tc>
        <w:tc>
          <w:tcPr>
            <w:tcW w:w="878" w:type="dxa"/>
            <w:hideMark/>
          </w:tcPr>
          <w:p w14:paraId="5EC6B0D0" w14:textId="3BC9B033" w:rsidR="002D21E7" w:rsidRPr="002D21E7" w:rsidRDefault="002D21E7" w:rsidP="002D21E7">
            <w:pPr>
              <w:jc w:val="center"/>
              <w:rPr>
                <w:sz w:val="20"/>
                <w:szCs w:val="20"/>
              </w:rPr>
            </w:pPr>
            <w:r w:rsidRPr="002D21E7">
              <w:rPr>
                <w:sz w:val="20"/>
                <w:szCs w:val="20"/>
              </w:rPr>
              <w:t>3,0001</w:t>
            </w:r>
          </w:p>
        </w:tc>
        <w:tc>
          <w:tcPr>
            <w:tcW w:w="1089" w:type="dxa"/>
            <w:hideMark/>
          </w:tcPr>
          <w:p w14:paraId="0779F4F5" w14:textId="437960BB" w:rsidR="002D21E7" w:rsidRPr="002D21E7" w:rsidRDefault="002D21E7" w:rsidP="002D21E7">
            <w:pPr>
              <w:jc w:val="center"/>
              <w:rPr>
                <w:sz w:val="20"/>
                <w:szCs w:val="20"/>
              </w:rPr>
            </w:pPr>
            <w:r w:rsidRPr="002D21E7">
              <w:rPr>
                <w:sz w:val="20"/>
                <w:szCs w:val="20"/>
              </w:rPr>
              <w:t>3 600,12</w:t>
            </w:r>
          </w:p>
        </w:tc>
      </w:tr>
      <w:tr w:rsidR="002D21E7" w:rsidRPr="002D21E7" w14:paraId="18C4FE22" w14:textId="77777777" w:rsidTr="00E369F5">
        <w:trPr>
          <w:trHeight w:val="559"/>
        </w:trPr>
        <w:tc>
          <w:tcPr>
            <w:tcW w:w="927" w:type="dxa"/>
            <w:hideMark/>
          </w:tcPr>
          <w:p w14:paraId="43F5CA67" w14:textId="77777777" w:rsidR="002D21E7" w:rsidRPr="002D21E7" w:rsidRDefault="002D21E7" w:rsidP="002D21E7">
            <w:pPr>
              <w:jc w:val="center"/>
              <w:rPr>
                <w:sz w:val="20"/>
                <w:szCs w:val="20"/>
              </w:rPr>
            </w:pPr>
            <w:r w:rsidRPr="002D21E7">
              <w:rPr>
                <w:sz w:val="20"/>
                <w:szCs w:val="20"/>
              </w:rPr>
              <w:t>36.8</w:t>
            </w:r>
          </w:p>
        </w:tc>
        <w:tc>
          <w:tcPr>
            <w:tcW w:w="1902" w:type="dxa"/>
            <w:hideMark/>
          </w:tcPr>
          <w:p w14:paraId="47629D78" w14:textId="77777777" w:rsidR="002D21E7" w:rsidRPr="002D21E7" w:rsidRDefault="002D21E7" w:rsidP="002D21E7">
            <w:pPr>
              <w:jc w:val="both"/>
              <w:rPr>
                <w:sz w:val="20"/>
                <w:szCs w:val="20"/>
              </w:rPr>
            </w:pPr>
            <w:r w:rsidRPr="002D21E7">
              <w:rPr>
                <w:sz w:val="20"/>
                <w:szCs w:val="20"/>
              </w:rPr>
              <w:t>Šaldytos braškės</w:t>
            </w:r>
          </w:p>
        </w:tc>
        <w:tc>
          <w:tcPr>
            <w:tcW w:w="4679" w:type="dxa"/>
            <w:hideMark/>
          </w:tcPr>
          <w:p w14:paraId="2D3FEC72" w14:textId="77777777" w:rsidR="002D21E7" w:rsidRPr="002D21E7" w:rsidRDefault="002D21E7" w:rsidP="002D21E7">
            <w:pPr>
              <w:jc w:val="both"/>
              <w:rPr>
                <w:sz w:val="20"/>
                <w:szCs w:val="20"/>
              </w:rPr>
            </w:pPr>
            <w:r w:rsidRPr="002D21E7">
              <w:rPr>
                <w:sz w:val="20"/>
                <w:szCs w:val="20"/>
              </w:rPr>
              <w:t>Šaldytos, išlaikiusios savo formą, nesulipusios į gabalus. Išfasavimas iki 2 kg.</w:t>
            </w:r>
          </w:p>
        </w:tc>
        <w:tc>
          <w:tcPr>
            <w:tcW w:w="709" w:type="dxa"/>
            <w:hideMark/>
          </w:tcPr>
          <w:p w14:paraId="085EA1D1" w14:textId="13F7D022" w:rsidR="002D21E7" w:rsidRPr="002D21E7" w:rsidRDefault="002D21E7" w:rsidP="002D21E7">
            <w:pPr>
              <w:jc w:val="center"/>
              <w:rPr>
                <w:sz w:val="20"/>
                <w:szCs w:val="20"/>
              </w:rPr>
            </w:pPr>
            <w:r w:rsidRPr="002D21E7">
              <w:rPr>
                <w:sz w:val="20"/>
                <w:szCs w:val="20"/>
              </w:rPr>
              <w:t>Kg</w:t>
            </w:r>
          </w:p>
        </w:tc>
        <w:tc>
          <w:tcPr>
            <w:tcW w:w="992" w:type="dxa"/>
            <w:hideMark/>
          </w:tcPr>
          <w:p w14:paraId="31727E95" w14:textId="77777777" w:rsidR="002D21E7" w:rsidRPr="002D21E7" w:rsidRDefault="002D21E7" w:rsidP="002D21E7">
            <w:pPr>
              <w:jc w:val="center"/>
              <w:rPr>
                <w:sz w:val="20"/>
                <w:szCs w:val="20"/>
              </w:rPr>
            </w:pPr>
            <w:r w:rsidRPr="002D21E7">
              <w:rPr>
                <w:sz w:val="20"/>
                <w:szCs w:val="20"/>
              </w:rPr>
              <w:t>1350</w:t>
            </w:r>
          </w:p>
        </w:tc>
        <w:tc>
          <w:tcPr>
            <w:tcW w:w="3260" w:type="dxa"/>
            <w:hideMark/>
          </w:tcPr>
          <w:p w14:paraId="106EE1B0" w14:textId="77777777" w:rsidR="002D21E7" w:rsidRPr="002D21E7" w:rsidRDefault="002D21E7" w:rsidP="002D21E7">
            <w:pPr>
              <w:rPr>
                <w:i/>
                <w:iCs/>
                <w:sz w:val="20"/>
                <w:szCs w:val="20"/>
              </w:rPr>
            </w:pPr>
            <w:r w:rsidRPr="002D21E7">
              <w:rPr>
                <w:i/>
                <w:iCs/>
                <w:sz w:val="20"/>
                <w:szCs w:val="20"/>
              </w:rPr>
              <w:t>Braškės, GU.</w:t>
            </w:r>
            <w:r w:rsidRPr="002D21E7">
              <w:rPr>
                <w:i/>
                <w:iCs/>
                <w:sz w:val="20"/>
                <w:szCs w:val="20"/>
              </w:rPr>
              <w:br/>
              <w:t>UAB "Tandemus"</w:t>
            </w:r>
          </w:p>
        </w:tc>
        <w:tc>
          <w:tcPr>
            <w:tcW w:w="1289" w:type="dxa"/>
            <w:hideMark/>
          </w:tcPr>
          <w:p w14:paraId="08D4E253" w14:textId="77777777" w:rsidR="002D21E7" w:rsidRPr="002D21E7" w:rsidRDefault="002D21E7" w:rsidP="002D21E7">
            <w:pPr>
              <w:jc w:val="both"/>
              <w:rPr>
                <w:sz w:val="20"/>
                <w:szCs w:val="20"/>
              </w:rPr>
            </w:pPr>
            <w:r w:rsidRPr="002D21E7">
              <w:rPr>
                <w:sz w:val="20"/>
                <w:szCs w:val="20"/>
              </w:rPr>
              <w:t> </w:t>
            </w:r>
          </w:p>
        </w:tc>
        <w:tc>
          <w:tcPr>
            <w:tcW w:w="878" w:type="dxa"/>
            <w:hideMark/>
          </w:tcPr>
          <w:p w14:paraId="69FB4545" w14:textId="2280B55C" w:rsidR="002D21E7" w:rsidRPr="002D21E7" w:rsidRDefault="002D21E7" w:rsidP="002D21E7">
            <w:pPr>
              <w:jc w:val="center"/>
              <w:rPr>
                <w:sz w:val="20"/>
                <w:szCs w:val="20"/>
              </w:rPr>
            </w:pPr>
            <w:r w:rsidRPr="002D21E7">
              <w:rPr>
                <w:sz w:val="20"/>
                <w:szCs w:val="20"/>
              </w:rPr>
              <w:t>1,8500</w:t>
            </w:r>
          </w:p>
        </w:tc>
        <w:tc>
          <w:tcPr>
            <w:tcW w:w="1089" w:type="dxa"/>
            <w:hideMark/>
          </w:tcPr>
          <w:p w14:paraId="679D4DF7" w14:textId="3EBA5294" w:rsidR="002D21E7" w:rsidRPr="002D21E7" w:rsidRDefault="002D21E7" w:rsidP="002D21E7">
            <w:pPr>
              <w:jc w:val="center"/>
              <w:rPr>
                <w:sz w:val="20"/>
                <w:szCs w:val="20"/>
              </w:rPr>
            </w:pPr>
            <w:r w:rsidRPr="002D21E7">
              <w:rPr>
                <w:sz w:val="20"/>
                <w:szCs w:val="20"/>
              </w:rPr>
              <w:t>2 497,50</w:t>
            </w:r>
          </w:p>
        </w:tc>
      </w:tr>
      <w:tr w:rsidR="002D21E7" w:rsidRPr="002D21E7" w14:paraId="7027A435" w14:textId="77777777" w:rsidTr="00E369F5">
        <w:trPr>
          <w:trHeight w:val="411"/>
        </w:trPr>
        <w:tc>
          <w:tcPr>
            <w:tcW w:w="927" w:type="dxa"/>
            <w:hideMark/>
          </w:tcPr>
          <w:p w14:paraId="58562C6D" w14:textId="77777777" w:rsidR="002D21E7" w:rsidRPr="002D21E7" w:rsidRDefault="002D21E7" w:rsidP="002D21E7">
            <w:pPr>
              <w:jc w:val="center"/>
              <w:rPr>
                <w:sz w:val="20"/>
                <w:szCs w:val="20"/>
              </w:rPr>
            </w:pPr>
            <w:r w:rsidRPr="002D21E7">
              <w:rPr>
                <w:sz w:val="20"/>
                <w:szCs w:val="20"/>
              </w:rPr>
              <w:t>36.9</w:t>
            </w:r>
          </w:p>
        </w:tc>
        <w:tc>
          <w:tcPr>
            <w:tcW w:w="1902" w:type="dxa"/>
            <w:hideMark/>
          </w:tcPr>
          <w:p w14:paraId="7CF335C6" w14:textId="77777777" w:rsidR="002D21E7" w:rsidRPr="002D21E7" w:rsidRDefault="002D21E7" w:rsidP="002D21E7">
            <w:pPr>
              <w:jc w:val="both"/>
              <w:rPr>
                <w:sz w:val="20"/>
                <w:szCs w:val="20"/>
              </w:rPr>
            </w:pPr>
            <w:r w:rsidRPr="002D21E7">
              <w:rPr>
                <w:sz w:val="20"/>
                <w:szCs w:val="20"/>
              </w:rPr>
              <w:t>Šaldytos vyšnios</w:t>
            </w:r>
          </w:p>
        </w:tc>
        <w:tc>
          <w:tcPr>
            <w:tcW w:w="4679" w:type="dxa"/>
            <w:hideMark/>
          </w:tcPr>
          <w:p w14:paraId="1962E784" w14:textId="77777777" w:rsidR="002D21E7" w:rsidRPr="002D21E7" w:rsidRDefault="002D21E7" w:rsidP="002D21E7">
            <w:pPr>
              <w:jc w:val="both"/>
              <w:rPr>
                <w:sz w:val="20"/>
                <w:szCs w:val="20"/>
              </w:rPr>
            </w:pPr>
            <w:r w:rsidRPr="002D21E7">
              <w:rPr>
                <w:sz w:val="20"/>
                <w:szCs w:val="20"/>
              </w:rPr>
              <w:t>Šaldytos, išlaikiusios savo formą, nesulipusios į gabalus. Išfasavimas iki 2 kg.</w:t>
            </w:r>
          </w:p>
        </w:tc>
        <w:tc>
          <w:tcPr>
            <w:tcW w:w="709" w:type="dxa"/>
            <w:hideMark/>
          </w:tcPr>
          <w:p w14:paraId="02586CBA" w14:textId="24F85217" w:rsidR="002D21E7" w:rsidRPr="002D21E7" w:rsidRDefault="002D21E7" w:rsidP="002D21E7">
            <w:pPr>
              <w:jc w:val="center"/>
              <w:rPr>
                <w:sz w:val="20"/>
                <w:szCs w:val="20"/>
              </w:rPr>
            </w:pPr>
            <w:r w:rsidRPr="002D21E7">
              <w:rPr>
                <w:sz w:val="20"/>
                <w:szCs w:val="20"/>
              </w:rPr>
              <w:t>Kg</w:t>
            </w:r>
          </w:p>
        </w:tc>
        <w:tc>
          <w:tcPr>
            <w:tcW w:w="992" w:type="dxa"/>
            <w:hideMark/>
          </w:tcPr>
          <w:p w14:paraId="154FD0C6" w14:textId="77777777" w:rsidR="002D21E7" w:rsidRPr="002D21E7" w:rsidRDefault="002D21E7" w:rsidP="002D21E7">
            <w:pPr>
              <w:jc w:val="center"/>
              <w:rPr>
                <w:sz w:val="20"/>
                <w:szCs w:val="20"/>
              </w:rPr>
            </w:pPr>
            <w:r w:rsidRPr="002D21E7">
              <w:rPr>
                <w:sz w:val="20"/>
                <w:szCs w:val="20"/>
              </w:rPr>
              <w:t>1350</w:t>
            </w:r>
          </w:p>
        </w:tc>
        <w:tc>
          <w:tcPr>
            <w:tcW w:w="3260" w:type="dxa"/>
            <w:hideMark/>
          </w:tcPr>
          <w:p w14:paraId="3208EE0F" w14:textId="77777777" w:rsidR="002D21E7" w:rsidRPr="002D21E7" w:rsidRDefault="002D21E7" w:rsidP="002D21E7">
            <w:pPr>
              <w:rPr>
                <w:i/>
                <w:iCs/>
                <w:sz w:val="20"/>
                <w:szCs w:val="20"/>
              </w:rPr>
            </w:pPr>
            <w:r w:rsidRPr="002D21E7">
              <w:rPr>
                <w:i/>
                <w:iCs/>
                <w:sz w:val="20"/>
                <w:szCs w:val="20"/>
              </w:rPr>
              <w:t>Vyšnios, b/k, GU.</w:t>
            </w:r>
            <w:r w:rsidRPr="002D21E7">
              <w:rPr>
                <w:i/>
                <w:iCs/>
                <w:sz w:val="20"/>
                <w:szCs w:val="20"/>
              </w:rPr>
              <w:br/>
              <w:t>UAB "Tandemus"</w:t>
            </w:r>
          </w:p>
        </w:tc>
        <w:tc>
          <w:tcPr>
            <w:tcW w:w="1289" w:type="dxa"/>
            <w:hideMark/>
          </w:tcPr>
          <w:p w14:paraId="1BA193C9" w14:textId="77777777" w:rsidR="002D21E7" w:rsidRPr="002D21E7" w:rsidRDefault="002D21E7" w:rsidP="002D21E7">
            <w:pPr>
              <w:jc w:val="both"/>
              <w:rPr>
                <w:sz w:val="20"/>
                <w:szCs w:val="20"/>
              </w:rPr>
            </w:pPr>
            <w:r w:rsidRPr="002D21E7">
              <w:rPr>
                <w:sz w:val="20"/>
                <w:szCs w:val="20"/>
              </w:rPr>
              <w:t> </w:t>
            </w:r>
          </w:p>
        </w:tc>
        <w:tc>
          <w:tcPr>
            <w:tcW w:w="878" w:type="dxa"/>
            <w:hideMark/>
          </w:tcPr>
          <w:p w14:paraId="20AF53CC" w14:textId="0CFECE89" w:rsidR="002D21E7" w:rsidRPr="002D21E7" w:rsidRDefault="002D21E7" w:rsidP="002D21E7">
            <w:pPr>
              <w:jc w:val="center"/>
              <w:rPr>
                <w:sz w:val="20"/>
                <w:szCs w:val="20"/>
              </w:rPr>
            </w:pPr>
            <w:r w:rsidRPr="002D21E7">
              <w:rPr>
                <w:sz w:val="20"/>
                <w:szCs w:val="20"/>
              </w:rPr>
              <w:t>1,6417</w:t>
            </w:r>
          </w:p>
        </w:tc>
        <w:tc>
          <w:tcPr>
            <w:tcW w:w="1089" w:type="dxa"/>
            <w:hideMark/>
          </w:tcPr>
          <w:p w14:paraId="012E816B" w14:textId="26461E49" w:rsidR="002D21E7" w:rsidRPr="002D21E7" w:rsidRDefault="002D21E7" w:rsidP="002D21E7">
            <w:pPr>
              <w:jc w:val="center"/>
              <w:rPr>
                <w:sz w:val="20"/>
                <w:szCs w:val="20"/>
              </w:rPr>
            </w:pPr>
            <w:r w:rsidRPr="002D21E7">
              <w:rPr>
                <w:sz w:val="20"/>
                <w:szCs w:val="20"/>
              </w:rPr>
              <w:t>2 216,30</w:t>
            </w:r>
          </w:p>
        </w:tc>
      </w:tr>
      <w:tr w:rsidR="002D21E7" w:rsidRPr="002D21E7" w14:paraId="139D37E6" w14:textId="77777777" w:rsidTr="00E369F5">
        <w:trPr>
          <w:trHeight w:val="491"/>
        </w:trPr>
        <w:tc>
          <w:tcPr>
            <w:tcW w:w="927" w:type="dxa"/>
            <w:hideMark/>
          </w:tcPr>
          <w:p w14:paraId="3BD38A41" w14:textId="77777777" w:rsidR="002D21E7" w:rsidRPr="002D21E7" w:rsidRDefault="002D21E7" w:rsidP="002D21E7">
            <w:pPr>
              <w:jc w:val="center"/>
              <w:rPr>
                <w:sz w:val="20"/>
                <w:szCs w:val="20"/>
              </w:rPr>
            </w:pPr>
            <w:r w:rsidRPr="002D21E7">
              <w:rPr>
                <w:sz w:val="20"/>
                <w:szCs w:val="20"/>
              </w:rPr>
              <w:t>36.10</w:t>
            </w:r>
          </w:p>
        </w:tc>
        <w:tc>
          <w:tcPr>
            <w:tcW w:w="1902" w:type="dxa"/>
            <w:hideMark/>
          </w:tcPr>
          <w:p w14:paraId="3D6BAE83" w14:textId="77777777" w:rsidR="002D21E7" w:rsidRPr="002D21E7" w:rsidRDefault="002D21E7" w:rsidP="002D21E7">
            <w:pPr>
              <w:jc w:val="both"/>
              <w:rPr>
                <w:sz w:val="20"/>
                <w:szCs w:val="20"/>
              </w:rPr>
            </w:pPr>
            <w:r w:rsidRPr="002D21E7">
              <w:rPr>
                <w:sz w:val="20"/>
                <w:szCs w:val="20"/>
              </w:rPr>
              <w:t>Šaldyti juodieji serbentai</w:t>
            </w:r>
          </w:p>
        </w:tc>
        <w:tc>
          <w:tcPr>
            <w:tcW w:w="4679" w:type="dxa"/>
            <w:hideMark/>
          </w:tcPr>
          <w:p w14:paraId="6712BBB1" w14:textId="77777777" w:rsidR="002D21E7" w:rsidRPr="002D21E7" w:rsidRDefault="002D21E7" w:rsidP="002D21E7">
            <w:pPr>
              <w:jc w:val="both"/>
              <w:rPr>
                <w:sz w:val="20"/>
                <w:szCs w:val="20"/>
              </w:rPr>
            </w:pPr>
            <w:r w:rsidRPr="002D21E7">
              <w:rPr>
                <w:sz w:val="20"/>
                <w:szCs w:val="20"/>
              </w:rPr>
              <w:t>Šaldytos, išlaikiusios savo formą, nesulipusios į gabalus. Išfasavimas iki 2 kg.</w:t>
            </w:r>
          </w:p>
        </w:tc>
        <w:tc>
          <w:tcPr>
            <w:tcW w:w="709" w:type="dxa"/>
            <w:hideMark/>
          </w:tcPr>
          <w:p w14:paraId="54B768EA" w14:textId="6571F67F" w:rsidR="002D21E7" w:rsidRPr="002D21E7" w:rsidRDefault="002D21E7" w:rsidP="002D21E7">
            <w:pPr>
              <w:jc w:val="center"/>
              <w:rPr>
                <w:sz w:val="20"/>
                <w:szCs w:val="20"/>
              </w:rPr>
            </w:pPr>
            <w:r w:rsidRPr="002D21E7">
              <w:rPr>
                <w:sz w:val="20"/>
                <w:szCs w:val="20"/>
              </w:rPr>
              <w:t>Kg</w:t>
            </w:r>
          </w:p>
        </w:tc>
        <w:tc>
          <w:tcPr>
            <w:tcW w:w="992" w:type="dxa"/>
            <w:hideMark/>
          </w:tcPr>
          <w:p w14:paraId="1B40BD44" w14:textId="77777777" w:rsidR="002D21E7" w:rsidRPr="002D21E7" w:rsidRDefault="002D21E7" w:rsidP="002D21E7">
            <w:pPr>
              <w:jc w:val="center"/>
              <w:rPr>
                <w:sz w:val="20"/>
                <w:szCs w:val="20"/>
              </w:rPr>
            </w:pPr>
            <w:r w:rsidRPr="002D21E7">
              <w:rPr>
                <w:sz w:val="20"/>
                <w:szCs w:val="20"/>
              </w:rPr>
              <w:t>1350</w:t>
            </w:r>
          </w:p>
        </w:tc>
        <w:tc>
          <w:tcPr>
            <w:tcW w:w="3260" w:type="dxa"/>
            <w:hideMark/>
          </w:tcPr>
          <w:p w14:paraId="1DA98E88" w14:textId="77777777" w:rsidR="002D21E7" w:rsidRPr="002D21E7" w:rsidRDefault="002D21E7" w:rsidP="002D21E7">
            <w:pPr>
              <w:rPr>
                <w:i/>
                <w:iCs/>
                <w:sz w:val="20"/>
                <w:szCs w:val="20"/>
              </w:rPr>
            </w:pPr>
            <w:r w:rsidRPr="002D21E7">
              <w:rPr>
                <w:i/>
                <w:iCs/>
                <w:sz w:val="20"/>
                <w:szCs w:val="20"/>
              </w:rPr>
              <w:t>Serbentai juodieji, GU.</w:t>
            </w:r>
            <w:r w:rsidRPr="002D21E7">
              <w:rPr>
                <w:i/>
                <w:iCs/>
                <w:sz w:val="20"/>
                <w:szCs w:val="20"/>
              </w:rPr>
              <w:br/>
              <w:t>UAB "Tandemus"</w:t>
            </w:r>
          </w:p>
        </w:tc>
        <w:tc>
          <w:tcPr>
            <w:tcW w:w="1289" w:type="dxa"/>
            <w:hideMark/>
          </w:tcPr>
          <w:p w14:paraId="0CCDAD0F" w14:textId="77777777" w:rsidR="002D21E7" w:rsidRPr="002D21E7" w:rsidRDefault="002D21E7" w:rsidP="002D21E7">
            <w:pPr>
              <w:jc w:val="both"/>
              <w:rPr>
                <w:sz w:val="20"/>
                <w:szCs w:val="20"/>
              </w:rPr>
            </w:pPr>
            <w:r w:rsidRPr="002D21E7">
              <w:rPr>
                <w:sz w:val="20"/>
                <w:szCs w:val="20"/>
              </w:rPr>
              <w:t> </w:t>
            </w:r>
          </w:p>
        </w:tc>
        <w:tc>
          <w:tcPr>
            <w:tcW w:w="878" w:type="dxa"/>
            <w:hideMark/>
          </w:tcPr>
          <w:p w14:paraId="4974CE06" w14:textId="6B04990E" w:rsidR="002D21E7" w:rsidRPr="002D21E7" w:rsidRDefault="002D21E7" w:rsidP="002D21E7">
            <w:pPr>
              <w:jc w:val="center"/>
              <w:rPr>
                <w:sz w:val="20"/>
                <w:szCs w:val="20"/>
              </w:rPr>
            </w:pPr>
            <w:r w:rsidRPr="002D21E7">
              <w:rPr>
                <w:sz w:val="20"/>
                <w:szCs w:val="20"/>
              </w:rPr>
              <w:t>1,4000</w:t>
            </w:r>
          </w:p>
        </w:tc>
        <w:tc>
          <w:tcPr>
            <w:tcW w:w="1089" w:type="dxa"/>
            <w:hideMark/>
          </w:tcPr>
          <w:p w14:paraId="21109127" w14:textId="2A709351" w:rsidR="002D21E7" w:rsidRPr="002D21E7" w:rsidRDefault="002D21E7" w:rsidP="002D21E7">
            <w:pPr>
              <w:jc w:val="center"/>
              <w:rPr>
                <w:sz w:val="20"/>
                <w:szCs w:val="20"/>
              </w:rPr>
            </w:pPr>
            <w:r w:rsidRPr="002D21E7">
              <w:rPr>
                <w:sz w:val="20"/>
                <w:szCs w:val="20"/>
              </w:rPr>
              <w:t>1 890,00</w:t>
            </w:r>
          </w:p>
        </w:tc>
      </w:tr>
      <w:tr w:rsidR="002D21E7" w:rsidRPr="002D21E7" w14:paraId="35266D3D" w14:textId="77777777" w:rsidTr="00E369F5">
        <w:trPr>
          <w:trHeight w:val="296"/>
        </w:trPr>
        <w:tc>
          <w:tcPr>
            <w:tcW w:w="927" w:type="dxa"/>
            <w:hideMark/>
          </w:tcPr>
          <w:p w14:paraId="117624E9" w14:textId="77777777" w:rsidR="002D21E7" w:rsidRPr="002D21E7" w:rsidRDefault="002D21E7" w:rsidP="002D21E7">
            <w:pPr>
              <w:jc w:val="both"/>
              <w:rPr>
                <w:sz w:val="20"/>
                <w:szCs w:val="20"/>
              </w:rPr>
            </w:pPr>
          </w:p>
        </w:tc>
        <w:tc>
          <w:tcPr>
            <w:tcW w:w="1902" w:type="dxa"/>
            <w:hideMark/>
          </w:tcPr>
          <w:p w14:paraId="7C72B484" w14:textId="77777777" w:rsidR="002D21E7" w:rsidRPr="002D21E7" w:rsidRDefault="002D21E7" w:rsidP="002D21E7">
            <w:pPr>
              <w:jc w:val="both"/>
              <w:rPr>
                <w:sz w:val="20"/>
                <w:szCs w:val="20"/>
              </w:rPr>
            </w:pPr>
          </w:p>
        </w:tc>
        <w:tc>
          <w:tcPr>
            <w:tcW w:w="4679" w:type="dxa"/>
            <w:hideMark/>
          </w:tcPr>
          <w:p w14:paraId="57841CCB" w14:textId="77777777" w:rsidR="002D21E7" w:rsidRPr="002D21E7" w:rsidRDefault="002D21E7" w:rsidP="002D21E7">
            <w:pPr>
              <w:jc w:val="both"/>
              <w:rPr>
                <w:sz w:val="20"/>
                <w:szCs w:val="20"/>
              </w:rPr>
            </w:pPr>
          </w:p>
        </w:tc>
        <w:tc>
          <w:tcPr>
            <w:tcW w:w="709" w:type="dxa"/>
            <w:hideMark/>
          </w:tcPr>
          <w:p w14:paraId="025186DE" w14:textId="77777777" w:rsidR="002D21E7" w:rsidRPr="002D21E7" w:rsidRDefault="002D21E7" w:rsidP="002D21E7">
            <w:pPr>
              <w:jc w:val="both"/>
              <w:rPr>
                <w:sz w:val="20"/>
                <w:szCs w:val="20"/>
              </w:rPr>
            </w:pPr>
          </w:p>
        </w:tc>
        <w:tc>
          <w:tcPr>
            <w:tcW w:w="992" w:type="dxa"/>
            <w:hideMark/>
          </w:tcPr>
          <w:p w14:paraId="0CAFB470" w14:textId="77777777" w:rsidR="002D21E7" w:rsidRPr="002D21E7" w:rsidRDefault="002D21E7" w:rsidP="002D21E7">
            <w:pPr>
              <w:jc w:val="both"/>
              <w:rPr>
                <w:sz w:val="20"/>
                <w:szCs w:val="20"/>
              </w:rPr>
            </w:pPr>
          </w:p>
        </w:tc>
        <w:tc>
          <w:tcPr>
            <w:tcW w:w="5427" w:type="dxa"/>
            <w:gridSpan w:val="3"/>
            <w:hideMark/>
          </w:tcPr>
          <w:p w14:paraId="4BA9F299" w14:textId="77777777" w:rsidR="002D21E7" w:rsidRPr="002D21E7" w:rsidRDefault="002D21E7" w:rsidP="002D21E7">
            <w:pPr>
              <w:jc w:val="right"/>
              <w:rPr>
                <w:b/>
                <w:bCs/>
                <w:sz w:val="20"/>
                <w:szCs w:val="20"/>
              </w:rPr>
            </w:pPr>
            <w:r w:rsidRPr="002D21E7">
              <w:rPr>
                <w:b/>
                <w:bCs/>
                <w:sz w:val="20"/>
                <w:szCs w:val="20"/>
              </w:rPr>
              <w:t>Viso kiekio kaina Eur be PVM:</w:t>
            </w:r>
          </w:p>
        </w:tc>
        <w:tc>
          <w:tcPr>
            <w:tcW w:w="1089" w:type="dxa"/>
            <w:hideMark/>
          </w:tcPr>
          <w:p w14:paraId="51CCB41C" w14:textId="4A5DE0DC" w:rsidR="002D21E7" w:rsidRPr="002D21E7" w:rsidRDefault="002D21E7" w:rsidP="002D21E7">
            <w:pPr>
              <w:jc w:val="center"/>
              <w:rPr>
                <w:sz w:val="20"/>
                <w:szCs w:val="20"/>
              </w:rPr>
            </w:pPr>
            <w:r w:rsidRPr="002D21E7">
              <w:rPr>
                <w:sz w:val="20"/>
                <w:szCs w:val="20"/>
              </w:rPr>
              <w:t>24 385,13</w:t>
            </w:r>
          </w:p>
        </w:tc>
      </w:tr>
      <w:tr w:rsidR="002D21E7" w:rsidRPr="002D21E7" w14:paraId="125787CB" w14:textId="77777777" w:rsidTr="00E369F5">
        <w:trPr>
          <w:trHeight w:val="399"/>
        </w:trPr>
        <w:tc>
          <w:tcPr>
            <w:tcW w:w="927" w:type="dxa"/>
            <w:hideMark/>
          </w:tcPr>
          <w:p w14:paraId="1E39998D" w14:textId="77777777" w:rsidR="002D21E7" w:rsidRPr="002D21E7" w:rsidRDefault="002D21E7" w:rsidP="002D21E7">
            <w:pPr>
              <w:jc w:val="both"/>
              <w:rPr>
                <w:sz w:val="20"/>
                <w:szCs w:val="20"/>
              </w:rPr>
            </w:pPr>
          </w:p>
        </w:tc>
        <w:tc>
          <w:tcPr>
            <w:tcW w:w="1902" w:type="dxa"/>
            <w:hideMark/>
          </w:tcPr>
          <w:p w14:paraId="22C46847" w14:textId="77777777" w:rsidR="002D21E7" w:rsidRPr="002D21E7" w:rsidRDefault="002D21E7" w:rsidP="002D21E7">
            <w:pPr>
              <w:jc w:val="both"/>
              <w:rPr>
                <w:sz w:val="20"/>
                <w:szCs w:val="20"/>
              </w:rPr>
            </w:pPr>
          </w:p>
        </w:tc>
        <w:tc>
          <w:tcPr>
            <w:tcW w:w="4679" w:type="dxa"/>
            <w:hideMark/>
          </w:tcPr>
          <w:p w14:paraId="63E12C28" w14:textId="77777777" w:rsidR="002D21E7" w:rsidRPr="002D21E7" w:rsidRDefault="002D21E7" w:rsidP="002D21E7">
            <w:pPr>
              <w:jc w:val="both"/>
              <w:rPr>
                <w:sz w:val="20"/>
                <w:szCs w:val="20"/>
              </w:rPr>
            </w:pPr>
          </w:p>
        </w:tc>
        <w:tc>
          <w:tcPr>
            <w:tcW w:w="709" w:type="dxa"/>
            <w:hideMark/>
          </w:tcPr>
          <w:p w14:paraId="5067D57E" w14:textId="77777777" w:rsidR="002D21E7" w:rsidRPr="002D21E7" w:rsidRDefault="002D21E7" w:rsidP="002D21E7">
            <w:pPr>
              <w:jc w:val="both"/>
              <w:rPr>
                <w:sz w:val="20"/>
                <w:szCs w:val="20"/>
              </w:rPr>
            </w:pPr>
          </w:p>
        </w:tc>
        <w:tc>
          <w:tcPr>
            <w:tcW w:w="992" w:type="dxa"/>
            <w:hideMark/>
          </w:tcPr>
          <w:p w14:paraId="3A76303F" w14:textId="77777777" w:rsidR="002D21E7" w:rsidRPr="002D21E7" w:rsidRDefault="002D21E7" w:rsidP="002D21E7">
            <w:pPr>
              <w:jc w:val="both"/>
              <w:rPr>
                <w:sz w:val="20"/>
                <w:szCs w:val="20"/>
              </w:rPr>
            </w:pPr>
          </w:p>
        </w:tc>
        <w:tc>
          <w:tcPr>
            <w:tcW w:w="5427" w:type="dxa"/>
            <w:gridSpan w:val="3"/>
            <w:hideMark/>
          </w:tcPr>
          <w:p w14:paraId="6325A2D2" w14:textId="77777777" w:rsidR="002D21E7" w:rsidRPr="002D21E7" w:rsidRDefault="002D21E7" w:rsidP="002D21E7">
            <w:pPr>
              <w:jc w:val="right"/>
              <w:rPr>
                <w:b/>
                <w:bCs/>
                <w:sz w:val="20"/>
                <w:szCs w:val="20"/>
              </w:rPr>
            </w:pPr>
            <w:r w:rsidRPr="002D21E7">
              <w:rPr>
                <w:b/>
                <w:bCs/>
                <w:sz w:val="20"/>
                <w:szCs w:val="20"/>
              </w:rPr>
              <w:t>PVM suma:</w:t>
            </w:r>
          </w:p>
        </w:tc>
        <w:tc>
          <w:tcPr>
            <w:tcW w:w="1089" w:type="dxa"/>
            <w:hideMark/>
          </w:tcPr>
          <w:p w14:paraId="35E44C7F" w14:textId="0E883523" w:rsidR="002D21E7" w:rsidRPr="002D21E7" w:rsidRDefault="002D21E7" w:rsidP="002D21E7">
            <w:pPr>
              <w:jc w:val="center"/>
              <w:rPr>
                <w:sz w:val="20"/>
                <w:szCs w:val="20"/>
              </w:rPr>
            </w:pPr>
            <w:r w:rsidRPr="002D21E7">
              <w:rPr>
                <w:sz w:val="20"/>
                <w:szCs w:val="20"/>
              </w:rPr>
              <w:t>5 120,88</w:t>
            </w:r>
          </w:p>
        </w:tc>
      </w:tr>
      <w:tr w:rsidR="002D21E7" w:rsidRPr="002D21E7" w14:paraId="52CF862A" w14:textId="77777777" w:rsidTr="00E369F5">
        <w:trPr>
          <w:trHeight w:val="193"/>
        </w:trPr>
        <w:tc>
          <w:tcPr>
            <w:tcW w:w="927" w:type="dxa"/>
            <w:hideMark/>
          </w:tcPr>
          <w:p w14:paraId="4301408D" w14:textId="77777777" w:rsidR="002D21E7" w:rsidRPr="002D21E7" w:rsidRDefault="002D21E7" w:rsidP="002D21E7">
            <w:pPr>
              <w:jc w:val="both"/>
              <w:rPr>
                <w:sz w:val="20"/>
                <w:szCs w:val="20"/>
              </w:rPr>
            </w:pPr>
          </w:p>
        </w:tc>
        <w:tc>
          <w:tcPr>
            <w:tcW w:w="1902" w:type="dxa"/>
            <w:hideMark/>
          </w:tcPr>
          <w:p w14:paraId="221637D8" w14:textId="77777777" w:rsidR="002D21E7" w:rsidRPr="002D21E7" w:rsidRDefault="002D21E7" w:rsidP="002D21E7">
            <w:pPr>
              <w:jc w:val="both"/>
              <w:rPr>
                <w:sz w:val="20"/>
                <w:szCs w:val="20"/>
              </w:rPr>
            </w:pPr>
          </w:p>
        </w:tc>
        <w:tc>
          <w:tcPr>
            <w:tcW w:w="4679" w:type="dxa"/>
            <w:hideMark/>
          </w:tcPr>
          <w:p w14:paraId="49690C0C" w14:textId="77777777" w:rsidR="002D21E7" w:rsidRPr="002D21E7" w:rsidRDefault="002D21E7" w:rsidP="002D21E7">
            <w:pPr>
              <w:jc w:val="both"/>
              <w:rPr>
                <w:sz w:val="20"/>
                <w:szCs w:val="20"/>
              </w:rPr>
            </w:pPr>
          </w:p>
        </w:tc>
        <w:tc>
          <w:tcPr>
            <w:tcW w:w="709" w:type="dxa"/>
            <w:hideMark/>
          </w:tcPr>
          <w:p w14:paraId="5DFFF323" w14:textId="77777777" w:rsidR="002D21E7" w:rsidRPr="002D21E7" w:rsidRDefault="002D21E7" w:rsidP="002D21E7">
            <w:pPr>
              <w:jc w:val="both"/>
              <w:rPr>
                <w:sz w:val="20"/>
                <w:szCs w:val="20"/>
              </w:rPr>
            </w:pPr>
          </w:p>
        </w:tc>
        <w:tc>
          <w:tcPr>
            <w:tcW w:w="992" w:type="dxa"/>
            <w:hideMark/>
          </w:tcPr>
          <w:p w14:paraId="3F1F6A32" w14:textId="77777777" w:rsidR="002D21E7" w:rsidRPr="002D21E7" w:rsidRDefault="002D21E7" w:rsidP="002D21E7">
            <w:pPr>
              <w:jc w:val="both"/>
              <w:rPr>
                <w:sz w:val="20"/>
                <w:szCs w:val="20"/>
              </w:rPr>
            </w:pPr>
          </w:p>
        </w:tc>
        <w:tc>
          <w:tcPr>
            <w:tcW w:w="5427" w:type="dxa"/>
            <w:gridSpan w:val="3"/>
            <w:hideMark/>
          </w:tcPr>
          <w:p w14:paraId="3339C9E5" w14:textId="77777777" w:rsidR="002D21E7" w:rsidRPr="002D21E7" w:rsidRDefault="002D21E7" w:rsidP="002D21E7">
            <w:pPr>
              <w:jc w:val="right"/>
              <w:rPr>
                <w:b/>
                <w:bCs/>
                <w:sz w:val="20"/>
                <w:szCs w:val="20"/>
              </w:rPr>
            </w:pPr>
            <w:r w:rsidRPr="002D21E7">
              <w:rPr>
                <w:b/>
                <w:bCs/>
                <w:sz w:val="20"/>
                <w:szCs w:val="20"/>
              </w:rPr>
              <w:t>Bendra pasiūlymo kaina, Eur su PVM:</w:t>
            </w:r>
          </w:p>
        </w:tc>
        <w:tc>
          <w:tcPr>
            <w:tcW w:w="1089" w:type="dxa"/>
            <w:hideMark/>
          </w:tcPr>
          <w:p w14:paraId="4B0325D7" w14:textId="1A6B31B2" w:rsidR="002D21E7" w:rsidRPr="002D21E7" w:rsidRDefault="002D21E7" w:rsidP="002D21E7">
            <w:pPr>
              <w:jc w:val="center"/>
              <w:rPr>
                <w:sz w:val="20"/>
                <w:szCs w:val="20"/>
              </w:rPr>
            </w:pPr>
            <w:r w:rsidRPr="002D21E7">
              <w:rPr>
                <w:sz w:val="20"/>
                <w:szCs w:val="20"/>
              </w:rPr>
              <w:t>29 506,00</w:t>
            </w:r>
          </w:p>
        </w:tc>
      </w:tr>
    </w:tbl>
    <w:p w14:paraId="2EF47B4E" w14:textId="49783239" w:rsidR="002D21E7" w:rsidRDefault="002D21E7" w:rsidP="002D21E7">
      <w:pPr>
        <w:jc w:val="both"/>
        <w:rPr>
          <w:b/>
          <w:sz w:val="20"/>
          <w:szCs w:val="20"/>
        </w:rPr>
      </w:pPr>
    </w:p>
    <w:p w14:paraId="45DA838E" w14:textId="77777777" w:rsidR="002D21E7" w:rsidRDefault="002D21E7" w:rsidP="002D21E7">
      <w:pPr>
        <w:jc w:val="both"/>
        <w:rPr>
          <w:b/>
          <w:sz w:val="20"/>
          <w:szCs w:val="20"/>
        </w:rPr>
      </w:pPr>
    </w:p>
    <w:tbl>
      <w:tblPr>
        <w:tblStyle w:val="TableGrid"/>
        <w:tblW w:w="15730" w:type="dxa"/>
        <w:tblLook w:val="04A0" w:firstRow="1" w:lastRow="0" w:firstColumn="1" w:lastColumn="0" w:noHBand="0" w:noVBand="1"/>
      </w:tblPr>
      <w:tblGrid>
        <w:gridCol w:w="421"/>
        <w:gridCol w:w="15309"/>
      </w:tblGrid>
      <w:tr w:rsidR="002D21E7" w:rsidRPr="000A630D" w14:paraId="7F7D19EB" w14:textId="77777777" w:rsidTr="00E369F5">
        <w:trPr>
          <w:trHeight w:val="307"/>
        </w:trPr>
        <w:tc>
          <w:tcPr>
            <w:tcW w:w="15730" w:type="dxa"/>
            <w:gridSpan w:val="2"/>
            <w:noWrap/>
          </w:tcPr>
          <w:p w14:paraId="56C28535" w14:textId="77777777" w:rsidR="002D21E7" w:rsidRPr="000A630D" w:rsidRDefault="002D21E7" w:rsidP="00285DD5">
            <w:pPr>
              <w:tabs>
                <w:tab w:val="left" w:pos="0"/>
              </w:tabs>
              <w:jc w:val="both"/>
              <w:rPr>
                <w:b/>
                <w:sz w:val="20"/>
                <w:szCs w:val="20"/>
              </w:rPr>
            </w:pPr>
            <w:r w:rsidRPr="000A630D">
              <w:rPr>
                <w:b/>
                <w:sz w:val="20"/>
                <w:szCs w:val="20"/>
              </w:rPr>
              <w:t>Bendrieji reikalavimai:</w:t>
            </w:r>
          </w:p>
        </w:tc>
      </w:tr>
      <w:tr w:rsidR="002D21E7" w:rsidRPr="000A630D" w14:paraId="79B75222" w14:textId="77777777" w:rsidTr="00E369F5">
        <w:trPr>
          <w:trHeight w:val="709"/>
        </w:trPr>
        <w:tc>
          <w:tcPr>
            <w:tcW w:w="421" w:type="dxa"/>
            <w:noWrap/>
            <w:hideMark/>
          </w:tcPr>
          <w:p w14:paraId="7D583A23" w14:textId="77777777" w:rsidR="002D21E7" w:rsidRPr="000A630D" w:rsidRDefault="002D21E7" w:rsidP="00285DD5">
            <w:pPr>
              <w:tabs>
                <w:tab w:val="left" w:pos="0"/>
              </w:tabs>
              <w:jc w:val="center"/>
              <w:rPr>
                <w:sz w:val="20"/>
                <w:szCs w:val="20"/>
                <w:lang w:val="en-US"/>
              </w:rPr>
            </w:pPr>
            <w:r w:rsidRPr="000A630D">
              <w:rPr>
                <w:sz w:val="20"/>
                <w:szCs w:val="20"/>
              </w:rPr>
              <w:t>1</w:t>
            </w:r>
          </w:p>
        </w:tc>
        <w:tc>
          <w:tcPr>
            <w:tcW w:w="15309" w:type="dxa"/>
            <w:hideMark/>
          </w:tcPr>
          <w:p w14:paraId="3CBB54F7" w14:textId="77777777" w:rsidR="002D21E7" w:rsidRPr="000A630D" w:rsidRDefault="002D21E7" w:rsidP="00285DD5">
            <w:pPr>
              <w:tabs>
                <w:tab w:val="left" w:pos="0"/>
              </w:tabs>
              <w:jc w:val="both"/>
              <w:rPr>
                <w:sz w:val="20"/>
                <w:szCs w:val="20"/>
              </w:rPr>
            </w:pPr>
            <w:r w:rsidRPr="000A630D">
              <w:rPr>
                <w:sz w:val="20"/>
                <w:szCs w:val="20"/>
              </w:rPr>
              <w:t>Tiekėjai privalo laikytis bendrųjų ir konkrečių gyvūninės kilmės maisto produktų higienos taisyklių pagal 2004 m. balandžio 29 d. Europos Parlamento ir Tarybos</w:t>
            </w:r>
            <w:r w:rsidRPr="000A630D">
              <w:rPr>
                <w:sz w:val="20"/>
                <w:szCs w:val="20"/>
              </w:rPr>
              <w:br/>
              <w:t>reglamentą (EB) Nr. 852/2004 dėl maisto produktų higienos ir Europos parlamento ir tarybos reglamentą (EB) Nr. 853/2004 nustatantį konkrečius gyvūninės kilmės</w:t>
            </w:r>
            <w:r w:rsidRPr="000A630D">
              <w:rPr>
                <w:sz w:val="20"/>
                <w:szCs w:val="20"/>
              </w:rPr>
              <w:br/>
              <w:t xml:space="preserve">maisto produktų higienos reikalavimus. </w:t>
            </w:r>
          </w:p>
        </w:tc>
      </w:tr>
      <w:tr w:rsidR="002D21E7" w:rsidRPr="000A630D" w14:paraId="16E9A9AF" w14:textId="77777777" w:rsidTr="00E369F5">
        <w:trPr>
          <w:trHeight w:val="540"/>
        </w:trPr>
        <w:tc>
          <w:tcPr>
            <w:tcW w:w="421" w:type="dxa"/>
            <w:noWrap/>
            <w:hideMark/>
          </w:tcPr>
          <w:p w14:paraId="08D6CA5B" w14:textId="77777777" w:rsidR="002D21E7" w:rsidRPr="000A630D" w:rsidRDefault="002D21E7" w:rsidP="00285DD5">
            <w:pPr>
              <w:tabs>
                <w:tab w:val="left" w:pos="0"/>
              </w:tabs>
              <w:jc w:val="center"/>
              <w:rPr>
                <w:sz w:val="20"/>
                <w:szCs w:val="20"/>
              </w:rPr>
            </w:pPr>
            <w:r w:rsidRPr="000A630D">
              <w:rPr>
                <w:sz w:val="20"/>
                <w:szCs w:val="20"/>
              </w:rPr>
              <w:t>2</w:t>
            </w:r>
          </w:p>
        </w:tc>
        <w:tc>
          <w:tcPr>
            <w:tcW w:w="15309" w:type="dxa"/>
            <w:hideMark/>
          </w:tcPr>
          <w:p w14:paraId="331DBD08" w14:textId="77777777" w:rsidR="002D21E7" w:rsidRPr="000A630D" w:rsidRDefault="002D21E7" w:rsidP="00285DD5">
            <w:pPr>
              <w:tabs>
                <w:tab w:val="left" w:pos="0"/>
              </w:tabs>
              <w:jc w:val="both"/>
              <w:rPr>
                <w:sz w:val="20"/>
                <w:szCs w:val="20"/>
              </w:rPr>
            </w:pPr>
            <w:r w:rsidRPr="000A630D">
              <w:rPr>
                <w:sz w:val="20"/>
                <w:szCs w:val="20"/>
              </w:rPr>
              <w:t xml:space="preserve">ŽŪ ministro įsakymas 2002 m. spalio 31 d. Nr. 422 "Dėl mėsos ir paukštienos šviežumo įvertinimo techninio reglamento patvirtinimo". </w:t>
            </w:r>
          </w:p>
        </w:tc>
      </w:tr>
      <w:tr w:rsidR="002D21E7" w:rsidRPr="000A630D" w14:paraId="0C298FB0" w14:textId="77777777" w:rsidTr="00E369F5">
        <w:trPr>
          <w:trHeight w:val="332"/>
        </w:trPr>
        <w:tc>
          <w:tcPr>
            <w:tcW w:w="421" w:type="dxa"/>
            <w:noWrap/>
            <w:hideMark/>
          </w:tcPr>
          <w:p w14:paraId="1D1F66E2" w14:textId="77777777" w:rsidR="002D21E7" w:rsidRPr="000A630D" w:rsidRDefault="002D21E7" w:rsidP="00285DD5">
            <w:pPr>
              <w:tabs>
                <w:tab w:val="left" w:pos="0"/>
              </w:tabs>
              <w:jc w:val="center"/>
              <w:rPr>
                <w:sz w:val="20"/>
                <w:szCs w:val="20"/>
              </w:rPr>
            </w:pPr>
            <w:r w:rsidRPr="000A630D">
              <w:rPr>
                <w:sz w:val="20"/>
                <w:szCs w:val="20"/>
              </w:rPr>
              <w:t>3</w:t>
            </w:r>
          </w:p>
        </w:tc>
        <w:tc>
          <w:tcPr>
            <w:tcW w:w="15309" w:type="dxa"/>
            <w:hideMark/>
          </w:tcPr>
          <w:p w14:paraId="58BAAA71" w14:textId="77777777" w:rsidR="002D21E7" w:rsidRPr="000A630D" w:rsidRDefault="002D21E7" w:rsidP="00285DD5">
            <w:pPr>
              <w:tabs>
                <w:tab w:val="left" w:pos="0"/>
              </w:tabs>
              <w:jc w:val="both"/>
              <w:rPr>
                <w:sz w:val="20"/>
                <w:szCs w:val="20"/>
              </w:rPr>
            </w:pPr>
            <w:r w:rsidRPr="000A630D">
              <w:rPr>
                <w:sz w:val="20"/>
                <w:szCs w:val="20"/>
              </w:rPr>
              <w:t>ŽŪ ministro įsakymas 2015 m. vasario 9 d. Nr. 3D-78 "Dėl mėsos gaminių techninio reglamento patvirtinimo ir Žemės ūkio ministro 2003 m. gruodžio 29 d. įsakymo Nr. 3D-560 pripažinimo netekusio galios".</w:t>
            </w:r>
          </w:p>
        </w:tc>
      </w:tr>
      <w:tr w:rsidR="002D21E7" w:rsidRPr="000A630D" w14:paraId="047F1F09" w14:textId="77777777" w:rsidTr="00E369F5">
        <w:trPr>
          <w:trHeight w:val="295"/>
        </w:trPr>
        <w:tc>
          <w:tcPr>
            <w:tcW w:w="421" w:type="dxa"/>
            <w:noWrap/>
            <w:hideMark/>
          </w:tcPr>
          <w:p w14:paraId="317A1639" w14:textId="77777777" w:rsidR="002D21E7" w:rsidRPr="000A630D" w:rsidRDefault="002D21E7" w:rsidP="00285DD5">
            <w:pPr>
              <w:tabs>
                <w:tab w:val="left" w:pos="0"/>
              </w:tabs>
              <w:jc w:val="center"/>
              <w:rPr>
                <w:sz w:val="20"/>
                <w:szCs w:val="20"/>
              </w:rPr>
            </w:pPr>
            <w:r w:rsidRPr="000A630D">
              <w:rPr>
                <w:sz w:val="20"/>
                <w:szCs w:val="20"/>
              </w:rPr>
              <w:t>4</w:t>
            </w:r>
          </w:p>
        </w:tc>
        <w:tc>
          <w:tcPr>
            <w:tcW w:w="15309" w:type="dxa"/>
            <w:hideMark/>
          </w:tcPr>
          <w:p w14:paraId="33B366E5" w14:textId="77777777" w:rsidR="002D21E7" w:rsidRPr="000A630D" w:rsidRDefault="002D21E7" w:rsidP="00285DD5">
            <w:pPr>
              <w:tabs>
                <w:tab w:val="left" w:pos="0"/>
              </w:tabs>
              <w:jc w:val="both"/>
              <w:rPr>
                <w:sz w:val="20"/>
                <w:szCs w:val="20"/>
              </w:rPr>
            </w:pPr>
            <w:r w:rsidRPr="000A630D">
              <w:rPr>
                <w:sz w:val="20"/>
                <w:szCs w:val="20"/>
              </w:rPr>
              <w:t>Produktams naudojami maisto priedai turi atitikti 2008 m. gruodžio 16 d. Europos Parlamento ir Tarybos Reglamento (ES) Nr. 1333/2008 dėl maisto priedų reikalavimus.</w:t>
            </w:r>
          </w:p>
        </w:tc>
      </w:tr>
      <w:tr w:rsidR="002D21E7" w:rsidRPr="000A630D" w14:paraId="3A5EE266" w14:textId="77777777" w:rsidTr="00E369F5">
        <w:trPr>
          <w:trHeight w:val="555"/>
        </w:trPr>
        <w:tc>
          <w:tcPr>
            <w:tcW w:w="421" w:type="dxa"/>
            <w:noWrap/>
            <w:hideMark/>
          </w:tcPr>
          <w:p w14:paraId="1BD64675" w14:textId="77777777" w:rsidR="002D21E7" w:rsidRPr="000A630D" w:rsidRDefault="002D21E7" w:rsidP="00285DD5">
            <w:pPr>
              <w:tabs>
                <w:tab w:val="left" w:pos="0"/>
              </w:tabs>
              <w:jc w:val="center"/>
              <w:rPr>
                <w:sz w:val="20"/>
                <w:szCs w:val="20"/>
              </w:rPr>
            </w:pPr>
            <w:r w:rsidRPr="000A630D">
              <w:rPr>
                <w:sz w:val="20"/>
                <w:szCs w:val="20"/>
              </w:rPr>
              <w:t>5</w:t>
            </w:r>
          </w:p>
        </w:tc>
        <w:tc>
          <w:tcPr>
            <w:tcW w:w="15309" w:type="dxa"/>
            <w:hideMark/>
          </w:tcPr>
          <w:p w14:paraId="0659B419" w14:textId="77777777" w:rsidR="002D21E7" w:rsidRPr="000A630D" w:rsidRDefault="002D21E7" w:rsidP="00285DD5">
            <w:pPr>
              <w:tabs>
                <w:tab w:val="left" w:pos="0"/>
              </w:tabs>
              <w:jc w:val="both"/>
              <w:rPr>
                <w:sz w:val="20"/>
                <w:szCs w:val="20"/>
              </w:rPr>
            </w:pPr>
            <w:r w:rsidRPr="000A630D">
              <w:rPr>
                <w:sz w:val="20"/>
                <w:szCs w:val="20"/>
              </w:rPr>
              <w:t>Fasuotų produktų ilgis, plotas ar skaičius produktų pakuotėje turi atitikti Lietuvos Respublikos ūkio ministro 2015 m. rugsėjo 25 d. įsakymo Nr. 4-594 „Dėl Fasuotų</w:t>
            </w:r>
            <w:r w:rsidRPr="000A630D">
              <w:rPr>
                <w:sz w:val="20"/>
                <w:szCs w:val="20"/>
              </w:rPr>
              <w:br/>
              <w:t>prekių ir matavimo indų techninio reglamento patvirtinimo“ (aktuali redakcija) reikalavimus.</w:t>
            </w:r>
          </w:p>
        </w:tc>
      </w:tr>
      <w:tr w:rsidR="002D21E7" w:rsidRPr="000A630D" w14:paraId="269DA46F" w14:textId="77777777" w:rsidTr="00E369F5">
        <w:trPr>
          <w:trHeight w:val="266"/>
        </w:trPr>
        <w:tc>
          <w:tcPr>
            <w:tcW w:w="421" w:type="dxa"/>
            <w:noWrap/>
            <w:hideMark/>
          </w:tcPr>
          <w:p w14:paraId="65202930" w14:textId="77777777" w:rsidR="002D21E7" w:rsidRPr="000A630D" w:rsidRDefault="002D21E7" w:rsidP="00285DD5">
            <w:pPr>
              <w:tabs>
                <w:tab w:val="left" w:pos="0"/>
              </w:tabs>
              <w:jc w:val="center"/>
              <w:rPr>
                <w:sz w:val="20"/>
                <w:szCs w:val="20"/>
              </w:rPr>
            </w:pPr>
            <w:r w:rsidRPr="000A630D">
              <w:rPr>
                <w:sz w:val="20"/>
                <w:szCs w:val="20"/>
              </w:rPr>
              <w:t>6</w:t>
            </w:r>
          </w:p>
        </w:tc>
        <w:tc>
          <w:tcPr>
            <w:tcW w:w="15309" w:type="dxa"/>
            <w:hideMark/>
          </w:tcPr>
          <w:p w14:paraId="1DD8F0E1" w14:textId="77777777" w:rsidR="002D21E7" w:rsidRPr="000A630D" w:rsidRDefault="002D21E7" w:rsidP="00285DD5">
            <w:pPr>
              <w:tabs>
                <w:tab w:val="left" w:pos="0"/>
              </w:tabs>
              <w:jc w:val="both"/>
              <w:rPr>
                <w:sz w:val="20"/>
                <w:szCs w:val="20"/>
              </w:rPr>
            </w:pPr>
            <w:r w:rsidRPr="000A630D">
              <w:rPr>
                <w:sz w:val="20"/>
                <w:szCs w:val="20"/>
              </w:rPr>
              <w:t xml:space="preserve">Produktų ženklinimas turi atitikti Europos Parlamento ir Tarybos Reglamento (ES) Nr. 1169/2011, 2011 m. spalio 25 d. dėl informacijos apie maistą teikimo vartotojams reikalavimus. </w:t>
            </w:r>
          </w:p>
        </w:tc>
      </w:tr>
      <w:tr w:rsidR="002D21E7" w:rsidRPr="000A630D" w14:paraId="5083C49D" w14:textId="77777777" w:rsidTr="00E369F5">
        <w:trPr>
          <w:trHeight w:val="1134"/>
        </w:trPr>
        <w:tc>
          <w:tcPr>
            <w:tcW w:w="421" w:type="dxa"/>
            <w:noWrap/>
            <w:hideMark/>
          </w:tcPr>
          <w:p w14:paraId="08B9EEC0" w14:textId="77777777" w:rsidR="002D21E7" w:rsidRPr="000A630D" w:rsidRDefault="002D21E7" w:rsidP="00285DD5">
            <w:pPr>
              <w:tabs>
                <w:tab w:val="left" w:pos="0"/>
              </w:tabs>
              <w:jc w:val="center"/>
              <w:rPr>
                <w:sz w:val="20"/>
                <w:szCs w:val="20"/>
              </w:rPr>
            </w:pPr>
            <w:r w:rsidRPr="000A630D">
              <w:rPr>
                <w:sz w:val="20"/>
                <w:szCs w:val="20"/>
              </w:rPr>
              <w:t>7</w:t>
            </w:r>
          </w:p>
        </w:tc>
        <w:tc>
          <w:tcPr>
            <w:tcW w:w="15309" w:type="dxa"/>
            <w:hideMark/>
          </w:tcPr>
          <w:p w14:paraId="6008E69B" w14:textId="77777777" w:rsidR="002D21E7" w:rsidRPr="000A630D" w:rsidRDefault="002D21E7" w:rsidP="00285DD5">
            <w:pPr>
              <w:tabs>
                <w:tab w:val="left" w:pos="0"/>
              </w:tabs>
              <w:jc w:val="both"/>
              <w:rPr>
                <w:sz w:val="20"/>
                <w:szCs w:val="20"/>
              </w:rPr>
            </w:pPr>
            <w:r w:rsidRPr="000A630D">
              <w:rPr>
                <w:sz w:val="20"/>
                <w:szCs w:val="20"/>
              </w:rPr>
              <w:t>Prekės turi atitikti reikalavimus, pateiktus Komisijos Reglamente (EB) Nr. 1441/2007, 2007 m. gruodžio 5 d. iš dalies keičiantis Reglamentą (EB) Nr. 2073/2005</w:t>
            </w:r>
            <w:r w:rsidRPr="000A630D">
              <w:rPr>
                <w:sz w:val="20"/>
                <w:szCs w:val="20"/>
              </w:rPr>
              <w:br/>
              <w:t>dėl maisto produktų mikrobiologinių kriterijų ir Lietuvos higienos normoje HN 26:2006 „Maisto produktų mikrobiologiniai kriterijai“. Medžiagos ir žaliavos</w:t>
            </w:r>
            <w:r w:rsidRPr="000A630D">
              <w:rPr>
                <w:sz w:val="20"/>
                <w:szCs w:val="20"/>
              </w:rPr>
              <w:br/>
              <w:t>skirtos liestis su maistu turi atitikti Europos Parlamento ir Tarybos reglamentą (EB) Nr 1935/2004, 2004 m. spalio 27 d. dėl žaliavų ir gaminių, skirtų liestis su</w:t>
            </w:r>
            <w:r w:rsidRPr="000A630D">
              <w:rPr>
                <w:sz w:val="20"/>
                <w:szCs w:val="20"/>
              </w:rPr>
              <w:br/>
              <w:t>maistu; Lietuvos Respublikos sveikatos apsaugos ministro 2011 m. gegužės 2 d. įsakyme Nr. V-417 „Dėl Lietuvos higienos normos HN 16:2011 „Medžiagų ir</w:t>
            </w:r>
            <w:r w:rsidRPr="000A630D">
              <w:rPr>
                <w:sz w:val="20"/>
                <w:szCs w:val="20"/>
              </w:rPr>
              <w:br/>
              <w:t>gaminių, skirtų liestis su maistu, specialieji sveikatos saugos reikalavimai“.</w:t>
            </w:r>
          </w:p>
        </w:tc>
      </w:tr>
      <w:tr w:rsidR="002D21E7" w:rsidRPr="000A630D" w14:paraId="19DF339E" w14:textId="77777777" w:rsidTr="00E369F5">
        <w:trPr>
          <w:trHeight w:val="683"/>
        </w:trPr>
        <w:tc>
          <w:tcPr>
            <w:tcW w:w="421" w:type="dxa"/>
            <w:noWrap/>
            <w:hideMark/>
          </w:tcPr>
          <w:p w14:paraId="6A1AA1FC" w14:textId="77777777" w:rsidR="002D21E7" w:rsidRPr="000A630D" w:rsidRDefault="002D21E7" w:rsidP="00285DD5">
            <w:pPr>
              <w:tabs>
                <w:tab w:val="left" w:pos="0"/>
              </w:tabs>
              <w:jc w:val="center"/>
              <w:rPr>
                <w:sz w:val="20"/>
                <w:szCs w:val="20"/>
              </w:rPr>
            </w:pPr>
            <w:r w:rsidRPr="000A630D">
              <w:rPr>
                <w:sz w:val="20"/>
                <w:szCs w:val="20"/>
              </w:rPr>
              <w:t>8</w:t>
            </w:r>
          </w:p>
        </w:tc>
        <w:tc>
          <w:tcPr>
            <w:tcW w:w="15309" w:type="dxa"/>
            <w:hideMark/>
          </w:tcPr>
          <w:p w14:paraId="1AC5306B" w14:textId="77777777" w:rsidR="002D21E7" w:rsidRPr="000A630D" w:rsidRDefault="002D21E7" w:rsidP="00285DD5">
            <w:pPr>
              <w:tabs>
                <w:tab w:val="left" w:pos="0"/>
              </w:tabs>
              <w:jc w:val="both"/>
              <w:rPr>
                <w:sz w:val="20"/>
                <w:szCs w:val="20"/>
              </w:rPr>
            </w:pPr>
            <w:r w:rsidRPr="000A630D">
              <w:rPr>
                <w:sz w:val="20"/>
                <w:szCs w:val="20"/>
              </w:rPr>
              <w:t>Turi atitikti Duonos ir pyrago kepinių apibūdinimo, gamybos ir prekinio pateikimo techniniame reglamente, patvirtintame LR žemės ūkio ministro 2014 m. spalio 28 d. įsakymu Nr. 3D-794 "Dėl Duonos ir pyrago kepinių apibūdinimo, gamybos ir prekinio pateikimo techninio reglamento ir miltinės konditerijos gaminių apibūdinimo, gamybos ir prekinio pateikimo techninio reglamento patvirtinimo".</w:t>
            </w:r>
          </w:p>
        </w:tc>
      </w:tr>
      <w:tr w:rsidR="002D21E7" w:rsidRPr="000A630D" w14:paraId="2B740502" w14:textId="77777777" w:rsidTr="00E369F5">
        <w:trPr>
          <w:trHeight w:val="395"/>
        </w:trPr>
        <w:tc>
          <w:tcPr>
            <w:tcW w:w="421" w:type="dxa"/>
            <w:noWrap/>
            <w:hideMark/>
          </w:tcPr>
          <w:p w14:paraId="22CBF776" w14:textId="77777777" w:rsidR="002D21E7" w:rsidRPr="000A630D" w:rsidRDefault="002D21E7" w:rsidP="00285DD5">
            <w:pPr>
              <w:tabs>
                <w:tab w:val="left" w:pos="0"/>
              </w:tabs>
              <w:jc w:val="center"/>
              <w:rPr>
                <w:sz w:val="20"/>
                <w:szCs w:val="20"/>
              </w:rPr>
            </w:pPr>
            <w:r w:rsidRPr="000A630D">
              <w:rPr>
                <w:sz w:val="20"/>
                <w:szCs w:val="20"/>
              </w:rPr>
              <w:t>9</w:t>
            </w:r>
          </w:p>
        </w:tc>
        <w:tc>
          <w:tcPr>
            <w:tcW w:w="15309" w:type="dxa"/>
            <w:hideMark/>
          </w:tcPr>
          <w:p w14:paraId="05E13327" w14:textId="77777777" w:rsidR="002D21E7" w:rsidRPr="000A630D" w:rsidRDefault="002D21E7" w:rsidP="00285DD5">
            <w:pPr>
              <w:tabs>
                <w:tab w:val="left" w:pos="0"/>
              </w:tabs>
              <w:jc w:val="both"/>
              <w:rPr>
                <w:sz w:val="20"/>
                <w:szCs w:val="20"/>
              </w:rPr>
            </w:pPr>
            <w:r w:rsidRPr="000A630D">
              <w:rPr>
                <w:sz w:val="20"/>
                <w:szCs w:val="20"/>
              </w:rPr>
              <w:t>Grūdai, miltai ir kruopos privalo atitikti privalomuosius reikalavimus, nustatytus ŽŪ ministro 2001 m. kovo 8 d. įsakyme Nr. 12-279 "Dėl privalomųjų grūdų, miltų ir kruopų kokybės reikalavimų".</w:t>
            </w:r>
          </w:p>
        </w:tc>
      </w:tr>
      <w:tr w:rsidR="002D21E7" w:rsidRPr="000A630D" w14:paraId="1FC07BEC" w14:textId="77777777" w:rsidTr="00E369F5">
        <w:trPr>
          <w:trHeight w:val="502"/>
        </w:trPr>
        <w:tc>
          <w:tcPr>
            <w:tcW w:w="421" w:type="dxa"/>
            <w:noWrap/>
            <w:hideMark/>
          </w:tcPr>
          <w:p w14:paraId="1CF0ED27" w14:textId="77777777" w:rsidR="002D21E7" w:rsidRPr="000A630D" w:rsidRDefault="002D21E7" w:rsidP="00285DD5">
            <w:pPr>
              <w:tabs>
                <w:tab w:val="left" w:pos="0"/>
              </w:tabs>
              <w:jc w:val="center"/>
              <w:rPr>
                <w:sz w:val="20"/>
                <w:szCs w:val="20"/>
              </w:rPr>
            </w:pPr>
            <w:r w:rsidRPr="000A630D">
              <w:rPr>
                <w:sz w:val="20"/>
                <w:szCs w:val="20"/>
              </w:rPr>
              <w:t>10</w:t>
            </w:r>
          </w:p>
        </w:tc>
        <w:tc>
          <w:tcPr>
            <w:tcW w:w="15309" w:type="dxa"/>
            <w:hideMark/>
          </w:tcPr>
          <w:p w14:paraId="61C6B952" w14:textId="77777777" w:rsidR="002D21E7" w:rsidRPr="000A630D" w:rsidRDefault="002D21E7" w:rsidP="00285DD5">
            <w:pPr>
              <w:tabs>
                <w:tab w:val="left" w:pos="0"/>
              </w:tabs>
              <w:jc w:val="both"/>
              <w:rPr>
                <w:sz w:val="20"/>
                <w:szCs w:val="20"/>
              </w:rPr>
            </w:pPr>
            <w:r w:rsidRPr="000A630D">
              <w:rPr>
                <w:sz w:val="20"/>
                <w:szCs w:val="20"/>
              </w:rPr>
              <w:t>Tiekėjai turi užtikrinti žmonių sveikatos ir vartotojų interesų apsaugą maisto atžvilgiu vadovaujantis 2011 m. spalio 25 d. Europos Parlamento ir Tarybos reglamente (ES) Nr. 1169/2011 "Dėl informacijos apie maistą teikimo vartotojams" nustatytais reikalavimais.</w:t>
            </w:r>
          </w:p>
        </w:tc>
      </w:tr>
      <w:tr w:rsidR="002D21E7" w:rsidRPr="000A630D" w14:paraId="64474E3F" w14:textId="77777777" w:rsidTr="00E369F5">
        <w:trPr>
          <w:trHeight w:val="410"/>
        </w:trPr>
        <w:tc>
          <w:tcPr>
            <w:tcW w:w="421" w:type="dxa"/>
            <w:noWrap/>
            <w:hideMark/>
          </w:tcPr>
          <w:p w14:paraId="365ECD40" w14:textId="77777777" w:rsidR="002D21E7" w:rsidRPr="000A630D" w:rsidRDefault="002D21E7" w:rsidP="00285DD5">
            <w:pPr>
              <w:tabs>
                <w:tab w:val="left" w:pos="0"/>
              </w:tabs>
              <w:jc w:val="center"/>
              <w:rPr>
                <w:sz w:val="20"/>
                <w:szCs w:val="20"/>
              </w:rPr>
            </w:pPr>
            <w:r w:rsidRPr="000A630D">
              <w:rPr>
                <w:sz w:val="20"/>
                <w:szCs w:val="20"/>
              </w:rPr>
              <w:t>11</w:t>
            </w:r>
          </w:p>
        </w:tc>
        <w:tc>
          <w:tcPr>
            <w:tcW w:w="15309" w:type="dxa"/>
            <w:hideMark/>
          </w:tcPr>
          <w:p w14:paraId="6DF4D2C9" w14:textId="77777777" w:rsidR="002D21E7" w:rsidRPr="000A630D" w:rsidRDefault="002D21E7" w:rsidP="00285DD5">
            <w:pPr>
              <w:tabs>
                <w:tab w:val="left" w:pos="0"/>
              </w:tabs>
              <w:jc w:val="both"/>
              <w:rPr>
                <w:sz w:val="20"/>
                <w:szCs w:val="20"/>
              </w:rPr>
            </w:pPr>
            <w:r w:rsidRPr="000A630D">
              <w:rPr>
                <w:sz w:val="20"/>
                <w:szCs w:val="20"/>
              </w:rPr>
              <w:t xml:space="preserve">Produktai turi būti ekologiškai pagaminti pagal Tarybos Reglamentą (EB) Nr. 834/2007 „Dėl ekologinės gamybos ir ekologiškų produktų ženklinimo ir panaikinantis Reglamentą (EEB) Nr. 2092/91“ </w:t>
            </w:r>
          </w:p>
        </w:tc>
      </w:tr>
      <w:tr w:rsidR="002D21E7" w:rsidRPr="000A630D" w14:paraId="46B7729C" w14:textId="77777777" w:rsidTr="00E369F5">
        <w:trPr>
          <w:trHeight w:val="515"/>
        </w:trPr>
        <w:tc>
          <w:tcPr>
            <w:tcW w:w="421" w:type="dxa"/>
            <w:noWrap/>
            <w:hideMark/>
          </w:tcPr>
          <w:p w14:paraId="1E91B003" w14:textId="77777777" w:rsidR="002D21E7" w:rsidRPr="000A630D" w:rsidRDefault="002D21E7" w:rsidP="00285DD5">
            <w:pPr>
              <w:tabs>
                <w:tab w:val="left" w:pos="0"/>
              </w:tabs>
              <w:jc w:val="center"/>
              <w:rPr>
                <w:sz w:val="20"/>
                <w:szCs w:val="20"/>
              </w:rPr>
            </w:pPr>
            <w:r w:rsidRPr="000A630D">
              <w:rPr>
                <w:sz w:val="20"/>
                <w:szCs w:val="20"/>
              </w:rPr>
              <w:t>12</w:t>
            </w:r>
          </w:p>
        </w:tc>
        <w:tc>
          <w:tcPr>
            <w:tcW w:w="15309" w:type="dxa"/>
            <w:hideMark/>
          </w:tcPr>
          <w:p w14:paraId="561A36DC" w14:textId="77777777" w:rsidR="002D21E7" w:rsidRPr="000A630D" w:rsidRDefault="002D21E7" w:rsidP="00285DD5">
            <w:pPr>
              <w:tabs>
                <w:tab w:val="left" w:pos="0"/>
              </w:tabs>
              <w:jc w:val="both"/>
              <w:rPr>
                <w:sz w:val="20"/>
                <w:szCs w:val="20"/>
              </w:rPr>
            </w:pPr>
            <w:r w:rsidRPr="000A630D">
              <w:rPr>
                <w:sz w:val="20"/>
                <w:szCs w:val="20"/>
              </w:rPr>
              <w:t xml:space="preserve">2007  m.  spalio  22  d. Tarybos reglamentas (EB) Nr. 1234/2007, nustatantis bendrą žemės ūkio  rinkų  organizavimą  ir  konkrečias  tam  tikriems  žemės  ūkio  produktams  taikomas nuostatas (OL 2007 </w:t>
            </w:r>
            <w:r>
              <w:rPr>
                <w:sz w:val="20"/>
                <w:szCs w:val="20"/>
              </w:rPr>
              <w:t>L 299, p. 1).</w:t>
            </w:r>
          </w:p>
        </w:tc>
      </w:tr>
      <w:tr w:rsidR="002D21E7" w:rsidRPr="000A630D" w14:paraId="461FAA1D" w14:textId="77777777" w:rsidTr="00E369F5">
        <w:trPr>
          <w:trHeight w:val="409"/>
        </w:trPr>
        <w:tc>
          <w:tcPr>
            <w:tcW w:w="421" w:type="dxa"/>
            <w:noWrap/>
            <w:hideMark/>
          </w:tcPr>
          <w:p w14:paraId="06B4989A" w14:textId="77777777" w:rsidR="002D21E7" w:rsidRPr="000A630D" w:rsidRDefault="002D21E7" w:rsidP="00285DD5">
            <w:pPr>
              <w:tabs>
                <w:tab w:val="left" w:pos="0"/>
              </w:tabs>
              <w:jc w:val="center"/>
              <w:rPr>
                <w:sz w:val="20"/>
                <w:szCs w:val="20"/>
              </w:rPr>
            </w:pPr>
            <w:r w:rsidRPr="000A630D">
              <w:rPr>
                <w:sz w:val="20"/>
                <w:szCs w:val="20"/>
              </w:rPr>
              <w:t>13</w:t>
            </w:r>
          </w:p>
        </w:tc>
        <w:tc>
          <w:tcPr>
            <w:tcW w:w="15309" w:type="dxa"/>
            <w:hideMark/>
          </w:tcPr>
          <w:p w14:paraId="594EFBD3" w14:textId="77777777" w:rsidR="002D21E7" w:rsidRPr="000A630D" w:rsidRDefault="002D21E7" w:rsidP="00285DD5">
            <w:pPr>
              <w:tabs>
                <w:tab w:val="left" w:pos="0"/>
              </w:tabs>
              <w:jc w:val="both"/>
              <w:rPr>
                <w:sz w:val="20"/>
                <w:szCs w:val="20"/>
              </w:rPr>
            </w:pPr>
            <w:r w:rsidRPr="000A630D">
              <w:rPr>
                <w:sz w:val="20"/>
                <w:szCs w:val="20"/>
              </w:rPr>
              <w:t xml:space="preserve">2008  m.  birželio  23  d.  Komisijos  reglamentas  (EB)  Nr.  589/2008,  kuriuo  nustatomos išsamios  Tarybos  reglamento  (EB)  Nr.  1234/2007  įgyvendinimo  taisyklės  dėl prekybos kiaušiniais </w:t>
            </w:r>
            <w:r>
              <w:rPr>
                <w:sz w:val="20"/>
                <w:szCs w:val="20"/>
              </w:rPr>
              <w:t>standartų (OL 2008 L 163, p. 6)</w:t>
            </w:r>
          </w:p>
        </w:tc>
      </w:tr>
      <w:tr w:rsidR="002D21E7" w:rsidRPr="000A630D" w14:paraId="57EEE828" w14:textId="77777777" w:rsidTr="00E369F5">
        <w:trPr>
          <w:trHeight w:val="373"/>
        </w:trPr>
        <w:tc>
          <w:tcPr>
            <w:tcW w:w="421" w:type="dxa"/>
            <w:noWrap/>
            <w:hideMark/>
          </w:tcPr>
          <w:p w14:paraId="47CDF9EB" w14:textId="77777777" w:rsidR="002D21E7" w:rsidRPr="000A630D" w:rsidRDefault="002D21E7" w:rsidP="00285DD5">
            <w:pPr>
              <w:tabs>
                <w:tab w:val="left" w:pos="0"/>
              </w:tabs>
              <w:jc w:val="center"/>
              <w:rPr>
                <w:sz w:val="20"/>
                <w:szCs w:val="20"/>
              </w:rPr>
            </w:pPr>
            <w:r w:rsidRPr="000A630D">
              <w:rPr>
                <w:sz w:val="20"/>
                <w:szCs w:val="20"/>
              </w:rPr>
              <w:t>14</w:t>
            </w:r>
          </w:p>
        </w:tc>
        <w:tc>
          <w:tcPr>
            <w:tcW w:w="15309" w:type="dxa"/>
            <w:hideMark/>
          </w:tcPr>
          <w:p w14:paraId="43F98EFA" w14:textId="77777777" w:rsidR="002D21E7" w:rsidRPr="000A630D" w:rsidRDefault="002D21E7" w:rsidP="00285DD5">
            <w:pPr>
              <w:tabs>
                <w:tab w:val="left" w:pos="0"/>
              </w:tabs>
              <w:jc w:val="both"/>
              <w:rPr>
                <w:sz w:val="20"/>
                <w:szCs w:val="20"/>
              </w:rPr>
            </w:pPr>
            <w:r w:rsidRPr="000A630D">
              <w:rPr>
                <w:sz w:val="20"/>
                <w:szCs w:val="20"/>
              </w:rPr>
              <w:t>ŽŪ ministro 2007 m. liepos 9 d. Nr. 3D-325 "Dėl cukraus, skirto žmonėms vartoti, gliukozės ir inventorizuotojo cukraus sirupų bei tirpalų sudėties ir tyrimo metodų techninio reglamento patvirtinimo".</w:t>
            </w:r>
          </w:p>
        </w:tc>
      </w:tr>
      <w:tr w:rsidR="002D21E7" w:rsidRPr="000A630D" w14:paraId="7D4D08F5" w14:textId="77777777" w:rsidTr="00E369F5">
        <w:trPr>
          <w:trHeight w:val="324"/>
        </w:trPr>
        <w:tc>
          <w:tcPr>
            <w:tcW w:w="421" w:type="dxa"/>
            <w:noWrap/>
            <w:hideMark/>
          </w:tcPr>
          <w:p w14:paraId="034D307C" w14:textId="77777777" w:rsidR="002D21E7" w:rsidRPr="000A630D" w:rsidRDefault="002D21E7" w:rsidP="00285DD5">
            <w:pPr>
              <w:tabs>
                <w:tab w:val="left" w:pos="0"/>
              </w:tabs>
              <w:jc w:val="center"/>
              <w:rPr>
                <w:sz w:val="20"/>
                <w:szCs w:val="20"/>
              </w:rPr>
            </w:pPr>
            <w:r w:rsidRPr="000A630D">
              <w:rPr>
                <w:sz w:val="20"/>
                <w:szCs w:val="20"/>
              </w:rPr>
              <w:t>15</w:t>
            </w:r>
          </w:p>
        </w:tc>
        <w:tc>
          <w:tcPr>
            <w:tcW w:w="15309" w:type="dxa"/>
            <w:hideMark/>
          </w:tcPr>
          <w:p w14:paraId="4349B261" w14:textId="77777777" w:rsidR="002D21E7" w:rsidRPr="000A630D" w:rsidRDefault="002D21E7" w:rsidP="00285DD5">
            <w:pPr>
              <w:tabs>
                <w:tab w:val="left" w:pos="0"/>
              </w:tabs>
              <w:jc w:val="both"/>
              <w:rPr>
                <w:sz w:val="20"/>
                <w:szCs w:val="20"/>
              </w:rPr>
            </w:pPr>
            <w:r w:rsidRPr="000A630D">
              <w:rPr>
                <w:sz w:val="20"/>
                <w:szCs w:val="20"/>
              </w:rPr>
              <w:t>ŽŪ ministro įsakymas 2001 m. rugpjūčio 13 d. Nr. 282 "Dėl privalomųjų acto kokybės reikalavimų patvirtinimo". Galiojanti suvestinė redakcija nuo 2012 m. balandžio 1 d.</w:t>
            </w:r>
          </w:p>
        </w:tc>
      </w:tr>
      <w:tr w:rsidR="002D21E7" w:rsidRPr="000A630D" w14:paraId="3B739E04" w14:textId="77777777" w:rsidTr="00E369F5">
        <w:trPr>
          <w:trHeight w:val="272"/>
        </w:trPr>
        <w:tc>
          <w:tcPr>
            <w:tcW w:w="421" w:type="dxa"/>
            <w:noWrap/>
            <w:hideMark/>
          </w:tcPr>
          <w:p w14:paraId="0F5D880F" w14:textId="77777777" w:rsidR="002D21E7" w:rsidRPr="000A630D" w:rsidRDefault="002D21E7" w:rsidP="00285DD5">
            <w:pPr>
              <w:tabs>
                <w:tab w:val="left" w:pos="0"/>
              </w:tabs>
              <w:jc w:val="center"/>
              <w:rPr>
                <w:sz w:val="20"/>
                <w:szCs w:val="20"/>
              </w:rPr>
            </w:pPr>
            <w:r w:rsidRPr="000A630D">
              <w:rPr>
                <w:sz w:val="20"/>
                <w:szCs w:val="20"/>
              </w:rPr>
              <w:t>16</w:t>
            </w:r>
          </w:p>
        </w:tc>
        <w:tc>
          <w:tcPr>
            <w:tcW w:w="15309" w:type="dxa"/>
            <w:hideMark/>
          </w:tcPr>
          <w:p w14:paraId="12394E0A" w14:textId="77777777" w:rsidR="002D21E7" w:rsidRPr="000A630D" w:rsidRDefault="002D21E7" w:rsidP="00285DD5">
            <w:pPr>
              <w:tabs>
                <w:tab w:val="left" w:pos="0"/>
              </w:tabs>
              <w:jc w:val="both"/>
              <w:rPr>
                <w:sz w:val="20"/>
                <w:szCs w:val="20"/>
              </w:rPr>
            </w:pPr>
            <w:r w:rsidRPr="000A630D">
              <w:rPr>
                <w:sz w:val="20"/>
                <w:szCs w:val="20"/>
              </w:rPr>
              <w:t xml:space="preserve">ŽŪ ministro įsakymas 2002 m. lapkričio 11 d. Nr. 436  "Dėl privalomųjų konservuotų agurkų, konservuotų morkų ir konservuotų kultūrinių grybų kokybės reikalavimų patvirtinimo". </w:t>
            </w:r>
          </w:p>
        </w:tc>
      </w:tr>
      <w:tr w:rsidR="002D21E7" w:rsidRPr="000A630D" w14:paraId="2CCC31B8" w14:textId="77777777" w:rsidTr="00E369F5">
        <w:trPr>
          <w:trHeight w:val="134"/>
        </w:trPr>
        <w:tc>
          <w:tcPr>
            <w:tcW w:w="421" w:type="dxa"/>
            <w:noWrap/>
            <w:hideMark/>
          </w:tcPr>
          <w:p w14:paraId="5D81C4C3" w14:textId="77777777" w:rsidR="002D21E7" w:rsidRPr="000A630D" w:rsidRDefault="002D21E7" w:rsidP="00285DD5">
            <w:pPr>
              <w:tabs>
                <w:tab w:val="left" w:pos="0"/>
              </w:tabs>
              <w:jc w:val="center"/>
              <w:rPr>
                <w:sz w:val="20"/>
                <w:szCs w:val="20"/>
              </w:rPr>
            </w:pPr>
            <w:r w:rsidRPr="000A630D">
              <w:rPr>
                <w:sz w:val="20"/>
                <w:szCs w:val="20"/>
              </w:rPr>
              <w:lastRenderedPageBreak/>
              <w:t>17</w:t>
            </w:r>
          </w:p>
        </w:tc>
        <w:tc>
          <w:tcPr>
            <w:tcW w:w="15309" w:type="dxa"/>
            <w:hideMark/>
          </w:tcPr>
          <w:p w14:paraId="5666475A" w14:textId="77777777" w:rsidR="002D21E7" w:rsidRPr="000A630D" w:rsidRDefault="002D21E7" w:rsidP="00285DD5">
            <w:pPr>
              <w:tabs>
                <w:tab w:val="left" w:pos="0"/>
              </w:tabs>
              <w:jc w:val="both"/>
              <w:rPr>
                <w:sz w:val="20"/>
                <w:szCs w:val="20"/>
              </w:rPr>
            </w:pPr>
            <w:r w:rsidRPr="000A630D">
              <w:rPr>
                <w:sz w:val="20"/>
                <w:szCs w:val="20"/>
              </w:rPr>
              <w:t>Turi atitikti 2012 m. sausio 13 d. Komisijos įgyvendinimo reglamente (ES) Nr. 29/2012 dėl prekybos alyvuogių aliejumi standartų (OL 2012 L 12, p.14) nustatytus standartus.</w:t>
            </w:r>
          </w:p>
        </w:tc>
      </w:tr>
      <w:tr w:rsidR="002D21E7" w:rsidRPr="000A630D" w14:paraId="08AB9714" w14:textId="77777777" w:rsidTr="00E369F5">
        <w:trPr>
          <w:trHeight w:val="463"/>
        </w:trPr>
        <w:tc>
          <w:tcPr>
            <w:tcW w:w="421" w:type="dxa"/>
            <w:noWrap/>
            <w:hideMark/>
          </w:tcPr>
          <w:p w14:paraId="309C3A82" w14:textId="77777777" w:rsidR="002D21E7" w:rsidRPr="000A630D" w:rsidRDefault="002D21E7" w:rsidP="00285DD5">
            <w:pPr>
              <w:tabs>
                <w:tab w:val="left" w:pos="0"/>
              </w:tabs>
              <w:jc w:val="center"/>
              <w:rPr>
                <w:sz w:val="20"/>
                <w:szCs w:val="20"/>
              </w:rPr>
            </w:pPr>
            <w:r w:rsidRPr="000A630D">
              <w:rPr>
                <w:sz w:val="20"/>
                <w:szCs w:val="20"/>
              </w:rPr>
              <w:t>18</w:t>
            </w:r>
          </w:p>
        </w:tc>
        <w:tc>
          <w:tcPr>
            <w:tcW w:w="15309" w:type="dxa"/>
            <w:hideMark/>
          </w:tcPr>
          <w:p w14:paraId="747D5ED2" w14:textId="77777777" w:rsidR="002D21E7" w:rsidRPr="000A630D" w:rsidRDefault="002D21E7" w:rsidP="00285DD5">
            <w:pPr>
              <w:tabs>
                <w:tab w:val="left" w:pos="0"/>
              </w:tabs>
              <w:jc w:val="both"/>
              <w:rPr>
                <w:sz w:val="20"/>
                <w:szCs w:val="20"/>
              </w:rPr>
            </w:pPr>
            <w:r w:rsidRPr="000A630D">
              <w:rPr>
                <w:sz w:val="20"/>
                <w:szCs w:val="20"/>
              </w:rPr>
              <w:t>ŽŪ ministro įsakymas 2003 m. spalio 24 d. Nr. 3D-455 "Dėl žemės ūkio ministro 2000 m. vasario 29 d. įsakymo nr. 60 "Dėl džemų ir panašių produktų techninio reglamento patvirtinimo" ir 2000 m. vasario 29 d. įsakymo nr. 61 "Dėl vaisių sulčių ir panašių produktų techninio reglamento patvirtinimo" pakeitimo.</w:t>
            </w:r>
          </w:p>
        </w:tc>
      </w:tr>
      <w:tr w:rsidR="002D21E7" w:rsidRPr="000A630D" w14:paraId="58B0BFFC" w14:textId="77777777" w:rsidTr="00E369F5">
        <w:trPr>
          <w:trHeight w:val="271"/>
        </w:trPr>
        <w:tc>
          <w:tcPr>
            <w:tcW w:w="421" w:type="dxa"/>
            <w:noWrap/>
            <w:hideMark/>
          </w:tcPr>
          <w:p w14:paraId="39CF8640" w14:textId="77777777" w:rsidR="002D21E7" w:rsidRPr="000A630D" w:rsidRDefault="002D21E7" w:rsidP="00285DD5">
            <w:pPr>
              <w:tabs>
                <w:tab w:val="left" w:pos="0"/>
              </w:tabs>
              <w:jc w:val="center"/>
              <w:rPr>
                <w:sz w:val="20"/>
                <w:szCs w:val="20"/>
              </w:rPr>
            </w:pPr>
            <w:r w:rsidRPr="000A630D">
              <w:rPr>
                <w:sz w:val="20"/>
                <w:szCs w:val="20"/>
              </w:rPr>
              <w:t>19</w:t>
            </w:r>
          </w:p>
        </w:tc>
        <w:tc>
          <w:tcPr>
            <w:tcW w:w="15309" w:type="dxa"/>
            <w:hideMark/>
          </w:tcPr>
          <w:p w14:paraId="695E10A0" w14:textId="77777777" w:rsidR="002D21E7" w:rsidRPr="000A630D" w:rsidRDefault="002D21E7" w:rsidP="00285DD5">
            <w:pPr>
              <w:tabs>
                <w:tab w:val="left" w:pos="0"/>
              </w:tabs>
              <w:jc w:val="both"/>
              <w:rPr>
                <w:sz w:val="20"/>
                <w:szCs w:val="20"/>
              </w:rPr>
            </w:pPr>
            <w:r w:rsidRPr="000A630D">
              <w:rPr>
                <w:sz w:val="20"/>
                <w:szCs w:val="20"/>
              </w:rPr>
              <w:t>ŽŪ ministro įsakymas 2006 m. balandžio 19 d. Nr. 3D-155 "Dėl džiovintų vaisių kokybės reikalavimų patvirtinimo".</w:t>
            </w:r>
          </w:p>
        </w:tc>
      </w:tr>
      <w:tr w:rsidR="002D21E7" w:rsidRPr="000A630D" w14:paraId="1BCB9343" w14:textId="77777777" w:rsidTr="00E369F5">
        <w:trPr>
          <w:trHeight w:val="418"/>
        </w:trPr>
        <w:tc>
          <w:tcPr>
            <w:tcW w:w="421" w:type="dxa"/>
            <w:noWrap/>
            <w:hideMark/>
          </w:tcPr>
          <w:p w14:paraId="0FC21C0A" w14:textId="77777777" w:rsidR="002D21E7" w:rsidRPr="000A630D" w:rsidRDefault="002D21E7" w:rsidP="00285DD5">
            <w:pPr>
              <w:tabs>
                <w:tab w:val="left" w:pos="0"/>
              </w:tabs>
              <w:jc w:val="center"/>
              <w:rPr>
                <w:sz w:val="20"/>
                <w:szCs w:val="20"/>
              </w:rPr>
            </w:pPr>
            <w:r w:rsidRPr="000A630D">
              <w:rPr>
                <w:sz w:val="20"/>
                <w:szCs w:val="20"/>
              </w:rPr>
              <w:t>20</w:t>
            </w:r>
          </w:p>
        </w:tc>
        <w:tc>
          <w:tcPr>
            <w:tcW w:w="15309" w:type="dxa"/>
            <w:hideMark/>
          </w:tcPr>
          <w:p w14:paraId="24BA57EB" w14:textId="77777777" w:rsidR="002D21E7" w:rsidRPr="000A630D" w:rsidRDefault="002D21E7" w:rsidP="00285DD5">
            <w:pPr>
              <w:tabs>
                <w:tab w:val="left" w:pos="0"/>
              </w:tabs>
              <w:jc w:val="both"/>
              <w:rPr>
                <w:sz w:val="20"/>
                <w:szCs w:val="20"/>
              </w:rPr>
            </w:pPr>
            <w:r w:rsidRPr="000A630D">
              <w:rPr>
                <w:sz w:val="20"/>
                <w:szCs w:val="20"/>
              </w:rPr>
              <w:t>Pieno ir pieno produktų ženklinimas turi atitikti 2011 m. spalio 25 d. Europos Parlamento ir Tarybos Reglamento (ES) Nr. 1169/2011 „dėl informacijos apie maistą</w:t>
            </w:r>
            <w:r w:rsidRPr="000A630D">
              <w:rPr>
                <w:sz w:val="20"/>
                <w:szCs w:val="20"/>
              </w:rPr>
              <w:br/>
              <w:t xml:space="preserve">teikimo vartotojams“ ir Lietuvos higienos normos HN 119:2014 "Maisto produktų ženklinimas" reikalavimus. </w:t>
            </w:r>
          </w:p>
        </w:tc>
      </w:tr>
      <w:tr w:rsidR="002D21E7" w:rsidRPr="000A630D" w14:paraId="2DEF7523" w14:textId="77777777" w:rsidTr="00E369F5">
        <w:trPr>
          <w:trHeight w:val="793"/>
        </w:trPr>
        <w:tc>
          <w:tcPr>
            <w:tcW w:w="421" w:type="dxa"/>
            <w:noWrap/>
            <w:hideMark/>
          </w:tcPr>
          <w:p w14:paraId="6BDD305A" w14:textId="77777777" w:rsidR="002D21E7" w:rsidRPr="000A630D" w:rsidRDefault="002D21E7" w:rsidP="00285DD5">
            <w:pPr>
              <w:tabs>
                <w:tab w:val="left" w:pos="0"/>
              </w:tabs>
              <w:jc w:val="center"/>
              <w:rPr>
                <w:sz w:val="20"/>
                <w:szCs w:val="20"/>
              </w:rPr>
            </w:pPr>
            <w:r w:rsidRPr="000A630D">
              <w:rPr>
                <w:sz w:val="20"/>
                <w:szCs w:val="20"/>
              </w:rPr>
              <w:t>21</w:t>
            </w:r>
          </w:p>
        </w:tc>
        <w:tc>
          <w:tcPr>
            <w:tcW w:w="15309" w:type="dxa"/>
            <w:hideMark/>
          </w:tcPr>
          <w:p w14:paraId="1F94E3AF" w14:textId="77777777" w:rsidR="002D21E7" w:rsidRPr="000A630D" w:rsidRDefault="002D21E7" w:rsidP="00285DD5">
            <w:pPr>
              <w:tabs>
                <w:tab w:val="left" w:pos="0"/>
              </w:tabs>
              <w:jc w:val="both"/>
              <w:rPr>
                <w:sz w:val="20"/>
                <w:szCs w:val="20"/>
              </w:rPr>
            </w:pPr>
            <w:r w:rsidRPr="000A630D">
              <w:rPr>
                <w:sz w:val="20"/>
                <w:szCs w:val="20"/>
              </w:rPr>
              <w:t>Pieno ir pieno produktų mikrobiologiniai kriterijai turi atitikti reikalavimus, pateiktus Komisijos Reglamente (EB) Nr. 1441/2007, 2007 m. gruodžio 5 d. iš dalies</w:t>
            </w:r>
            <w:r w:rsidRPr="000A630D">
              <w:rPr>
                <w:sz w:val="20"/>
                <w:szCs w:val="20"/>
              </w:rPr>
              <w:br/>
              <w:t>keičiantis Reglamentą (EB) Nr. 2073/2005 dėl maisto produktų mikrobiologinių kriterijų ir Lietuvos higienos normoje HN 26:2006 „Maisto produktų mikrobiologiniai</w:t>
            </w:r>
            <w:r w:rsidRPr="000A630D">
              <w:rPr>
                <w:sz w:val="20"/>
                <w:szCs w:val="20"/>
              </w:rPr>
              <w:br/>
              <w:t>kriterijai“</w:t>
            </w:r>
          </w:p>
        </w:tc>
      </w:tr>
      <w:tr w:rsidR="002D21E7" w:rsidRPr="000A630D" w14:paraId="44B2C616" w14:textId="77777777" w:rsidTr="00E369F5">
        <w:trPr>
          <w:trHeight w:val="332"/>
        </w:trPr>
        <w:tc>
          <w:tcPr>
            <w:tcW w:w="421" w:type="dxa"/>
            <w:noWrap/>
            <w:hideMark/>
          </w:tcPr>
          <w:p w14:paraId="566D7AE8" w14:textId="77777777" w:rsidR="002D21E7" w:rsidRPr="000A630D" w:rsidRDefault="002D21E7" w:rsidP="00285DD5">
            <w:pPr>
              <w:tabs>
                <w:tab w:val="left" w:pos="0"/>
              </w:tabs>
              <w:jc w:val="center"/>
              <w:rPr>
                <w:sz w:val="20"/>
                <w:szCs w:val="20"/>
              </w:rPr>
            </w:pPr>
            <w:r w:rsidRPr="000A630D">
              <w:rPr>
                <w:sz w:val="20"/>
                <w:szCs w:val="20"/>
              </w:rPr>
              <w:t>22</w:t>
            </w:r>
          </w:p>
        </w:tc>
        <w:tc>
          <w:tcPr>
            <w:tcW w:w="15309" w:type="dxa"/>
            <w:hideMark/>
          </w:tcPr>
          <w:p w14:paraId="41110327" w14:textId="77777777" w:rsidR="002D21E7" w:rsidRPr="000A630D" w:rsidRDefault="002D21E7" w:rsidP="00285DD5">
            <w:pPr>
              <w:tabs>
                <w:tab w:val="left" w:pos="0"/>
              </w:tabs>
              <w:jc w:val="both"/>
              <w:rPr>
                <w:sz w:val="20"/>
                <w:szCs w:val="20"/>
              </w:rPr>
            </w:pPr>
            <w:r w:rsidRPr="000A630D">
              <w:rPr>
                <w:sz w:val="20"/>
                <w:szCs w:val="20"/>
              </w:rPr>
              <w:t>Fasuotos prekės turi atitikti Lietuvos Respublikos Ūkio ministro 2015 m. rugsėjo 25 d. įsakymo Nr. 4-594 „Dėl fasuotų prekių ir matavimo indų techninio reglamento</w:t>
            </w:r>
            <w:r w:rsidRPr="000A630D">
              <w:rPr>
                <w:sz w:val="20"/>
                <w:szCs w:val="20"/>
              </w:rPr>
              <w:br/>
              <w:t>patvirtinimo“ reikalavimus.</w:t>
            </w:r>
          </w:p>
        </w:tc>
      </w:tr>
      <w:tr w:rsidR="002D21E7" w:rsidRPr="000A630D" w14:paraId="1EBA80BC" w14:textId="77777777" w:rsidTr="00E369F5">
        <w:trPr>
          <w:trHeight w:val="1324"/>
        </w:trPr>
        <w:tc>
          <w:tcPr>
            <w:tcW w:w="421" w:type="dxa"/>
            <w:noWrap/>
            <w:hideMark/>
          </w:tcPr>
          <w:p w14:paraId="19660872" w14:textId="77777777" w:rsidR="002D21E7" w:rsidRPr="000A630D" w:rsidRDefault="002D21E7" w:rsidP="00285DD5">
            <w:pPr>
              <w:tabs>
                <w:tab w:val="left" w:pos="0"/>
              </w:tabs>
              <w:jc w:val="center"/>
              <w:rPr>
                <w:sz w:val="20"/>
                <w:szCs w:val="20"/>
              </w:rPr>
            </w:pPr>
            <w:r w:rsidRPr="000A630D">
              <w:rPr>
                <w:sz w:val="20"/>
                <w:szCs w:val="20"/>
              </w:rPr>
              <w:t>23</w:t>
            </w:r>
          </w:p>
        </w:tc>
        <w:tc>
          <w:tcPr>
            <w:tcW w:w="15309" w:type="dxa"/>
            <w:hideMark/>
          </w:tcPr>
          <w:p w14:paraId="7A5EB7B4" w14:textId="77777777" w:rsidR="002D21E7" w:rsidRPr="000A630D" w:rsidRDefault="002D21E7" w:rsidP="00285DD5">
            <w:pPr>
              <w:tabs>
                <w:tab w:val="left" w:pos="0"/>
              </w:tabs>
              <w:jc w:val="both"/>
              <w:rPr>
                <w:sz w:val="20"/>
                <w:szCs w:val="20"/>
              </w:rPr>
            </w:pPr>
            <w:r w:rsidRPr="000A630D">
              <w:rPr>
                <w:sz w:val="20"/>
                <w:szCs w:val="20"/>
              </w:rPr>
              <w:t>Tiekėjai turi užtikrinti, kad pienas arba pieno pagrindo produktai nebūtų falsifikuojami (ar į pieną nebuvo įpilta vandens, ar dirbtinai nebuvo padidinti pieno riebumas. Ne pieno kilmės sudedamosios dalys: sacharidai (cukrūs), vaisių ir daržovių sultys, minkštimai, tyrės bei kiti jų gaminiai, grūdų produktai, medus, šokoladas, riešutai, kava,</w:t>
            </w:r>
            <w:r w:rsidRPr="000A630D">
              <w:rPr>
                <w:sz w:val="20"/>
                <w:szCs w:val="20"/>
              </w:rPr>
              <w:br/>
              <w:t>vitaminai, mineralinės medžiagos, prieskoniai ir / ar kiti nekenksmingi natūralūs skonį bei kvapą suteikiantys produktai ir (arba) skonį bei kvapą suteikiančios medžiagos.</w:t>
            </w:r>
            <w:r w:rsidRPr="000A630D">
              <w:rPr>
                <w:sz w:val="20"/>
                <w:szCs w:val="20"/>
              </w:rPr>
              <w:br/>
              <w:t>ar baltymų kiekis ir pieno arba pieno pagrindo produktuose nebūtų randami likučių (bet kurių farmakologinį arba hormoninį poveikį turinčių medžiagų, antibiotikų,</w:t>
            </w:r>
            <w:r w:rsidRPr="000A630D">
              <w:rPr>
                <w:sz w:val="20"/>
                <w:szCs w:val="20"/>
              </w:rPr>
              <w:br/>
              <w:t>pesticidų, ploviklių ir kitų medžiagų, kurios yra kenksmingos arba kurios gali pakeisti pieno ar pieno pagrindo produktų juslines savybes arba dėl kurių tokių produktų</w:t>
            </w:r>
            <w:r w:rsidRPr="000A630D">
              <w:rPr>
                <w:sz w:val="20"/>
                <w:szCs w:val="20"/>
              </w:rPr>
              <w:br/>
              <w:t>vartojimas tampa pavojingas arba kenksmingas žmonių sveikata) pėdsakai viršijantys leistinas ribas.</w:t>
            </w:r>
          </w:p>
        </w:tc>
      </w:tr>
      <w:tr w:rsidR="002D21E7" w:rsidRPr="000A630D" w14:paraId="58C16D4E" w14:textId="77777777" w:rsidTr="00E369F5">
        <w:trPr>
          <w:trHeight w:val="507"/>
        </w:trPr>
        <w:tc>
          <w:tcPr>
            <w:tcW w:w="421" w:type="dxa"/>
            <w:noWrap/>
            <w:hideMark/>
          </w:tcPr>
          <w:p w14:paraId="73E96803" w14:textId="77777777" w:rsidR="002D21E7" w:rsidRPr="000A630D" w:rsidRDefault="002D21E7" w:rsidP="00285DD5">
            <w:pPr>
              <w:tabs>
                <w:tab w:val="left" w:pos="0"/>
              </w:tabs>
              <w:jc w:val="center"/>
              <w:rPr>
                <w:sz w:val="20"/>
                <w:szCs w:val="20"/>
              </w:rPr>
            </w:pPr>
            <w:r w:rsidRPr="000A630D">
              <w:rPr>
                <w:sz w:val="20"/>
                <w:szCs w:val="20"/>
              </w:rPr>
              <w:t>24</w:t>
            </w:r>
          </w:p>
        </w:tc>
        <w:tc>
          <w:tcPr>
            <w:tcW w:w="15309" w:type="dxa"/>
            <w:hideMark/>
          </w:tcPr>
          <w:p w14:paraId="5C483260" w14:textId="77777777" w:rsidR="002D21E7" w:rsidRPr="000A630D" w:rsidRDefault="002D21E7" w:rsidP="00285DD5">
            <w:pPr>
              <w:tabs>
                <w:tab w:val="left" w:pos="0"/>
              </w:tabs>
              <w:jc w:val="both"/>
              <w:rPr>
                <w:sz w:val="20"/>
                <w:szCs w:val="20"/>
              </w:rPr>
            </w:pPr>
            <w:r w:rsidRPr="000A630D">
              <w:rPr>
                <w:sz w:val="20"/>
                <w:szCs w:val="20"/>
              </w:rPr>
              <w:t>Pienas ir pieno pagrindo produktai turi atitikti Tarybos direktyvą 92/46/EEB, 1992 m. birželio 16 d. nustatančią sveikatos taisykles žalio pieno, termiškai apdoroto</w:t>
            </w:r>
            <w:r w:rsidRPr="000A630D">
              <w:rPr>
                <w:sz w:val="20"/>
                <w:szCs w:val="20"/>
              </w:rPr>
              <w:br/>
              <w:t xml:space="preserve">pieno ir pieno pagrindo produktų gamybai ir tiekimui į rinką. </w:t>
            </w:r>
          </w:p>
        </w:tc>
      </w:tr>
      <w:tr w:rsidR="002D21E7" w:rsidRPr="000A630D" w14:paraId="0943C705" w14:textId="77777777" w:rsidTr="00E369F5">
        <w:trPr>
          <w:trHeight w:val="699"/>
        </w:trPr>
        <w:tc>
          <w:tcPr>
            <w:tcW w:w="421" w:type="dxa"/>
            <w:noWrap/>
            <w:hideMark/>
          </w:tcPr>
          <w:p w14:paraId="0F8B40C6" w14:textId="77777777" w:rsidR="002D21E7" w:rsidRPr="000A630D" w:rsidRDefault="002D21E7" w:rsidP="00285DD5">
            <w:pPr>
              <w:tabs>
                <w:tab w:val="left" w:pos="0"/>
              </w:tabs>
              <w:jc w:val="center"/>
              <w:rPr>
                <w:sz w:val="20"/>
                <w:szCs w:val="20"/>
              </w:rPr>
            </w:pPr>
            <w:r w:rsidRPr="000A630D">
              <w:rPr>
                <w:sz w:val="20"/>
                <w:szCs w:val="20"/>
              </w:rPr>
              <w:t>25</w:t>
            </w:r>
          </w:p>
        </w:tc>
        <w:tc>
          <w:tcPr>
            <w:tcW w:w="15309" w:type="dxa"/>
            <w:hideMark/>
          </w:tcPr>
          <w:p w14:paraId="6C40B3EF" w14:textId="77777777" w:rsidR="002D21E7" w:rsidRPr="000A630D" w:rsidRDefault="002D21E7" w:rsidP="00285DD5">
            <w:pPr>
              <w:tabs>
                <w:tab w:val="left" w:pos="0"/>
              </w:tabs>
              <w:jc w:val="both"/>
              <w:rPr>
                <w:sz w:val="20"/>
                <w:szCs w:val="20"/>
              </w:rPr>
            </w:pPr>
            <w:r w:rsidRPr="000A630D">
              <w:rPr>
                <w:sz w:val="20"/>
                <w:szCs w:val="20"/>
              </w:rPr>
              <w:t>Pieno produktams naudojamos kvapiosios medžiagos turi atitikti 2008 m. gruodžio 16 d. Europos Parlamento ir Tarybos Reglamento (ES) Nr.1334/2008 dėl kvapiųjų</w:t>
            </w:r>
            <w:r w:rsidRPr="000A630D">
              <w:rPr>
                <w:sz w:val="20"/>
                <w:szCs w:val="20"/>
              </w:rPr>
              <w:br/>
              <w:t>medžiagų ir aromatinių savybių turinčių tam tikrų maisto ingredientų naudojimo maisto produktuose ir ant jų (iš dalies keičiantis Tarybos reglamentą (EEB) Nr.</w:t>
            </w:r>
            <w:r w:rsidRPr="000A630D">
              <w:rPr>
                <w:sz w:val="20"/>
                <w:szCs w:val="20"/>
              </w:rPr>
              <w:br/>
              <w:t>1601/91, reglamentus (EB) Nr. 2232/96 ir (EB) Nr. 110/2008 bei Direktyvą 2000/13/EB) reikalavimus.</w:t>
            </w:r>
          </w:p>
        </w:tc>
      </w:tr>
      <w:tr w:rsidR="002D21E7" w:rsidRPr="000A630D" w14:paraId="7A5FCDB5" w14:textId="77777777" w:rsidTr="00E369F5">
        <w:trPr>
          <w:trHeight w:val="553"/>
        </w:trPr>
        <w:tc>
          <w:tcPr>
            <w:tcW w:w="421" w:type="dxa"/>
            <w:noWrap/>
            <w:hideMark/>
          </w:tcPr>
          <w:p w14:paraId="0836D393" w14:textId="77777777" w:rsidR="002D21E7" w:rsidRPr="000A630D" w:rsidRDefault="002D21E7" w:rsidP="00285DD5">
            <w:pPr>
              <w:tabs>
                <w:tab w:val="left" w:pos="0"/>
              </w:tabs>
              <w:jc w:val="center"/>
              <w:rPr>
                <w:sz w:val="20"/>
                <w:szCs w:val="20"/>
              </w:rPr>
            </w:pPr>
            <w:r w:rsidRPr="000A630D">
              <w:rPr>
                <w:sz w:val="20"/>
                <w:szCs w:val="20"/>
              </w:rPr>
              <w:t>26</w:t>
            </w:r>
          </w:p>
        </w:tc>
        <w:tc>
          <w:tcPr>
            <w:tcW w:w="15309" w:type="dxa"/>
            <w:hideMark/>
          </w:tcPr>
          <w:p w14:paraId="3A5F7031" w14:textId="77777777" w:rsidR="002D21E7" w:rsidRPr="000A630D" w:rsidRDefault="002D21E7" w:rsidP="00285DD5">
            <w:pPr>
              <w:tabs>
                <w:tab w:val="left" w:pos="0"/>
              </w:tabs>
              <w:jc w:val="both"/>
              <w:rPr>
                <w:sz w:val="20"/>
                <w:szCs w:val="20"/>
              </w:rPr>
            </w:pPr>
            <w:r w:rsidRPr="000A630D">
              <w:rPr>
                <w:sz w:val="20"/>
                <w:szCs w:val="20"/>
              </w:rPr>
              <w:t>Pieno produktams naudojami maisto priedai turi atitikti 2008 m. gruodžio 16 d. Europos Parlamento ir Tarybos Reglamento (ES) Nr.1333/2008 dėl maisto priedų</w:t>
            </w:r>
            <w:r w:rsidRPr="000A630D">
              <w:rPr>
                <w:sz w:val="20"/>
                <w:szCs w:val="20"/>
              </w:rPr>
              <w:br/>
              <w:t>reikalavimus.</w:t>
            </w:r>
          </w:p>
        </w:tc>
      </w:tr>
      <w:tr w:rsidR="002D21E7" w:rsidRPr="000A630D" w14:paraId="5F356DDE" w14:textId="77777777" w:rsidTr="00E369F5">
        <w:trPr>
          <w:trHeight w:val="485"/>
        </w:trPr>
        <w:tc>
          <w:tcPr>
            <w:tcW w:w="421" w:type="dxa"/>
            <w:noWrap/>
            <w:hideMark/>
          </w:tcPr>
          <w:p w14:paraId="486384A7" w14:textId="77777777" w:rsidR="002D21E7" w:rsidRPr="000A630D" w:rsidRDefault="002D21E7" w:rsidP="00285DD5">
            <w:pPr>
              <w:tabs>
                <w:tab w:val="left" w:pos="0"/>
              </w:tabs>
              <w:jc w:val="center"/>
              <w:rPr>
                <w:sz w:val="20"/>
                <w:szCs w:val="20"/>
              </w:rPr>
            </w:pPr>
            <w:r w:rsidRPr="000A630D">
              <w:rPr>
                <w:sz w:val="20"/>
                <w:szCs w:val="20"/>
              </w:rPr>
              <w:t>27</w:t>
            </w:r>
          </w:p>
        </w:tc>
        <w:tc>
          <w:tcPr>
            <w:tcW w:w="15309" w:type="dxa"/>
            <w:hideMark/>
          </w:tcPr>
          <w:p w14:paraId="2CE4C3B9" w14:textId="77777777" w:rsidR="002D21E7" w:rsidRPr="000A630D" w:rsidRDefault="002D21E7" w:rsidP="00285DD5">
            <w:pPr>
              <w:tabs>
                <w:tab w:val="left" w:pos="0"/>
              </w:tabs>
              <w:jc w:val="both"/>
              <w:rPr>
                <w:sz w:val="20"/>
                <w:szCs w:val="20"/>
              </w:rPr>
            </w:pPr>
            <w:r w:rsidRPr="000A630D">
              <w:rPr>
                <w:sz w:val="20"/>
                <w:szCs w:val="20"/>
              </w:rPr>
              <w:t>Grietinė ir kiti grietinėlės gaminiai, turi atitikti Grietinėlės ir jos gaminių kokybės reikalavimus, patvirtintus LR ŽŪ ministro 2005 m. balandžio 18 d.</w:t>
            </w:r>
            <w:r w:rsidRPr="000A630D">
              <w:rPr>
                <w:sz w:val="20"/>
                <w:szCs w:val="20"/>
              </w:rPr>
              <w:br/>
              <w:t xml:space="preserve">įsakymu 3D-225. Grietinėlė ir kiti grietinėlės gaminiai po rauginimo neturi būti apdorojami termiškai ir pieno riebalai neturi būti pakeisti augaliniais riebalais. </w:t>
            </w:r>
          </w:p>
        </w:tc>
      </w:tr>
      <w:tr w:rsidR="002D21E7" w:rsidRPr="000A630D" w14:paraId="0D29A82E" w14:textId="77777777" w:rsidTr="00E369F5">
        <w:trPr>
          <w:trHeight w:val="341"/>
        </w:trPr>
        <w:tc>
          <w:tcPr>
            <w:tcW w:w="421" w:type="dxa"/>
            <w:noWrap/>
            <w:hideMark/>
          </w:tcPr>
          <w:p w14:paraId="1FC4B970" w14:textId="77777777" w:rsidR="002D21E7" w:rsidRPr="000A630D" w:rsidRDefault="002D21E7" w:rsidP="00285DD5">
            <w:pPr>
              <w:tabs>
                <w:tab w:val="left" w:pos="0"/>
              </w:tabs>
              <w:jc w:val="center"/>
              <w:rPr>
                <w:sz w:val="20"/>
                <w:szCs w:val="20"/>
              </w:rPr>
            </w:pPr>
            <w:r w:rsidRPr="000A630D">
              <w:rPr>
                <w:sz w:val="20"/>
                <w:szCs w:val="20"/>
              </w:rPr>
              <w:t>28</w:t>
            </w:r>
          </w:p>
        </w:tc>
        <w:tc>
          <w:tcPr>
            <w:tcW w:w="15309" w:type="dxa"/>
            <w:hideMark/>
          </w:tcPr>
          <w:p w14:paraId="590AC4B8" w14:textId="77777777" w:rsidR="002D21E7" w:rsidRPr="000A630D" w:rsidRDefault="002D21E7" w:rsidP="00285DD5">
            <w:pPr>
              <w:tabs>
                <w:tab w:val="left" w:pos="0"/>
              </w:tabs>
              <w:jc w:val="both"/>
              <w:rPr>
                <w:sz w:val="20"/>
                <w:szCs w:val="20"/>
              </w:rPr>
            </w:pPr>
            <w:r w:rsidRPr="000A630D">
              <w:rPr>
                <w:sz w:val="20"/>
                <w:szCs w:val="20"/>
              </w:rPr>
              <w:t>Sviestas turi būti atitinkantis Komisijos reglamento (EB) Nr. 273/2008 nustatančio išsamias Tarybos reglamento (EB) Nr. 1255/1999 taikymo taisykles, susijusias su</w:t>
            </w:r>
            <w:r w:rsidRPr="000A630D">
              <w:rPr>
                <w:sz w:val="20"/>
                <w:szCs w:val="20"/>
              </w:rPr>
              <w:br/>
              <w:t xml:space="preserve">pieno ir pieno produktų analizės bei kokybės vertinimo metodais I priedo A dalyje nurodytus reikalavimus. </w:t>
            </w:r>
          </w:p>
        </w:tc>
      </w:tr>
      <w:tr w:rsidR="002D21E7" w:rsidRPr="000A630D" w14:paraId="0B926B4C" w14:textId="77777777" w:rsidTr="00E369F5">
        <w:trPr>
          <w:trHeight w:val="447"/>
        </w:trPr>
        <w:tc>
          <w:tcPr>
            <w:tcW w:w="421" w:type="dxa"/>
            <w:noWrap/>
            <w:hideMark/>
          </w:tcPr>
          <w:p w14:paraId="12259E51" w14:textId="77777777" w:rsidR="002D21E7" w:rsidRPr="000A630D" w:rsidRDefault="002D21E7" w:rsidP="00285DD5">
            <w:pPr>
              <w:tabs>
                <w:tab w:val="left" w:pos="0"/>
              </w:tabs>
              <w:jc w:val="center"/>
              <w:rPr>
                <w:sz w:val="20"/>
                <w:szCs w:val="20"/>
              </w:rPr>
            </w:pPr>
            <w:r w:rsidRPr="000A630D">
              <w:rPr>
                <w:sz w:val="20"/>
                <w:szCs w:val="20"/>
              </w:rPr>
              <w:t>29</w:t>
            </w:r>
          </w:p>
        </w:tc>
        <w:tc>
          <w:tcPr>
            <w:tcW w:w="15309" w:type="dxa"/>
            <w:hideMark/>
          </w:tcPr>
          <w:p w14:paraId="48374658" w14:textId="77777777" w:rsidR="002D21E7" w:rsidRPr="000A630D" w:rsidRDefault="002D21E7" w:rsidP="00285DD5">
            <w:pPr>
              <w:tabs>
                <w:tab w:val="left" w:pos="0"/>
              </w:tabs>
              <w:jc w:val="both"/>
              <w:rPr>
                <w:sz w:val="20"/>
                <w:szCs w:val="20"/>
              </w:rPr>
            </w:pPr>
            <w:r w:rsidRPr="000A630D">
              <w:rPr>
                <w:sz w:val="20"/>
                <w:szCs w:val="20"/>
              </w:rPr>
              <w:t xml:space="preserve">Varškė turi atitikti Varškės ir varškės gaminių kokybės reikalavimus, patvirtintus LR žemės ūkio ministro 2002 m. gruodžio 11 d. įsakymu Nr. 488 "Dėl varškės ir varškės gaminių kokybės reikalavimų patvirtinimo". </w:t>
            </w:r>
          </w:p>
        </w:tc>
      </w:tr>
      <w:tr w:rsidR="002D21E7" w:rsidRPr="000A630D" w14:paraId="4A77F8C8" w14:textId="77777777" w:rsidTr="00E369F5">
        <w:trPr>
          <w:trHeight w:val="539"/>
        </w:trPr>
        <w:tc>
          <w:tcPr>
            <w:tcW w:w="421" w:type="dxa"/>
            <w:noWrap/>
            <w:hideMark/>
          </w:tcPr>
          <w:p w14:paraId="0B2B0779" w14:textId="77777777" w:rsidR="002D21E7" w:rsidRPr="000A630D" w:rsidRDefault="002D21E7" w:rsidP="00285DD5">
            <w:pPr>
              <w:tabs>
                <w:tab w:val="left" w:pos="0"/>
              </w:tabs>
              <w:jc w:val="center"/>
              <w:rPr>
                <w:sz w:val="20"/>
                <w:szCs w:val="20"/>
              </w:rPr>
            </w:pPr>
            <w:r w:rsidRPr="000A630D">
              <w:rPr>
                <w:sz w:val="20"/>
                <w:szCs w:val="20"/>
              </w:rPr>
              <w:t>30</w:t>
            </w:r>
          </w:p>
        </w:tc>
        <w:tc>
          <w:tcPr>
            <w:tcW w:w="15309" w:type="dxa"/>
            <w:hideMark/>
          </w:tcPr>
          <w:p w14:paraId="0CCA5DAA" w14:textId="77777777" w:rsidR="002D21E7" w:rsidRPr="000A630D" w:rsidRDefault="002D21E7" w:rsidP="00285DD5">
            <w:pPr>
              <w:tabs>
                <w:tab w:val="left" w:pos="0"/>
              </w:tabs>
              <w:jc w:val="both"/>
              <w:rPr>
                <w:sz w:val="20"/>
                <w:szCs w:val="20"/>
              </w:rPr>
            </w:pPr>
            <w:r w:rsidRPr="000A630D">
              <w:rPr>
                <w:sz w:val="20"/>
                <w:szCs w:val="20"/>
              </w:rPr>
              <w:t>Sūris turi atitikti Sūrių kokybės reikalavimų apraše, patvirtintame LR žemės ūkio ministro 2008 m. birželio 13 d. įsakymu Nr. 3D-355 "Dėl Sūrių kokybės reikalavimų aprašo patvirtinimo ir kai kurių žemės ūkio ministro įsakymų, susijusių su privalomaisiais kokybės reikalavimais, pakeitimo", nustatytus reikalavimus.</w:t>
            </w:r>
          </w:p>
        </w:tc>
      </w:tr>
      <w:tr w:rsidR="002D21E7" w:rsidRPr="000A630D" w14:paraId="367A91BE" w14:textId="77777777" w:rsidTr="00E369F5">
        <w:trPr>
          <w:trHeight w:val="420"/>
        </w:trPr>
        <w:tc>
          <w:tcPr>
            <w:tcW w:w="421" w:type="dxa"/>
            <w:noWrap/>
            <w:hideMark/>
          </w:tcPr>
          <w:p w14:paraId="778FE912" w14:textId="77777777" w:rsidR="002D21E7" w:rsidRPr="000A630D" w:rsidRDefault="002D21E7" w:rsidP="00285DD5">
            <w:pPr>
              <w:tabs>
                <w:tab w:val="left" w:pos="0"/>
              </w:tabs>
              <w:jc w:val="center"/>
              <w:rPr>
                <w:sz w:val="20"/>
                <w:szCs w:val="20"/>
              </w:rPr>
            </w:pPr>
            <w:r w:rsidRPr="000A630D">
              <w:rPr>
                <w:sz w:val="20"/>
                <w:szCs w:val="20"/>
              </w:rPr>
              <w:t>31</w:t>
            </w:r>
          </w:p>
        </w:tc>
        <w:tc>
          <w:tcPr>
            <w:tcW w:w="15309" w:type="dxa"/>
            <w:hideMark/>
          </w:tcPr>
          <w:p w14:paraId="66ED3E44" w14:textId="77777777" w:rsidR="002D21E7" w:rsidRPr="000A630D" w:rsidRDefault="002D21E7" w:rsidP="00285DD5">
            <w:pPr>
              <w:tabs>
                <w:tab w:val="left" w:pos="0"/>
              </w:tabs>
              <w:jc w:val="both"/>
              <w:rPr>
                <w:sz w:val="20"/>
                <w:szCs w:val="20"/>
              </w:rPr>
            </w:pPr>
            <w:r w:rsidRPr="000A630D">
              <w:rPr>
                <w:sz w:val="20"/>
                <w:szCs w:val="20"/>
              </w:rPr>
              <w:t>Kefyras, jogurtas ir kiti rauginti pieno gaminiai turi atitikti Raugintų pieno gaminių kokybės reikalavimus, patvirtintus LR žemės ūkio ministro 2005 m. liepos 8 d. įsakymu Nr. 3D-335 "Dėl Raugintų pieno gaminių kokybės reikalavimų patvirtinimo bei kai kurių žemės ūkio ministro įsakymų pripažinimo netekusiais galios".</w:t>
            </w:r>
          </w:p>
        </w:tc>
      </w:tr>
      <w:tr w:rsidR="002D21E7" w:rsidRPr="000A630D" w14:paraId="02D4A990" w14:textId="77777777" w:rsidTr="00E369F5">
        <w:trPr>
          <w:trHeight w:val="667"/>
        </w:trPr>
        <w:tc>
          <w:tcPr>
            <w:tcW w:w="421" w:type="dxa"/>
            <w:noWrap/>
            <w:hideMark/>
          </w:tcPr>
          <w:p w14:paraId="1735F41A" w14:textId="77777777" w:rsidR="002D21E7" w:rsidRPr="000A630D" w:rsidRDefault="002D21E7" w:rsidP="00285DD5">
            <w:pPr>
              <w:tabs>
                <w:tab w:val="left" w:pos="0"/>
              </w:tabs>
              <w:jc w:val="center"/>
              <w:rPr>
                <w:sz w:val="20"/>
                <w:szCs w:val="20"/>
              </w:rPr>
            </w:pPr>
            <w:r w:rsidRPr="000A630D">
              <w:rPr>
                <w:sz w:val="20"/>
                <w:szCs w:val="20"/>
              </w:rPr>
              <w:t>32</w:t>
            </w:r>
          </w:p>
        </w:tc>
        <w:tc>
          <w:tcPr>
            <w:tcW w:w="15309" w:type="dxa"/>
            <w:hideMark/>
          </w:tcPr>
          <w:p w14:paraId="0BE24744" w14:textId="77777777" w:rsidR="002D21E7" w:rsidRPr="000A630D" w:rsidRDefault="002D21E7" w:rsidP="00285DD5">
            <w:pPr>
              <w:tabs>
                <w:tab w:val="left" w:pos="0"/>
              </w:tabs>
              <w:jc w:val="both"/>
              <w:rPr>
                <w:sz w:val="20"/>
                <w:szCs w:val="20"/>
              </w:rPr>
            </w:pPr>
            <w:r w:rsidRPr="000A630D">
              <w:rPr>
                <w:sz w:val="20"/>
                <w:szCs w:val="20"/>
              </w:rPr>
              <w:t xml:space="preserve">Turi atitikti vidaus rinkai tiekiamų šviežių vaisių ir daržovių reikalavimus, nustatytus importuojamų, eksportuojamų ir vidaus rinkai tiekiamų šviežių vaisių ir daržovių atitikties prekybos standartams patikros taisyklėse, patvirtintose LR žemės ūkio ministro 2009 m. liepos 10 d. įsakymu Nr. 3D-488 "Dėl Importuojamų, eksportuojamų ir vidaus rinkai tiekiamų šviežių vaisių ir daržovių atitikties prekybos standartams patikros taisyklių patvirtinimo". </w:t>
            </w:r>
          </w:p>
        </w:tc>
      </w:tr>
      <w:tr w:rsidR="002D21E7" w:rsidRPr="000A630D" w14:paraId="20BF2F4C" w14:textId="77777777" w:rsidTr="00E369F5">
        <w:trPr>
          <w:trHeight w:val="252"/>
        </w:trPr>
        <w:tc>
          <w:tcPr>
            <w:tcW w:w="421" w:type="dxa"/>
            <w:noWrap/>
            <w:hideMark/>
          </w:tcPr>
          <w:p w14:paraId="3379B315" w14:textId="77777777" w:rsidR="002D21E7" w:rsidRPr="000A630D" w:rsidRDefault="002D21E7" w:rsidP="00285DD5">
            <w:pPr>
              <w:tabs>
                <w:tab w:val="left" w:pos="0"/>
              </w:tabs>
              <w:jc w:val="center"/>
              <w:rPr>
                <w:sz w:val="20"/>
                <w:szCs w:val="20"/>
              </w:rPr>
            </w:pPr>
            <w:r w:rsidRPr="000A630D">
              <w:rPr>
                <w:sz w:val="20"/>
                <w:szCs w:val="20"/>
              </w:rPr>
              <w:t>33</w:t>
            </w:r>
          </w:p>
        </w:tc>
        <w:tc>
          <w:tcPr>
            <w:tcW w:w="15309" w:type="dxa"/>
            <w:hideMark/>
          </w:tcPr>
          <w:p w14:paraId="5ED80831" w14:textId="77777777" w:rsidR="002D21E7" w:rsidRPr="000A630D" w:rsidRDefault="002D21E7" w:rsidP="00285DD5">
            <w:pPr>
              <w:tabs>
                <w:tab w:val="left" w:pos="0"/>
              </w:tabs>
              <w:jc w:val="both"/>
              <w:rPr>
                <w:sz w:val="20"/>
                <w:szCs w:val="20"/>
              </w:rPr>
            </w:pPr>
            <w:r w:rsidRPr="000A630D">
              <w:rPr>
                <w:sz w:val="20"/>
                <w:szCs w:val="20"/>
              </w:rPr>
              <w:t>2011 m. birželio 7 d. Komisijos įgyvendinimo reglamentas (ES) Nr. 543/2011, kuriuo nustatomos išsamios Tarybos reglamento (EB) Nr.1234/2007 taikymo vaisių bei daržovių ir perdirbtų vaisių bei daržovių sektoriuose taisyklės (OL 2011 L 157, p.1).</w:t>
            </w:r>
          </w:p>
        </w:tc>
      </w:tr>
      <w:tr w:rsidR="002D21E7" w:rsidRPr="000A630D" w14:paraId="51436667" w14:textId="77777777" w:rsidTr="00E369F5">
        <w:trPr>
          <w:trHeight w:val="188"/>
        </w:trPr>
        <w:tc>
          <w:tcPr>
            <w:tcW w:w="421" w:type="dxa"/>
            <w:noWrap/>
            <w:hideMark/>
          </w:tcPr>
          <w:p w14:paraId="618634E0" w14:textId="77777777" w:rsidR="002D21E7" w:rsidRPr="000A630D" w:rsidRDefault="002D21E7" w:rsidP="00285DD5">
            <w:pPr>
              <w:tabs>
                <w:tab w:val="left" w:pos="0"/>
              </w:tabs>
              <w:jc w:val="center"/>
              <w:rPr>
                <w:sz w:val="20"/>
                <w:szCs w:val="20"/>
              </w:rPr>
            </w:pPr>
            <w:r w:rsidRPr="000A630D">
              <w:rPr>
                <w:sz w:val="20"/>
                <w:szCs w:val="20"/>
              </w:rPr>
              <w:t>34</w:t>
            </w:r>
          </w:p>
        </w:tc>
        <w:tc>
          <w:tcPr>
            <w:tcW w:w="15309" w:type="dxa"/>
            <w:hideMark/>
          </w:tcPr>
          <w:p w14:paraId="74A74D0A" w14:textId="77777777" w:rsidR="002D21E7" w:rsidRPr="000A630D" w:rsidRDefault="002D21E7" w:rsidP="00285DD5">
            <w:pPr>
              <w:tabs>
                <w:tab w:val="left" w:pos="0"/>
              </w:tabs>
              <w:jc w:val="both"/>
              <w:rPr>
                <w:sz w:val="20"/>
                <w:szCs w:val="20"/>
              </w:rPr>
            </w:pPr>
            <w:r w:rsidRPr="000A630D">
              <w:rPr>
                <w:sz w:val="20"/>
                <w:szCs w:val="20"/>
              </w:rPr>
              <w:t>ŽŪ ministro įsakymas 2002 m. gegužės 23 d. Nr. 193 "Dėl maistinių bulvių kokybės reikalavimų patvirtinimo".</w:t>
            </w:r>
          </w:p>
        </w:tc>
      </w:tr>
    </w:tbl>
    <w:p w14:paraId="21BC5B4E" w14:textId="77777777" w:rsidR="002D21E7" w:rsidRDefault="002D21E7" w:rsidP="002D21E7">
      <w:pPr>
        <w:tabs>
          <w:tab w:val="left" w:pos="0"/>
        </w:tabs>
        <w:jc w:val="both"/>
        <w:rPr>
          <w:sz w:val="20"/>
          <w:szCs w:val="20"/>
        </w:rPr>
      </w:pPr>
    </w:p>
    <w:tbl>
      <w:tblPr>
        <w:tblStyle w:val="TableGrid3"/>
        <w:tblW w:w="0" w:type="auto"/>
        <w:tblInd w:w="2932" w:type="dxa"/>
        <w:tblLook w:val="04A0" w:firstRow="1" w:lastRow="0" w:firstColumn="1" w:lastColumn="0" w:noHBand="0" w:noVBand="1"/>
      </w:tblPr>
      <w:tblGrid>
        <w:gridCol w:w="4791"/>
        <w:gridCol w:w="846"/>
        <w:gridCol w:w="4218"/>
      </w:tblGrid>
      <w:tr w:rsidR="002D21E7" w:rsidRPr="005874B2" w14:paraId="11608782" w14:textId="77777777" w:rsidTr="00285DD5">
        <w:tc>
          <w:tcPr>
            <w:tcW w:w="4791" w:type="dxa"/>
            <w:tcBorders>
              <w:top w:val="nil"/>
              <w:left w:val="nil"/>
              <w:bottom w:val="nil"/>
              <w:right w:val="nil"/>
            </w:tcBorders>
            <w:hideMark/>
          </w:tcPr>
          <w:p w14:paraId="520789AA" w14:textId="77777777" w:rsidR="002D21E7" w:rsidRPr="005874B2" w:rsidRDefault="002D21E7" w:rsidP="00285DD5">
            <w:pPr>
              <w:tabs>
                <w:tab w:val="left" w:pos="851"/>
                <w:tab w:val="left" w:pos="993"/>
              </w:tabs>
              <w:suppressAutoHyphens/>
              <w:ind w:left="709" w:hanging="709"/>
              <w:rPr>
                <w:rFonts w:eastAsia="Calibri"/>
                <w:b/>
                <w:sz w:val="20"/>
                <w:szCs w:val="20"/>
              </w:rPr>
            </w:pPr>
            <w:r w:rsidRPr="005874B2">
              <w:rPr>
                <w:rFonts w:eastAsia="Calibri"/>
                <w:b/>
                <w:sz w:val="20"/>
                <w:szCs w:val="20"/>
              </w:rPr>
              <w:lastRenderedPageBreak/>
              <w:t>PIRKĖJAS</w:t>
            </w:r>
          </w:p>
        </w:tc>
        <w:tc>
          <w:tcPr>
            <w:tcW w:w="846" w:type="dxa"/>
            <w:tcBorders>
              <w:top w:val="nil"/>
              <w:left w:val="nil"/>
              <w:bottom w:val="nil"/>
              <w:right w:val="nil"/>
            </w:tcBorders>
          </w:tcPr>
          <w:p w14:paraId="06391FCB" w14:textId="77777777" w:rsidR="002D21E7" w:rsidRPr="005874B2" w:rsidRDefault="002D21E7" w:rsidP="00285DD5">
            <w:pPr>
              <w:tabs>
                <w:tab w:val="left" w:pos="851"/>
                <w:tab w:val="left" w:pos="993"/>
              </w:tabs>
              <w:suppressAutoHyphens/>
              <w:ind w:left="709" w:hanging="709"/>
              <w:jc w:val="center"/>
              <w:rPr>
                <w:rFonts w:eastAsia="Calibri"/>
                <w:b/>
                <w:sz w:val="20"/>
                <w:szCs w:val="20"/>
              </w:rPr>
            </w:pPr>
          </w:p>
        </w:tc>
        <w:tc>
          <w:tcPr>
            <w:tcW w:w="4218" w:type="dxa"/>
            <w:tcBorders>
              <w:top w:val="nil"/>
              <w:left w:val="nil"/>
              <w:bottom w:val="nil"/>
              <w:right w:val="nil"/>
            </w:tcBorders>
            <w:hideMark/>
          </w:tcPr>
          <w:p w14:paraId="58856AD6" w14:textId="77777777" w:rsidR="002D21E7" w:rsidRPr="005874B2" w:rsidRDefault="002D21E7" w:rsidP="00285DD5">
            <w:pPr>
              <w:tabs>
                <w:tab w:val="left" w:pos="851"/>
                <w:tab w:val="left" w:pos="993"/>
              </w:tabs>
              <w:suppressAutoHyphens/>
              <w:ind w:left="709" w:hanging="709"/>
              <w:rPr>
                <w:rFonts w:eastAsia="Calibri"/>
                <w:b/>
                <w:sz w:val="20"/>
                <w:szCs w:val="20"/>
              </w:rPr>
            </w:pPr>
            <w:r w:rsidRPr="005874B2">
              <w:rPr>
                <w:rFonts w:eastAsia="Calibri"/>
                <w:b/>
                <w:sz w:val="20"/>
                <w:szCs w:val="20"/>
              </w:rPr>
              <w:t>TIEKĖJAS</w:t>
            </w:r>
          </w:p>
        </w:tc>
      </w:tr>
      <w:tr w:rsidR="002D21E7" w:rsidRPr="005874B2" w14:paraId="06A7CE05" w14:textId="77777777" w:rsidTr="00285DD5">
        <w:tc>
          <w:tcPr>
            <w:tcW w:w="4791" w:type="dxa"/>
            <w:tcBorders>
              <w:top w:val="nil"/>
              <w:left w:val="nil"/>
              <w:bottom w:val="nil"/>
              <w:right w:val="nil"/>
            </w:tcBorders>
            <w:hideMark/>
          </w:tcPr>
          <w:p w14:paraId="3F3B520E" w14:textId="77777777" w:rsidR="002D21E7" w:rsidRPr="005874B2" w:rsidRDefault="002D21E7" w:rsidP="00285DD5">
            <w:pPr>
              <w:tabs>
                <w:tab w:val="left" w:pos="851"/>
                <w:tab w:val="left" w:pos="993"/>
              </w:tabs>
              <w:suppressAutoHyphens/>
              <w:jc w:val="both"/>
              <w:rPr>
                <w:rFonts w:eastAsia="Calibri"/>
                <w:b/>
                <w:sz w:val="20"/>
                <w:szCs w:val="20"/>
              </w:rPr>
            </w:pPr>
            <w:r w:rsidRPr="005874B2">
              <w:rPr>
                <w:rFonts w:eastAsia="Calibri"/>
                <w:b/>
                <w:sz w:val="20"/>
                <w:szCs w:val="20"/>
              </w:rPr>
              <w:t>Viešoji įstaiga Respublikinė Vilniaus psichiatrijos ligoninė</w:t>
            </w:r>
          </w:p>
        </w:tc>
        <w:tc>
          <w:tcPr>
            <w:tcW w:w="846" w:type="dxa"/>
            <w:tcBorders>
              <w:top w:val="nil"/>
              <w:left w:val="nil"/>
              <w:bottom w:val="nil"/>
              <w:right w:val="nil"/>
            </w:tcBorders>
          </w:tcPr>
          <w:p w14:paraId="61C7B608" w14:textId="77777777" w:rsidR="002D21E7" w:rsidRPr="005874B2" w:rsidRDefault="002D21E7" w:rsidP="00285DD5">
            <w:pPr>
              <w:tabs>
                <w:tab w:val="left" w:pos="851"/>
                <w:tab w:val="left" w:pos="993"/>
              </w:tabs>
              <w:suppressAutoHyphens/>
              <w:ind w:left="709" w:hanging="709"/>
              <w:jc w:val="both"/>
              <w:rPr>
                <w:rFonts w:eastAsia="Calibri"/>
                <w:sz w:val="20"/>
                <w:szCs w:val="20"/>
              </w:rPr>
            </w:pPr>
          </w:p>
        </w:tc>
        <w:tc>
          <w:tcPr>
            <w:tcW w:w="4218" w:type="dxa"/>
            <w:tcBorders>
              <w:top w:val="nil"/>
              <w:left w:val="nil"/>
              <w:bottom w:val="nil"/>
              <w:right w:val="nil"/>
            </w:tcBorders>
            <w:hideMark/>
          </w:tcPr>
          <w:p w14:paraId="459F2DAB" w14:textId="581DC170" w:rsidR="002D21E7" w:rsidRPr="005874B2" w:rsidRDefault="002D21E7" w:rsidP="002D21E7">
            <w:pPr>
              <w:tabs>
                <w:tab w:val="left" w:pos="851"/>
                <w:tab w:val="left" w:pos="993"/>
              </w:tabs>
              <w:suppressAutoHyphens/>
              <w:jc w:val="both"/>
              <w:rPr>
                <w:rFonts w:eastAsia="Calibri"/>
                <w:b/>
                <w:sz w:val="20"/>
                <w:szCs w:val="20"/>
              </w:rPr>
            </w:pPr>
            <w:r>
              <w:rPr>
                <w:rFonts w:eastAsia="Calibri"/>
                <w:b/>
                <w:sz w:val="20"/>
                <w:szCs w:val="20"/>
              </w:rPr>
              <w:t>Uždaroji akcinė bendrovė „Tandemus“</w:t>
            </w:r>
          </w:p>
        </w:tc>
      </w:tr>
      <w:tr w:rsidR="002D21E7" w:rsidRPr="00C61C48" w14:paraId="4983DD0D" w14:textId="77777777" w:rsidTr="00285DD5">
        <w:tc>
          <w:tcPr>
            <w:tcW w:w="4791" w:type="dxa"/>
            <w:tcBorders>
              <w:top w:val="nil"/>
              <w:left w:val="nil"/>
              <w:bottom w:val="nil"/>
              <w:right w:val="nil"/>
            </w:tcBorders>
          </w:tcPr>
          <w:p w14:paraId="6E974192" w14:textId="77777777" w:rsidR="002D21E7" w:rsidRPr="005874B2" w:rsidRDefault="002D21E7" w:rsidP="00285DD5">
            <w:pPr>
              <w:tabs>
                <w:tab w:val="left" w:pos="851"/>
                <w:tab w:val="left" w:pos="993"/>
              </w:tabs>
              <w:suppressAutoHyphens/>
              <w:ind w:left="709" w:hanging="709"/>
              <w:jc w:val="both"/>
              <w:rPr>
                <w:rFonts w:eastAsia="Calibri"/>
                <w:sz w:val="20"/>
                <w:szCs w:val="20"/>
              </w:rPr>
            </w:pPr>
          </w:p>
        </w:tc>
        <w:tc>
          <w:tcPr>
            <w:tcW w:w="846" w:type="dxa"/>
            <w:tcBorders>
              <w:top w:val="nil"/>
              <w:left w:val="nil"/>
              <w:bottom w:val="nil"/>
              <w:right w:val="nil"/>
            </w:tcBorders>
          </w:tcPr>
          <w:p w14:paraId="3BBB813D" w14:textId="77777777" w:rsidR="002D21E7" w:rsidRPr="005874B2" w:rsidRDefault="002D21E7" w:rsidP="00285DD5">
            <w:pPr>
              <w:tabs>
                <w:tab w:val="left" w:pos="851"/>
                <w:tab w:val="left" w:pos="993"/>
              </w:tabs>
              <w:suppressAutoHyphens/>
              <w:ind w:left="709" w:hanging="709"/>
              <w:jc w:val="both"/>
              <w:rPr>
                <w:rFonts w:eastAsia="Calibri"/>
                <w:sz w:val="20"/>
                <w:szCs w:val="20"/>
              </w:rPr>
            </w:pPr>
          </w:p>
        </w:tc>
        <w:tc>
          <w:tcPr>
            <w:tcW w:w="4218" w:type="dxa"/>
            <w:tcBorders>
              <w:top w:val="nil"/>
              <w:left w:val="nil"/>
              <w:bottom w:val="nil"/>
              <w:right w:val="nil"/>
            </w:tcBorders>
          </w:tcPr>
          <w:p w14:paraId="2359DD19" w14:textId="77777777" w:rsidR="002D21E7" w:rsidRPr="00C61C48" w:rsidRDefault="002D21E7" w:rsidP="00285DD5">
            <w:pPr>
              <w:tabs>
                <w:tab w:val="left" w:pos="851"/>
                <w:tab w:val="left" w:pos="993"/>
              </w:tabs>
              <w:suppressAutoHyphens/>
              <w:ind w:left="709" w:hanging="709"/>
              <w:jc w:val="both"/>
              <w:rPr>
                <w:rFonts w:eastAsia="Calibri"/>
                <w:sz w:val="20"/>
                <w:szCs w:val="20"/>
                <w:highlight w:val="yellow"/>
              </w:rPr>
            </w:pPr>
          </w:p>
        </w:tc>
      </w:tr>
      <w:tr w:rsidR="002D21E7" w:rsidRPr="00C61C48" w14:paraId="598F0562" w14:textId="77777777" w:rsidTr="00285DD5">
        <w:tc>
          <w:tcPr>
            <w:tcW w:w="4791" w:type="dxa"/>
            <w:tcBorders>
              <w:top w:val="nil"/>
              <w:left w:val="nil"/>
              <w:bottom w:val="nil"/>
              <w:right w:val="nil"/>
            </w:tcBorders>
            <w:hideMark/>
          </w:tcPr>
          <w:p w14:paraId="62C414D0" w14:textId="77777777" w:rsidR="002D21E7" w:rsidRPr="005874B2" w:rsidRDefault="002D21E7" w:rsidP="00285DD5">
            <w:pPr>
              <w:tabs>
                <w:tab w:val="left" w:pos="851"/>
                <w:tab w:val="left" w:pos="993"/>
              </w:tabs>
              <w:suppressAutoHyphens/>
              <w:ind w:left="709" w:hanging="709"/>
              <w:jc w:val="both"/>
              <w:rPr>
                <w:rFonts w:eastAsia="Calibri"/>
                <w:sz w:val="20"/>
                <w:szCs w:val="20"/>
              </w:rPr>
            </w:pPr>
            <w:r w:rsidRPr="005874B2">
              <w:rPr>
                <w:rFonts w:eastAsia="Calibri"/>
                <w:sz w:val="20"/>
                <w:szCs w:val="20"/>
              </w:rPr>
              <w:t>Direktorius</w:t>
            </w:r>
          </w:p>
        </w:tc>
        <w:tc>
          <w:tcPr>
            <w:tcW w:w="846" w:type="dxa"/>
            <w:tcBorders>
              <w:top w:val="nil"/>
              <w:left w:val="nil"/>
              <w:bottom w:val="nil"/>
              <w:right w:val="nil"/>
            </w:tcBorders>
          </w:tcPr>
          <w:p w14:paraId="175F4848" w14:textId="77777777" w:rsidR="002D21E7" w:rsidRPr="005874B2" w:rsidRDefault="002D21E7" w:rsidP="00285DD5">
            <w:pPr>
              <w:tabs>
                <w:tab w:val="left" w:pos="851"/>
                <w:tab w:val="left" w:pos="993"/>
              </w:tabs>
              <w:suppressAutoHyphens/>
              <w:ind w:left="709" w:hanging="709"/>
              <w:jc w:val="both"/>
              <w:rPr>
                <w:rFonts w:eastAsia="Calibri"/>
                <w:sz w:val="20"/>
                <w:szCs w:val="20"/>
              </w:rPr>
            </w:pPr>
          </w:p>
        </w:tc>
        <w:tc>
          <w:tcPr>
            <w:tcW w:w="4218" w:type="dxa"/>
            <w:tcBorders>
              <w:top w:val="nil"/>
              <w:left w:val="nil"/>
              <w:bottom w:val="nil"/>
              <w:right w:val="nil"/>
            </w:tcBorders>
            <w:hideMark/>
          </w:tcPr>
          <w:p w14:paraId="3D64A808" w14:textId="02003261" w:rsidR="002D21E7" w:rsidRPr="00772397" w:rsidRDefault="00772397" w:rsidP="00285DD5">
            <w:pPr>
              <w:tabs>
                <w:tab w:val="left" w:pos="851"/>
                <w:tab w:val="left" w:pos="993"/>
              </w:tabs>
              <w:suppressAutoHyphens/>
              <w:ind w:left="709" w:hanging="709"/>
              <w:jc w:val="both"/>
              <w:rPr>
                <w:rFonts w:eastAsia="Calibri"/>
                <w:sz w:val="20"/>
                <w:szCs w:val="20"/>
              </w:rPr>
            </w:pPr>
            <w:r w:rsidRPr="00772397">
              <w:rPr>
                <w:rFonts w:eastAsia="Calibri"/>
                <w:sz w:val="20"/>
                <w:szCs w:val="20"/>
              </w:rPr>
              <w:t>Direktorė</w:t>
            </w:r>
          </w:p>
        </w:tc>
      </w:tr>
      <w:tr w:rsidR="002D21E7" w:rsidRPr="00C61C48" w14:paraId="6010A0FC" w14:textId="77777777" w:rsidTr="00285DD5">
        <w:tc>
          <w:tcPr>
            <w:tcW w:w="4791" w:type="dxa"/>
            <w:tcBorders>
              <w:top w:val="nil"/>
              <w:left w:val="nil"/>
              <w:bottom w:val="nil"/>
              <w:right w:val="nil"/>
            </w:tcBorders>
            <w:hideMark/>
          </w:tcPr>
          <w:p w14:paraId="5ECE6F92" w14:textId="77777777" w:rsidR="002D21E7" w:rsidRPr="005874B2" w:rsidRDefault="002D21E7" w:rsidP="00285DD5">
            <w:pPr>
              <w:tabs>
                <w:tab w:val="left" w:pos="851"/>
                <w:tab w:val="left" w:pos="993"/>
              </w:tabs>
              <w:suppressAutoHyphens/>
              <w:ind w:left="709" w:hanging="709"/>
              <w:jc w:val="both"/>
              <w:rPr>
                <w:rFonts w:eastAsia="Calibri"/>
                <w:sz w:val="20"/>
                <w:szCs w:val="20"/>
              </w:rPr>
            </w:pPr>
            <w:r w:rsidRPr="005874B2">
              <w:rPr>
                <w:rFonts w:eastAsia="Calibri"/>
                <w:sz w:val="20"/>
                <w:szCs w:val="20"/>
              </w:rPr>
              <w:t>Med. dr. prof. Arūnas Germanavičius</w:t>
            </w:r>
          </w:p>
        </w:tc>
        <w:tc>
          <w:tcPr>
            <w:tcW w:w="846" w:type="dxa"/>
            <w:tcBorders>
              <w:top w:val="nil"/>
              <w:left w:val="nil"/>
              <w:bottom w:val="nil"/>
              <w:right w:val="nil"/>
            </w:tcBorders>
          </w:tcPr>
          <w:p w14:paraId="309B0E41" w14:textId="77777777" w:rsidR="002D21E7" w:rsidRPr="005874B2" w:rsidRDefault="002D21E7" w:rsidP="00285DD5">
            <w:pPr>
              <w:tabs>
                <w:tab w:val="left" w:pos="851"/>
                <w:tab w:val="left" w:pos="993"/>
              </w:tabs>
              <w:suppressAutoHyphens/>
              <w:ind w:left="709" w:hanging="709"/>
              <w:jc w:val="both"/>
              <w:rPr>
                <w:rFonts w:eastAsia="Calibri"/>
                <w:sz w:val="20"/>
                <w:szCs w:val="20"/>
              </w:rPr>
            </w:pPr>
          </w:p>
        </w:tc>
        <w:tc>
          <w:tcPr>
            <w:tcW w:w="4218" w:type="dxa"/>
            <w:tcBorders>
              <w:top w:val="nil"/>
              <w:left w:val="nil"/>
              <w:bottom w:val="nil"/>
              <w:right w:val="nil"/>
            </w:tcBorders>
            <w:hideMark/>
          </w:tcPr>
          <w:p w14:paraId="477EA1C3" w14:textId="5FCD9F35" w:rsidR="002D21E7" w:rsidRPr="00772397" w:rsidRDefault="00772397" w:rsidP="00285DD5">
            <w:pPr>
              <w:tabs>
                <w:tab w:val="left" w:pos="851"/>
                <w:tab w:val="left" w:pos="993"/>
              </w:tabs>
              <w:suppressAutoHyphens/>
              <w:ind w:left="709" w:hanging="709"/>
              <w:jc w:val="both"/>
              <w:rPr>
                <w:rFonts w:eastAsia="Calibri"/>
                <w:sz w:val="20"/>
                <w:szCs w:val="20"/>
              </w:rPr>
            </w:pPr>
            <w:r w:rsidRPr="00772397">
              <w:rPr>
                <w:rFonts w:eastAsia="Calibri"/>
                <w:sz w:val="20"/>
                <w:szCs w:val="20"/>
              </w:rPr>
              <w:t>Raida Budrikienė</w:t>
            </w:r>
          </w:p>
        </w:tc>
      </w:tr>
      <w:tr w:rsidR="002D21E7" w:rsidRPr="005874B2" w14:paraId="4F8AF3FD" w14:textId="77777777" w:rsidTr="00285DD5">
        <w:tc>
          <w:tcPr>
            <w:tcW w:w="4791" w:type="dxa"/>
            <w:tcBorders>
              <w:top w:val="nil"/>
              <w:left w:val="nil"/>
              <w:bottom w:val="single" w:sz="4" w:space="0" w:color="auto"/>
              <w:right w:val="nil"/>
            </w:tcBorders>
          </w:tcPr>
          <w:p w14:paraId="78FCDA01" w14:textId="77777777" w:rsidR="002D21E7" w:rsidRPr="005874B2" w:rsidRDefault="002D21E7" w:rsidP="00285DD5">
            <w:pPr>
              <w:tabs>
                <w:tab w:val="left" w:pos="993"/>
              </w:tabs>
              <w:suppressAutoHyphens/>
              <w:jc w:val="both"/>
              <w:rPr>
                <w:rFonts w:eastAsia="Calibri"/>
                <w:sz w:val="20"/>
                <w:szCs w:val="20"/>
              </w:rPr>
            </w:pPr>
          </w:p>
        </w:tc>
        <w:tc>
          <w:tcPr>
            <w:tcW w:w="846" w:type="dxa"/>
            <w:tcBorders>
              <w:top w:val="nil"/>
              <w:left w:val="nil"/>
              <w:bottom w:val="nil"/>
              <w:right w:val="nil"/>
            </w:tcBorders>
          </w:tcPr>
          <w:p w14:paraId="17445F3D" w14:textId="77777777" w:rsidR="002D21E7" w:rsidRPr="005874B2" w:rsidRDefault="002D21E7" w:rsidP="00285DD5">
            <w:pPr>
              <w:tabs>
                <w:tab w:val="left" w:pos="993"/>
              </w:tabs>
              <w:suppressAutoHyphens/>
              <w:ind w:left="709" w:hanging="709"/>
              <w:jc w:val="both"/>
              <w:rPr>
                <w:rFonts w:eastAsia="Calibri"/>
                <w:sz w:val="20"/>
                <w:szCs w:val="20"/>
              </w:rPr>
            </w:pPr>
          </w:p>
        </w:tc>
        <w:tc>
          <w:tcPr>
            <w:tcW w:w="4218" w:type="dxa"/>
            <w:tcBorders>
              <w:top w:val="nil"/>
              <w:left w:val="nil"/>
              <w:bottom w:val="single" w:sz="4" w:space="0" w:color="auto"/>
              <w:right w:val="nil"/>
            </w:tcBorders>
          </w:tcPr>
          <w:p w14:paraId="350658D7" w14:textId="77777777" w:rsidR="002D21E7" w:rsidRPr="005874B2" w:rsidRDefault="002D21E7" w:rsidP="00285DD5">
            <w:pPr>
              <w:tabs>
                <w:tab w:val="left" w:pos="993"/>
              </w:tabs>
              <w:suppressAutoHyphens/>
              <w:ind w:left="709" w:hanging="709"/>
              <w:jc w:val="both"/>
              <w:rPr>
                <w:rFonts w:eastAsia="Calibri"/>
                <w:sz w:val="20"/>
                <w:szCs w:val="20"/>
              </w:rPr>
            </w:pPr>
          </w:p>
        </w:tc>
      </w:tr>
      <w:tr w:rsidR="002D21E7" w:rsidRPr="005874B2" w14:paraId="53014C27" w14:textId="77777777" w:rsidTr="00285DD5">
        <w:tc>
          <w:tcPr>
            <w:tcW w:w="4791" w:type="dxa"/>
            <w:tcBorders>
              <w:top w:val="single" w:sz="4" w:space="0" w:color="auto"/>
              <w:left w:val="nil"/>
              <w:bottom w:val="nil"/>
              <w:right w:val="nil"/>
            </w:tcBorders>
            <w:hideMark/>
          </w:tcPr>
          <w:p w14:paraId="20BF207B" w14:textId="77777777" w:rsidR="002D21E7" w:rsidRPr="005874B2" w:rsidRDefault="002D21E7" w:rsidP="00285DD5">
            <w:pPr>
              <w:tabs>
                <w:tab w:val="left" w:pos="993"/>
              </w:tabs>
              <w:suppressAutoHyphens/>
              <w:ind w:left="709" w:hanging="709"/>
              <w:jc w:val="center"/>
              <w:rPr>
                <w:rFonts w:eastAsia="Calibri"/>
                <w:i/>
                <w:sz w:val="20"/>
                <w:szCs w:val="20"/>
              </w:rPr>
            </w:pPr>
            <w:r w:rsidRPr="005874B2">
              <w:rPr>
                <w:rFonts w:eastAsia="Calibri"/>
                <w:i/>
                <w:sz w:val="20"/>
                <w:szCs w:val="20"/>
              </w:rPr>
              <w:t>(parašas)</w:t>
            </w:r>
          </w:p>
        </w:tc>
        <w:tc>
          <w:tcPr>
            <w:tcW w:w="846" w:type="dxa"/>
            <w:tcBorders>
              <w:top w:val="nil"/>
              <w:left w:val="nil"/>
              <w:bottom w:val="nil"/>
              <w:right w:val="nil"/>
            </w:tcBorders>
          </w:tcPr>
          <w:p w14:paraId="5F4DD3EA" w14:textId="77777777" w:rsidR="002D21E7" w:rsidRPr="005874B2" w:rsidRDefault="002D21E7" w:rsidP="00285DD5">
            <w:pPr>
              <w:tabs>
                <w:tab w:val="left" w:pos="993"/>
              </w:tabs>
              <w:suppressAutoHyphens/>
              <w:ind w:left="709" w:hanging="709"/>
              <w:jc w:val="center"/>
              <w:rPr>
                <w:rFonts w:eastAsia="Calibri"/>
                <w:sz w:val="20"/>
                <w:szCs w:val="20"/>
              </w:rPr>
            </w:pPr>
          </w:p>
        </w:tc>
        <w:tc>
          <w:tcPr>
            <w:tcW w:w="4218" w:type="dxa"/>
            <w:tcBorders>
              <w:top w:val="single" w:sz="4" w:space="0" w:color="auto"/>
              <w:left w:val="nil"/>
              <w:bottom w:val="nil"/>
              <w:right w:val="nil"/>
            </w:tcBorders>
            <w:hideMark/>
          </w:tcPr>
          <w:p w14:paraId="47C7B1EA" w14:textId="77777777" w:rsidR="002D21E7" w:rsidRPr="005874B2" w:rsidRDefault="002D21E7" w:rsidP="00285DD5">
            <w:pPr>
              <w:tabs>
                <w:tab w:val="left" w:pos="993"/>
              </w:tabs>
              <w:suppressAutoHyphens/>
              <w:ind w:left="709" w:hanging="709"/>
              <w:jc w:val="center"/>
              <w:rPr>
                <w:rFonts w:eastAsia="Calibri"/>
                <w:i/>
                <w:sz w:val="20"/>
                <w:szCs w:val="20"/>
              </w:rPr>
            </w:pPr>
            <w:r w:rsidRPr="005874B2">
              <w:rPr>
                <w:rFonts w:eastAsia="Calibri"/>
                <w:i/>
                <w:sz w:val="20"/>
                <w:szCs w:val="20"/>
              </w:rPr>
              <w:t>(parašas)</w:t>
            </w:r>
          </w:p>
        </w:tc>
      </w:tr>
      <w:tr w:rsidR="002D21E7" w:rsidRPr="005874B2" w14:paraId="25AF32DC" w14:textId="77777777" w:rsidTr="00285DD5">
        <w:tc>
          <w:tcPr>
            <w:tcW w:w="4791" w:type="dxa"/>
            <w:tcBorders>
              <w:top w:val="nil"/>
              <w:left w:val="nil"/>
              <w:bottom w:val="nil"/>
              <w:right w:val="nil"/>
            </w:tcBorders>
            <w:hideMark/>
          </w:tcPr>
          <w:p w14:paraId="73D34E74" w14:textId="77777777" w:rsidR="002D21E7" w:rsidRPr="005874B2" w:rsidRDefault="002D21E7" w:rsidP="00285DD5">
            <w:pPr>
              <w:tabs>
                <w:tab w:val="left" w:pos="993"/>
              </w:tabs>
              <w:suppressAutoHyphens/>
              <w:ind w:left="709" w:hanging="709"/>
              <w:jc w:val="right"/>
              <w:rPr>
                <w:rFonts w:eastAsia="Calibri"/>
                <w:sz w:val="20"/>
                <w:szCs w:val="20"/>
              </w:rPr>
            </w:pPr>
            <w:r w:rsidRPr="005874B2">
              <w:rPr>
                <w:rFonts w:eastAsia="Calibri"/>
                <w:sz w:val="20"/>
                <w:szCs w:val="20"/>
              </w:rPr>
              <w:t>A. V.</w:t>
            </w:r>
          </w:p>
        </w:tc>
        <w:tc>
          <w:tcPr>
            <w:tcW w:w="846" w:type="dxa"/>
            <w:tcBorders>
              <w:top w:val="nil"/>
              <w:left w:val="nil"/>
              <w:bottom w:val="nil"/>
              <w:right w:val="nil"/>
            </w:tcBorders>
          </w:tcPr>
          <w:p w14:paraId="0C75B3A0" w14:textId="77777777" w:rsidR="002D21E7" w:rsidRPr="005874B2" w:rsidRDefault="002D21E7" w:rsidP="00285DD5">
            <w:pPr>
              <w:tabs>
                <w:tab w:val="left" w:pos="993"/>
              </w:tabs>
              <w:suppressAutoHyphens/>
              <w:ind w:left="709" w:hanging="709"/>
              <w:jc w:val="right"/>
              <w:rPr>
                <w:rFonts w:eastAsia="Calibri"/>
                <w:sz w:val="20"/>
                <w:szCs w:val="20"/>
              </w:rPr>
            </w:pPr>
          </w:p>
        </w:tc>
        <w:tc>
          <w:tcPr>
            <w:tcW w:w="4218" w:type="dxa"/>
            <w:tcBorders>
              <w:top w:val="nil"/>
              <w:left w:val="nil"/>
              <w:bottom w:val="nil"/>
              <w:right w:val="nil"/>
            </w:tcBorders>
            <w:hideMark/>
          </w:tcPr>
          <w:p w14:paraId="1A78C1CA" w14:textId="77777777" w:rsidR="002D21E7" w:rsidRPr="005874B2" w:rsidRDefault="002D21E7" w:rsidP="00285DD5">
            <w:pPr>
              <w:tabs>
                <w:tab w:val="left" w:pos="993"/>
              </w:tabs>
              <w:suppressAutoHyphens/>
              <w:ind w:left="709" w:hanging="709"/>
              <w:jc w:val="right"/>
              <w:rPr>
                <w:rFonts w:eastAsia="Calibri"/>
                <w:sz w:val="20"/>
                <w:szCs w:val="20"/>
              </w:rPr>
            </w:pPr>
            <w:r w:rsidRPr="005874B2">
              <w:rPr>
                <w:rFonts w:eastAsia="Calibri"/>
                <w:sz w:val="20"/>
                <w:szCs w:val="20"/>
              </w:rPr>
              <w:t>A. V.</w:t>
            </w:r>
          </w:p>
        </w:tc>
      </w:tr>
    </w:tbl>
    <w:p w14:paraId="4D3ED88B" w14:textId="77777777" w:rsidR="002D21E7" w:rsidRPr="005874B2" w:rsidRDefault="002D21E7" w:rsidP="002D21E7">
      <w:pPr>
        <w:jc w:val="both"/>
        <w:rPr>
          <w:b/>
          <w:sz w:val="20"/>
          <w:szCs w:val="20"/>
        </w:rPr>
      </w:pPr>
    </w:p>
    <w:p w14:paraId="67552997" w14:textId="77777777" w:rsidR="002D21E7" w:rsidRPr="005874B2" w:rsidRDefault="002D21E7" w:rsidP="002D21E7">
      <w:pPr>
        <w:jc w:val="both"/>
        <w:rPr>
          <w:b/>
          <w:sz w:val="20"/>
          <w:szCs w:val="20"/>
        </w:rPr>
      </w:pPr>
    </w:p>
    <w:sectPr w:rsidR="002D21E7" w:rsidRPr="005874B2" w:rsidSect="002D21E7">
      <w:pgSz w:w="16838" w:h="11906" w:orient="landscape"/>
      <w:pgMar w:top="426" w:right="536" w:bottom="567" w:left="567"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FACF20" w14:textId="77777777" w:rsidR="008A1A48" w:rsidRDefault="008A1A48">
      <w:r>
        <w:separator/>
      </w:r>
    </w:p>
  </w:endnote>
  <w:endnote w:type="continuationSeparator" w:id="0">
    <w:p w14:paraId="5169B109" w14:textId="77777777" w:rsidR="008A1A48" w:rsidRDefault="008A1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tima">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EUAlbertina">
    <w:altName w:val="Times New Roman"/>
    <w:charset w:val="00"/>
    <w:family w:val="roman"/>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E54C8" w14:textId="77777777" w:rsidR="008A1A48" w:rsidRDefault="008A1A48">
      <w:r>
        <w:separator/>
      </w:r>
    </w:p>
  </w:footnote>
  <w:footnote w:type="continuationSeparator" w:id="0">
    <w:p w14:paraId="41A8BDBE" w14:textId="77777777" w:rsidR="008A1A48" w:rsidRDefault="008A1A4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4432533"/>
      <w:docPartObj>
        <w:docPartGallery w:val="Page Numbers (Top of Page)"/>
        <w:docPartUnique/>
      </w:docPartObj>
    </w:sdtPr>
    <w:sdtEndPr>
      <w:rPr>
        <w:noProof/>
        <w:sz w:val="20"/>
        <w:szCs w:val="20"/>
      </w:rPr>
    </w:sdtEndPr>
    <w:sdtContent>
      <w:p w14:paraId="3014F37D" w14:textId="18D7881B" w:rsidR="00905E79" w:rsidRPr="00454342" w:rsidRDefault="00905E79">
        <w:pPr>
          <w:pStyle w:val="Header"/>
          <w:jc w:val="center"/>
          <w:rPr>
            <w:sz w:val="20"/>
            <w:szCs w:val="20"/>
          </w:rPr>
        </w:pPr>
        <w:r w:rsidRPr="00454342">
          <w:rPr>
            <w:sz w:val="20"/>
            <w:szCs w:val="20"/>
          </w:rPr>
          <w:fldChar w:fldCharType="begin"/>
        </w:r>
        <w:r w:rsidRPr="00454342">
          <w:rPr>
            <w:sz w:val="20"/>
            <w:szCs w:val="20"/>
          </w:rPr>
          <w:instrText xml:space="preserve"> PAGE   \* MERGEFORMAT </w:instrText>
        </w:r>
        <w:r w:rsidRPr="00454342">
          <w:rPr>
            <w:sz w:val="20"/>
            <w:szCs w:val="20"/>
          </w:rPr>
          <w:fldChar w:fldCharType="separate"/>
        </w:r>
        <w:r w:rsidR="00FB6C57">
          <w:rPr>
            <w:noProof/>
            <w:sz w:val="20"/>
            <w:szCs w:val="20"/>
          </w:rPr>
          <w:t>3</w:t>
        </w:r>
        <w:r w:rsidRPr="00454342">
          <w:rPr>
            <w:noProof/>
            <w:sz w:val="20"/>
            <w:szCs w:val="20"/>
          </w:rPr>
          <w:fldChar w:fldCharType="end"/>
        </w:r>
      </w:p>
    </w:sdtContent>
  </w:sdt>
  <w:p w14:paraId="3B9A7CD6" w14:textId="77777777" w:rsidR="00905E79" w:rsidRDefault="00905E7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ACC25" w14:textId="1B36417B" w:rsidR="00905E79" w:rsidRDefault="00905E79">
    <w:pPr>
      <w:pStyle w:val="Header"/>
      <w:jc w:val="center"/>
    </w:pPr>
  </w:p>
  <w:p w14:paraId="54D13E47" w14:textId="75E5686E" w:rsidR="00905E79" w:rsidRPr="00DA6EDB" w:rsidRDefault="00905E79" w:rsidP="00DA6ED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10DB"/>
    <w:multiLevelType w:val="multilevel"/>
    <w:tmpl w:val="B2FE3D50"/>
    <w:lvl w:ilvl="0">
      <w:start w:val="10"/>
      <w:numFmt w:val="decimal"/>
      <w:lvlText w:val="%1."/>
      <w:lvlJc w:val="left"/>
      <w:pPr>
        <w:ind w:left="660" w:hanging="660"/>
      </w:pPr>
      <w:rPr>
        <w:rFonts w:hint="default"/>
      </w:rPr>
    </w:lvl>
    <w:lvl w:ilvl="1">
      <w:start w:val="7"/>
      <w:numFmt w:val="decimal"/>
      <w:lvlText w:val="%1.%2."/>
      <w:lvlJc w:val="left"/>
      <w:pPr>
        <w:ind w:left="1290" w:hanging="660"/>
      </w:pPr>
      <w:rPr>
        <w:rFonts w:hint="default"/>
      </w:rPr>
    </w:lvl>
    <w:lvl w:ilvl="2">
      <w:start w:val="9"/>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 w15:restartNumberingAfterBreak="0">
    <w:nsid w:val="066F037C"/>
    <w:multiLevelType w:val="hybridMultilevel"/>
    <w:tmpl w:val="5BC8A58C"/>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6C3D86"/>
    <w:multiLevelType w:val="multilevel"/>
    <w:tmpl w:val="C7409212"/>
    <w:lvl w:ilvl="0">
      <w:start w:val="1"/>
      <w:numFmt w:val="none"/>
      <w:suff w:val="space"/>
      <w:lvlText w:val="9."/>
      <w:lvlJc w:val="left"/>
      <w:pPr>
        <w:ind w:left="1512" w:hanging="432"/>
      </w:pPr>
      <w:rPr>
        <w:b/>
      </w:rPr>
    </w:lvl>
    <w:lvl w:ilvl="1">
      <w:start w:val="1"/>
      <w:numFmt w:val="decimal"/>
      <w:pStyle w:val="Heading2"/>
      <w:suff w:val="space"/>
      <w:lvlText w:val="9.%2."/>
      <w:lvlJc w:val="left"/>
      <w:pPr>
        <w:ind w:left="0" w:firstLine="720"/>
      </w:pPr>
      <w:rPr>
        <w:b w:val="0"/>
        <w:i w:val="0"/>
      </w:rPr>
    </w:lvl>
    <w:lvl w:ilvl="2">
      <w:start w:val="1"/>
      <w:numFmt w:val="decimal"/>
      <w:pStyle w:val="Heading3"/>
      <w:suff w:val="space"/>
      <w:lvlText w:val="9.%2.%3."/>
      <w:lvlJc w:val="left"/>
      <w:pPr>
        <w:ind w:left="360" w:firstLine="720"/>
      </w:pPr>
      <w:rPr>
        <w:b w:val="0"/>
        <w:color w:val="auto"/>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4" w15:restartNumberingAfterBreak="0">
    <w:nsid w:val="16271C6B"/>
    <w:multiLevelType w:val="multilevel"/>
    <w:tmpl w:val="E0E0AD2A"/>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A5B5C52"/>
    <w:multiLevelType w:val="multilevel"/>
    <w:tmpl w:val="40F8EBE6"/>
    <w:lvl w:ilvl="0">
      <w:start w:val="2"/>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36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Papunkiopapunktis"/>
      <w:lvlText w:val="%1.%2.%3."/>
      <w:lvlJc w:val="left"/>
      <w:pPr>
        <w:tabs>
          <w:tab w:val="num" w:pos="1647"/>
        </w:tabs>
        <w:ind w:left="1647" w:hanging="567"/>
      </w:pPr>
      <w:rPr>
        <w:rFonts w:hint="default"/>
        <w:i w:val="0"/>
        <w:iCs w:val="0"/>
        <w:color w:val="auto"/>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6" w15:restartNumberingAfterBreak="0">
    <w:nsid w:val="1BDF7F9C"/>
    <w:multiLevelType w:val="hybridMultilevel"/>
    <w:tmpl w:val="E1F4F54A"/>
    <w:lvl w:ilvl="0" w:tplc="D166C59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667732"/>
    <w:multiLevelType w:val="multilevel"/>
    <w:tmpl w:val="C416064C"/>
    <w:numStyleLink w:val="Gutgut"/>
  </w:abstractNum>
  <w:abstractNum w:abstractNumId="8" w15:restartNumberingAfterBreak="0">
    <w:nsid w:val="200C2AE0"/>
    <w:multiLevelType w:val="multilevel"/>
    <w:tmpl w:val="C416064C"/>
    <w:styleLink w:val="Gutgut"/>
    <w:lvl w:ilvl="0">
      <w:start w:val="1"/>
      <w:numFmt w:val="upperRoman"/>
      <w:pStyle w:val="Antratslygos"/>
      <w:lvlText w:val="%1."/>
      <w:lvlJc w:val="left"/>
      <w:pPr>
        <w:ind w:left="567" w:hanging="567"/>
      </w:pPr>
      <w:rPr>
        <w:rFonts w:cs="Times New Roman" w:hint="default"/>
      </w:rPr>
    </w:lvl>
    <w:lvl w:ilvl="1">
      <w:start w:val="1"/>
      <w:numFmt w:val="decimal"/>
      <w:isLgl/>
      <w:lvlText w:val="%1.%2."/>
      <w:lvlJc w:val="left"/>
      <w:pPr>
        <w:ind w:firstLine="567"/>
      </w:pPr>
      <w:rPr>
        <w:rFonts w:cs="Times New Roman" w:hint="default"/>
        <w:i w:val="0"/>
        <w:color w:val="auto"/>
      </w:rPr>
    </w:lvl>
    <w:lvl w:ilvl="2">
      <w:start w:val="1"/>
      <w:numFmt w:val="decimal"/>
      <w:isLgl/>
      <w:lvlText w:val="%1.%2.%3."/>
      <w:lvlJc w:val="left"/>
      <w:pPr>
        <w:ind w:firstLine="567"/>
      </w:pPr>
      <w:rPr>
        <w:rFonts w:cs="Times New Roman" w:hint="default"/>
      </w:rPr>
    </w:lvl>
    <w:lvl w:ilvl="3">
      <w:start w:val="1"/>
      <w:numFmt w:val="decimal"/>
      <w:isLgl/>
      <w:lvlText w:val="%1.%2.%3.%4."/>
      <w:lvlJc w:val="left"/>
      <w:pPr>
        <w:ind w:firstLine="567"/>
      </w:pPr>
      <w:rPr>
        <w:rFonts w:cs="Times New Roman" w:hint="default"/>
      </w:rPr>
    </w:lvl>
    <w:lvl w:ilvl="4">
      <w:start w:val="1"/>
      <w:numFmt w:val="decimal"/>
      <w:isLgl/>
      <w:lvlText w:val="%1.%2.%3.%4.%5."/>
      <w:lvlJc w:val="left"/>
      <w:pPr>
        <w:tabs>
          <w:tab w:val="num" w:pos="567"/>
        </w:tabs>
        <w:ind w:firstLine="567"/>
      </w:pPr>
      <w:rPr>
        <w:rFonts w:cs="Times New Roman" w:hint="default"/>
      </w:rPr>
    </w:lvl>
    <w:lvl w:ilvl="5">
      <w:start w:val="1"/>
      <w:numFmt w:val="decimal"/>
      <w:isLgl/>
      <w:lvlText w:val="%1.%2.%3.%4.%5.%6."/>
      <w:lvlJc w:val="left"/>
      <w:pPr>
        <w:ind w:firstLine="567"/>
      </w:pPr>
      <w:rPr>
        <w:rFonts w:cs="Times New Roman" w:hint="default"/>
      </w:rPr>
    </w:lvl>
    <w:lvl w:ilvl="6">
      <w:start w:val="1"/>
      <w:numFmt w:val="decimal"/>
      <w:isLgl/>
      <w:lvlText w:val="%1.%2.%3.%4.%5.%6.%7."/>
      <w:lvlJc w:val="left"/>
      <w:pPr>
        <w:ind w:firstLine="567"/>
      </w:pPr>
      <w:rPr>
        <w:rFonts w:cs="Times New Roman" w:hint="default"/>
      </w:rPr>
    </w:lvl>
    <w:lvl w:ilvl="7">
      <w:start w:val="1"/>
      <w:numFmt w:val="decimal"/>
      <w:isLgl/>
      <w:lvlText w:val="%1.%2.%3.%4.%5.%6.%7.%8."/>
      <w:lvlJc w:val="left"/>
      <w:pPr>
        <w:tabs>
          <w:tab w:val="num" w:pos="3969"/>
        </w:tabs>
        <w:ind w:firstLine="567"/>
      </w:pPr>
      <w:rPr>
        <w:rFonts w:cs="Times New Roman" w:hint="default"/>
      </w:rPr>
    </w:lvl>
    <w:lvl w:ilvl="8">
      <w:start w:val="1"/>
      <w:numFmt w:val="decimal"/>
      <w:isLgl/>
      <w:lvlText w:val="%1.%2.%3.%4.%5.%6.%7.%8.%9."/>
      <w:lvlJc w:val="left"/>
      <w:pPr>
        <w:ind w:firstLine="567"/>
      </w:pPr>
      <w:rPr>
        <w:rFonts w:cs="Times New Roman" w:hint="default"/>
      </w:rPr>
    </w:lvl>
  </w:abstractNum>
  <w:abstractNum w:abstractNumId="9" w15:restartNumberingAfterBreak="0">
    <w:nsid w:val="20701E55"/>
    <w:multiLevelType w:val="multilevel"/>
    <w:tmpl w:val="D8D4FEC2"/>
    <w:lvl w:ilvl="0">
      <w:start w:val="10"/>
      <w:numFmt w:val="decimal"/>
      <w:lvlText w:val="%1."/>
      <w:lvlJc w:val="left"/>
      <w:pPr>
        <w:ind w:left="480" w:hanging="480"/>
      </w:pPr>
      <w:rPr>
        <w:rFonts w:hint="default"/>
        <w:color w:val="auto"/>
      </w:rPr>
    </w:lvl>
    <w:lvl w:ilvl="1">
      <w:start w:val="3"/>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0" w15:restartNumberingAfterBreak="0">
    <w:nsid w:val="22E151D7"/>
    <w:multiLevelType w:val="hybridMultilevel"/>
    <w:tmpl w:val="E1F4F54A"/>
    <w:lvl w:ilvl="0" w:tplc="D166C59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07448"/>
    <w:multiLevelType w:val="hybridMultilevel"/>
    <w:tmpl w:val="E1F4F54A"/>
    <w:lvl w:ilvl="0" w:tplc="D166C59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0721C6"/>
    <w:multiLevelType w:val="hybridMultilevel"/>
    <w:tmpl w:val="E1F4F54A"/>
    <w:lvl w:ilvl="0" w:tplc="D166C59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68436B"/>
    <w:multiLevelType w:val="multilevel"/>
    <w:tmpl w:val="F1526598"/>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CFB44DA"/>
    <w:multiLevelType w:val="multilevel"/>
    <w:tmpl w:val="B4768738"/>
    <w:lvl w:ilvl="0">
      <w:start w:val="1"/>
      <w:numFmt w:val="decimal"/>
      <w:lvlText w:val="%1."/>
      <w:lvlJc w:val="left"/>
      <w:pPr>
        <w:tabs>
          <w:tab w:val="num" w:pos="1033"/>
        </w:tabs>
        <w:ind w:left="1033" w:hanging="465"/>
      </w:pPr>
      <w:rPr>
        <w:rFonts w:hint="default"/>
        <w:b w:val="0"/>
        <w:i w:val="0"/>
        <w:color w:val="auto"/>
        <w:sz w:val="22"/>
        <w:szCs w:val="22"/>
      </w:rPr>
    </w:lvl>
    <w:lvl w:ilvl="1">
      <w:start w:val="1"/>
      <w:numFmt w:val="decimal"/>
      <w:lvlText w:val="%1.%2."/>
      <w:lvlJc w:val="left"/>
      <w:pPr>
        <w:tabs>
          <w:tab w:val="num" w:pos="1458"/>
        </w:tabs>
        <w:ind w:left="1458" w:hanging="465"/>
      </w:pPr>
      <w:rPr>
        <w:rFonts w:hint="default"/>
        <w:b w:val="0"/>
        <w:i w:val="0"/>
        <w:color w:val="auto"/>
      </w:rPr>
    </w:lvl>
    <w:lvl w:ilvl="2">
      <w:start w:val="1"/>
      <w:numFmt w:val="decimal"/>
      <w:lvlText w:val="%1.%2.%3."/>
      <w:lvlJc w:val="left"/>
      <w:pPr>
        <w:tabs>
          <w:tab w:val="num" w:pos="-130"/>
        </w:tabs>
        <w:ind w:left="-130" w:hanging="720"/>
      </w:pPr>
      <w:rPr>
        <w:rFonts w:hint="default"/>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15" w15:restartNumberingAfterBreak="0">
    <w:nsid w:val="2DAB387F"/>
    <w:multiLevelType w:val="multilevel"/>
    <w:tmpl w:val="37CC1C26"/>
    <w:lvl w:ilvl="0">
      <w:start w:val="1"/>
      <w:numFmt w:val="decimal"/>
      <w:lvlText w:val="%1."/>
      <w:lvlJc w:val="left"/>
      <w:pPr>
        <w:ind w:left="9291" w:hanging="360"/>
      </w:pPr>
      <w:rPr>
        <w:rFonts w:ascii="Times New Roman" w:eastAsia="Times New Roman" w:hAnsi="Times New Roman" w:cs="Times New Roman"/>
      </w:rPr>
    </w:lvl>
    <w:lvl w:ilvl="1">
      <w:start w:val="1"/>
      <w:numFmt w:val="decimal"/>
      <w:isLgl/>
      <w:lvlText w:val="%1.%2."/>
      <w:lvlJc w:val="left"/>
      <w:pPr>
        <w:ind w:left="831" w:hanging="405"/>
      </w:pPr>
      <w:rPr>
        <w:rFonts w:hint="default"/>
        <w:b w:val="0"/>
      </w:rPr>
    </w:lvl>
    <w:lvl w:ilvl="2">
      <w:start w:val="1"/>
      <w:numFmt w:val="decimal"/>
      <w:pStyle w:val="Style1"/>
      <w:isLgl/>
      <w:lvlText w:val="%1.%2.%3."/>
      <w:lvlJc w:val="left"/>
      <w:pPr>
        <w:ind w:left="2847" w:hanging="720"/>
      </w:pPr>
      <w:rPr>
        <w:rFonts w:hint="default"/>
      </w:rPr>
    </w:lvl>
    <w:lvl w:ilvl="3">
      <w:start w:val="1"/>
      <w:numFmt w:val="decimal"/>
      <w:pStyle w:val="Style3"/>
      <w:isLgl/>
      <w:lvlText w:val="%1.%2.%3.%4."/>
      <w:lvlJc w:val="left"/>
      <w:pPr>
        <w:ind w:left="1571" w:hanging="720"/>
      </w:pPr>
      <w:rPr>
        <w:rFonts w:hint="default"/>
      </w:rPr>
    </w:lvl>
    <w:lvl w:ilvl="4">
      <w:start w:val="1"/>
      <w:numFmt w:val="decimal"/>
      <w:pStyle w:val="Style3"/>
      <w:isLgl/>
      <w:lvlText w:val="%1.%2.%3.%4.%5."/>
      <w:lvlJc w:val="left"/>
      <w:pPr>
        <w:ind w:left="1647"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3423B46"/>
    <w:multiLevelType w:val="hybridMultilevel"/>
    <w:tmpl w:val="E1F4F54A"/>
    <w:lvl w:ilvl="0" w:tplc="D166C59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372AEC"/>
    <w:multiLevelType w:val="multilevel"/>
    <w:tmpl w:val="911C7832"/>
    <w:lvl w:ilvl="0">
      <w:start w:val="14"/>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8" w15:restartNumberingAfterBreak="0">
    <w:nsid w:val="367C6E21"/>
    <w:multiLevelType w:val="multilevel"/>
    <w:tmpl w:val="66B838EE"/>
    <w:lvl w:ilvl="0">
      <w:start w:val="5"/>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37322753"/>
    <w:multiLevelType w:val="multilevel"/>
    <w:tmpl w:val="B058CA52"/>
    <w:lvl w:ilvl="0">
      <w:start w:val="1"/>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0" w15:restartNumberingAfterBreak="0">
    <w:nsid w:val="3AE47960"/>
    <w:multiLevelType w:val="multilevel"/>
    <w:tmpl w:val="788644DC"/>
    <w:lvl w:ilvl="0">
      <w:start w:val="3"/>
      <w:numFmt w:val="decimal"/>
      <w:lvlText w:val="%1."/>
      <w:lvlJc w:val="left"/>
      <w:pPr>
        <w:ind w:left="480" w:hanging="480"/>
      </w:pPr>
      <w:rPr>
        <w:rFonts w:hint="default"/>
      </w:rPr>
    </w:lvl>
    <w:lvl w:ilvl="1">
      <w:start w:val="11"/>
      <w:numFmt w:val="decimal"/>
      <w:lvlText w:val="%1.%2."/>
      <w:lvlJc w:val="left"/>
      <w:pPr>
        <w:ind w:left="1290" w:hanging="48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1" w15:restartNumberingAfterBreak="0">
    <w:nsid w:val="3BB128A3"/>
    <w:multiLevelType w:val="multilevel"/>
    <w:tmpl w:val="492ED466"/>
    <w:lvl w:ilvl="0">
      <w:start w:val="12"/>
      <w:numFmt w:val="decimal"/>
      <w:lvlText w:val="%1."/>
      <w:lvlJc w:val="left"/>
      <w:pPr>
        <w:ind w:left="480" w:hanging="480"/>
      </w:pPr>
      <w:rPr>
        <w:rFonts w:hint="default"/>
      </w:rPr>
    </w:lvl>
    <w:lvl w:ilvl="1">
      <w:start w:val="1"/>
      <w:numFmt w:val="decimal"/>
      <w:lvlText w:val="%1.%2."/>
      <w:lvlJc w:val="left"/>
      <w:pPr>
        <w:ind w:left="1290" w:hanging="48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2" w15:restartNumberingAfterBreak="0">
    <w:nsid w:val="3D7E52B7"/>
    <w:multiLevelType w:val="multilevel"/>
    <w:tmpl w:val="F650E5B0"/>
    <w:lvl w:ilvl="0">
      <w:start w:val="3"/>
      <w:numFmt w:val="decimal"/>
      <w:lvlText w:val="%1."/>
      <w:lvlJc w:val="left"/>
      <w:pPr>
        <w:ind w:left="480" w:hanging="480"/>
      </w:pPr>
      <w:rPr>
        <w:rFonts w:hint="default"/>
      </w:rPr>
    </w:lvl>
    <w:lvl w:ilvl="1">
      <w:start w:val="12"/>
      <w:numFmt w:val="decimal"/>
      <w:lvlText w:val="%1.%2."/>
      <w:lvlJc w:val="left"/>
      <w:pPr>
        <w:ind w:left="1290" w:hanging="48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3" w15:restartNumberingAfterBreak="0">
    <w:nsid w:val="41BB5F3E"/>
    <w:multiLevelType w:val="hybridMultilevel"/>
    <w:tmpl w:val="E1F4F54A"/>
    <w:lvl w:ilvl="0" w:tplc="D166C59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536211"/>
    <w:multiLevelType w:val="hybridMultilevel"/>
    <w:tmpl w:val="225A2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621622"/>
    <w:multiLevelType w:val="multilevel"/>
    <w:tmpl w:val="D826D3C0"/>
    <w:lvl w:ilvl="0">
      <w:start w:val="1"/>
      <w:numFmt w:val="decimal"/>
      <w:lvlText w:val="%1."/>
      <w:lvlJc w:val="left"/>
      <w:pPr>
        <w:ind w:left="360" w:hanging="360"/>
      </w:pPr>
      <w:rPr>
        <w:rFonts w:hint="default"/>
      </w:rPr>
    </w:lvl>
    <w:lvl w:ilvl="1">
      <w:start w:val="1"/>
      <w:numFmt w:val="decimal"/>
      <w:lvlText w:val="%1.%2."/>
      <w:lvlJc w:val="left"/>
      <w:pPr>
        <w:ind w:left="574" w:hanging="432"/>
      </w:pPr>
      <w:rPr>
        <w:b w:val="0"/>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AE922CB"/>
    <w:multiLevelType w:val="multilevel"/>
    <w:tmpl w:val="DF50C4F0"/>
    <w:lvl w:ilvl="0">
      <w:start w:val="1"/>
      <w:numFmt w:val="decimal"/>
      <w:lvlText w:val="%1."/>
      <w:lvlJc w:val="left"/>
      <w:pPr>
        <w:ind w:left="360" w:hanging="360"/>
      </w:pPr>
      <w:rPr>
        <w:rFonts w:hint="default"/>
      </w:rPr>
    </w:lvl>
    <w:lvl w:ilvl="1">
      <w:start w:val="2"/>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7" w15:restartNumberingAfterBreak="0">
    <w:nsid w:val="4F75764A"/>
    <w:multiLevelType w:val="multilevel"/>
    <w:tmpl w:val="9462E9F0"/>
    <w:styleLink w:val="Stilius1"/>
    <w:lvl w:ilvl="0">
      <w:start w:val="1"/>
      <w:numFmt w:val="decimal"/>
      <w:suff w:val="space"/>
      <w:lvlText w:val="%1."/>
      <w:lvlJc w:val="left"/>
      <w:pPr>
        <w:ind w:left="1152" w:hanging="432"/>
      </w:pPr>
      <w:rPr>
        <w:rFonts w:hint="default"/>
        <w:b/>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8" w15:restartNumberingAfterBreak="0">
    <w:nsid w:val="52777554"/>
    <w:multiLevelType w:val="multilevel"/>
    <w:tmpl w:val="56D216DE"/>
    <w:lvl w:ilvl="0">
      <w:start w:val="2"/>
      <w:numFmt w:val="decimal"/>
      <w:lvlText w:val="%1."/>
      <w:lvlJc w:val="left"/>
      <w:pPr>
        <w:ind w:left="360" w:hanging="360"/>
      </w:pPr>
      <w:rPr>
        <w:rFonts w:cs="Arial Unicode MS" w:hint="default"/>
      </w:rPr>
    </w:lvl>
    <w:lvl w:ilvl="1">
      <w:start w:val="2"/>
      <w:numFmt w:val="decimal"/>
      <w:lvlText w:val="%1.%2."/>
      <w:lvlJc w:val="left"/>
      <w:pPr>
        <w:ind w:left="1069" w:hanging="360"/>
      </w:pPr>
      <w:rPr>
        <w:rFonts w:cs="Arial Unicode MS" w:hint="default"/>
        <w:sz w:val="24"/>
        <w:szCs w:val="24"/>
      </w:rPr>
    </w:lvl>
    <w:lvl w:ilvl="2">
      <w:start w:val="1"/>
      <w:numFmt w:val="decimal"/>
      <w:lvlText w:val="%1.%2.%3."/>
      <w:lvlJc w:val="left"/>
      <w:pPr>
        <w:ind w:left="2138" w:hanging="720"/>
      </w:pPr>
      <w:rPr>
        <w:rFonts w:cs="Arial Unicode MS" w:hint="default"/>
      </w:rPr>
    </w:lvl>
    <w:lvl w:ilvl="3">
      <w:start w:val="1"/>
      <w:numFmt w:val="decimal"/>
      <w:lvlText w:val="%1.%2.%3.%4."/>
      <w:lvlJc w:val="left"/>
      <w:pPr>
        <w:ind w:left="2847" w:hanging="720"/>
      </w:pPr>
      <w:rPr>
        <w:rFonts w:cs="Arial Unicode MS" w:hint="default"/>
      </w:rPr>
    </w:lvl>
    <w:lvl w:ilvl="4">
      <w:start w:val="1"/>
      <w:numFmt w:val="decimal"/>
      <w:lvlText w:val="%1.%2.%3.%4.%5."/>
      <w:lvlJc w:val="left"/>
      <w:pPr>
        <w:ind w:left="3916" w:hanging="1080"/>
      </w:pPr>
      <w:rPr>
        <w:rFonts w:cs="Arial Unicode MS" w:hint="default"/>
      </w:rPr>
    </w:lvl>
    <w:lvl w:ilvl="5">
      <w:start w:val="1"/>
      <w:numFmt w:val="decimal"/>
      <w:lvlText w:val="%1.%2.%3.%4.%5.%6."/>
      <w:lvlJc w:val="left"/>
      <w:pPr>
        <w:ind w:left="4625" w:hanging="1080"/>
      </w:pPr>
      <w:rPr>
        <w:rFonts w:cs="Arial Unicode MS" w:hint="default"/>
      </w:rPr>
    </w:lvl>
    <w:lvl w:ilvl="6">
      <w:start w:val="1"/>
      <w:numFmt w:val="decimal"/>
      <w:lvlText w:val="%1.%2.%3.%4.%5.%6.%7."/>
      <w:lvlJc w:val="left"/>
      <w:pPr>
        <w:ind w:left="5694" w:hanging="1440"/>
      </w:pPr>
      <w:rPr>
        <w:rFonts w:cs="Arial Unicode MS" w:hint="default"/>
      </w:rPr>
    </w:lvl>
    <w:lvl w:ilvl="7">
      <w:start w:val="1"/>
      <w:numFmt w:val="decimal"/>
      <w:lvlText w:val="%1.%2.%3.%4.%5.%6.%7.%8."/>
      <w:lvlJc w:val="left"/>
      <w:pPr>
        <w:ind w:left="6403" w:hanging="1440"/>
      </w:pPr>
      <w:rPr>
        <w:rFonts w:cs="Arial Unicode MS" w:hint="default"/>
      </w:rPr>
    </w:lvl>
    <w:lvl w:ilvl="8">
      <w:start w:val="1"/>
      <w:numFmt w:val="decimal"/>
      <w:lvlText w:val="%1.%2.%3.%4.%5.%6.%7.%8.%9."/>
      <w:lvlJc w:val="left"/>
      <w:pPr>
        <w:ind w:left="7472" w:hanging="1800"/>
      </w:pPr>
      <w:rPr>
        <w:rFonts w:cs="Arial Unicode MS" w:hint="default"/>
      </w:rPr>
    </w:lvl>
  </w:abstractNum>
  <w:abstractNum w:abstractNumId="29" w15:restartNumberingAfterBreak="0">
    <w:nsid w:val="55C53982"/>
    <w:multiLevelType w:val="hybridMultilevel"/>
    <w:tmpl w:val="E1F4F54A"/>
    <w:lvl w:ilvl="0" w:tplc="D166C59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152F9D"/>
    <w:multiLevelType w:val="multilevel"/>
    <w:tmpl w:val="B91AAA38"/>
    <w:lvl w:ilvl="0">
      <w:start w:val="2"/>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5A292B97"/>
    <w:multiLevelType w:val="hybridMultilevel"/>
    <w:tmpl w:val="E1F4F54A"/>
    <w:lvl w:ilvl="0" w:tplc="D166C59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7557BF"/>
    <w:multiLevelType w:val="multilevel"/>
    <w:tmpl w:val="206889FE"/>
    <w:lvl w:ilvl="0">
      <w:start w:val="3"/>
      <w:numFmt w:val="decimal"/>
      <w:lvlText w:val="%1."/>
      <w:lvlJc w:val="left"/>
      <w:pPr>
        <w:ind w:left="540" w:hanging="540"/>
      </w:pPr>
      <w:rPr>
        <w:rFonts w:hint="default"/>
      </w:rPr>
    </w:lvl>
    <w:lvl w:ilvl="1">
      <w:start w:val="1"/>
      <w:numFmt w:val="decimal"/>
      <w:lvlText w:val="%1.%2."/>
      <w:lvlJc w:val="left"/>
      <w:pPr>
        <w:ind w:left="945" w:hanging="540"/>
      </w:pPr>
      <w:rPr>
        <w:rFonts w:hint="default"/>
      </w:rPr>
    </w:lvl>
    <w:lvl w:ilvl="2">
      <w:start w:val="3"/>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33" w15:restartNumberingAfterBreak="0">
    <w:nsid w:val="63CC5A08"/>
    <w:multiLevelType w:val="multilevel"/>
    <w:tmpl w:val="C690FF5E"/>
    <w:lvl w:ilvl="0">
      <w:start w:val="1"/>
      <w:numFmt w:val="decimal"/>
      <w:lvlText w:val="%1."/>
      <w:lvlJc w:val="left"/>
      <w:pPr>
        <w:ind w:left="1408" w:hanging="840"/>
      </w:pPr>
    </w:lvl>
    <w:lvl w:ilvl="1">
      <w:start w:val="1"/>
      <w:numFmt w:val="decimal"/>
      <w:isLgl/>
      <w:lvlText w:val="%1.%2."/>
      <w:lvlJc w:val="left"/>
      <w:pPr>
        <w:ind w:left="1305" w:hanging="585"/>
      </w:pPr>
      <w:rPr>
        <w:i w:val="0"/>
      </w:rPr>
    </w:lvl>
    <w:lvl w:ilvl="2">
      <w:start w:val="1"/>
      <w:numFmt w:val="decimal"/>
      <w:isLgl/>
      <w:lvlText w:val="%1.%2.%3."/>
      <w:lvlJc w:val="left"/>
      <w:pPr>
        <w:ind w:left="1593" w:hanging="720"/>
      </w:pPr>
      <w:rPr>
        <w:i/>
      </w:rPr>
    </w:lvl>
    <w:lvl w:ilvl="3">
      <w:start w:val="1"/>
      <w:numFmt w:val="decimal"/>
      <w:isLgl/>
      <w:lvlText w:val="%1.%2.%3.%4."/>
      <w:lvlJc w:val="left"/>
      <w:pPr>
        <w:ind w:left="1746" w:hanging="720"/>
      </w:pPr>
      <w:rPr>
        <w:i/>
      </w:rPr>
    </w:lvl>
    <w:lvl w:ilvl="4">
      <w:start w:val="1"/>
      <w:numFmt w:val="decimal"/>
      <w:isLgl/>
      <w:lvlText w:val="%1.%2.%3.%4.%5."/>
      <w:lvlJc w:val="left"/>
      <w:pPr>
        <w:ind w:left="2259" w:hanging="1080"/>
      </w:pPr>
      <w:rPr>
        <w:i/>
      </w:rPr>
    </w:lvl>
    <w:lvl w:ilvl="5">
      <w:start w:val="1"/>
      <w:numFmt w:val="decimal"/>
      <w:isLgl/>
      <w:lvlText w:val="%1.%2.%3.%4.%5.%6."/>
      <w:lvlJc w:val="left"/>
      <w:pPr>
        <w:ind w:left="2412" w:hanging="1080"/>
      </w:pPr>
      <w:rPr>
        <w:i/>
      </w:rPr>
    </w:lvl>
    <w:lvl w:ilvl="6">
      <w:start w:val="1"/>
      <w:numFmt w:val="decimal"/>
      <w:isLgl/>
      <w:lvlText w:val="%1.%2.%3.%4.%5.%6.%7."/>
      <w:lvlJc w:val="left"/>
      <w:pPr>
        <w:ind w:left="2925" w:hanging="1440"/>
      </w:pPr>
      <w:rPr>
        <w:i/>
      </w:rPr>
    </w:lvl>
    <w:lvl w:ilvl="7">
      <w:start w:val="1"/>
      <w:numFmt w:val="decimal"/>
      <w:isLgl/>
      <w:lvlText w:val="%1.%2.%3.%4.%5.%6.%7.%8."/>
      <w:lvlJc w:val="left"/>
      <w:pPr>
        <w:ind w:left="3078" w:hanging="1440"/>
      </w:pPr>
      <w:rPr>
        <w:i/>
      </w:rPr>
    </w:lvl>
    <w:lvl w:ilvl="8">
      <w:start w:val="1"/>
      <w:numFmt w:val="decimal"/>
      <w:isLgl/>
      <w:lvlText w:val="%1.%2.%3.%4.%5.%6.%7.%8.%9."/>
      <w:lvlJc w:val="left"/>
      <w:pPr>
        <w:ind w:left="3591" w:hanging="1800"/>
      </w:pPr>
      <w:rPr>
        <w:i/>
      </w:rPr>
    </w:lvl>
  </w:abstractNum>
  <w:abstractNum w:abstractNumId="34" w15:restartNumberingAfterBreak="0">
    <w:nsid w:val="69716867"/>
    <w:multiLevelType w:val="hybridMultilevel"/>
    <w:tmpl w:val="E1F4F54A"/>
    <w:lvl w:ilvl="0" w:tplc="D166C59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0F3B1B"/>
    <w:multiLevelType w:val="hybridMultilevel"/>
    <w:tmpl w:val="E1F4F54A"/>
    <w:lvl w:ilvl="0" w:tplc="D166C59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FF1A7A"/>
    <w:multiLevelType w:val="multilevel"/>
    <w:tmpl w:val="80E2C384"/>
    <w:lvl w:ilvl="0">
      <w:start w:val="1"/>
      <w:numFmt w:val="decimal"/>
      <w:lvlText w:val="%1."/>
      <w:lvlJc w:val="left"/>
      <w:pPr>
        <w:ind w:left="720" w:hanging="360"/>
      </w:pPr>
      <w:rPr>
        <w:b/>
      </w:rPr>
    </w:lvl>
    <w:lvl w:ilvl="1">
      <w:start w:val="1"/>
      <w:numFmt w:val="decimal"/>
      <w:lvlText w:val="%1.%2."/>
      <w:lvlJc w:val="left"/>
      <w:pPr>
        <w:ind w:left="1065" w:hanging="435"/>
      </w:pPr>
      <w:rPr>
        <w:b w:val="0"/>
        <w:i w:val="0"/>
        <w:strike w:val="0"/>
        <w:dstrike w:val="0"/>
        <w:sz w:val="24"/>
        <w:szCs w:val="24"/>
        <w:u w:val="none"/>
        <w:effect w:val="none"/>
      </w:rPr>
    </w:lvl>
    <w:lvl w:ilvl="2">
      <w:start w:val="1"/>
      <w:numFmt w:val="decimal"/>
      <w:lvlText w:val="%1.%2.%3."/>
      <w:lvlJc w:val="left"/>
      <w:pPr>
        <w:ind w:left="108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7" w15:restartNumberingAfterBreak="0">
    <w:nsid w:val="79377C75"/>
    <w:multiLevelType w:val="hybridMultilevel"/>
    <w:tmpl w:val="E1F4F54A"/>
    <w:lvl w:ilvl="0" w:tplc="D166C59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38"/>
  </w:num>
  <w:num w:numId="3">
    <w:abstractNumId w:val="5"/>
  </w:num>
  <w:num w:numId="4">
    <w:abstractNumId w:val="15"/>
  </w:num>
  <w:num w:numId="5">
    <w:abstractNumId w:val="8"/>
  </w:num>
  <w:num w:numId="6">
    <w:abstractNumId w:val="7"/>
    <w:lvlOverride w:ilvl="0">
      <w:lvl w:ilvl="0">
        <w:start w:val="1"/>
        <w:numFmt w:val="upperRoman"/>
        <w:pStyle w:val="Antratslygos"/>
        <w:lvlText w:val="%1."/>
        <w:lvlJc w:val="left"/>
        <w:pPr>
          <w:ind w:left="567" w:hanging="567"/>
        </w:pPr>
        <w:rPr>
          <w:rFonts w:cs="Times New Roman" w:hint="default"/>
        </w:rPr>
      </w:lvl>
    </w:lvlOverride>
    <w:lvlOverride w:ilvl="1">
      <w:lvl w:ilvl="1">
        <w:start w:val="1"/>
        <w:numFmt w:val="decimal"/>
        <w:isLgl/>
        <w:lvlText w:val="%1.%2."/>
        <w:lvlJc w:val="left"/>
        <w:pPr>
          <w:ind w:firstLine="567"/>
        </w:pPr>
        <w:rPr>
          <w:rFonts w:cs="Times New Roman" w:hint="default"/>
          <w:b w:val="0"/>
          <w:i w:val="0"/>
          <w:color w:val="auto"/>
        </w:rPr>
      </w:lvl>
    </w:lvlOverride>
    <w:lvlOverride w:ilvl="2">
      <w:lvl w:ilvl="2">
        <w:start w:val="1"/>
        <w:numFmt w:val="decimal"/>
        <w:isLgl/>
        <w:lvlText w:val="%1.%2.%3."/>
        <w:lvlJc w:val="left"/>
        <w:pPr>
          <w:ind w:firstLine="567"/>
        </w:pPr>
        <w:rPr>
          <w:rFonts w:cs="Times New Roman" w:hint="default"/>
        </w:rPr>
      </w:lvl>
    </w:lvlOverride>
    <w:lvlOverride w:ilvl="3">
      <w:lvl w:ilvl="3">
        <w:start w:val="1"/>
        <w:numFmt w:val="decimal"/>
        <w:isLgl/>
        <w:lvlText w:val="%1.%2.%3.%4."/>
        <w:lvlJc w:val="left"/>
        <w:pPr>
          <w:ind w:firstLine="567"/>
        </w:pPr>
        <w:rPr>
          <w:rFonts w:cs="Times New Roman" w:hint="default"/>
        </w:rPr>
      </w:lvl>
    </w:lvlOverride>
    <w:lvlOverride w:ilvl="4">
      <w:lvl w:ilvl="4">
        <w:start w:val="1"/>
        <w:numFmt w:val="decimal"/>
        <w:isLgl/>
        <w:lvlText w:val="%1.%2.%3.%4.%5."/>
        <w:lvlJc w:val="left"/>
        <w:pPr>
          <w:tabs>
            <w:tab w:val="num" w:pos="567"/>
          </w:tabs>
          <w:ind w:firstLine="567"/>
        </w:pPr>
        <w:rPr>
          <w:rFonts w:cs="Times New Roman" w:hint="default"/>
        </w:rPr>
      </w:lvl>
    </w:lvlOverride>
    <w:lvlOverride w:ilvl="5">
      <w:lvl w:ilvl="5">
        <w:start w:val="1"/>
        <w:numFmt w:val="decimal"/>
        <w:isLgl/>
        <w:lvlText w:val="%1.%2.%3.%4.%5.%6."/>
        <w:lvlJc w:val="left"/>
        <w:pPr>
          <w:ind w:firstLine="567"/>
        </w:pPr>
        <w:rPr>
          <w:rFonts w:cs="Times New Roman" w:hint="default"/>
        </w:rPr>
      </w:lvl>
    </w:lvlOverride>
    <w:lvlOverride w:ilvl="6">
      <w:lvl w:ilvl="6">
        <w:start w:val="1"/>
        <w:numFmt w:val="decimal"/>
        <w:isLgl/>
        <w:lvlText w:val="%1.%2.%3.%4.%5.%6.%7."/>
        <w:lvlJc w:val="left"/>
        <w:pPr>
          <w:ind w:firstLine="567"/>
        </w:pPr>
        <w:rPr>
          <w:rFonts w:cs="Times New Roman" w:hint="default"/>
        </w:rPr>
      </w:lvl>
    </w:lvlOverride>
    <w:lvlOverride w:ilvl="7">
      <w:lvl w:ilvl="7">
        <w:start w:val="1"/>
        <w:numFmt w:val="decimal"/>
        <w:isLgl/>
        <w:lvlText w:val="%1.%2.%3.%4.%5.%6.%7.%8."/>
        <w:lvlJc w:val="left"/>
        <w:pPr>
          <w:tabs>
            <w:tab w:val="num" w:pos="3969"/>
          </w:tabs>
          <w:ind w:firstLine="567"/>
        </w:pPr>
        <w:rPr>
          <w:rFonts w:cs="Times New Roman" w:hint="default"/>
        </w:rPr>
      </w:lvl>
    </w:lvlOverride>
    <w:lvlOverride w:ilvl="8">
      <w:lvl w:ilvl="8">
        <w:start w:val="1"/>
        <w:numFmt w:val="decimal"/>
        <w:isLgl/>
        <w:lvlText w:val="%1.%2.%3.%4.%5.%6.%7.%8.%9."/>
        <w:lvlJc w:val="left"/>
        <w:pPr>
          <w:ind w:firstLine="567"/>
        </w:pPr>
        <w:rPr>
          <w:rFonts w:cs="Times New Roman" w:hint="default"/>
        </w:rPr>
      </w:lvl>
    </w:lvlOverride>
  </w:num>
  <w:num w:numId="7">
    <w:abstractNumId w:val="27"/>
  </w:num>
  <w:num w:numId="8">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36"/>
  </w:num>
  <w:num w:numId="11">
    <w:abstractNumId w:val="26"/>
  </w:num>
  <w:num w:numId="12">
    <w:abstractNumId w:val="1"/>
  </w:num>
  <w:num w:numId="13">
    <w:abstractNumId w:val="28"/>
  </w:num>
  <w:num w:numId="14">
    <w:abstractNumId w:val="19"/>
  </w:num>
  <w:num w:numId="15">
    <w:abstractNumId w:val="22"/>
  </w:num>
  <w:num w:numId="16">
    <w:abstractNumId w:val="18"/>
  </w:num>
  <w:num w:numId="17">
    <w:abstractNumId w:val="4"/>
  </w:num>
  <w:num w:numId="18">
    <w:abstractNumId w:val="9"/>
  </w:num>
  <w:num w:numId="19">
    <w:abstractNumId w:val="0"/>
  </w:num>
  <w:num w:numId="20">
    <w:abstractNumId w:val="6"/>
  </w:num>
  <w:num w:numId="21">
    <w:abstractNumId w:val="24"/>
  </w:num>
  <w:num w:numId="22">
    <w:abstractNumId w:val="21"/>
  </w:num>
  <w:num w:numId="23">
    <w:abstractNumId w:val="17"/>
  </w:num>
  <w:num w:numId="24">
    <w:abstractNumId w:val="25"/>
  </w:num>
  <w:num w:numId="25">
    <w:abstractNumId w:val="14"/>
  </w:num>
  <w:num w:numId="26">
    <w:abstractNumId w:val="30"/>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37"/>
  </w:num>
  <w:num w:numId="30">
    <w:abstractNumId w:val="10"/>
  </w:num>
  <w:num w:numId="31">
    <w:abstractNumId w:val="35"/>
  </w:num>
  <w:num w:numId="32">
    <w:abstractNumId w:val="16"/>
  </w:num>
  <w:num w:numId="33">
    <w:abstractNumId w:val="11"/>
  </w:num>
  <w:num w:numId="34">
    <w:abstractNumId w:val="12"/>
  </w:num>
  <w:num w:numId="35">
    <w:abstractNumId w:val="23"/>
  </w:num>
  <w:num w:numId="36">
    <w:abstractNumId w:val="29"/>
  </w:num>
  <w:num w:numId="37">
    <w:abstractNumId w:val="34"/>
  </w:num>
  <w:num w:numId="38">
    <w:abstractNumId w:val="20"/>
  </w:num>
  <w:num w:numId="39">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F79"/>
    <w:rsid w:val="0000037B"/>
    <w:rsid w:val="000018CC"/>
    <w:rsid w:val="00002CB7"/>
    <w:rsid w:val="00006AB6"/>
    <w:rsid w:val="00007E0B"/>
    <w:rsid w:val="0001174F"/>
    <w:rsid w:val="00013382"/>
    <w:rsid w:val="000137C6"/>
    <w:rsid w:val="00046641"/>
    <w:rsid w:val="000507CB"/>
    <w:rsid w:val="000526A0"/>
    <w:rsid w:val="000576EE"/>
    <w:rsid w:val="000617BD"/>
    <w:rsid w:val="000638B2"/>
    <w:rsid w:val="000710A5"/>
    <w:rsid w:val="00074E0C"/>
    <w:rsid w:val="0007535F"/>
    <w:rsid w:val="0007581F"/>
    <w:rsid w:val="00076A6B"/>
    <w:rsid w:val="00080B25"/>
    <w:rsid w:val="000811D6"/>
    <w:rsid w:val="0008783F"/>
    <w:rsid w:val="00091FF4"/>
    <w:rsid w:val="000A2CC2"/>
    <w:rsid w:val="000A3F79"/>
    <w:rsid w:val="000A4331"/>
    <w:rsid w:val="000B11A9"/>
    <w:rsid w:val="000B43C5"/>
    <w:rsid w:val="000C749D"/>
    <w:rsid w:val="000D35BF"/>
    <w:rsid w:val="000E2792"/>
    <w:rsid w:val="000E54BA"/>
    <w:rsid w:val="000F2A77"/>
    <w:rsid w:val="00100BFD"/>
    <w:rsid w:val="00101D73"/>
    <w:rsid w:val="001059CD"/>
    <w:rsid w:val="00105B6C"/>
    <w:rsid w:val="001137C1"/>
    <w:rsid w:val="001166F0"/>
    <w:rsid w:val="00116DAD"/>
    <w:rsid w:val="00116F19"/>
    <w:rsid w:val="00125F8F"/>
    <w:rsid w:val="00132093"/>
    <w:rsid w:val="001375A3"/>
    <w:rsid w:val="001438C1"/>
    <w:rsid w:val="00147194"/>
    <w:rsid w:val="001506A1"/>
    <w:rsid w:val="00152765"/>
    <w:rsid w:val="00165D26"/>
    <w:rsid w:val="001757AD"/>
    <w:rsid w:val="001763E9"/>
    <w:rsid w:val="00192310"/>
    <w:rsid w:val="001964A6"/>
    <w:rsid w:val="001975D4"/>
    <w:rsid w:val="001A1296"/>
    <w:rsid w:val="001A289F"/>
    <w:rsid w:val="001A375D"/>
    <w:rsid w:val="001A3F94"/>
    <w:rsid w:val="001A4ADB"/>
    <w:rsid w:val="001B1378"/>
    <w:rsid w:val="001B3C8D"/>
    <w:rsid w:val="001B429D"/>
    <w:rsid w:val="001B4DF3"/>
    <w:rsid w:val="001C3940"/>
    <w:rsid w:val="001C4582"/>
    <w:rsid w:val="001C6F43"/>
    <w:rsid w:val="001D1447"/>
    <w:rsid w:val="001E664C"/>
    <w:rsid w:val="001E756C"/>
    <w:rsid w:val="001F2000"/>
    <w:rsid w:val="001F276C"/>
    <w:rsid w:val="001F313B"/>
    <w:rsid w:val="001F52FC"/>
    <w:rsid w:val="002041E5"/>
    <w:rsid w:val="002102BE"/>
    <w:rsid w:val="00213BB5"/>
    <w:rsid w:val="0022059D"/>
    <w:rsid w:val="002205C0"/>
    <w:rsid w:val="00221F46"/>
    <w:rsid w:val="00241175"/>
    <w:rsid w:val="00244BB7"/>
    <w:rsid w:val="00245018"/>
    <w:rsid w:val="00245712"/>
    <w:rsid w:val="00246BC6"/>
    <w:rsid w:val="00250649"/>
    <w:rsid w:val="00257585"/>
    <w:rsid w:val="00257F84"/>
    <w:rsid w:val="00261580"/>
    <w:rsid w:val="002707B1"/>
    <w:rsid w:val="00276575"/>
    <w:rsid w:val="00277FDA"/>
    <w:rsid w:val="00282C0D"/>
    <w:rsid w:val="00292380"/>
    <w:rsid w:val="00292AFB"/>
    <w:rsid w:val="002931B9"/>
    <w:rsid w:val="0029384B"/>
    <w:rsid w:val="0029510A"/>
    <w:rsid w:val="002A02E9"/>
    <w:rsid w:val="002A31F4"/>
    <w:rsid w:val="002A341D"/>
    <w:rsid w:val="002A65B9"/>
    <w:rsid w:val="002A6A81"/>
    <w:rsid w:val="002B7270"/>
    <w:rsid w:val="002C4CF6"/>
    <w:rsid w:val="002C7794"/>
    <w:rsid w:val="002C7895"/>
    <w:rsid w:val="002C78DD"/>
    <w:rsid w:val="002D21E7"/>
    <w:rsid w:val="002D29BE"/>
    <w:rsid w:val="002D2FB3"/>
    <w:rsid w:val="002E6296"/>
    <w:rsid w:val="002E746E"/>
    <w:rsid w:val="002E7D1E"/>
    <w:rsid w:val="002F50FA"/>
    <w:rsid w:val="002F5585"/>
    <w:rsid w:val="00300ABE"/>
    <w:rsid w:val="003037EE"/>
    <w:rsid w:val="003147B9"/>
    <w:rsid w:val="00321486"/>
    <w:rsid w:val="00324FD2"/>
    <w:rsid w:val="00334C7D"/>
    <w:rsid w:val="00340060"/>
    <w:rsid w:val="0034732A"/>
    <w:rsid w:val="0035525C"/>
    <w:rsid w:val="00355682"/>
    <w:rsid w:val="003665FA"/>
    <w:rsid w:val="003671E0"/>
    <w:rsid w:val="00370D40"/>
    <w:rsid w:val="003716CB"/>
    <w:rsid w:val="00375200"/>
    <w:rsid w:val="003772D0"/>
    <w:rsid w:val="003776C7"/>
    <w:rsid w:val="0038023F"/>
    <w:rsid w:val="003815AE"/>
    <w:rsid w:val="00381612"/>
    <w:rsid w:val="00393A89"/>
    <w:rsid w:val="003948CC"/>
    <w:rsid w:val="003A5FE7"/>
    <w:rsid w:val="003C4DDC"/>
    <w:rsid w:val="003D03CF"/>
    <w:rsid w:val="003E2DDF"/>
    <w:rsid w:val="003E6B8D"/>
    <w:rsid w:val="003F25AB"/>
    <w:rsid w:val="003F2B27"/>
    <w:rsid w:val="00407561"/>
    <w:rsid w:val="00412A19"/>
    <w:rsid w:val="00422838"/>
    <w:rsid w:val="00440336"/>
    <w:rsid w:val="0044139B"/>
    <w:rsid w:val="00444608"/>
    <w:rsid w:val="00453576"/>
    <w:rsid w:val="00454342"/>
    <w:rsid w:val="004570A3"/>
    <w:rsid w:val="004578D9"/>
    <w:rsid w:val="00460587"/>
    <w:rsid w:val="0046482A"/>
    <w:rsid w:val="00466014"/>
    <w:rsid w:val="00473DA2"/>
    <w:rsid w:val="004767BC"/>
    <w:rsid w:val="0048426E"/>
    <w:rsid w:val="0048783F"/>
    <w:rsid w:val="00495B83"/>
    <w:rsid w:val="004A48C4"/>
    <w:rsid w:val="004B15EA"/>
    <w:rsid w:val="004B5DDC"/>
    <w:rsid w:val="004C24F6"/>
    <w:rsid w:val="004D1BDC"/>
    <w:rsid w:val="004E4DDB"/>
    <w:rsid w:val="004F368C"/>
    <w:rsid w:val="0050282C"/>
    <w:rsid w:val="00502CE1"/>
    <w:rsid w:val="00503A7B"/>
    <w:rsid w:val="00506493"/>
    <w:rsid w:val="00506AC7"/>
    <w:rsid w:val="0051139E"/>
    <w:rsid w:val="0051141C"/>
    <w:rsid w:val="005163E3"/>
    <w:rsid w:val="00521087"/>
    <w:rsid w:val="005257EF"/>
    <w:rsid w:val="00526B1B"/>
    <w:rsid w:val="00532C36"/>
    <w:rsid w:val="00542D5D"/>
    <w:rsid w:val="005433F6"/>
    <w:rsid w:val="0054694D"/>
    <w:rsid w:val="00547453"/>
    <w:rsid w:val="00553FB6"/>
    <w:rsid w:val="00554BCE"/>
    <w:rsid w:val="0055785A"/>
    <w:rsid w:val="00560A63"/>
    <w:rsid w:val="005636A5"/>
    <w:rsid w:val="00564C37"/>
    <w:rsid w:val="00583164"/>
    <w:rsid w:val="00583A9C"/>
    <w:rsid w:val="00585EBE"/>
    <w:rsid w:val="005874B2"/>
    <w:rsid w:val="00590A94"/>
    <w:rsid w:val="005A364A"/>
    <w:rsid w:val="005A395A"/>
    <w:rsid w:val="005A6E03"/>
    <w:rsid w:val="005B11A5"/>
    <w:rsid w:val="005B2CB4"/>
    <w:rsid w:val="005B50D5"/>
    <w:rsid w:val="005B78F5"/>
    <w:rsid w:val="005C2324"/>
    <w:rsid w:val="005D3FA2"/>
    <w:rsid w:val="005D4062"/>
    <w:rsid w:val="005E00F6"/>
    <w:rsid w:val="005E1DB4"/>
    <w:rsid w:val="005E4B4A"/>
    <w:rsid w:val="006008BA"/>
    <w:rsid w:val="0061340F"/>
    <w:rsid w:val="00614D0B"/>
    <w:rsid w:val="00615692"/>
    <w:rsid w:val="00615FC7"/>
    <w:rsid w:val="00616CF1"/>
    <w:rsid w:val="00616DCD"/>
    <w:rsid w:val="00624F52"/>
    <w:rsid w:val="00625922"/>
    <w:rsid w:val="00630E9E"/>
    <w:rsid w:val="0063107D"/>
    <w:rsid w:val="00634B40"/>
    <w:rsid w:val="00640E8B"/>
    <w:rsid w:val="00660D52"/>
    <w:rsid w:val="0066407C"/>
    <w:rsid w:val="00664EE5"/>
    <w:rsid w:val="006678AC"/>
    <w:rsid w:val="00670631"/>
    <w:rsid w:val="00670859"/>
    <w:rsid w:val="00671C96"/>
    <w:rsid w:val="00677A91"/>
    <w:rsid w:val="006800D6"/>
    <w:rsid w:val="006A21E2"/>
    <w:rsid w:val="006A273F"/>
    <w:rsid w:val="006A3A33"/>
    <w:rsid w:val="006B25DA"/>
    <w:rsid w:val="006B492F"/>
    <w:rsid w:val="006C2144"/>
    <w:rsid w:val="006D0B10"/>
    <w:rsid w:val="006D44D4"/>
    <w:rsid w:val="006D62C9"/>
    <w:rsid w:val="006E05F2"/>
    <w:rsid w:val="006F10C3"/>
    <w:rsid w:val="006F46D5"/>
    <w:rsid w:val="006F65B9"/>
    <w:rsid w:val="007104FF"/>
    <w:rsid w:val="00714D0B"/>
    <w:rsid w:val="00716E25"/>
    <w:rsid w:val="00722AEF"/>
    <w:rsid w:val="0072397F"/>
    <w:rsid w:val="00732EE3"/>
    <w:rsid w:val="007368D4"/>
    <w:rsid w:val="00744FBF"/>
    <w:rsid w:val="007468E7"/>
    <w:rsid w:val="00751B01"/>
    <w:rsid w:val="00751B54"/>
    <w:rsid w:val="00751EC1"/>
    <w:rsid w:val="007653D9"/>
    <w:rsid w:val="00772397"/>
    <w:rsid w:val="00774AF9"/>
    <w:rsid w:val="00780293"/>
    <w:rsid w:val="00781FE3"/>
    <w:rsid w:val="007856D6"/>
    <w:rsid w:val="00790FDA"/>
    <w:rsid w:val="007A09EF"/>
    <w:rsid w:val="007A1CEA"/>
    <w:rsid w:val="007A32DB"/>
    <w:rsid w:val="007B02E2"/>
    <w:rsid w:val="007B1535"/>
    <w:rsid w:val="007B2AD8"/>
    <w:rsid w:val="007B5219"/>
    <w:rsid w:val="007B62D2"/>
    <w:rsid w:val="007B7489"/>
    <w:rsid w:val="007C2F0C"/>
    <w:rsid w:val="007C4676"/>
    <w:rsid w:val="007D320B"/>
    <w:rsid w:val="007D5253"/>
    <w:rsid w:val="007D5745"/>
    <w:rsid w:val="007D7511"/>
    <w:rsid w:val="007E13C1"/>
    <w:rsid w:val="007F011E"/>
    <w:rsid w:val="00800545"/>
    <w:rsid w:val="00804CFD"/>
    <w:rsid w:val="008060AA"/>
    <w:rsid w:val="00806AAC"/>
    <w:rsid w:val="0081101A"/>
    <w:rsid w:val="00817CE9"/>
    <w:rsid w:val="00820CE8"/>
    <w:rsid w:val="00824196"/>
    <w:rsid w:val="00825B7C"/>
    <w:rsid w:val="00826065"/>
    <w:rsid w:val="008356D6"/>
    <w:rsid w:val="00837032"/>
    <w:rsid w:val="008404D9"/>
    <w:rsid w:val="008411DC"/>
    <w:rsid w:val="00850751"/>
    <w:rsid w:val="008709CE"/>
    <w:rsid w:val="008710FA"/>
    <w:rsid w:val="008722F2"/>
    <w:rsid w:val="00883F99"/>
    <w:rsid w:val="008847AA"/>
    <w:rsid w:val="0088559A"/>
    <w:rsid w:val="00895114"/>
    <w:rsid w:val="008A1A48"/>
    <w:rsid w:val="008A67F0"/>
    <w:rsid w:val="008B4369"/>
    <w:rsid w:val="008B64B2"/>
    <w:rsid w:val="008C23D9"/>
    <w:rsid w:val="008C7DB3"/>
    <w:rsid w:val="008D4ACC"/>
    <w:rsid w:val="008D66A6"/>
    <w:rsid w:val="008E0A6E"/>
    <w:rsid w:val="008E33B4"/>
    <w:rsid w:val="008E46C9"/>
    <w:rsid w:val="008F7C26"/>
    <w:rsid w:val="00901F7F"/>
    <w:rsid w:val="00903A65"/>
    <w:rsid w:val="00904E7E"/>
    <w:rsid w:val="009054E2"/>
    <w:rsid w:val="00905E79"/>
    <w:rsid w:val="00910A2C"/>
    <w:rsid w:val="009160BF"/>
    <w:rsid w:val="00916A7A"/>
    <w:rsid w:val="00916D25"/>
    <w:rsid w:val="00930E38"/>
    <w:rsid w:val="00933DAE"/>
    <w:rsid w:val="009415FA"/>
    <w:rsid w:val="00942291"/>
    <w:rsid w:val="00944266"/>
    <w:rsid w:val="009633BE"/>
    <w:rsid w:val="009708FA"/>
    <w:rsid w:val="00970EBC"/>
    <w:rsid w:val="00974487"/>
    <w:rsid w:val="00986772"/>
    <w:rsid w:val="00987B23"/>
    <w:rsid w:val="00990602"/>
    <w:rsid w:val="0099209E"/>
    <w:rsid w:val="00996203"/>
    <w:rsid w:val="009A7FBB"/>
    <w:rsid w:val="009B05D2"/>
    <w:rsid w:val="009B5589"/>
    <w:rsid w:val="009C4773"/>
    <w:rsid w:val="009C7E0A"/>
    <w:rsid w:val="009D13FF"/>
    <w:rsid w:val="009D4DD3"/>
    <w:rsid w:val="009D6D3A"/>
    <w:rsid w:val="009D7472"/>
    <w:rsid w:val="009E5AE2"/>
    <w:rsid w:val="009F3044"/>
    <w:rsid w:val="009F5AF5"/>
    <w:rsid w:val="00A1082F"/>
    <w:rsid w:val="00A116A2"/>
    <w:rsid w:val="00A119F0"/>
    <w:rsid w:val="00A11BB1"/>
    <w:rsid w:val="00A1278C"/>
    <w:rsid w:val="00A17A16"/>
    <w:rsid w:val="00A2007E"/>
    <w:rsid w:val="00A20904"/>
    <w:rsid w:val="00A323A4"/>
    <w:rsid w:val="00A37175"/>
    <w:rsid w:val="00A404AC"/>
    <w:rsid w:val="00A42975"/>
    <w:rsid w:val="00A43381"/>
    <w:rsid w:val="00A4431C"/>
    <w:rsid w:val="00A44917"/>
    <w:rsid w:val="00A47138"/>
    <w:rsid w:val="00A6001F"/>
    <w:rsid w:val="00A60FC5"/>
    <w:rsid w:val="00A61E4C"/>
    <w:rsid w:val="00A629B6"/>
    <w:rsid w:val="00A6508B"/>
    <w:rsid w:val="00A76EBA"/>
    <w:rsid w:val="00A87068"/>
    <w:rsid w:val="00A871F2"/>
    <w:rsid w:val="00A923C6"/>
    <w:rsid w:val="00A92914"/>
    <w:rsid w:val="00A945D1"/>
    <w:rsid w:val="00AA7EE2"/>
    <w:rsid w:val="00AB13EF"/>
    <w:rsid w:val="00AB1E0A"/>
    <w:rsid w:val="00AB572C"/>
    <w:rsid w:val="00AC7A9E"/>
    <w:rsid w:val="00AD2635"/>
    <w:rsid w:val="00AF58A4"/>
    <w:rsid w:val="00AF5C10"/>
    <w:rsid w:val="00B10C8B"/>
    <w:rsid w:val="00B13216"/>
    <w:rsid w:val="00B258C5"/>
    <w:rsid w:val="00B25991"/>
    <w:rsid w:val="00B265A5"/>
    <w:rsid w:val="00B27D66"/>
    <w:rsid w:val="00B320DD"/>
    <w:rsid w:val="00B32B71"/>
    <w:rsid w:val="00B418ED"/>
    <w:rsid w:val="00B50CEA"/>
    <w:rsid w:val="00B52353"/>
    <w:rsid w:val="00B55993"/>
    <w:rsid w:val="00B56578"/>
    <w:rsid w:val="00B6530E"/>
    <w:rsid w:val="00B658AA"/>
    <w:rsid w:val="00B71B6D"/>
    <w:rsid w:val="00B74CBC"/>
    <w:rsid w:val="00BA27F2"/>
    <w:rsid w:val="00BA7C6D"/>
    <w:rsid w:val="00BB1843"/>
    <w:rsid w:val="00BB18C6"/>
    <w:rsid w:val="00BB1BEE"/>
    <w:rsid w:val="00BC14C0"/>
    <w:rsid w:val="00BC15F5"/>
    <w:rsid w:val="00BC1887"/>
    <w:rsid w:val="00BC3BC9"/>
    <w:rsid w:val="00BD4473"/>
    <w:rsid w:val="00BD5567"/>
    <w:rsid w:val="00BD7636"/>
    <w:rsid w:val="00BE2ED7"/>
    <w:rsid w:val="00BE31DF"/>
    <w:rsid w:val="00BE3D20"/>
    <w:rsid w:val="00BE70C4"/>
    <w:rsid w:val="00BF15FB"/>
    <w:rsid w:val="00BF2AAD"/>
    <w:rsid w:val="00C01CAB"/>
    <w:rsid w:val="00C038CD"/>
    <w:rsid w:val="00C03A12"/>
    <w:rsid w:val="00C0652F"/>
    <w:rsid w:val="00C12231"/>
    <w:rsid w:val="00C12853"/>
    <w:rsid w:val="00C129E9"/>
    <w:rsid w:val="00C2451D"/>
    <w:rsid w:val="00C320B5"/>
    <w:rsid w:val="00C354CE"/>
    <w:rsid w:val="00C4146E"/>
    <w:rsid w:val="00C41845"/>
    <w:rsid w:val="00C4639F"/>
    <w:rsid w:val="00C466B4"/>
    <w:rsid w:val="00C51920"/>
    <w:rsid w:val="00C52319"/>
    <w:rsid w:val="00C52E69"/>
    <w:rsid w:val="00C55D30"/>
    <w:rsid w:val="00C60257"/>
    <w:rsid w:val="00C6093E"/>
    <w:rsid w:val="00C61C09"/>
    <w:rsid w:val="00C61C48"/>
    <w:rsid w:val="00C6318B"/>
    <w:rsid w:val="00C64FAF"/>
    <w:rsid w:val="00C7255F"/>
    <w:rsid w:val="00C72EAC"/>
    <w:rsid w:val="00C737D1"/>
    <w:rsid w:val="00C74375"/>
    <w:rsid w:val="00C74656"/>
    <w:rsid w:val="00C767F0"/>
    <w:rsid w:val="00C81B9E"/>
    <w:rsid w:val="00C8545F"/>
    <w:rsid w:val="00C927F4"/>
    <w:rsid w:val="00CA029B"/>
    <w:rsid w:val="00CA3973"/>
    <w:rsid w:val="00CA63CE"/>
    <w:rsid w:val="00CA6BBE"/>
    <w:rsid w:val="00CA6ECA"/>
    <w:rsid w:val="00CB4519"/>
    <w:rsid w:val="00CC2A6E"/>
    <w:rsid w:val="00CC377A"/>
    <w:rsid w:val="00CC490A"/>
    <w:rsid w:val="00CC647E"/>
    <w:rsid w:val="00CE1E2F"/>
    <w:rsid w:val="00CE659E"/>
    <w:rsid w:val="00CE6B5A"/>
    <w:rsid w:val="00CF035A"/>
    <w:rsid w:val="00CF16B5"/>
    <w:rsid w:val="00CF3000"/>
    <w:rsid w:val="00CF4093"/>
    <w:rsid w:val="00D04750"/>
    <w:rsid w:val="00D07AD6"/>
    <w:rsid w:val="00D13583"/>
    <w:rsid w:val="00D155A1"/>
    <w:rsid w:val="00D15F92"/>
    <w:rsid w:val="00D16ED5"/>
    <w:rsid w:val="00D17007"/>
    <w:rsid w:val="00D24B79"/>
    <w:rsid w:val="00D27070"/>
    <w:rsid w:val="00D2789C"/>
    <w:rsid w:val="00D30DAD"/>
    <w:rsid w:val="00D323A0"/>
    <w:rsid w:val="00D377D0"/>
    <w:rsid w:val="00D51EB9"/>
    <w:rsid w:val="00D52768"/>
    <w:rsid w:val="00D5517D"/>
    <w:rsid w:val="00D60E03"/>
    <w:rsid w:val="00D66A6F"/>
    <w:rsid w:val="00D70C23"/>
    <w:rsid w:val="00D722AB"/>
    <w:rsid w:val="00D76B0C"/>
    <w:rsid w:val="00D80368"/>
    <w:rsid w:val="00D824BB"/>
    <w:rsid w:val="00D905DB"/>
    <w:rsid w:val="00D91283"/>
    <w:rsid w:val="00DA6EDB"/>
    <w:rsid w:val="00DB74ED"/>
    <w:rsid w:val="00DC1276"/>
    <w:rsid w:val="00DC28B6"/>
    <w:rsid w:val="00DC4547"/>
    <w:rsid w:val="00DD020E"/>
    <w:rsid w:val="00DD28DE"/>
    <w:rsid w:val="00DD6454"/>
    <w:rsid w:val="00DD7E51"/>
    <w:rsid w:val="00DE2C0E"/>
    <w:rsid w:val="00DF2F37"/>
    <w:rsid w:val="00DF61BD"/>
    <w:rsid w:val="00DF638E"/>
    <w:rsid w:val="00DF6604"/>
    <w:rsid w:val="00E0231E"/>
    <w:rsid w:val="00E1564D"/>
    <w:rsid w:val="00E16613"/>
    <w:rsid w:val="00E17334"/>
    <w:rsid w:val="00E20B1C"/>
    <w:rsid w:val="00E23742"/>
    <w:rsid w:val="00E257C3"/>
    <w:rsid w:val="00E27AAE"/>
    <w:rsid w:val="00E31377"/>
    <w:rsid w:val="00E333BB"/>
    <w:rsid w:val="00E349ED"/>
    <w:rsid w:val="00E369F5"/>
    <w:rsid w:val="00E40CA8"/>
    <w:rsid w:val="00E63AAF"/>
    <w:rsid w:val="00E666CF"/>
    <w:rsid w:val="00E71F9C"/>
    <w:rsid w:val="00E72959"/>
    <w:rsid w:val="00E77519"/>
    <w:rsid w:val="00E8608A"/>
    <w:rsid w:val="00E87FF6"/>
    <w:rsid w:val="00E93FDB"/>
    <w:rsid w:val="00E9785D"/>
    <w:rsid w:val="00EA0073"/>
    <w:rsid w:val="00EB26EF"/>
    <w:rsid w:val="00EC05D0"/>
    <w:rsid w:val="00EC1185"/>
    <w:rsid w:val="00EC13DC"/>
    <w:rsid w:val="00EC4CC9"/>
    <w:rsid w:val="00EC7972"/>
    <w:rsid w:val="00ED3AF2"/>
    <w:rsid w:val="00ED7612"/>
    <w:rsid w:val="00EE013A"/>
    <w:rsid w:val="00EE01CF"/>
    <w:rsid w:val="00EE66B6"/>
    <w:rsid w:val="00EE79E2"/>
    <w:rsid w:val="00EF1AA2"/>
    <w:rsid w:val="00EF6F55"/>
    <w:rsid w:val="00EF720C"/>
    <w:rsid w:val="00F054C1"/>
    <w:rsid w:val="00F05861"/>
    <w:rsid w:val="00F1243E"/>
    <w:rsid w:val="00F14D46"/>
    <w:rsid w:val="00F15512"/>
    <w:rsid w:val="00F16E35"/>
    <w:rsid w:val="00F2298C"/>
    <w:rsid w:val="00F24F70"/>
    <w:rsid w:val="00F35D35"/>
    <w:rsid w:val="00F361AC"/>
    <w:rsid w:val="00F51B60"/>
    <w:rsid w:val="00F54853"/>
    <w:rsid w:val="00F57E88"/>
    <w:rsid w:val="00F62DFC"/>
    <w:rsid w:val="00F67847"/>
    <w:rsid w:val="00F718C4"/>
    <w:rsid w:val="00F73813"/>
    <w:rsid w:val="00F8400C"/>
    <w:rsid w:val="00F87914"/>
    <w:rsid w:val="00F87EB6"/>
    <w:rsid w:val="00F94ED0"/>
    <w:rsid w:val="00F9637A"/>
    <w:rsid w:val="00FA27CB"/>
    <w:rsid w:val="00FA2AD4"/>
    <w:rsid w:val="00FA4E7B"/>
    <w:rsid w:val="00FA65F6"/>
    <w:rsid w:val="00FB6C57"/>
    <w:rsid w:val="00FC0E4B"/>
    <w:rsid w:val="00FD454E"/>
    <w:rsid w:val="00FD6373"/>
    <w:rsid w:val="00FD67C3"/>
    <w:rsid w:val="00FF008E"/>
    <w:rsid w:val="00FF1277"/>
    <w:rsid w:val="00FF29E3"/>
    <w:rsid w:val="00FF3815"/>
    <w:rsid w:val="00FF3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F9BAB8"/>
  <w15:chartTrackingRefBased/>
  <w15:docId w15:val="{BCBF770A-50EA-4AB9-B9F7-81F014A69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5BF"/>
    <w:pPr>
      <w:spacing w:after="0" w:line="240" w:lineRule="auto"/>
    </w:pPr>
    <w:rPr>
      <w:rFonts w:ascii="Times New Roman" w:eastAsia="Times New Roman" w:hAnsi="Times New Roman" w:cs="Times New Roman"/>
      <w:sz w:val="24"/>
      <w:szCs w:val="24"/>
      <w:lang w:val="lt-LT"/>
    </w:rPr>
  </w:style>
  <w:style w:type="paragraph" w:styleId="Heading1">
    <w:name w:val="heading 1"/>
    <w:aliases w:val="ERP (1.),Appendix"/>
    <w:basedOn w:val="Normal"/>
    <w:next w:val="Normal"/>
    <w:link w:val="Heading1Char"/>
    <w:qFormat/>
    <w:rsid w:val="000A3F79"/>
    <w:pPr>
      <w:keepNext/>
      <w:spacing w:before="360" w:after="360"/>
      <w:jc w:val="center"/>
      <w:outlineLvl w:val="0"/>
    </w:pPr>
    <w:rPr>
      <w:sz w:val="28"/>
      <w:lang w:eastAsia="lt-LT"/>
    </w:rPr>
  </w:style>
  <w:style w:type="paragraph" w:styleId="Heading2">
    <w:name w:val="heading 2"/>
    <w:aliases w:val="Title Header2"/>
    <w:basedOn w:val="Normal"/>
    <w:next w:val="Normal"/>
    <w:link w:val="Heading2Char"/>
    <w:qFormat/>
    <w:rsid w:val="000A3F79"/>
    <w:pPr>
      <w:numPr>
        <w:ilvl w:val="1"/>
        <w:numId w:val="1"/>
      </w:numPr>
      <w:jc w:val="both"/>
      <w:outlineLvl w:val="1"/>
    </w:pPr>
    <w:rPr>
      <w:lang w:eastAsia="lt-LT"/>
    </w:rPr>
  </w:style>
  <w:style w:type="paragraph" w:styleId="Heading3">
    <w:name w:val="heading 3"/>
    <w:aliases w:val="Section Header3,Sub-Clause Paragraph"/>
    <w:basedOn w:val="Normal"/>
    <w:next w:val="Normal"/>
    <w:link w:val="Heading3Char"/>
    <w:qFormat/>
    <w:rsid w:val="000A3F79"/>
    <w:pPr>
      <w:keepNext/>
      <w:numPr>
        <w:ilvl w:val="2"/>
        <w:numId w:val="1"/>
      </w:numPr>
      <w:jc w:val="both"/>
      <w:outlineLvl w:val="2"/>
    </w:pPr>
    <w:rPr>
      <w:lang w:eastAsia="lt-LT"/>
    </w:rPr>
  </w:style>
  <w:style w:type="paragraph" w:styleId="Heading4">
    <w:name w:val="heading 4"/>
    <w:aliases w:val=" Sub-Clause Sub-paragraph,Sub-Clause Sub-paragraph,Heading 4 Char Char Char Char"/>
    <w:basedOn w:val="Normal"/>
    <w:next w:val="Normal"/>
    <w:link w:val="Heading4Char"/>
    <w:qFormat/>
    <w:rsid w:val="000A3F79"/>
    <w:pPr>
      <w:keepNext/>
      <w:numPr>
        <w:ilvl w:val="3"/>
        <w:numId w:val="1"/>
      </w:numPr>
      <w:outlineLvl w:val="3"/>
    </w:pPr>
    <w:rPr>
      <w:b/>
      <w:sz w:val="44"/>
      <w:lang w:eastAsia="lt-LT"/>
    </w:rPr>
  </w:style>
  <w:style w:type="paragraph" w:styleId="Heading5">
    <w:name w:val="heading 5"/>
    <w:aliases w:val=" Diagrama,Diagrama"/>
    <w:basedOn w:val="Normal"/>
    <w:next w:val="Normal"/>
    <w:link w:val="Heading5Char"/>
    <w:qFormat/>
    <w:rsid w:val="000A3F79"/>
    <w:pPr>
      <w:keepNext/>
      <w:numPr>
        <w:ilvl w:val="4"/>
        <w:numId w:val="1"/>
      </w:numPr>
      <w:outlineLvl w:val="4"/>
    </w:pPr>
    <w:rPr>
      <w:b/>
      <w:sz w:val="40"/>
      <w:lang w:eastAsia="lt-LT"/>
    </w:rPr>
  </w:style>
  <w:style w:type="paragraph" w:styleId="Heading6">
    <w:name w:val="heading 6"/>
    <w:basedOn w:val="Normal"/>
    <w:next w:val="Normal"/>
    <w:link w:val="Heading6Char"/>
    <w:qFormat/>
    <w:rsid w:val="000A3F79"/>
    <w:pPr>
      <w:keepNext/>
      <w:numPr>
        <w:ilvl w:val="5"/>
        <w:numId w:val="1"/>
      </w:numPr>
      <w:outlineLvl w:val="5"/>
    </w:pPr>
    <w:rPr>
      <w:b/>
      <w:sz w:val="36"/>
      <w:lang w:eastAsia="lt-LT"/>
    </w:rPr>
  </w:style>
  <w:style w:type="paragraph" w:styleId="Heading7">
    <w:name w:val="heading 7"/>
    <w:basedOn w:val="Normal"/>
    <w:next w:val="Normal"/>
    <w:link w:val="Heading7Char"/>
    <w:qFormat/>
    <w:rsid w:val="000A3F79"/>
    <w:pPr>
      <w:keepNext/>
      <w:numPr>
        <w:ilvl w:val="6"/>
        <w:numId w:val="1"/>
      </w:numPr>
      <w:outlineLvl w:val="6"/>
    </w:pPr>
    <w:rPr>
      <w:sz w:val="48"/>
      <w:lang w:eastAsia="lt-LT"/>
    </w:rPr>
  </w:style>
  <w:style w:type="paragraph" w:styleId="Heading8">
    <w:name w:val="heading 8"/>
    <w:basedOn w:val="Normal"/>
    <w:next w:val="Normal"/>
    <w:link w:val="Heading8Char"/>
    <w:qFormat/>
    <w:rsid w:val="000A3F79"/>
    <w:pPr>
      <w:keepNext/>
      <w:numPr>
        <w:ilvl w:val="7"/>
        <w:numId w:val="1"/>
      </w:numPr>
      <w:outlineLvl w:val="7"/>
    </w:pPr>
    <w:rPr>
      <w:b/>
      <w:sz w:val="18"/>
      <w:lang w:eastAsia="lt-LT"/>
    </w:rPr>
  </w:style>
  <w:style w:type="paragraph" w:styleId="Heading9">
    <w:name w:val="heading 9"/>
    <w:basedOn w:val="Normal"/>
    <w:next w:val="Normal"/>
    <w:link w:val="Heading9Char"/>
    <w:qFormat/>
    <w:rsid w:val="000A3F79"/>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1,Appendix Char"/>
    <w:basedOn w:val="DefaultParagraphFont"/>
    <w:link w:val="Heading1"/>
    <w:rsid w:val="000A3F79"/>
    <w:rPr>
      <w:rFonts w:ascii="Times New Roman" w:eastAsia="Times New Roman" w:hAnsi="Times New Roman" w:cs="Times New Roman"/>
      <w:sz w:val="28"/>
      <w:szCs w:val="24"/>
      <w:lang w:val="lt-LT" w:eastAsia="lt-LT"/>
    </w:rPr>
  </w:style>
  <w:style w:type="character" w:customStyle="1" w:styleId="Heading2Char">
    <w:name w:val="Heading 2 Char"/>
    <w:aliases w:val="Title Header2 Char"/>
    <w:basedOn w:val="DefaultParagraphFont"/>
    <w:link w:val="Heading2"/>
    <w:rsid w:val="000A3F79"/>
    <w:rPr>
      <w:rFonts w:ascii="Times New Roman" w:eastAsia="Times New Roman" w:hAnsi="Times New Roman" w:cs="Times New Roman"/>
      <w:sz w:val="24"/>
      <w:szCs w:val="24"/>
      <w:lang w:val="lt-LT" w:eastAsia="lt-LT"/>
    </w:rPr>
  </w:style>
  <w:style w:type="character" w:customStyle="1" w:styleId="Heading3Char">
    <w:name w:val="Heading 3 Char"/>
    <w:aliases w:val="Section Header3 Char,Sub-Clause Paragraph Char"/>
    <w:basedOn w:val="DefaultParagraphFont"/>
    <w:link w:val="Heading3"/>
    <w:rsid w:val="000A3F79"/>
    <w:rPr>
      <w:rFonts w:ascii="Times New Roman" w:eastAsia="Times New Roman" w:hAnsi="Times New Roman" w:cs="Times New Roman"/>
      <w:sz w:val="24"/>
      <w:szCs w:val="24"/>
      <w:lang w:val="lt-LT" w:eastAsia="lt-LT"/>
    </w:rPr>
  </w:style>
  <w:style w:type="character" w:customStyle="1" w:styleId="Heading4Char">
    <w:name w:val="Heading 4 Char"/>
    <w:aliases w:val=" Sub-Clause Sub-paragraph Char,Sub-Clause Sub-paragraph Char,Heading 4 Char Char Char Char Char"/>
    <w:basedOn w:val="DefaultParagraphFont"/>
    <w:link w:val="Heading4"/>
    <w:rsid w:val="000A3F79"/>
    <w:rPr>
      <w:rFonts w:ascii="Times New Roman" w:eastAsia="Times New Roman" w:hAnsi="Times New Roman" w:cs="Times New Roman"/>
      <w:b/>
      <w:sz w:val="44"/>
      <w:szCs w:val="24"/>
      <w:lang w:val="lt-LT" w:eastAsia="lt-LT"/>
    </w:rPr>
  </w:style>
  <w:style w:type="character" w:customStyle="1" w:styleId="Heading5Char">
    <w:name w:val="Heading 5 Char"/>
    <w:aliases w:val=" Diagrama Char,Diagrama Char1"/>
    <w:basedOn w:val="DefaultParagraphFont"/>
    <w:link w:val="Heading5"/>
    <w:rsid w:val="000A3F79"/>
    <w:rPr>
      <w:rFonts w:ascii="Times New Roman" w:eastAsia="Times New Roman" w:hAnsi="Times New Roman" w:cs="Times New Roman"/>
      <w:b/>
      <w:sz w:val="40"/>
      <w:szCs w:val="24"/>
      <w:lang w:val="lt-LT" w:eastAsia="lt-LT"/>
    </w:rPr>
  </w:style>
  <w:style w:type="character" w:customStyle="1" w:styleId="Heading6Char">
    <w:name w:val="Heading 6 Char"/>
    <w:basedOn w:val="DefaultParagraphFont"/>
    <w:link w:val="Heading6"/>
    <w:rsid w:val="000A3F79"/>
    <w:rPr>
      <w:rFonts w:ascii="Times New Roman" w:eastAsia="Times New Roman" w:hAnsi="Times New Roman" w:cs="Times New Roman"/>
      <w:b/>
      <w:sz w:val="36"/>
      <w:szCs w:val="24"/>
      <w:lang w:val="lt-LT" w:eastAsia="lt-LT"/>
    </w:rPr>
  </w:style>
  <w:style w:type="character" w:customStyle="1" w:styleId="Heading7Char">
    <w:name w:val="Heading 7 Char"/>
    <w:basedOn w:val="DefaultParagraphFont"/>
    <w:link w:val="Heading7"/>
    <w:rsid w:val="000A3F79"/>
    <w:rPr>
      <w:rFonts w:ascii="Times New Roman" w:eastAsia="Times New Roman" w:hAnsi="Times New Roman" w:cs="Times New Roman"/>
      <w:sz w:val="48"/>
      <w:szCs w:val="24"/>
      <w:lang w:val="lt-LT" w:eastAsia="lt-LT"/>
    </w:rPr>
  </w:style>
  <w:style w:type="character" w:customStyle="1" w:styleId="Heading8Char">
    <w:name w:val="Heading 8 Char"/>
    <w:basedOn w:val="DefaultParagraphFont"/>
    <w:link w:val="Heading8"/>
    <w:rsid w:val="000A3F79"/>
    <w:rPr>
      <w:rFonts w:ascii="Times New Roman" w:eastAsia="Times New Roman" w:hAnsi="Times New Roman" w:cs="Times New Roman"/>
      <w:b/>
      <w:sz w:val="18"/>
      <w:szCs w:val="24"/>
      <w:lang w:val="lt-LT" w:eastAsia="lt-LT"/>
    </w:rPr>
  </w:style>
  <w:style w:type="character" w:customStyle="1" w:styleId="Heading9Char">
    <w:name w:val="Heading 9 Char"/>
    <w:basedOn w:val="DefaultParagraphFont"/>
    <w:link w:val="Heading9"/>
    <w:rsid w:val="000A3F79"/>
    <w:rPr>
      <w:rFonts w:ascii="Times New Roman" w:eastAsia="Times New Roman" w:hAnsi="Times New Roman" w:cs="Times New Roman"/>
      <w:sz w:val="40"/>
      <w:szCs w:val="24"/>
      <w:lang w:val="lt-LT" w:eastAsia="lt-LT"/>
    </w:rPr>
  </w:style>
  <w:style w:type="character" w:styleId="Hyperlink">
    <w:name w:val="Hyperlink"/>
    <w:aliases w:val="Alna"/>
    <w:uiPriority w:val="99"/>
    <w:rsid w:val="000A3F79"/>
    <w:rPr>
      <w:color w:val="0000FF"/>
      <w:u w:val="single"/>
    </w:rPr>
  </w:style>
  <w:style w:type="paragraph" w:styleId="HTMLPreformatted">
    <w:name w:val="HTML Preformatted"/>
    <w:basedOn w:val="Normal"/>
    <w:link w:val="HTMLPreformattedChar"/>
    <w:rsid w:val="000A3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rPr>
  </w:style>
  <w:style w:type="character" w:customStyle="1" w:styleId="HTMLPreformattedChar">
    <w:name w:val="HTML Preformatted Char"/>
    <w:basedOn w:val="DefaultParagraphFont"/>
    <w:link w:val="HTMLPreformatted"/>
    <w:rsid w:val="000A3F79"/>
    <w:rPr>
      <w:rFonts w:ascii="Courier New" w:eastAsia="Times New Roman" w:hAnsi="Courier New" w:cs="Times New Roman"/>
      <w:sz w:val="20"/>
      <w:szCs w:val="24"/>
    </w:rPr>
  </w:style>
  <w:style w:type="paragraph" w:customStyle="1" w:styleId="Point1">
    <w:name w:val="Point 1"/>
    <w:basedOn w:val="Normal"/>
    <w:rsid w:val="000A3F79"/>
    <w:pPr>
      <w:spacing w:before="120" w:after="120"/>
      <w:ind w:left="1418" w:hanging="567"/>
      <w:jc w:val="both"/>
    </w:pPr>
    <w:rPr>
      <w:lang w:val="en-GB" w:eastAsia="lt-LT"/>
    </w:rPr>
  </w:style>
  <w:style w:type="paragraph" w:styleId="Header">
    <w:name w:val="header"/>
    <w:basedOn w:val="Normal"/>
    <w:link w:val="HeaderChar"/>
    <w:uiPriority w:val="99"/>
    <w:rsid w:val="000A3F79"/>
    <w:pPr>
      <w:tabs>
        <w:tab w:val="center" w:pos="4153"/>
        <w:tab w:val="right" w:pos="8306"/>
      </w:tabs>
      <w:jc w:val="both"/>
    </w:pPr>
  </w:style>
  <w:style w:type="character" w:customStyle="1" w:styleId="HeaderChar">
    <w:name w:val="Header Char"/>
    <w:basedOn w:val="DefaultParagraphFont"/>
    <w:link w:val="Header"/>
    <w:uiPriority w:val="99"/>
    <w:rsid w:val="000A3F79"/>
    <w:rPr>
      <w:rFonts w:ascii="Times New Roman" w:eastAsia="Times New Roman" w:hAnsi="Times New Roman" w:cs="Times New Roman"/>
      <w:sz w:val="24"/>
      <w:szCs w:val="24"/>
      <w:lang w:val="lt-LT"/>
    </w:rPr>
  </w:style>
  <w:style w:type="character" w:styleId="PageNumber">
    <w:name w:val="page number"/>
    <w:basedOn w:val="DefaultParagraphFont"/>
    <w:rsid w:val="000A3F79"/>
  </w:style>
  <w:style w:type="paragraph" w:styleId="Footer">
    <w:name w:val="footer"/>
    <w:basedOn w:val="Normal"/>
    <w:link w:val="FooterChar"/>
    <w:rsid w:val="000A3F79"/>
    <w:pPr>
      <w:tabs>
        <w:tab w:val="center" w:pos="4153"/>
        <w:tab w:val="right" w:pos="8306"/>
      </w:tabs>
      <w:jc w:val="both"/>
    </w:pPr>
  </w:style>
  <w:style w:type="character" w:customStyle="1" w:styleId="FooterChar">
    <w:name w:val="Footer Char"/>
    <w:basedOn w:val="DefaultParagraphFont"/>
    <w:link w:val="Footer"/>
    <w:rsid w:val="000A3F79"/>
    <w:rPr>
      <w:rFonts w:ascii="Times New Roman" w:eastAsia="Times New Roman" w:hAnsi="Times New Roman" w:cs="Times New Roman"/>
      <w:sz w:val="24"/>
      <w:szCs w:val="24"/>
      <w:lang w:val="lt-LT"/>
    </w:rPr>
  </w:style>
  <w:style w:type="paragraph" w:styleId="TOC1">
    <w:name w:val="toc 1"/>
    <w:basedOn w:val="Normal"/>
    <w:next w:val="Normal"/>
    <w:autoRedefine/>
    <w:uiPriority w:val="39"/>
    <w:rsid w:val="00C6318B"/>
    <w:pPr>
      <w:tabs>
        <w:tab w:val="right" w:leader="dot" w:pos="9628"/>
      </w:tabs>
    </w:pPr>
    <w:rPr>
      <w:sz w:val="22"/>
      <w:szCs w:val="22"/>
    </w:rPr>
  </w:style>
  <w:style w:type="paragraph" w:styleId="BodyText">
    <w:name w:val="Body Text"/>
    <w:aliases w:val=" Char1,Char, Char, Char Char, Char Char Char Diagrama Diagrama Diagrama Diagrama Diagrama, Char Char Char Diagrama Diagrama Diagrama Diagrama Diagrama Diagrama Diagrama Diagrama Diagrama Diagrama ,body text,contents,bt,b"/>
    <w:basedOn w:val="Normal"/>
    <w:link w:val="BodyTextChar"/>
    <w:rsid w:val="000A3F79"/>
    <w:pPr>
      <w:spacing w:after="120"/>
    </w:pPr>
    <w:rPr>
      <w:lang w:eastAsia="lt-LT"/>
    </w:rPr>
  </w:style>
  <w:style w:type="character" w:customStyle="1" w:styleId="BodyTextChar">
    <w:name w:val="Body Text Char"/>
    <w:aliases w:val=" Char1 Char,Char Char1, Char Char1, Char Char Char, Char Char Char Diagrama Diagrama Diagrama Diagrama Diagrama Char, Char Char Char Diagrama Diagrama Diagrama Diagrama Diagrama Diagrama Diagrama Diagrama Diagrama Diagrama  Char,bt Char"/>
    <w:basedOn w:val="DefaultParagraphFont"/>
    <w:link w:val="BodyText"/>
    <w:rsid w:val="000A3F79"/>
    <w:rPr>
      <w:rFonts w:ascii="Times New Roman" w:eastAsia="Times New Roman" w:hAnsi="Times New Roman" w:cs="Times New Roman"/>
      <w:sz w:val="24"/>
      <w:szCs w:val="24"/>
      <w:lang w:val="lt-LT" w:eastAsia="lt-LT"/>
    </w:rPr>
  </w:style>
  <w:style w:type="paragraph" w:customStyle="1" w:styleId="normaltableau">
    <w:name w:val="normal_tableau"/>
    <w:basedOn w:val="Normal"/>
    <w:rsid w:val="000A3F79"/>
    <w:pPr>
      <w:spacing w:before="120" w:after="120"/>
      <w:jc w:val="both"/>
    </w:pPr>
    <w:rPr>
      <w:rFonts w:ascii="Optima" w:hAnsi="Optima"/>
      <w:sz w:val="22"/>
      <w:lang w:val="en-GB"/>
    </w:rPr>
  </w:style>
  <w:style w:type="paragraph" w:customStyle="1" w:styleId="TEKSTAS">
    <w:name w:val="TEKSTAS"/>
    <w:basedOn w:val="Normal"/>
    <w:rsid w:val="000A3F79"/>
    <w:pPr>
      <w:widowControl w:val="0"/>
      <w:overflowPunct w:val="0"/>
      <w:autoSpaceDE w:val="0"/>
      <w:autoSpaceDN w:val="0"/>
      <w:adjustRightInd w:val="0"/>
      <w:spacing w:before="60" w:after="60"/>
      <w:jc w:val="both"/>
    </w:pPr>
    <w:rPr>
      <w:lang w:val="en-GB"/>
    </w:rPr>
  </w:style>
  <w:style w:type="paragraph" w:customStyle="1" w:styleId="Regulartext">
    <w:name w:val="Regular text"/>
    <w:basedOn w:val="Normal"/>
    <w:rsid w:val="000A3F79"/>
    <w:pPr>
      <w:spacing w:before="120" w:after="120"/>
      <w:ind w:left="142"/>
      <w:jc w:val="both"/>
    </w:pPr>
    <w:rPr>
      <w:rFonts w:ascii="Verdana" w:hAnsi="Verdana"/>
      <w:sz w:val="18"/>
    </w:rPr>
  </w:style>
  <w:style w:type="paragraph" w:styleId="BodyTextIndent">
    <w:name w:val="Body Text Indent"/>
    <w:basedOn w:val="Normal"/>
    <w:link w:val="BodyTextIndentChar"/>
    <w:rsid w:val="000A3F79"/>
    <w:pPr>
      <w:spacing w:after="120"/>
      <w:ind w:left="283"/>
    </w:pPr>
  </w:style>
  <w:style w:type="character" w:customStyle="1" w:styleId="BodyTextIndentChar">
    <w:name w:val="Body Text Indent Char"/>
    <w:basedOn w:val="DefaultParagraphFont"/>
    <w:link w:val="BodyTextIndent"/>
    <w:rsid w:val="000A3F79"/>
    <w:rPr>
      <w:rFonts w:ascii="Times New Roman" w:eastAsia="Times New Roman" w:hAnsi="Times New Roman" w:cs="Times New Roman"/>
      <w:sz w:val="24"/>
      <w:szCs w:val="24"/>
      <w:lang w:val="lt-LT"/>
    </w:rPr>
  </w:style>
  <w:style w:type="paragraph" w:customStyle="1" w:styleId="Paraas1">
    <w:name w:val="Parašas1"/>
    <w:basedOn w:val="Normal"/>
    <w:rsid w:val="000A3F79"/>
    <w:pPr>
      <w:spacing w:line="360" w:lineRule="auto"/>
      <w:jc w:val="both"/>
    </w:pPr>
    <w:rPr>
      <w:rFonts w:ascii="Arial Narrow" w:hAnsi="Arial Narrow"/>
    </w:rPr>
  </w:style>
  <w:style w:type="paragraph" w:styleId="BodyText2">
    <w:name w:val="Body Text 2"/>
    <w:basedOn w:val="Normal"/>
    <w:link w:val="BodyText2Char"/>
    <w:rsid w:val="000A3F79"/>
    <w:pPr>
      <w:spacing w:after="120" w:line="480" w:lineRule="auto"/>
    </w:pPr>
  </w:style>
  <w:style w:type="character" w:customStyle="1" w:styleId="BodyText2Char">
    <w:name w:val="Body Text 2 Char"/>
    <w:basedOn w:val="DefaultParagraphFont"/>
    <w:link w:val="BodyText2"/>
    <w:rsid w:val="000A3F79"/>
    <w:rPr>
      <w:rFonts w:ascii="Times New Roman" w:eastAsia="Times New Roman" w:hAnsi="Times New Roman" w:cs="Times New Roman"/>
      <w:sz w:val="24"/>
      <w:szCs w:val="24"/>
      <w:lang w:val="lt-LT"/>
    </w:rPr>
  </w:style>
  <w:style w:type="paragraph" w:styleId="BalloonText">
    <w:name w:val="Balloon Text"/>
    <w:basedOn w:val="Normal"/>
    <w:link w:val="BalloonTextChar"/>
    <w:rsid w:val="000A3F79"/>
    <w:rPr>
      <w:rFonts w:ascii="Tahoma" w:hAnsi="Tahoma"/>
      <w:sz w:val="16"/>
      <w:szCs w:val="16"/>
    </w:rPr>
  </w:style>
  <w:style w:type="character" w:customStyle="1" w:styleId="BalloonTextChar">
    <w:name w:val="Balloon Text Char"/>
    <w:basedOn w:val="DefaultParagraphFont"/>
    <w:link w:val="BalloonText"/>
    <w:rsid w:val="000A3F79"/>
    <w:rPr>
      <w:rFonts w:ascii="Tahoma" w:eastAsia="Times New Roman" w:hAnsi="Tahoma" w:cs="Times New Roman"/>
      <w:sz w:val="16"/>
      <w:szCs w:val="16"/>
      <w:lang w:val="lt-LT"/>
    </w:rPr>
  </w:style>
  <w:style w:type="character" w:styleId="CommentReference">
    <w:name w:val="annotation reference"/>
    <w:uiPriority w:val="99"/>
    <w:rsid w:val="000A3F79"/>
    <w:rPr>
      <w:sz w:val="16"/>
      <w:szCs w:val="16"/>
    </w:rPr>
  </w:style>
  <w:style w:type="paragraph" w:styleId="CommentText">
    <w:name w:val="annotation text"/>
    <w:basedOn w:val="Normal"/>
    <w:link w:val="CommentTextChar"/>
    <w:uiPriority w:val="99"/>
    <w:rsid w:val="000A3F79"/>
    <w:rPr>
      <w:sz w:val="20"/>
    </w:rPr>
  </w:style>
  <w:style w:type="character" w:customStyle="1" w:styleId="CommentTextChar">
    <w:name w:val="Comment Text Char"/>
    <w:basedOn w:val="DefaultParagraphFont"/>
    <w:link w:val="CommentText"/>
    <w:uiPriority w:val="99"/>
    <w:rsid w:val="000A3F79"/>
    <w:rPr>
      <w:rFonts w:ascii="Times New Roman" w:eastAsia="Times New Roman" w:hAnsi="Times New Roman" w:cs="Times New Roman"/>
      <w:sz w:val="20"/>
      <w:szCs w:val="24"/>
      <w:lang w:val="lt-LT"/>
    </w:rPr>
  </w:style>
  <w:style w:type="paragraph" w:styleId="CommentSubject">
    <w:name w:val="annotation subject"/>
    <w:basedOn w:val="CommentText"/>
    <w:next w:val="CommentText"/>
    <w:link w:val="CommentSubjectChar"/>
    <w:rsid w:val="000A3F79"/>
    <w:rPr>
      <w:b/>
      <w:bCs/>
    </w:rPr>
  </w:style>
  <w:style w:type="character" w:customStyle="1" w:styleId="CommentSubjectChar">
    <w:name w:val="Comment Subject Char"/>
    <w:basedOn w:val="CommentTextChar"/>
    <w:link w:val="CommentSubject"/>
    <w:rsid w:val="000A3F79"/>
    <w:rPr>
      <w:rFonts w:ascii="Times New Roman" w:eastAsia="Times New Roman" w:hAnsi="Times New Roman" w:cs="Times New Roman"/>
      <w:b/>
      <w:bCs/>
      <w:sz w:val="20"/>
      <w:szCs w:val="24"/>
      <w:lang w:val="lt-LT"/>
    </w:rPr>
  </w:style>
  <w:style w:type="paragraph" w:styleId="NormalWeb">
    <w:name w:val="Normal (Web)"/>
    <w:basedOn w:val="Normal"/>
    <w:uiPriority w:val="99"/>
    <w:rsid w:val="000A3F79"/>
  </w:style>
  <w:style w:type="paragraph" w:styleId="BodyTextIndent3">
    <w:name w:val="Body Text Indent 3"/>
    <w:basedOn w:val="Normal"/>
    <w:link w:val="BodyTextIndent3Char"/>
    <w:rsid w:val="000A3F79"/>
    <w:pPr>
      <w:spacing w:after="120"/>
      <w:ind w:left="283"/>
    </w:pPr>
    <w:rPr>
      <w:sz w:val="16"/>
      <w:szCs w:val="16"/>
    </w:rPr>
  </w:style>
  <w:style w:type="character" w:customStyle="1" w:styleId="BodyTextIndent3Char">
    <w:name w:val="Body Text Indent 3 Char"/>
    <w:basedOn w:val="DefaultParagraphFont"/>
    <w:link w:val="BodyTextIndent3"/>
    <w:rsid w:val="000A3F79"/>
    <w:rPr>
      <w:rFonts w:ascii="Times New Roman" w:eastAsia="Times New Roman" w:hAnsi="Times New Roman" w:cs="Times New Roman"/>
      <w:sz w:val="16"/>
      <w:szCs w:val="16"/>
      <w:lang w:val="lt-LT"/>
    </w:rPr>
  </w:style>
  <w:style w:type="paragraph" w:styleId="BodyTextIndent2">
    <w:name w:val="Body Text Indent 2"/>
    <w:basedOn w:val="Normal"/>
    <w:link w:val="BodyTextIndent2Char"/>
    <w:rsid w:val="000A3F79"/>
    <w:pPr>
      <w:spacing w:after="120" w:line="480" w:lineRule="auto"/>
      <w:ind w:left="283"/>
    </w:pPr>
  </w:style>
  <w:style w:type="character" w:customStyle="1" w:styleId="BodyTextIndent2Char">
    <w:name w:val="Body Text Indent 2 Char"/>
    <w:basedOn w:val="DefaultParagraphFont"/>
    <w:link w:val="BodyTextIndent2"/>
    <w:rsid w:val="000A3F79"/>
    <w:rPr>
      <w:rFonts w:ascii="Times New Roman" w:eastAsia="Times New Roman" w:hAnsi="Times New Roman" w:cs="Times New Roman"/>
      <w:sz w:val="24"/>
      <w:szCs w:val="24"/>
      <w:lang w:val="lt-LT"/>
    </w:rPr>
  </w:style>
  <w:style w:type="paragraph" w:customStyle="1" w:styleId="CharChar">
    <w:name w:val="Char Char"/>
    <w:basedOn w:val="Normal"/>
    <w:rsid w:val="000A3F79"/>
    <w:pPr>
      <w:spacing w:after="160" w:line="240" w:lineRule="exact"/>
    </w:pPr>
    <w:rPr>
      <w:rFonts w:ascii="Tahoma" w:hAnsi="Tahoma"/>
      <w:sz w:val="20"/>
      <w:lang w:val="en-US"/>
    </w:rPr>
  </w:style>
  <w:style w:type="character" w:customStyle="1" w:styleId="CharChar13">
    <w:name w:val="Char Char13"/>
    <w:rsid w:val="000A3F79"/>
    <w:rPr>
      <w:sz w:val="24"/>
      <w:lang w:val="lt-LT" w:eastAsia="lt-LT" w:bidi="ar-SA"/>
    </w:rPr>
  </w:style>
  <w:style w:type="character" w:customStyle="1" w:styleId="CharChar11">
    <w:name w:val="Char Char11"/>
    <w:rsid w:val="000A3F79"/>
    <w:rPr>
      <w:b/>
      <w:sz w:val="44"/>
      <w:lang w:val="lt-LT" w:eastAsia="lt-LT" w:bidi="ar-SA"/>
    </w:rPr>
  </w:style>
  <w:style w:type="paragraph" w:customStyle="1" w:styleId="BodyText1">
    <w:name w:val="Body Text1"/>
    <w:aliases w:val="Char Char Char,Char Char Char Diagrama Diagrama Diagrama Diagrama Diagrama,Char Char Char Diagrama Diagrama Diagrama Diagrama Diagrama Diagrama Diagrama Diagrama Diagrama Diagrama"/>
    <w:link w:val="BodytextDiagrama"/>
    <w:rsid w:val="000A3F79"/>
    <w:pPr>
      <w:autoSpaceDE w:val="0"/>
      <w:autoSpaceDN w:val="0"/>
      <w:adjustRightInd w:val="0"/>
      <w:spacing w:after="0" w:line="240" w:lineRule="auto"/>
      <w:ind w:firstLine="312"/>
      <w:jc w:val="both"/>
    </w:pPr>
    <w:rPr>
      <w:rFonts w:ascii="TimesLT" w:eastAsia="Times New Roman" w:hAnsi="TimesLT" w:cs="Times New Roman"/>
      <w:sz w:val="24"/>
      <w:szCs w:val="24"/>
    </w:rPr>
  </w:style>
  <w:style w:type="paragraph" w:customStyle="1" w:styleId="CentrBoldm">
    <w:name w:val="CentrBoldm"/>
    <w:basedOn w:val="Normal"/>
    <w:rsid w:val="000A3F79"/>
    <w:pPr>
      <w:autoSpaceDE w:val="0"/>
      <w:autoSpaceDN w:val="0"/>
      <w:adjustRightInd w:val="0"/>
      <w:jc w:val="center"/>
    </w:pPr>
    <w:rPr>
      <w:rFonts w:ascii="TimesLT" w:hAnsi="TimesLT"/>
      <w:b/>
      <w:bCs/>
      <w:sz w:val="20"/>
      <w:lang w:val="en-US"/>
    </w:rPr>
  </w:style>
  <w:style w:type="paragraph" w:customStyle="1" w:styleId="Patvirtinta">
    <w:name w:val="Patvirtinta"/>
    <w:rsid w:val="000A3F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4"/>
      <w:szCs w:val="24"/>
    </w:rPr>
  </w:style>
  <w:style w:type="paragraph" w:customStyle="1" w:styleId="Linija">
    <w:name w:val="Linija"/>
    <w:basedOn w:val="MAZAS"/>
    <w:rsid w:val="000A3F79"/>
    <w:pPr>
      <w:ind w:firstLine="0"/>
      <w:jc w:val="center"/>
    </w:pPr>
    <w:rPr>
      <w:color w:val="auto"/>
      <w:sz w:val="12"/>
      <w:szCs w:val="12"/>
    </w:rPr>
  </w:style>
  <w:style w:type="paragraph" w:customStyle="1" w:styleId="MAZAS">
    <w:name w:val="MAZAS"/>
    <w:rsid w:val="000A3F79"/>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character" w:styleId="FollowedHyperlink">
    <w:name w:val="FollowedHyperlink"/>
    <w:rsid w:val="000A3F79"/>
    <w:rPr>
      <w:color w:val="800080"/>
      <w:u w:val="single"/>
    </w:rPr>
  </w:style>
  <w:style w:type="character" w:styleId="Emphasis">
    <w:name w:val="Emphasis"/>
    <w:qFormat/>
    <w:rsid w:val="000A3F79"/>
    <w:rPr>
      <w:b/>
      <w:bCs/>
      <w:i w:val="0"/>
      <w:iCs w:val="0"/>
    </w:rPr>
  </w:style>
  <w:style w:type="character" w:customStyle="1" w:styleId="BodyText3Char">
    <w:name w:val="Body Text 3 Char"/>
    <w:link w:val="BodyText3"/>
    <w:rsid w:val="000A3F79"/>
    <w:rPr>
      <w:rFonts w:ascii="Times New Roman" w:eastAsia="Times New Roman" w:hAnsi="Times New Roman" w:cs="Times New Roman"/>
      <w:sz w:val="16"/>
      <w:szCs w:val="16"/>
    </w:rPr>
  </w:style>
  <w:style w:type="paragraph" w:styleId="BodyText3">
    <w:name w:val="Body Text 3"/>
    <w:basedOn w:val="Normal"/>
    <w:link w:val="BodyText3Char"/>
    <w:unhideWhenUsed/>
    <w:rsid w:val="000A3F79"/>
    <w:pPr>
      <w:spacing w:after="120"/>
    </w:pPr>
    <w:rPr>
      <w:sz w:val="16"/>
      <w:szCs w:val="16"/>
      <w:lang w:val="en-US"/>
    </w:rPr>
  </w:style>
  <w:style w:type="character" w:customStyle="1" w:styleId="BodyText3Char1">
    <w:name w:val="Body Text 3 Char1"/>
    <w:basedOn w:val="DefaultParagraphFont"/>
    <w:uiPriority w:val="99"/>
    <w:semiHidden/>
    <w:rsid w:val="000A3F79"/>
    <w:rPr>
      <w:rFonts w:ascii="Times New Roman" w:eastAsia="Times New Roman" w:hAnsi="Times New Roman" w:cs="Times New Roman"/>
      <w:sz w:val="16"/>
      <w:szCs w:val="16"/>
      <w:lang w:val="lt-LT"/>
    </w:rPr>
  </w:style>
  <w:style w:type="character" w:customStyle="1" w:styleId="Pagrindinistekstas3Diagrama1">
    <w:name w:val="Pagrindinis tekstas 3 Diagrama1"/>
    <w:basedOn w:val="DefaultParagraphFont"/>
    <w:uiPriority w:val="99"/>
    <w:semiHidden/>
    <w:rsid w:val="000A3F79"/>
    <w:rPr>
      <w:rFonts w:ascii="Times New Roman" w:eastAsia="Times New Roman" w:hAnsi="Times New Roman" w:cs="Times New Roman"/>
      <w:sz w:val="16"/>
      <w:szCs w:val="16"/>
    </w:rPr>
  </w:style>
  <w:style w:type="paragraph" w:styleId="FootnoteText">
    <w:name w:val="footnote text"/>
    <w:basedOn w:val="Normal"/>
    <w:link w:val="FootnoteTextChar"/>
    <w:rsid w:val="000A3F79"/>
    <w:rPr>
      <w:sz w:val="20"/>
    </w:rPr>
  </w:style>
  <w:style w:type="character" w:customStyle="1" w:styleId="FootnoteTextChar">
    <w:name w:val="Footnote Text Char"/>
    <w:basedOn w:val="DefaultParagraphFont"/>
    <w:link w:val="FootnoteText"/>
    <w:rsid w:val="000A3F79"/>
    <w:rPr>
      <w:rFonts w:ascii="Times New Roman" w:eastAsia="Times New Roman" w:hAnsi="Times New Roman" w:cs="Times New Roman"/>
      <w:sz w:val="20"/>
      <w:szCs w:val="24"/>
      <w:lang w:val="lt-LT"/>
    </w:rPr>
  </w:style>
  <w:style w:type="character" w:styleId="FootnoteReference">
    <w:name w:val="footnote reference"/>
    <w:rsid w:val="000A3F79"/>
    <w:rPr>
      <w:vertAlign w:val="superscript"/>
    </w:rPr>
  </w:style>
  <w:style w:type="paragraph" w:styleId="TOAHeading">
    <w:name w:val="toa heading"/>
    <w:basedOn w:val="Normal"/>
    <w:next w:val="Normal"/>
    <w:rsid w:val="000A3F79"/>
    <w:pPr>
      <w:spacing w:before="120" w:after="240"/>
      <w:jc w:val="both"/>
    </w:pPr>
    <w:rPr>
      <w:rFonts w:ascii="Arial" w:hAnsi="Arial"/>
      <w:b/>
      <w:sz w:val="20"/>
      <w:lang w:val="en-GB"/>
    </w:rPr>
  </w:style>
  <w:style w:type="paragraph" w:styleId="PlainText">
    <w:name w:val="Plain Text"/>
    <w:basedOn w:val="Normal"/>
    <w:link w:val="PlainTextChar"/>
    <w:rsid w:val="000A3F79"/>
    <w:rPr>
      <w:rFonts w:ascii="Courier New" w:eastAsia="Calibri" w:hAnsi="Courier New"/>
    </w:rPr>
  </w:style>
  <w:style w:type="character" w:customStyle="1" w:styleId="PlainTextChar">
    <w:name w:val="Plain Text Char"/>
    <w:basedOn w:val="DefaultParagraphFont"/>
    <w:link w:val="PlainText"/>
    <w:rsid w:val="000A3F79"/>
    <w:rPr>
      <w:rFonts w:ascii="Courier New" w:eastAsia="Calibri" w:hAnsi="Courier New" w:cs="Times New Roman"/>
      <w:sz w:val="24"/>
      <w:szCs w:val="24"/>
      <w:lang w:val="lt-LT"/>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Bullet,List Paragraph3,lp1"/>
    <w:basedOn w:val="Normal"/>
    <w:link w:val="ListParagraphChar1"/>
    <w:uiPriority w:val="34"/>
    <w:qFormat/>
    <w:rsid w:val="000A3F79"/>
    <w:pPr>
      <w:ind w:left="720"/>
      <w:contextualSpacing/>
    </w:pPr>
  </w:style>
  <w:style w:type="paragraph" w:styleId="Revision">
    <w:name w:val="Revision"/>
    <w:hidden/>
    <w:uiPriority w:val="99"/>
    <w:semiHidden/>
    <w:rsid w:val="000A3F79"/>
    <w:pPr>
      <w:spacing w:after="0" w:line="240" w:lineRule="auto"/>
    </w:pPr>
    <w:rPr>
      <w:rFonts w:ascii="Times New Roman" w:eastAsia="Times New Roman" w:hAnsi="Times New Roman" w:cs="Times New Roman"/>
      <w:sz w:val="24"/>
      <w:szCs w:val="24"/>
      <w:lang w:val="lt-LT"/>
    </w:rPr>
  </w:style>
  <w:style w:type="paragraph" w:customStyle="1" w:styleId="DiagramaDiagramaDiagramaDiagramaCharDiagrama">
    <w:name w:val="Diagrama Diagrama Diagrama Diagrama Char Diagrama"/>
    <w:basedOn w:val="Normal"/>
    <w:semiHidden/>
    <w:rsid w:val="000A3F79"/>
    <w:pPr>
      <w:spacing w:after="160" w:line="240" w:lineRule="exact"/>
    </w:pPr>
    <w:rPr>
      <w:rFonts w:ascii="Verdana" w:hAnsi="Verdana" w:cs="Verdana"/>
      <w:sz w:val="20"/>
      <w:lang w:eastAsia="lt-LT"/>
    </w:rPr>
  </w:style>
  <w:style w:type="paragraph" w:customStyle="1" w:styleId="Sraopastraipa1">
    <w:name w:val="Sąrašo pastraipa1"/>
    <w:basedOn w:val="Normal"/>
    <w:uiPriority w:val="34"/>
    <w:qFormat/>
    <w:rsid w:val="000A3F79"/>
    <w:pPr>
      <w:ind w:left="720"/>
      <w:contextualSpacing/>
    </w:pPr>
    <w:rPr>
      <w:lang w:eastAsia="lt-LT"/>
    </w:rPr>
  </w:style>
  <w:style w:type="paragraph" w:customStyle="1" w:styleId="Default">
    <w:name w:val="Default"/>
    <w:rsid w:val="000A3F79"/>
    <w:pPr>
      <w:autoSpaceDE w:val="0"/>
      <w:autoSpaceDN w:val="0"/>
      <w:adjustRightInd w:val="0"/>
      <w:spacing w:after="0" w:line="240" w:lineRule="auto"/>
    </w:pPr>
    <w:rPr>
      <w:rFonts w:ascii="EUAlbertina" w:eastAsia="Calibri" w:hAnsi="EUAlbertina" w:cs="EUAlbertina"/>
      <w:color w:val="000000"/>
      <w:sz w:val="24"/>
      <w:szCs w:val="24"/>
      <w:lang w:val="lt-LT" w:eastAsia="lt-LT"/>
    </w:rPr>
  </w:style>
  <w:style w:type="paragraph" w:customStyle="1" w:styleId="modPunktai">
    <w:name w:val="mod: Punktai"/>
    <w:basedOn w:val="Heading2"/>
    <w:rsid w:val="000A3F79"/>
    <w:pPr>
      <w:widowControl w:val="0"/>
      <w:numPr>
        <w:ilvl w:val="0"/>
        <w:numId w:val="2"/>
      </w:numPr>
      <w:spacing w:line="360" w:lineRule="auto"/>
    </w:pPr>
    <w:rPr>
      <w:bCs/>
      <w:iCs/>
      <w:lang w:eastAsia="en-US"/>
    </w:rPr>
  </w:style>
  <w:style w:type="paragraph" w:customStyle="1" w:styleId="MPapunktis1lygis">
    <w:name w:val="M. Papunktis 1 lygis"/>
    <w:basedOn w:val="modPunktai"/>
    <w:rsid w:val="000A3F79"/>
    <w:pPr>
      <w:numPr>
        <w:ilvl w:val="1"/>
      </w:numPr>
      <w:tabs>
        <w:tab w:val="clear" w:pos="928"/>
        <w:tab w:val="left" w:pos="1276"/>
      </w:tabs>
      <w:ind w:left="0" w:firstLine="567"/>
    </w:pPr>
  </w:style>
  <w:style w:type="paragraph" w:styleId="EndnoteText">
    <w:name w:val="endnote text"/>
    <w:basedOn w:val="Normal"/>
    <w:link w:val="EndnoteTextChar"/>
    <w:uiPriority w:val="99"/>
    <w:semiHidden/>
    <w:unhideWhenUsed/>
    <w:rsid w:val="000A3F79"/>
    <w:rPr>
      <w:sz w:val="20"/>
    </w:rPr>
  </w:style>
  <w:style w:type="character" w:customStyle="1" w:styleId="EndnoteTextChar">
    <w:name w:val="Endnote Text Char"/>
    <w:basedOn w:val="DefaultParagraphFont"/>
    <w:link w:val="EndnoteText"/>
    <w:uiPriority w:val="99"/>
    <w:semiHidden/>
    <w:rsid w:val="000A3F79"/>
    <w:rPr>
      <w:rFonts w:ascii="Times New Roman" w:eastAsia="Times New Roman" w:hAnsi="Times New Roman" w:cs="Times New Roman"/>
      <w:sz w:val="20"/>
      <w:szCs w:val="24"/>
      <w:lang w:val="lt-LT"/>
    </w:rPr>
  </w:style>
  <w:style w:type="character" w:styleId="EndnoteReference">
    <w:name w:val="endnote reference"/>
    <w:basedOn w:val="DefaultParagraphFont"/>
    <w:uiPriority w:val="99"/>
    <w:semiHidden/>
    <w:unhideWhenUsed/>
    <w:rsid w:val="000A3F79"/>
    <w:rPr>
      <w:vertAlign w:val="superscript"/>
    </w:rPr>
  </w:style>
  <w:style w:type="paragraph" w:customStyle="1" w:styleId="BodyText20">
    <w:name w:val="Body Text2"/>
    <w:rsid w:val="000A3F79"/>
    <w:pPr>
      <w:snapToGrid w:val="0"/>
      <w:spacing w:after="0" w:line="240" w:lineRule="auto"/>
      <w:ind w:firstLine="312"/>
      <w:jc w:val="both"/>
    </w:pPr>
    <w:rPr>
      <w:rFonts w:ascii="TimesLT" w:eastAsia="Times New Roman" w:hAnsi="TimesLT" w:cs="Times New Roman"/>
      <w:sz w:val="20"/>
      <w:szCs w:val="20"/>
    </w:rPr>
  </w:style>
  <w:style w:type="paragraph" w:customStyle="1" w:styleId="linija0">
    <w:name w:val="linija"/>
    <w:basedOn w:val="Normal"/>
    <w:rsid w:val="000A3F79"/>
    <w:pPr>
      <w:spacing w:before="100" w:beforeAutospacing="1" w:after="100" w:afterAutospacing="1"/>
    </w:pPr>
    <w:rPr>
      <w:lang w:eastAsia="lt-LT"/>
    </w:rPr>
  </w:style>
  <w:style w:type="character" w:customStyle="1" w:styleId="PlainTextChar1">
    <w:name w:val="Plain Text Char1"/>
    <w:semiHidden/>
    <w:locked/>
    <w:rsid w:val="000A3F79"/>
    <w:rPr>
      <w:rFonts w:ascii="Courier New" w:hAnsi="Courier New"/>
    </w:rPr>
  </w:style>
  <w:style w:type="character" w:customStyle="1" w:styleId="BalloonTextChar1">
    <w:name w:val="Balloon Text Char1"/>
    <w:semiHidden/>
    <w:locked/>
    <w:rsid w:val="000A3F79"/>
    <w:rPr>
      <w:rFonts w:ascii="Tahoma" w:hAnsi="Tahoma"/>
      <w:sz w:val="16"/>
      <w:szCs w:val="16"/>
    </w:rPr>
  </w:style>
  <w:style w:type="character" w:customStyle="1" w:styleId="tblrowlbl1">
    <w:name w:val="tblrowlbl1"/>
    <w:rsid w:val="000A3F79"/>
    <w:rPr>
      <w:rFonts w:ascii="Arial" w:hAnsi="Arial" w:cs="Arial" w:hint="default"/>
      <w:b/>
      <w:bCs/>
      <w:color w:val="000000"/>
      <w:sz w:val="18"/>
      <w:szCs w:val="18"/>
      <w:shd w:val="clear" w:color="auto" w:fill="FFFFFF"/>
    </w:rPr>
  </w:style>
  <w:style w:type="character" w:customStyle="1" w:styleId="parahead1">
    <w:name w:val="parahead1"/>
    <w:rsid w:val="000A3F79"/>
    <w:rPr>
      <w:rFonts w:ascii="Verdana" w:hAnsi="Verdana" w:hint="default"/>
      <w:b/>
      <w:bCs/>
      <w:color w:val="000000"/>
      <w:sz w:val="17"/>
      <w:szCs w:val="17"/>
    </w:rPr>
  </w:style>
  <w:style w:type="paragraph" w:customStyle="1" w:styleId="bodytext0">
    <w:name w:val="bodytext"/>
    <w:basedOn w:val="Normal"/>
    <w:uiPriority w:val="99"/>
    <w:rsid w:val="000A3F79"/>
    <w:pPr>
      <w:spacing w:before="100" w:beforeAutospacing="1" w:after="100" w:afterAutospacing="1"/>
    </w:pPr>
    <w:rPr>
      <w:lang w:eastAsia="lt-LT"/>
    </w:rPr>
  </w:style>
  <w:style w:type="paragraph" w:customStyle="1" w:styleId="LentaCENTR">
    <w:name w:val="Lenta CENTR"/>
    <w:basedOn w:val="BodyText20"/>
    <w:rsid w:val="000A3F7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Hyperlink1">
    <w:name w:val="Hyperlink1"/>
    <w:rsid w:val="000A3F79"/>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Punktas">
    <w:name w:val="Punktas"/>
    <w:basedOn w:val="Normal"/>
    <w:rsid w:val="000A3F79"/>
    <w:pPr>
      <w:numPr>
        <w:numId w:val="3"/>
      </w:numPr>
    </w:pPr>
    <w:rPr>
      <w:lang w:eastAsia="lt-LT"/>
    </w:rPr>
  </w:style>
  <w:style w:type="paragraph" w:customStyle="1" w:styleId="Papunktis">
    <w:name w:val="Papunktis"/>
    <w:basedOn w:val="Normal"/>
    <w:rsid w:val="000A3F79"/>
    <w:pPr>
      <w:numPr>
        <w:ilvl w:val="1"/>
        <w:numId w:val="3"/>
      </w:numPr>
    </w:pPr>
    <w:rPr>
      <w:lang w:eastAsia="lt-LT"/>
    </w:rPr>
  </w:style>
  <w:style w:type="paragraph" w:customStyle="1" w:styleId="Papunkiopapunktis">
    <w:name w:val="Papunkčio papunktis"/>
    <w:basedOn w:val="Normal"/>
    <w:rsid w:val="000A3F79"/>
    <w:pPr>
      <w:numPr>
        <w:ilvl w:val="2"/>
        <w:numId w:val="3"/>
      </w:numPr>
    </w:pPr>
    <w:rPr>
      <w:lang w:eastAsia="lt-LT"/>
    </w:rPr>
  </w:style>
  <w:style w:type="paragraph" w:customStyle="1" w:styleId="DiagramaChar">
    <w:name w:val="Diagrama Char"/>
    <w:basedOn w:val="Normal"/>
    <w:rsid w:val="000A3F79"/>
    <w:pPr>
      <w:spacing w:after="160" w:line="240" w:lineRule="exact"/>
    </w:pPr>
    <w:rPr>
      <w:rFonts w:ascii="Tahoma" w:hAnsi="Tahoma"/>
      <w:sz w:val="20"/>
      <w:szCs w:val="20"/>
      <w:lang w:val="en-US"/>
    </w:rPr>
  </w:style>
  <w:style w:type="character" w:customStyle="1" w:styleId="a11red15">
    <w:name w:val="a11_red15"/>
    <w:basedOn w:val="DefaultParagraphFont"/>
    <w:rsid w:val="000A3F79"/>
  </w:style>
  <w:style w:type="paragraph" w:styleId="Subtitle">
    <w:name w:val="Subtitle"/>
    <w:basedOn w:val="Normal"/>
    <w:link w:val="SubtitleChar"/>
    <w:qFormat/>
    <w:rsid w:val="000A3F79"/>
    <w:pPr>
      <w:spacing w:line="360" w:lineRule="auto"/>
      <w:jc w:val="center"/>
    </w:pPr>
    <w:rPr>
      <w:b/>
      <w:bCs/>
    </w:rPr>
  </w:style>
  <w:style w:type="character" w:customStyle="1" w:styleId="SubtitleChar">
    <w:name w:val="Subtitle Char"/>
    <w:basedOn w:val="DefaultParagraphFont"/>
    <w:link w:val="Subtitle"/>
    <w:rsid w:val="000A3F79"/>
    <w:rPr>
      <w:rFonts w:ascii="Times New Roman" w:eastAsia="Times New Roman" w:hAnsi="Times New Roman" w:cs="Times New Roman"/>
      <w:b/>
      <w:bCs/>
      <w:sz w:val="24"/>
      <w:szCs w:val="24"/>
      <w:lang w:val="lt-LT"/>
    </w:rPr>
  </w:style>
  <w:style w:type="paragraph" w:customStyle="1" w:styleId="TableHeading">
    <w:name w:val="Table Heading"/>
    <w:basedOn w:val="Normal"/>
    <w:rsid w:val="000A3F79"/>
    <w:pPr>
      <w:keepLines/>
      <w:spacing w:before="120" w:after="120"/>
    </w:pPr>
    <w:rPr>
      <w:rFonts w:ascii="Book Antiqua" w:hAnsi="Book Antiqua"/>
      <w:b/>
      <w:sz w:val="16"/>
      <w:szCs w:val="20"/>
      <w:lang w:val="en-US"/>
    </w:rPr>
  </w:style>
  <w:style w:type="paragraph" w:customStyle="1" w:styleId="point10">
    <w:name w:val="point1"/>
    <w:basedOn w:val="Normal"/>
    <w:rsid w:val="000A3F79"/>
    <w:pPr>
      <w:spacing w:before="120" w:after="120"/>
      <w:ind w:left="1418" w:hanging="567"/>
      <w:jc w:val="both"/>
    </w:pPr>
    <w:rPr>
      <w:lang w:val="en-GB"/>
    </w:rPr>
  </w:style>
  <w:style w:type="paragraph" w:customStyle="1" w:styleId="clearformat">
    <w:name w:val="clear format"/>
    <w:basedOn w:val="Normal"/>
    <w:rsid w:val="000A3F79"/>
    <w:pPr>
      <w:shd w:val="clear" w:color="auto" w:fill="FFFFFF"/>
      <w:spacing w:line="264" w:lineRule="exact"/>
      <w:ind w:left="5" w:firstLine="10"/>
    </w:pPr>
    <w:rPr>
      <w:b/>
      <w:color w:val="000000"/>
      <w:sz w:val="20"/>
      <w:szCs w:val="20"/>
    </w:rPr>
  </w:style>
  <w:style w:type="paragraph" w:customStyle="1" w:styleId="Style1">
    <w:name w:val="Style1"/>
    <w:basedOn w:val="Normal"/>
    <w:link w:val="Style1Char"/>
    <w:qFormat/>
    <w:rsid w:val="000A3F79"/>
    <w:pPr>
      <w:numPr>
        <w:ilvl w:val="2"/>
        <w:numId w:val="4"/>
      </w:numPr>
      <w:tabs>
        <w:tab w:val="left" w:pos="1134"/>
      </w:tabs>
      <w:overflowPunct w:val="0"/>
      <w:autoSpaceDE w:val="0"/>
      <w:autoSpaceDN w:val="0"/>
      <w:adjustRightInd w:val="0"/>
      <w:spacing w:line="360" w:lineRule="auto"/>
      <w:jc w:val="both"/>
      <w:textAlignment w:val="baseline"/>
    </w:pPr>
  </w:style>
  <w:style w:type="character" w:customStyle="1" w:styleId="Style1Char">
    <w:name w:val="Style1 Char"/>
    <w:link w:val="Style1"/>
    <w:rsid w:val="000A3F79"/>
    <w:rPr>
      <w:rFonts w:ascii="Times New Roman" w:eastAsia="Times New Roman" w:hAnsi="Times New Roman" w:cs="Times New Roman"/>
      <w:sz w:val="24"/>
      <w:szCs w:val="24"/>
      <w:lang w:val="lt-LT"/>
    </w:rPr>
  </w:style>
  <w:style w:type="paragraph" w:customStyle="1" w:styleId="Style2">
    <w:name w:val="Style2"/>
    <w:basedOn w:val="Style1"/>
    <w:link w:val="Style2Char"/>
    <w:qFormat/>
    <w:rsid w:val="000A3F79"/>
    <w:pPr>
      <w:numPr>
        <w:ilvl w:val="0"/>
        <w:numId w:val="0"/>
      </w:numPr>
      <w:tabs>
        <w:tab w:val="clear" w:pos="1134"/>
        <w:tab w:val="left" w:pos="1701"/>
      </w:tabs>
      <w:ind w:left="1571" w:hanging="720"/>
    </w:pPr>
  </w:style>
  <w:style w:type="character" w:customStyle="1" w:styleId="Style2Char">
    <w:name w:val="Style2 Char"/>
    <w:basedOn w:val="Style1Char"/>
    <w:link w:val="Style2"/>
    <w:rsid w:val="000A3F79"/>
    <w:rPr>
      <w:rFonts w:ascii="Times New Roman" w:eastAsia="Times New Roman" w:hAnsi="Times New Roman" w:cs="Times New Roman"/>
      <w:sz w:val="24"/>
      <w:szCs w:val="24"/>
      <w:lang w:val="lt-LT"/>
    </w:rPr>
  </w:style>
  <w:style w:type="paragraph" w:customStyle="1" w:styleId="Style3">
    <w:name w:val="Style3"/>
    <w:basedOn w:val="Normal"/>
    <w:qFormat/>
    <w:rsid w:val="000A3F79"/>
    <w:pPr>
      <w:numPr>
        <w:ilvl w:val="4"/>
        <w:numId w:val="4"/>
      </w:numPr>
      <w:tabs>
        <w:tab w:val="left" w:pos="1985"/>
      </w:tabs>
      <w:spacing w:line="360" w:lineRule="auto"/>
      <w:jc w:val="both"/>
    </w:pPr>
    <w:rPr>
      <w:szCs w:val="20"/>
    </w:rPr>
  </w:style>
  <w:style w:type="character" w:styleId="Strong">
    <w:name w:val="Strong"/>
    <w:uiPriority w:val="22"/>
    <w:qFormat/>
    <w:rsid w:val="000A3F79"/>
    <w:rPr>
      <w:b/>
      <w:bCs/>
    </w:rPr>
  </w:style>
  <w:style w:type="character" w:customStyle="1" w:styleId="apple-converted-space">
    <w:name w:val="apple-converted-space"/>
    <w:basedOn w:val="DefaultParagraphFont"/>
    <w:rsid w:val="000A3F79"/>
  </w:style>
  <w:style w:type="character" w:customStyle="1" w:styleId="zinlist1">
    <w:name w:val="zin_list1"/>
    <w:basedOn w:val="DefaultParagraphFont"/>
    <w:rsid w:val="000A3F79"/>
    <w:rPr>
      <w:i/>
      <w:iCs/>
      <w:sz w:val="17"/>
      <w:szCs w:val="17"/>
    </w:rPr>
  </w:style>
  <w:style w:type="table" w:styleId="TableGrid">
    <w:name w:val="Table Grid"/>
    <w:basedOn w:val="TableNormal"/>
    <w:uiPriority w:val="59"/>
    <w:rsid w:val="000A3F7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link w:val="ListParagraphChar"/>
    <w:uiPriority w:val="99"/>
    <w:qFormat/>
    <w:rsid w:val="000A3F79"/>
    <w:pPr>
      <w:spacing w:after="200" w:line="276" w:lineRule="auto"/>
      <w:ind w:left="720"/>
    </w:pPr>
    <w:rPr>
      <w:rFonts w:ascii="Calibri" w:hAnsi="Calibri"/>
      <w:sz w:val="22"/>
      <w:szCs w:val="22"/>
    </w:rPr>
  </w:style>
  <w:style w:type="character" w:customStyle="1" w:styleId="ListParagraphChar">
    <w:name w:val="List Paragraph Char"/>
    <w:aliases w:val="List Paragraph1 Char,Paragraph Char,List Paragraph21 Char,Buletai Char,lp1 Char,Bullet 1 Char"/>
    <w:link w:val="ListParagraph1"/>
    <w:uiPriority w:val="34"/>
    <w:qFormat/>
    <w:rsid w:val="000A3F79"/>
    <w:rPr>
      <w:rFonts w:ascii="Calibri" w:eastAsia="Times New Roman" w:hAnsi="Calibri" w:cs="Times New Roman"/>
      <w:lang w:val="lt-LT"/>
    </w:rPr>
  </w:style>
  <w:style w:type="character" w:customStyle="1" w:styleId="ListParagraphChar1">
    <w:name w:val="List Paragraph Char1"/>
    <w:aliases w:val="Bullet EY Char,List Paragraph2 Char,List Paragraph Red Char,Numbering Char,ERP-List Paragraph Char,List Paragraph11 Char,Sąrašo pastraipa.Bullet Char,Sąrašo pastraipa.Bullet Char1,Table of contents numbered Char,Lentele Char"/>
    <w:link w:val="ListParagraph"/>
    <w:uiPriority w:val="34"/>
    <w:locked/>
    <w:rsid w:val="000A3F79"/>
    <w:rPr>
      <w:rFonts w:ascii="Times New Roman" w:eastAsia="Times New Roman" w:hAnsi="Times New Roman" w:cs="Times New Roman"/>
      <w:sz w:val="24"/>
      <w:szCs w:val="24"/>
      <w:lang w:val="lt-LT"/>
    </w:rPr>
  </w:style>
  <w:style w:type="character" w:customStyle="1" w:styleId="t198">
    <w:name w:val="t198"/>
    <w:basedOn w:val="DefaultParagraphFont"/>
    <w:rsid w:val="000A3F79"/>
  </w:style>
  <w:style w:type="character" w:customStyle="1" w:styleId="t199">
    <w:name w:val="t199"/>
    <w:basedOn w:val="DefaultParagraphFont"/>
    <w:rsid w:val="000A3F79"/>
  </w:style>
  <w:style w:type="paragraph" w:customStyle="1" w:styleId="Revision1">
    <w:name w:val="Revision1"/>
    <w:hidden/>
    <w:uiPriority w:val="99"/>
    <w:semiHidden/>
    <w:rsid w:val="000A3F79"/>
    <w:pPr>
      <w:spacing w:after="0" w:line="240" w:lineRule="auto"/>
    </w:pPr>
    <w:rPr>
      <w:rFonts w:ascii="Times New Roman" w:eastAsia="Times New Roman" w:hAnsi="Times New Roman" w:cs="Times New Roman"/>
      <w:sz w:val="24"/>
      <w:szCs w:val="20"/>
      <w:lang w:val="lt-LT"/>
    </w:rPr>
  </w:style>
  <w:style w:type="paragraph" w:customStyle="1" w:styleId="Pagrindinistekstas1">
    <w:name w:val="Pagrindinis tekstas1"/>
    <w:uiPriority w:val="99"/>
    <w:rsid w:val="000A3F79"/>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PaprastasistekstasDiagrama1">
    <w:name w:val="Paprastasis tekstas Diagrama1"/>
    <w:uiPriority w:val="99"/>
    <w:semiHidden/>
    <w:rsid w:val="000A3F79"/>
    <w:rPr>
      <w:rFonts w:ascii="Courier New" w:hAnsi="Courier New" w:cs="Courier New"/>
      <w:lang w:eastAsia="en-US"/>
    </w:rPr>
  </w:style>
  <w:style w:type="paragraph" w:customStyle="1" w:styleId="Antratslygos">
    <w:name w:val="Antraštė sąlygos"/>
    <w:basedOn w:val="Heading1"/>
    <w:uiPriority w:val="99"/>
    <w:rsid w:val="000A3F79"/>
    <w:pPr>
      <w:numPr>
        <w:numId w:val="6"/>
      </w:numPr>
      <w:tabs>
        <w:tab w:val="left" w:pos="851"/>
        <w:tab w:val="left" w:pos="993"/>
        <w:tab w:val="left" w:pos="1134"/>
      </w:tabs>
      <w:spacing w:before="240" w:after="240"/>
    </w:pPr>
    <w:rPr>
      <w:b/>
      <w:sz w:val="24"/>
    </w:rPr>
  </w:style>
  <w:style w:type="numbering" w:customStyle="1" w:styleId="Gutgut">
    <w:name w:val="Gut gut"/>
    <w:rsid w:val="000A3F79"/>
    <w:pPr>
      <w:numPr>
        <w:numId w:val="5"/>
      </w:numPr>
    </w:pPr>
  </w:style>
  <w:style w:type="paragraph" w:customStyle="1" w:styleId="Pagrindinistekstas2">
    <w:name w:val="Pagrindinis tekstas2"/>
    <w:rsid w:val="000A3F79"/>
    <w:pPr>
      <w:autoSpaceDE w:val="0"/>
      <w:autoSpaceDN w:val="0"/>
      <w:adjustRightInd w:val="0"/>
      <w:spacing w:after="0" w:line="240" w:lineRule="auto"/>
      <w:ind w:firstLine="312"/>
      <w:jc w:val="both"/>
    </w:pPr>
    <w:rPr>
      <w:rFonts w:ascii="TimesLT" w:eastAsia="Times New Roman" w:hAnsi="TimesLT" w:cs="Times New Roman"/>
      <w:sz w:val="20"/>
      <w:szCs w:val="20"/>
    </w:rPr>
  </w:style>
  <w:style w:type="numbering" w:customStyle="1" w:styleId="Stilius1">
    <w:name w:val="Stilius1"/>
    <w:uiPriority w:val="99"/>
    <w:rsid w:val="000A3F79"/>
    <w:pPr>
      <w:numPr>
        <w:numId w:val="7"/>
      </w:numPr>
    </w:pPr>
  </w:style>
  <w:style w:type="character" w:customStyle="1" w:styleId="HSPunktaiChar1">
    <w:name w:val="HSPunktai Char1"/>
    <w:link w:val="HSPunktai"/>
    <w:locked/>
    <w:rsid w:val="000A3F79"/>
    <w:rPr>
      <w:lang w:eastAsia="lt-LT"/>
    </w:rPr>
  </w:style>
  <w:style w:type="paragraph" w:customStyle="1" w:styleId="HSPunktai">
    <w:name w:val="HSPunktai"/>
    <w:basedOn w:val="Normal"/>
    <w:link w:val="HSPunktaiChar1"/>
    <w:qFormat/>
    <w:rsid w:val="000A3F79"/>
    <w:pPr>
      <w:numPr>
        <w:numId w:val="8"/>
      </w:numPr>
      <w:spacing w:line="360" w:lineRule="auto"/>
      <w:contextualSpacing/>
      <w:jc w:val="both"/>
    </w:pPr>
    <w:rPr>
      <w:rFonts w:asciiTheme="minorHAnsi" w:eastAsiaTheme="minorHAnsi" w:hAnsiTheme="minorHAnsi" w:cstheme="minorBidi"/>
      <w:sz w:val="22"/>
      <w:szCs w:val="22"/>
      <w:lang w:val="en-US" w:eastAsia="lt-LT"/>
    </w:rPr>
  </w:style>
  <w:style w:type="paragraph" w:customStyle="1" w:styleId="Punktai11">
    <w:name w:val="Punktai 1.1"/>
    <w:basedOn w:val="HSPunktai"/>
    <w:qFormat/>
    <w:rsid w:val="000A3F79"/>
    <w:pPr>
      <w:numPr>
        <w:ilvl w:val="1"/>
      </w:numPr>
      <w:tabs>
        <w:tab w:val="clear" w:pos="1512"/>
        <w:tab w:val="num" w:pos="360"/>
        <w:tab w:val="num" w:pos="1155"/>
        <w:tab w:val="left" w:pos="1276"/>
        <w:tab w:val="num" w:pos="1440"/>
      </w:tabs>
    </w:pPr>
  </w:style>
  <w:style w:type="character" w:customStyle="1" w:styleId="Typewriter">
    <w:name w:val="Typewriter"/>
    <w:rsid w:val="000A3F79"/>
    <w:rPr>
      <w:rFonts w:ascii="Courier New" w:hAnsi="Courier New" w:cs="Courier New" w:hint="default"/>
      <w:sz w:val="20"/>
      <w:szCs w:val="20"/>
    </w:rPr>
  </w:style>
  <w:style w:type="paragraph" w:customStyle="1" w:styleId="Style">
    <w:name w:val="Style"/>
    <w:rsid w:val="000A3F79"/>
    <w:pPr>
      <w:widowControl w:val="0"/>
      <w:autoSpaceDE w:val="0"/>
      <w:autoSpaceDN w:val="0"/>
      <w:adjustRightInd w:val="0"/>
      <w:spacing w:after="0" w:line="240" w:lineRule="auto"/>
    </w:pPr>
    <w:rPr>
      <w:rFonts w:ascii="Times New Roman" w:eastAsia="Times New Roman" w:hAnsi="Times New Roman" w:cs="Times New Roman"/>
      <w:sz w:val="24"/>
      <w:szCs w:val="24"/>
      <w:lang w:val="lt-LT" w:eastAsia="lt-LT" w:bidi="sa-IN"/>
    </w:rPr>
  </w:style>
  <w:style w:type="character" w:styleId="HTMLCite">
    <w:name w:val="HTML Cite"/>
    <w:basedOn w:val="DefaultParagraphFont"/>
    <w:uiPriority w:val="99"/>
    <w:semiHidden/>
    <w:unhideWhenUsed/>
    <w:rsid w:val="000A3F79"/>
    <w:rPr>
      <w:i/>
      <w:iCs/>
    </w:rPr>
  </w:style>
  <w:style w:type="paragraph" w:customStyle="1" w:styleId="v-title">
    <w:name w:val="v-title"/>
    <w:basedOn w:val="Normal"/>
    <w:rsid w:val="000A3F79"/>
    <w:pPr>
      <w:spacing w:after="150"/>
    </w:pPr>
    <w:rPr>
      <w:lang w:eastAsia="lt-LT"/>
    </w:rPr>
  </w:style>
  <w:style w:type="character" w:customStyle="1" w:styleId="A0">
    <w:name w:val="A0"/>
    <w:uiPriority w:val="99"/>
    <w:rsid w:val="000A3F79"/>
    <w:rPr>
      <w:color w:val="000000"/>
      <w:sz w:val="20"/>
      <w:szCs w:val="20"/>
    </w:rPr>
  </w:style>
  <w:style w:type="table" w:customStyle="1" w:styleId="SmartTextTable1">
    <w:name w:val="Smart Text Table1"/>
    <w:basedOn w:val="TableNormal"/>
    <w:next w:val="TableGrid"/>
    <w:uiPriority w:val="39"/>
    <w:rsid w:val="000A3F79"/>
    <w:pPr>
      <w:spacing w:after="0" w:line="240" w:lineRule="auto"/>
    </w:pPr>
    <w:rPr>
      <w:rFonts w:ascii="Times New Roman" w:eastAsia="Times New Roman" w:hAnsi="Times New Roman" w:cs="Times New Roman"/>
      <w:sz w:val="20"/>
      <w:szCs w:val="20"/>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FA4E7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Heading1Char1">
    <w:name w:val="Heading 1 Char1"/>
    <w:aliases w:val="ERP (1.) Char,Appendix Char1"/>
    <w:basedOn w:val="DefaultParagraphFont"/>
    <w:rsid w:val="00FA65F6"/>
    <w:rPr>
      <w:rFonts w:ascii="Times New Roman" w:eastAsia="Times New Roman" w:hAnsi="Times New Roman" w:cs="Times New Roman"/>
      <w:sz w:val="28"/>
      <w:szCs w:val="20"/>
      <w:lang w:val="x-none" w:eastAsia="x-none"/>
    </w:rPr>
  </w:style>
  <w:style w:type="paragraph" w:styleId="TOC2">
    <w:name w:val="toc 2"/>
    <w:basedOn w:val="Normal"/>
    <w:next w:val="Normal"/>
    <w:autoRedefine/>
    <w:uiPriority w:val="39"/>
    <w:unhideWhenUsed/>
    <w:rsid w:val="00FA65F6"/>
    <w:pPr>
      <w:tabs>
        <w:tab w:val="right" w:leader="dot" w:pos="9628"/>
      </w:tabs>
      <w:spacing w:after="100"/>
    </w:pPr>
  </w:style>
  <w:style w:type="table" w:customStyle="1" w:styleId="TableGrid2">
    <w:name w:val="Table Grid2"/>
    <w:basedOn w:val="TableNormal"/>
    <w:next w:val="TableGrid"/>
    <w:uiPriority w:val="59"/>
    <w:rsid w:val="007A09EF"/>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A09EF"/>
    <w:pPr>
      <w:spacing w:after="0" w:line="240" w:lineRule="auto"/>
      <w:ind w:right="6" w:firstLine="567"/>
      <w:jc w:val="both"/>
    </w:pPr>
    <w:rPr>
      <w:lang w:val="lt-LT"/>
    </w:rPr>
  </w:style>
  <w:style w:type="table" w:customStyle="1" w:styleId="TableGrid3">
    <w:name w:val="Table Grid3"/>
    <w:basedOn w:val="TableNormal"/>
    <w:next w:val="TableGrid"/>
    <w:uiPriority w:val="59"/>
    <w:rsid w:val="00D66A6F"/>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basedOn w:val="DefaultParagraphFont"/>
    <w:rsid w:val="00A871F2"/>
    <w:rPr>
      <w:rFonts w:ascii="Times New Roman" w:eastAsia="Times New Roman" w:hAnsi="Times New Roman" w:cs="Times New Roman"/>
      <w:sz w:val="20"/>
      <w:szCs w:val="20"/>
      <w:lang w:val="en-GB"/>
    </w:rPr>
  </w:style>
  <w:style w:type="paragraph" w:customStyle="1" w:styleId="Heading">
    <w:name w:val="Heading"/>
    <w:next w:val="Body2"/>
    <w:rsid w:val="00806AA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lt-LT" w:eastAsia="lt-LT"/>
    </w:rPr>
  </w:style>
  <w:style w:type="character" w:customStyle="1" w:styleId="BodytextDiagrama">
    <w:name w:val="Body text Diagrama"/>
    <w:link w:val="BodyText1"/>
    <w:rsid w:val="00901F7F"/>
    <w:rPr>
      <w:rFonts w:ascii="TimesLT" w:eastAsia="Times New Roman" w:hAnsi="TimesLT" w:cs="Times New Roman"/>
      <w:sz w:val="24"/>
      <w:szCs w:val="24"/>
    </w:rPr>
  </w:style>
  <w:style w:type="character" w:customStyle="1" w:styleId="UnresolvedMention">
    <w:name w:val="Unresolved Mention"/>
    <w:basedOn w:val="DefaultParagraphFont"/>
    <w:uiPriority w:val="99"/>
    <w:semiHidden/>
    <w:unhideWhenUsed/>
    <w:rsid w:val="00BA7C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29742">
      <w:bodyDiv w:val="1"/>
      <w:marLeft w:val="0"/>
      <w:marRight w:val="0"/>
      <w:marTop w:val="0"/>
      <w:marBottom w:val="0"/>
      <w:divBdr>
        <w:top w:val="none" w:sz="0" w:space="0" w:color="auto"/>
        <w:left w:val="none" w:sz="0" w:space="0" w:color="auto"/>
        <w:bottom w:val="none" w:sz="0" w:space="0" w:color="auto"/>
        <w:right w:val="none" w:sz="0" w:space="0" w:color="auto"/>
      </w:divBdr>
    </w:div>
    <w:div w:id="379015328">
      <w:bodyDiv w:val="1"/>
      <w:marLeft w:val="0"/>
      <w:marRight w:val="0"/>
      <w:marTop w:val="0"/>
      <w:marBottom w:val="0"/>
      <w:divBdr>
        <w:top w:val="none" w:sz="0" w:space="0" w:color="auto"/>
        <w:left w:val="none" w:sz="0" w:space="0" w:color="auto"/>
        <w:bottom w:val="none" w:sz="0" w:space="0" w:color="auto"/>
        <w:right w:val="none" w:sz="0" w:space="0" w:color="auto"/>
      </w:divBdr>
    </w:div>
    <w:div w:id="818233865">
      <w:bodyDiv w:val="1"/>
      <w:marLeft w:val="0"/>
      <w:marRight w:val="0"/>
      <w:marTop w:val="0"/>
      <w:marBottom w:val="0"/>
      <w:divBdr>
        <w:top w:val="none" w:sz="0" w:space="0" w:color="auto"/>
        <w:left w:val="none" w:sz="0" w:space="0" w:color="auto"/>
        <w:bottom w:val="none" w:sz="0" w:space="0" w:color="auto"/>
        <w:right w:val="none" w:sz="0" w:space="0" w:color="auto"/>
      </w:divBdr>
    </w:div>
    <w:div w:id="926811472">
      <w:bodyDiv w:val="1"/>
      <w:marLeft w:val="0"/>
      <w:marRight w:val="0"/>
      <w:marTop w:val="0"/>
      <w:marBottom w:val="0"/>
      <w:divBdr>
        <w:top w:val="none" w:sz="0" w:space="0" w:color="auto"/>
        <w:left w:val="none" w:sz="0" w:space="0" w:color="auto"/>
        <w:bottom w:val="none" w:sz="0" w:space="0" w:color="auto"/>
        <w:right w:val="none" w:sz="0" w:space="0" w:color="auto"/>
      </w:divBdr>
    </w:div>
    <w:div w:id="1157039901">
      <w:bodyDiv w:val="1"/>
      <w:marLeft w:val="0"/>
      <w:marRight w:val="0"/>
      <w:marTop w:val="0"/>
      <w:marBottom w:val="0"/>
      <w:divBdr>
        <w:top w:val="none" w:sz="0" w:space="0" w:color="auto"/>
        <w:left w:val="none" w:sz="0" w:space="0" w:color="auto"/>
        <w:bottom w:val="none" w:sz="0" w:space="0" w:color="auto"/>
        <w:right w:val="none" w:sz="0" w:space="0" w:color="auto"/>
      </w:divBdr>
    </w:div>
    <w:div w:id="1550536629">
      <w:bodyDiv w:val="1"/>
      <w:marLeft w:val="0"/>
      <w:marRight w:val="0"/>
      <w:marTop w:val="0"/>
      <w:marBottom w:val="0"/>
      <w:divBdr>
        <w:top w:val="none" w:sz="0" w:space="0" w:color="auto"/>
        <w:left w:val="none" w:sz="0" w:space="0" w:color="auto"/>
        <w:bottom w:val="none" w:sz="0" w:space="0" w:color="auto"/>
        <w:right w:val="none" w:sz="0" w:space="0" w:color="auto"/>
      </w:divBdr>
    </w:div>
    <w:div w:id="1721249709">
      <w:bodyDiv w:val="1"/>
      <w:marLeft w:val="0"/>
      <w:marRight w:val="0"/>
      <w:marTop w:val="0"/>
      <w:marBottom w:val="0"/>
      <w:divBdr>
        <w:top w:val="none" w:sz="0" w:space="0" w:color="auto"/>
        <w:left w:val="none" w:sz="0" w:space="0" w:color="auto"/>
        <w:bottom w:val="none" w:sz="0" w:space="0" w:color="auto"/>
        <w:right w:val="none" w:sz="0" w:space="0" w:color="auto"/>
      </w:divBdr>
    </w:div>
    <w:div w:id="1933779748">
      <w:bodyDiv w:val="1"/>
      <w:marLeft w:val="0"/>
      <w:marRight w:val="0"/>
      <w:marTop w:val="0"/>
      <w:marBottom w:val="0"/>
      <w:divBdr>
        <w:top w:val="none" w:sz="0" w:space="0" w:color="auto"/>
        <w:left w:val="none" w:sz="0" w:space="0" w:color="auto"/>
        <w:bottom w:val="none" w:sz="0" w:space="0" w:color="auto"/>
        <w:right w:val="none" w:sz="0" w:space="0" w:color="auto"/>
      </w:divBdr>
    </w:div>
    <w:div w:id="2046513680">
      <w:bodyDiv w:val="1"/>
      <w:marLeft w:val="0"/>
      <w:marRight w:val="0"/>
      <w:marTop w:val="0"/>
      <w:marBottom w:val="0"/>
      <w:divBdr>
        <w:top w:val="none" w:sz="0" w:space="0" w:color="auto"/>
        <w:left w:val="none" w:sz="0" w:space="0" w:color="auto"/>
        <w:bottom w:val="none" w:sz="0" w:space="0" w:color="auto"/>
        <w:right w:val="none" w:sz="0" w:space="0" w:color="auto"/>
      </w:divBdr>
    </w:div>
    <w:div w:id="209971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gidijus.mecionis@rvpl.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sichiatrija@rvpl.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dra.zurauskaite@rvpl.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uzsakymai@tandemus.eu" TargetMode="External"/><Relationship Id="rId4" Type="http://schemas.openxmlformats.org/officeDocument/2006/relationships/settings" Target="settings.xml"/><Relationship Id="rId9" Type="http://schemas.openxmlformats.org/officeDocument/2006/relationships/hyperlink" Target="mailto:greta@tandemus.e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BB758-2E9E-4692-AEC0-44864D75D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5527</Words>
  <Characters>31509</Characters>
  <Application>Microsoft Office Word</Application>
  <DocSecurity>0</DocSecurity>
  <Lines>262</Lines>
  <Paragraphs>73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Audra</cp:lastModifiedBy>
  <cp:revision>2</cp:revision>
  <cp:lastPrinted>2020-01-06T11:28:00Z</cp:lastPrinted>
  <dcterms:created xsi:type="dcterms:W3CDTF">2021-05-25T13:16:00Z</dcterms:created>
  <dcterms:modified xsi:type="dcterms:W3CDTF">2021-05-25T13:16:00Z</dcterms:modified>
</cp:coreProperties>
</file>