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A540" w14:textId="77777777" w:rsidR="004B465E" w:rsidRPr="004B465E" w:rsidRDefault="004B465E" w:rsidP="004B465E">
      <w:pPr>
        <w:jc w:val="center"/>
        <w:rPr>
          <w:rFonts w:ascii="Times New Roman" w:hAnsi="Times New Roman" w:cs="Times New Roman"/>
          <w:b/>
          <w:bCs/>
          <w:sz w:val="18"/>
          <w:szCs w:val="18"/>
          <w:lang w:val="lt-LT"/>
        </w:rPr>
      </w:pPr>
      <w:r w:rsidRPr="004B465E">
        <w:rPr>
          <w:rFonts w:ascii="Times New Roman" w:hAnsi="Times New Roman" w:cs="Times New Roman"/>
          <w:b/>
          <w:bCs/>
          <w:sz w:val="18"/>
          <w:szCs w:val="18"/>
          <w:lang w:val="lt-LT"/>
        </w:rPr>
        <w:t>SUSITARIMAS</w:t>
      </w:r>
    </w:p>
    <w:p w14:paraId="02CC3C1B" w14:textId="77777777" w:rsidR="004B465E" w:rsidRPr="004B465E" w:rsidRDefault="004B465E" w:rsidP="004B465E">
      <w:pPr>
        <w:jc w:val="center"/>
        <w:rPr>
          <w:rFonts w:ascii="Times New Roman" w:hAnsi="Times New Roman" w:cs="Times New Roman"/>
          <w:b/>
          <w:bCs/>
          <w:sz w:val="18"/>
          <w:szCs w:val="18"/>
          <w:lang w:val="lt-LT"/>
        </w:rPr>
      </w:pPr>
    </w:p>
    <w:p w14:paraId="702A7F98" w14:textId="5EFB932F" w:rsidR="004B465E" w:rsidRPr="004B465E" w:rsidRDefault="004B465E" w:rsidP="004B465E">
      <w:pPr>
        <w:jc w:val="center"/>
        <w:rPr>
          <w:rFonts w:ascii="Times New Roman" w:hAnsi="Times New Roman" w:cs="Times New Roman"/>
          <w:b/>
          <w:bCs/>
          <w:sz w:val="18"/>
          <w:szCs w:val="18"/>
          <w:lang w:val="lt-LT"/>
        </w:rPr>
      </w:pPr>
      <w:r w:rsidRPr="004B465E">
        <w:rPr>
          <w:rFonts w:ascii="Times New Roman" w:hAnsi="Times New Roman" w:cs="Times New Roman"/>
          <w:b/>
          <w:bCs/>
          <w:sz w:val="18"/>
          <w:szCs w:val="18"/>
          <w:lang w:val="lt-LT"/>
        </w:rPr>
        <w:t xml:space="preserve">DĖL 2024 M. </w:t>
      </w:r>
      <w:r>
        <w:rPr>
          <w:rFonts w:ascii="Times New Roman" w:hAnsi="Times New Roman" w:cs="Times New Roman"/>
          <w:b/>
          <w:bCs/>
          <w:sz w:val="18"/>
          <w:szCs w:val="18"/>
          <w:lang w:val="lt-LT"/>
        </w:rPr>
        <w:t>RUGSĖJO</w:t>
      </w:r>
      <w:r w:rsidRPr="004B465E">
        <w:rPr>
          <w:rFonts w:ascii="Times New Roman" w:hAnsi="Times New Roman" w:cs="Times New Roman"/>
          <w:b/>
          <w:bCs/>
          <w:sz w:val="18"/>
          <w:szCs w:val="18"/>
          <w:lang w:val="lt-LT"/>
        </w:rPr>
        <w:t xml:space="preserve"> </w:t>
      </w:r>
      <w:r>
        <w:rPr>
          <w:rFonts w:ascii="Times New Roman" w:hAnsi="Times New Roman" w:cs="Times New Roman"/>
          <w:b/>
          <w:bCs/>
          <w:sz w:val="18"/>
          <w:szCs w:val="18"/>
          <w:lang w:val="lt-LT"/>
        </w:rPr>
        <w:t>20</w:t>
      </w:r>
      <w:r w:rsidRPr="004B465E">
        <w:rPr>
          <w:rFonts w:ascii="Times New Roman" w:hAnsi="Times New Roman" w:cs="Times New Roman"/>
          <w:b/>
          <w:bCs/>
          <w:sz w:val="18"/>
          <w:szCs w:val="18"/>
          <w:lang w:val="lt-LT"/>
        </w:rPr>
        <w:t xml:space="preserve"> D. </w:t>
      </w:r>
      <w:r w:rsidRPr="004B465E">
        <w:rPr>
          <w:rFonts w:ascii="Times New Roman" w:eastAsia="Times New Roman" w:hAnsi="Times New Roman" w:cs="Times New Roman"/>
          <w:b/>
          <w:bCs/>
          <w:sz w:val="18"/>
          <w:szCs w:val="18"/>
          <w:lang w:val="lt-LT"/>
        </w:rPr>
        <w:t>VETERINARŲ G. ATKARPOS REKONSTRUKCIJ</w:t>
      </w:r>
      <w:r w:rsidR="00B16F3A">
        <w:rPr>
          <w:rFonts w:ascii="Times New Roman" w:eastAsia="Times New Roman" w:hAnsi="Times New Roman" w:cs="Times New Roman"/>
          <w:b/>
          <w:bCs/>
          <w:sz w:val="18"/>
          <w:szCs w:val="18"/>
          <w:lang w:val="lt-LT"/>
        </w:rPr>
        <w:t>OS</w:t>
      </w:r>
      <w:r w:rsidRPr="004B465E">
        <w:rPr>
          <w:rFonts w:ascii="Times New Roman" w:eastAsia="Times New Roman" w:hAnsi="Times New Roman" w:cs="Times New Roman"/>
          <w:b/>
          <w:bCs/>
          <w:sz w:val="18"/>
          <w:szCs w:val="18"/>
          <w:lang w:val="lt-LT"/>
        </w:rPr>
        <w:t xml:space="preserve"> IR KAPITALINI</w:t>
      </w:r>
      <w:r w:rsidR="00B16F3A">
        <w:rPr>
          <w:rFonts w:ascii="Times New Roman" w:eastAsia="Times New Roman" w:hAnsi="Times New Roman" w:cs="Times New Roman"/>
          <w:b/>
          <w:bCs/>
          <w:sz w:val="18"/>
          <w:szCs w:val="18"/>
          <w:lang w:val="lt-LT"/>
        </w:rPr>
        <w:t>O</w:t>
      </w:r>
      <w:r w:rsidRPr="004B465E">
        <w:rPr>
          <w:rFonts w:ascii="Times New Roman" w:eastAsia="Times New Roman" w:hAnsi="Times New Roman" w:cs="Times New Roman"/>
          <w:b/>
          <w:bCs/>
          <w:sz w:val="18"/>
          <w:szCs w:val="18"/>
          <w:lang w:val="lt-LT"/>
        </w:rPr>
        <w:t xml:space="preserve"> REMONT</w:t>
      </w:r>
      <w:r>
        <w:rPr>
          <w:rFonts w:ascii="Times New Roman" w:eastAsia="Times New Roman" w:hAnsi="Times New Roman" w:cs="Times New Roman"/>
          <w:b/>
          <w:bCs/>
          <w:sz w:val="18"/>
          <w:szCs w:val="18"/>
          <w:lang w:val="lt-LT"/>
        </w:rPr>
        <w:t>O</w:t>
      </w:r>
      <w:r w:rsidRPr="004B465E">
        <w:rPr>
          <w:rFonts w:ascii="Times New Roman" w:hAnsi="Times New Roman" w:cs="Times New Roman"/>
          <w:b/>
          <w:bCs/>
          <w:sz w:val="18"/>
          <w:szCs w:val="18"/>
          <w:lang w:val="lt-LT"/>
        </w:rPr>
        <w:t xml:space="preserve"> SUTARTIES NR. </w:t>
      </w:r>
      <w:r w:rsidRPr="004B465E">
        <w:rPr>
          <w:rFonts w:ascii="Times New Roman" w:eastAsia="Times New Roman" w:hAnsi="Times New Roman" w:cs="Times New Roman"/>
          <w:b/>
          <w:bCs/>
          <w:sz w:val="18"/>
          <w:szCs w:val="18"/>
          <w:lang w:val="lt-LT"/>
        </w:rPr>
        <w:t>S-1348</w:t>
      </w:r>
      <w:r w:rsidR="00B90065">
        <w:rPr>
          <w:rFonts w:ascii="Times New Roman" w:eastAsia="Times New Roman" w:hAnsi="Times New Roman" w:cs="Times New Roman"/>
          <w:b/>
          <w:bCs/>
          <w:sz w:val="18"/>
          <w:szCs w:val="18"/>
          <w:lang w:val="lt-LT"/>
        </w:rPr>
        <w:t xml:space="preserve"> </w:t>
      </w:r>
      <w:r w:rsidRPr="004B465E">
        <w:rPr>
          <w:rFonts w:ascii="Times New Roman" w:hAnsi="Times New Roman" w:cs="Times New Roman"/>
          <w:b/>
          <w:bCs/>
          <w:sz w:val="18"/>
          <w:szCs w:val="18"/>
          <w:lang w:val="lt-LT"/>
        </w:rPr>
        <w:t>PAKEITIMO</w:t>
      </w:r>
    </w:p>
    <w:p w14:paraId="7CCA7D35" w14:textId="77777777" w:rsidR="00B76693" w:rsidRPr="004B465E" w:rsidRDefault="00B76693" w:rsidP="002756CB">
      <w:pPr>
        <w:rPr>
          <w:rFonts w:ascii="Times New Roman" w:hAnsi="Times New Roman" w:cs="Times New Roman"/>
          <w:sz w:val="18"/>
          <w:szCs w:val="18"/>
          <w:lang w:val="lt-LT"/>
        </w:rPr>
      </w:pPr>
    </w:p>
    <w:tbl>
      <w:tblPr>
        <w:tblpPr w:leftFromText="180" w:rightFromText="180" w:vertAnchor="text" w:tblpX="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22"/>
        <w:gridCol w:w="2973"/>
        <w:gridCol w:w="1988"/>
        <w:gridCol w:w="562"/>
        <w:gridCol w:w="2549"/>
      </w:tblGrid>
      <w:tr w:rsidR="006C0321" w:rsidRPr="004B465E" w14:paraId="6534FB22" w14:textId="77777777" w:rsidTr="006C0321">
        <w:trPr>
          <w:trHeight w:val="245"/>
        </w:trPr>
        <w:tc>
          <w:tcPr>
            <w:tcW w:w="2122" w:type="dxa"/>
            <w:shd w:val="clear" w:color="auto" w:fill="F2F2F2" w:themeFill="background1" w:themeFillShade="F2"/>
            <w:vAlign w:val="center"/>
          </w:tcPr>
          <w:p w14:paraId="3A2B4349" w14:textId="40554B7B" w:rsidR="006C0321" w:rsidRPr="004B465E" w:rsidRDefault="006C0321" w:rsidP="006C0321">
            <w:pPr>
              <w:spacing w:before="40" w:after="40"/>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 xml:space="preserve">Susitarimo data </w:t>
            </w:r>
          </w:p>
        </w:tc>
        <w:tc>
          <w:tcPr>
            <w:tcW w:w="2973" w:type="dxa"/>
            <w:vAlign w:val="center"/>
          </w:tcPr>
          <w:p w14:paraId="2F366C46" w14:textId="77777777" w:rsidR="006C0321" w:rsidRPr="004B465E" w:rsidRDefault="006C0321" w:rsidP="006C0321">
            <w:pPr>
              <w:spacing w:before="40" w:after="40"/>
              <w:rPr>
                <w:rFonts w:ascii="Times New Roman" w:eastAsia="Times New Roman" w:hAnsi="Times New Roman" w:cs="Times New Roman"/>
                <w:sz w:val="18"/>
                <w:szCs w:val="18"/>
                <w:lang w:val="lt-LT"/>
              </w:rPr>
            </w:pPr>
            <w:r w:rsidRPr="004B465E">
              <w:rPr>
                <w:rFonts w:ascii="Times New Roman" w:eastAsia="Times New Roman" w:hAnsi="Times New Roman" w:cs="Times New Roman"/>
                <w:sz w:val="18"/>
                <w:szCs w:val="18"/>
                <w:lang w:val="lt-LT"/>
              </w:rPr>
              <w:t>Nurodoma elektroninio dokumento</w:t>
            </w:r>
          </w:p>
          <w:p w14:paraId="28C12A80" w14:textId="55E4888E" w:rsidR="006C0321" w:rsidRPr="004B465E" w:rsidRDefault="006C0321" w:rsidP="006C0321">
            <w:pPr>
              <w:spacing w:before="40" w:after="40"/>
              <w:rPr>
                <w:rFonts w:ascii="Times New Roman" w:eastAsia="Times New Roman" w:hAnsi="Times New Roman" w:cs="Times New Roman"/>
                <w:sz w:val="18"/>
                <w:szCs w:val="18"/>
                <w:lang w:val="lt-LT"/>
              </w:rPr>
            </w:pPr>
            <w:r w:rsidRPr="004B465E">
              <w:rPr>
                <w:rFonts w:ascii="Times New Roman" w:eastAsia="Times New Roman" w:hAnsi="Times New Roman" w:cs="Times New Roman"/>
                <w:sz w:val="18"/>
                <w:szCs w:val="18"/>
                <w:lang w:val="lt-LT"/>
              </w:rPr>
              <w:t>metaduomenyse</w:t>
            </w:r>
          </w:p>
        </w:tc>
        <w:tc>
          <w:tcPr>
            <w:tcW w:w="1988" w:type="dxa"/>
            <w:shd w:val="clear" w:color="auto" w:fill="F2F2F2" w:themeFill="background1" w:themeFillShade="F2"/>
            <w:vAlign w:val="center"/>
          </w:tcPr>
          <w:p w14:paraId="15884852" w14:textId="2125C077" w:rsidR="006C0321" w:rsidRPr="004B465E" w:rsidRDefault="006C0321" w:rsidP="006C0321">
            <w:pPr>
              <w:spacing w:before="40" w:after="40"/>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Susitarimo Nr.</w:t>
            </w:r>
          </w:p>
        </w:tc>
        <w:tc>
          <w:tcPr>
            <w:tcW w:w="3111" w:type="dxa"/>
            <w:gridSpan w:val="2"/>
            <w:vAlign w:val="center"/>
          </w:tcPr>
          <w:p w14:paraId="5DF70F11" w14:textId="77777777" w:rsidR="006C0321" w:rsidRPr="004B465E" w:rsidRDefault="006C0321" w:rsidP="006C0321">
            <w:pPr>
              <w:spacing w:before="40" w:after="40"/>
              <w:jc w:val="left"/>
              <w:rPr>
                <w:rFonts w:ascii="Times New Roman" w:eastAsia="Times New Roman" w:hAnsi="Times New Roman" w:cs="Times New Roman"/>
                <w:sz w:val="18"/>
                <w:szCs w:val="18"/>
                <w:lang w:val="lt-LT"/>
              </w:rPr>
            </w:pPr>
            <w:r w:rsidRPr="004B465E">
              <w:rPr>
                <w:rFonts w:ascii="Times New Roman" w:eastAsia="Times New Roman" w:hAnsi="Times New Roman" w:cs="Times New Roman"/>
                <w:sz w:val="18"/>
                <w:szCs w:val="18"/>
                <w:lang w:val="lt-LT"/>
              </w:rPr>
              <w:t>Nurodoma elektroninio dokumento</w:t>
            </w:r>
          </w:p>
          <w:p w14:paraId="284B20C5" w14:textId="6A09E693" w:rsidR="006C0321" w:rsidRPr="004B465E" w:rsidRDefault="006C0321" w:rsidP="006C0321">
            <w:pPr>
              <w:spacing w:before="40" w:after="40"/>
              <w:jc w:val="left"/>
              <w:rPr>
                <w:rFonts w:ascii="Times New Roman" w:eastAsia="Times New Roman" w:hAnsi="Times New Roman" w:cs="Times New Roman"/>
                <w:sz w:val="18"/>
                <w:szCs w:val="18"/>
                <w:lang w:val="lt-LT"/>
              </w:rPr>
            </w:pPr>
            <w:r w:rsidRPr="004B465E">
              <w:rPr>
                <w:rFonts w:ascii="Times New Roman" w:eastAsia="Times New Roman" w:hAnsi="Times New Roman" w:cs="Times New Roman"/>
                <w:sz w:val="18"/>
                <w:szCs w:val="18"/>
                <w:lang w:val="lt-LT"/>
              </w:rPr>
              <w:t>metaduomenyse</w:t>
            </w:r>
          </w:p>
        </w:tc>
      </w:tr>
      <w:tr w:rsidR="005B4055" w:rsidRPr="00CC195B" w14:paraId="29154B04" w14:textId="77777777" w:rsidTr="001B49E6">
        <w:trPr>
          <w:trHeight w:val="245"/>
        </w:trPr>
        <w:tc>
          <w:tcPr>
            <w:tcW w:w="2122" w:type="dxa"/>
            <w:shd w:val="clear" w:color="auto" w:fill="F2F2F2" w:themeFill="background1" w:themeFillShade="F2"/>
            <w:vAlign w:val="center"/>
          </w:tcPr>
          <w:p w14:paraId="3D2721BF" w14:textId="577FE363" w:rsidR="005B4055" w:rsidRPr="004B465E" w:rsidRDefault="00AF5132" w:rsidP="00AF5132">
            <w:pPr>
              <w:spacing w:before="40" w:after="40"/>
              <w:jc w:val="left"/>
              <w:rPr>
                <w:rFonts w:ascii="Times New Roman" w:eastAsia="Times New Roman" w:hAnsi="Times New Roman" w:cs="Times New Roman"/>
                <w:b/>
                <w:bCs/>
                <w:sz w:val="18"/>
                <w:szCs w:val="18"/>
                <w:lang w:val="lt-LT"/>
              </w:rPr>
            </w:pPr>
            <w:bookmarkStart w:id="0" w:name="_Hlk78272221"/>
            <w:r w:rsidRPr="004B465E">
              <w:rPr>
                <w:rFonts w:ascii="Times New Roman" w:eastAsia="Times New Roman" w:hAnsi="Times New Roman" w:cs="Times New Roman"/>
                <w:b/>
                <w:bCs/>
                <w:sz w:val="18"/>
                <w:szCs w:val="18"/>
                <w:lang w:val="lt-LT"/>
              </w:rPr>
              <w:t xml:space="preserve">Sutarties </w:t>
            </w:r>
            <w:r w:rsidR="005B4055" w:rsidRPr="004B465E">
              <w:rPr>
                <w:rFonts w:ascii="Times New Roman" w:eastAsia="Times New Roman" w:hAnsi="Times New Roman" w:cs="Times New Roman"/>
                <w:b/>
                <w:bCs/>
                <w:sz w:val="18"/>
                <w:szCs w:val="18"/>
                <w:lang w:val="lt-LT"/>
              </w:rPr>
              <w:t>pavadinimas</w:t>
            </w:r>
          </w:p>
        </w:tc>
        <w:tc>
          <w:tcPr>
            <w:tcW w:w="8072" w:type="dxa"/>
            <w:gridSpan w:val="4"/>
            <w:vAlign w:val="center"/>
          </w:tcPr>
          <w:p w14:paraId="214682D1" w14:textId="60D69EC9" w:rsidR="005B4055" w:rsidRPr="004B465E" w:rsidRDefault="00BB38EE" w:rsidP="00FD567A">
            <w:pPr>
              <w:spacing w:before="40" w:after="40"/>
              <w:rPr>
                <w:rFonts w:ascii="Times New Roman" w:eastAsia="Times New Roman" w:hAnsi="Times New Roman" w:cs="Times New Roman"/>
                <w:sz w:val="18"/>
                <w:szCs w:val="18"/>
                <w:lang w:val="lt-LT"/>
              </w:rPr>
            </w:pPr>
            <w:r w:rsidRPr="004B465E">
              <w:rPr>
                <w:rFonts w:ascii="Times New Roman" w:eastAsia="Times New Roman" w:hAnsi="Times New Roman" w:cs="Times New Roman"/>
                <w:b/>
                <w:bCs/>
                <w:sz w:val="18"/>
                <w:szCs w:val="18"/>
                <w:lang w:val="lt-LT"/>
              </w:rPr>
              <w:t>VETERINARŲ G. ATKARPOS REKONSTRUKCIJA IR KAPITALINIS REMONTAS</w:t>
            </w:r>
          </w:p>
        </w:tc>
      </w:tr>
      <w:tr w:rsidR="005B4055" w:rsidRPr="004B465E" w14:paraId="1583CDDD" w14:textId="77777777" w:rsidTr="001B49E6">
        <w:trPr>
          <w:trHeight w:val="245"/>
        </w:trPr>
        <w:tc>
          <w:tcPr>
            <w:tcW w:w="2122" w:type="dxa"/>
            <w:shd w:val="clear" w:color="auto" w:fill="F2F2F2" w:themeFill="background1" w:themeFillShade="F2"/>
            <w:vAlign w:val="center"/>
          </w:tcPr>
          <w:p w14:paraId="30EBB00C" w14:textId="6043411A" w:rsidR="005B4055" w:rsidRPr="004B465E" w:rsidRDefault="005B4055" w:rsidP="00FD567A">
            <w:pPr>
              <w:spacing w:before="40" w:after="40"/>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 xml:space="preserve">Sutarties </w:t>
            </w:r>
            <w:r w:rsidR="00AF5132" w:rsidRPr="004B465E">
              <w:rPr>
                <w:rFonts w:ascii="Times New Roman" w:eastAsia="Times New Roman" w:hAnsi="Times New Roman" w:cs="Times New Roman"/>
                <w:b/>
                <w:bCs/>
                <w:sz w:val="18"/>
                <w:szCs w:val="18"/>
                <w:lang w:val="lt-LT"/>
              </w:rPr>
              <w:t>data</w:t>
            </w:r>
          </w:p>
        </w:tc>
        <w:tc>
          <w:tcPr>
            <w:tcW w:w="2973" w:type="dxa"/>
            <w:vAlign w:val="center"/>
          </w:tcPr>
          <w:p w14:paraId="5CCD7CCC" w14:textId="494BFFF0" w:rsidR="005B4055" w:rsidRPr="004B465E" w:rsidRDefault="00C251B3" w:rsidP="00FD567A">
            <w:pPr>
              <w:spacing w:before="40" w:after="40"/>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2024-</w:t>
            </w:r>
            <w:r w:rsidR="007C0896" w:rsidRPr="004B465E">
              <w:rPr>
                <w:rFonts w:ascii="Times New Roman" w:eastAsia="Times New Roman" w:hAnsi="Times New Roman" w:cs="Times New Roman"/>
                <w:b/>
                <w:bCs/>
                <w:sz w:val="18"/>
                <w:szCs w:val="18"/>
                <w:lang w:val="lt-LT"/>
              </w:rPr>
              <w:t>09</w:t>
            </w:r>
            <w:r w:rsidRPr="004B465E">
              <w:rPr>
                <w:rFonts w:ascii="Times New Roman" w:eastAsia="Times New Roman" w:hAnsi="Times New Roman" w:cs="Times New Roman"/>
                <w:b/>
                <w:bCs/>
                <w:sz w:val="18"/>
                <w:szCs w:val="18"/>
                <w:lang w:val="lt-LT"/>
              </w:rPr>
              <w:t>-</w:t>
            </w:r>
            <w:r w:rsidR="007C0896" w:rsidRPr="004B465E">
              <w:rPr>
                <w:rFonts w:ascii="Times New Roman" w:eastAsia="Times New Roman" w:hAnsi="Times New Roman" w:cs="Times New Roman"/>
                <w:b/>
                <w:bCs/>
                <w:sz w:val="18"/>
                <w:szCs w:val="18"/>
                <w:lang w:val="lt-LT"/>
              </w:rPr>
              <w:t>20</w:t>
            </w:r>
          </w:p>
        </w:tc>
        <w:tc>
          <w:tcPr>
            <w:tcW w:w="2550" w:type="dxa"/>
            <w:gridSpan w:val="2"/>
            <w:shd w:val="clear" w:color="auto" w:fill="F2F2F2" w:themeFill="background1" w:themeFillShade="F2"/>
            <w:vAlign w:val="center"/>
          </w:tcPr>
          <w:p w14:paraId="5239800A" w14:textId="0F25711E" w:rsidR="005B4055" w:rsidRPr="004B465E" w:rsidRDefault="005B4055" w:rsidP="00FD567A">
            <w:pPr>
              <w:spacing w:before="40" w:after="40"/>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 xml:space="preserve">Sutarties </w:t>
            </w:r>
            <w:r w:rsidR="00AF5132" w:rsidRPr="004B465E">
              <w:rPr>
                <w:rFonts w:ascii="Times New Roman" w:eastAsia="Times New Roman" w:hAnsi="Times New Roman" w:cs="Times New Roman"/>
                <w:b/>
                <w:bCs/>
                <w:sz w:val="18"/>
                <w:szCs w:val="18"/>
                <w:lang w:val="lt-LT"/>
              </w:rPr>
              <w:t>Nr.</w:t>
            </w:r>
          </w:p>
        </w:tc>
        <w:tc>
          <w:tcPr>
            <w:tcW w:w="2549" w:type="dxa"/>
            <w:vAlign w:val="center"/>
          </w:tcPr>
          <w:p w14:paraId="02F1E8FC" w14:textId="5A7CDF47" w:rsidR="005B4055" w:rsidRPr="004B465E" w:rsidRDefault="00C251B3" w:rsidP="00FD567A">
            <w:pPr>
              <w:spacing w:before="40" w:after="40"/>
              <w:jc w:val="right"/>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S-</w:t>
            </w:r>
            <w:r w:rsidR="00BB38EE" w:rsidRPr="004B465E">
              <w:rPr>
                <w:rFonts w:ascii="Times New Roman" w:eastAsia="Times New Roman" w:hAnsi="Times New Roman" w:cs="Times New Roman"/>
                <w:b/>
                <w:bCs/>
                <w:sz w:val="18"/>
                <w:szCs w:val="18"/>
                <w:lang w:val="lt-LT"/>
              </w:rPr>
              <w:t>1348</w:t>
            </w:r>
          </w:p>
        </w:tc>
      </w:tr>
      <w:bookmarkEnd w:id="0"/>
      <w:tr w:rsidR="005B4055" w:rsidRPr="004B465E" w14:paraId="70D45EDC" w14:textId="77777777" w:rsidTr="001B49E6">
        <w:trPr>
          <w:trHeight w:val="238"/>
        </w:trPr>
        <w:tc>
          <w:tcPr>
            <w:tcW w:w="2122" w:type="dxa"/>
            <w:shd w:val="clear" w:color="auto" w:fill="F2F2F2" w:themeFill="background1" w:themeFillShade="F2"/>
            <w:vAlign w:val="center"/>
          </w:tcPr>
          <w:p w14:paraId="7967274F" w14:textId="77777777" w:rsidR="005B4055" w:rsidRPr="004B465E" w:rsidRDefault="005B4055" w:rsidP="005B4055">
            <w:pPr>
              <w:spacing w:before="40" w:after="40"/>
              <w:jc w:val="left"/>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Užsakovas</w:t>
            </w:r>
          </w:p>
        </w:tc>
        <w:tc>
          <w:tcPr>
            <w:tcW w:w="8072" w:type="dxa"/>
            <w:gridSpan w:val="4"/>
            <w:vAlign w:val="center"/>
          </w:tcPr>
          <w:p w14:paraId="34DBD703" w14:textId="704326B4" w:rsidR="005B4055" w:rsidRPr="004B465E" w:rsidRDefault="00303373" w:rsidP="00FD567A">
            <w:pPr>
              <w:spacing w:before="40" w:after="40"/>
              <w:rPr>
                <w:rFonts w:ascii="Times New Roman" w:eastAsia="Times New Roman" w:hAnsi="Times New Roman" w:cs="Times New Roman"/>
                <w:bCs/>
                <w:sz w:val="18"/>
                <w:szCs w:val="18"/>
                <w:lang w:val="lt-LT"/>
              </w:rPr>
            </w:pPr>
            <w:r w:rsidRPr="004B465E">
              <w:rPr>
                <w:rFonts w:ascii="Times New Roman" w:eastAsia="Arial" w:hAnsi="Times New Roman" w:cs="Times New Roman"/>
                <w:b/>
                <w:bCs/>
                <w:sz w:val="18"/>
                <w:szCs w:val="18"/>
                <w:lang w:val="lt-LT"/>
              </w:rPr>
              <w:t>Kauno rajono savivaldybės administracija</w:t>
            </w:r>
          </w:p>
        </w:tc>
      </w:tr>
      <w:tr w:rsidR="005B4055" w:rsidRPr="004B465E" w14:paraId="1B90D632" w14:textId="77777777" w:rsidTr="001B49E6">
        <w:trPr>
          <w:trHeight w:val="238"/>
        </w:trPr>
        <w:tc>
          <w:tcPr>
            <w:tcW w:w="2122" w:type="dxa"/>
            <w:shd w:val="clear" w:color="auto" w:fill="F2F2F2" w:themeFill="background1" w:themeFillShade="F2"/>
            <w:vAlign w:val="center"/>
          </w:tcPr>
          <w:p w14:paraId="3CCF012A" w14:textId="394B5BB7" w:rsidR="005B4055" w:rsidRPr="004B465E" w:rsidRDefault="005B4055" w:rsidP="00FD567A">
            <w:pPr>
              <w:spacing w:before="40" w:after="40"/>
              <w:jc w:val="left"/>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Rangovas</w:t>
            </w:r>
          </w:p>
        </w:tc>
        <w:tc>
          <w:tcPr>
            <w:tcW w:w="8072" w:type="dxa"/>
            <w:gridSpan w:val="4"/>
            <w:vAlign w:val="center"/>
          </w:tcPr>
          <w:p w14:paraId="6C6C8E02" w14:textId="0E52EFC7" w:rsidR="005B4055" w:rsidRPr="004B465E" w:rsidRDefault="005654F9" w:rsidP="00FD567A">
            <w:pPr>
              <w:spacing w:before="40" w:after="40"/>
              <w:rPr>
                <w:rFonts w:ascii="Times New Roman" w:eastAsia="Times New Roman" w:hAnsi="Times New Roman" w:cs="Times New Roman"/>
                <w:bCs/>
                <w:sz w:val="18"/>
                <w:szCs w:val="18"/>
                <w:lang w:val="lt-LT"/>
              </w:rPr>
            </w:pPr>
            <w:r w:rsidRPr="004B465E">
              <w:rPr>
                <w:rFonts w:ascii="Times New Roman" w:eastAsia="Arial" w:hAnsi="Times New Roman" w:cs="Times New Roman"/>
                <w:b/>
                <w:bCs/>
                <w:sz w:val="18"/>
                <w:szCs w:val="18"/>
                <w:lang w:val="lt-LT"/>
              </w:rPr>
              <w:t>UAB „Kauno keliai“</w:t>
            </w:r>
          </w:p>
        </w:tc>
      </w:tr>
      <w:tr w:rsidR="00CB42CD" w:rsidRPr="004B465E" w14:paraId="62A0757D" w14:textId="77777777" w:rsidTr="001B49E6">
        <w:trPr>
          <w:trHeight w:val="238"/>
        </w:trPr>
        <w:tc>
          <w:tcPr>
            <w:tcW w:w="2122" w:type="dxa"/>
            <w:shd w:val="clear" w:color="auto" w:fill="F2F2F2" w:themeFill="background1" w:themeFillShade="F2"/>
            <w:vAlign w:val="center"/>
          </w:tcPr>
          <w:p w14:paraId="5DD54727" w14:textId="30ADDD74" w:rsidR="00CB42CD" w:rsidRPr="004B465E" w:rsidRDefault="00CB42CD" w:rsidP="00CB42CD">
            <w:pPr>
              <w:spacing w:before="40" w:after="40"/>
              <w:jc w:val="left"/>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Susitarimo pagrindas:</w:t>
            </w:r>
          </w:p>
        </w:tc>
        <w:tc>
          <w:tcPr>
            <w:tcW w:w="8072" w:type="dxa"/>
            <w:gridSpan w:val="4"/>
            <w:vAlign w:val="center"/>
          </w:tcPr>
          <w:p w14:paraId="56A71369" w14:textId="6CAC90BA" w:rsidR="00CB42CD" w:rsidRPr="004B465E" w:rsidRDefault="00CB42CD" w:rsidP="00CB42CD">
            <w:pPr>
              <w:spacing w:before="40" w:after="40"/>
              <w:rPr>
                <w:rFonts w:ascii="Times New Roman" w:eastAsia="Times New Roman" w:hAnsi="Times New Roman" w:cs="Times New Roman"/>
                <w:bCs/>
                <w:sz w:val="18"/>
                <w:szCs w:val="18"/>
                <w:highlight w:val="lightGray"/>
                <w:lang w:val="lt-LT"/>
              </w:rPr>
            </w:pPr>
          </w:p>
        </w:tc>
      </w:tr>
      <w:tr w:rsidR="005B4055" w:rsidRPr="00CC195B" w14:paraId="01D77943" w14:textId="77777777" w:rsidTr="001B49E6">
        <w:trPr>
          <w:trHeight w:val="1752"/>
        </w:trPr>
        <w:tc>
          <w:tcPr>
            <w:tcW w:w="2122" w:type="dxa"/>
            <w:shd w:val="clear" w:color="auto" w:fill="F2F2F2" w:themeFill="background1" w:themeFillShade="F2"/>
            <w:vAlign w:val="center"/>
          </w:tcPr>
          <w:p w14:paraId="4E0711DF" w14:textId="5335CA9F" w:rsidR="005B4055" w:rsidRPr="004B465E" w:rsidRDefault="005B4055" w:rsidP="005B4055">
            <w:pPr>
              <w:spacing w:before="40" w:after="40"/>
              <w:jc w:val="left"/>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Susitarimo turinys</w:t>
            </w:r>
            <w:r w:rsidR="00CB42CD" w:rsidRPr="004B465E">
              <w:rPr>
                <w:rFonts w:ascii="Times New Roman" w:eastAsia="Times New Roman" w:hAnsi="Times New Roman" w:cs="Times New Roman"/>
                <w:b/>
                <w:bCs/>
                <w:sz w:val="18"/>
                <w:szCs w:val="18"/>
                <w:lang w:val="lt-LT"/>
              </w:rPr>
              <w:t>:</w:t>
            </w:r>
          </w:p>
        </w:tc>
        <w:tc>
          <w:tcPr>
            <w:tcW w:w="8072" w:type="dxa"/>
            <w:gridSpan w:val="4"/>
          </w:tcPr>
          <w:p w14:paraId="50187946" w14:textId="77777777" w:rsidR="000F57DD" w:rsidRPr="004B465E" w:rsidRDefault="000F57DD" w:rsidP="000F57DD">
            <w:pPr>
              <w:spacing w:before="40" w:after="40"/>
              <w:jc w:val="left"/>
              <w:rPr>
                <w:rFonts w:ascii="Times New Roman" w:eastAsia="Times New Roman" w:hAnsi="Times New Roman" w:cs="Times New Roman"/>
                <w:bCs/>
                <w:sz w:val="18"/>
                <w:szCs w:val="18"/>
                <w:lang w:val="lt-LT"/>
              </w:rPr>
            </w:pPr>
            <w:r w:rsidRPr="004B465E">
              <w:rPr>
                <w:rFonts w:ascii="Times New Roman" w:eastAsia="Times New Roman" w:hAnsi="Times New Roman" w:cs="Times New Roman"/>
                <w:bCs/>
                <w:sz w:val="18"/>
                <w:szCs w:val="18"/>
                <w:lang w:val="lt-LT"/>
              </w:rPr>
              <w:t>ATSIŽVELGDAMOS Į TAI, KAD:</w:t>
            </w:r>
          </w:p>
          <w:p w14:paraId="55F15D93" w14:textId="77777777" w:rsidR="000F57DD" w:rsidRPr="004B465E" w:rsidRDefault="000F57DD" w:rsidP="000F57DD">
            <w:pPr>
              <w:spacing w:before="40" w:after="40"/>
              <w:jc w:val="left"/>
              <w:rPr>
                <w:rFonts w:ascii="Times New Roman" w:eastAsia="Times New Roman" w:hAnsi="Times New Roman" w:cs="Times New Roman"/>
                <w:bCs/>
                <w:sz w:val="18"/>
                <w:szCs w:val="18"/>
                <w:lang w:val="lt-LT"/>
              </w:rPr>
            </w:pPr>
          </w:p>
          <w:p w14:paraId="279FC6DE" w14:textId="5190A39A" w:rsidR="000F57DD" w:rsidRPr="00CC195B" w:rsidRDefault="000F57DD" w:rsidP="00390978">
            <w:pPr>
              <w:spacing w:before="40" w:after="40"/>
              <w:rPr>
                <w:rFonts w:ascii="Times New Roman" w:eastAsia="Times New Roman" w:hAnsi="Times New Roman" w:cs="Times New Roman"/>
                <w:bCs/>
                <w:sz w:val="18"/>
                <w:szCs w:val="18"/>
                <w:lang w:val="lt-LT"/>
              </w:rPr>
            </w:pPr>
            <w:r w:rsidRPr="004B465E">
              <w:rPr>
                <w:rFonts w:ascii="Times New Roman" w:eastAsia="Times New Roman" w:hAnsi="Times New Roman" w:cs="Times New Roman"/>
                <w:bCs/>
                <w:sz w:val="18"/>
                <w:szCs w:val="18"/>
                <w:lang w:val="lt-LT"/>
              </w:rPr>
              <w:t xml:space="preserve">A. Šalys </w:t>
            </w:r>
            <w:r w:rsidR="009766A1" w:rsidRPr="004B465E">
              <w:rPr>
                <w:rFonts w:ascii="Times New Roman" w:eastAsia="Times New Roman" w:hAnsi="Times New Roman" w:cs="Times New Roman"/>
                <w:bCs/>
                <w:sz w:val="18"/>
                <w:szCs w:val="18"/>
                <w:lang w:val="lt-LT"/>
              </w:rPr>
              <w:t>2024-09-20</w:t>
            </w:r>
            <w:r w:rsidRPr="004B465E">
              <w:rPr>
                <w:rFonts w:ascii="Times New Roman" w:eastAsia="Times New Roman" w:hAnsi="Times New Roman" w:cs="Times New Roman"/>
                <w:bCs/>
                <w:sz w:val="18"/>
                <w:szCs w:val="18"/>
                <w:lang w:val="lt-LT"/>
              </w:rPr>
              <w:t xml:space="preserve"> sudarė viešojo pirkimo pagrindinę sutartį Nr. </w:t>
            </w:r>
            <w:r w:rsidR="009766A1" w:rsidRPr="00CC195B">
              <w:rPr>
                <w:rFonts w:ascii="Times New Roman" w:hAnsi="Times New Roman" w:cs="Times New Roman"/>
                <w:lang w:val="lt-LT"/>
              </w:rPr>
              <w:t xml:space="preserve"> </w:t>
            </w:r>
            <w:r w:rsidR="009766A1" w:rsidRPr="004B465E">
              <w:rPr>
                <w:rFonts w:ascii="Times New Roman" w:eastAsia="Times New Roman" w:hAnsi="Times New Roman" w:cs="Times New Roman"/>
                <w:bCs/>
                <w:sz w:val="18"/>
                <w:szCs w:val="18"/>
                <w:lang w:val="lt-LT"/>
              </w:rPr>
              <w:t>S-1348</w:t>
            </w:r>
            <w:r w:rsidRPr="004B465E">
              <w:rPr>
                <w:rFonts w:ascii="Times New Roman" w:eastAsia="Times New Roman" w:hAnsi="Times New Roman" w:cs="Times New Roman"/>
                <w:bCs/>
                <w:sz w:val="18"/>
                <w:szCs w:val="18"/>
                <w:lang w:val="lt-LT"/>
              </w:rPr>
              <w:t xml:space="preserve"> „</w:t>
            </w:r>
            <w:r w:rsidR="00901284" w:rsidRPr="004B465E">
              <w:rPr>
                <w:rFonts w:ascii="Times New Roman" w:eastAsia="Times New Roman" w:hAnsi="Times New Roman" w:cs="Times New Roman"/>
                <w:bCs/>
                <w:sz w:val="18"/>
                <w:szCs w:val="18"/>
                <w:lang w:val="lt-LT"/>
              </w:rPr>
              <w:t>Veterinarų g. atkarpos rekonstrukcija ir kapitalinis remontas</w:t>
            </w:r>
            <w:r w:rsidRPr="004B465E">
              <w:rPr>
                <w:rFonts w:ascii="Times New Roman" w:eastAsia="Times New Roman" w:hAnsi="Times New Roman" w:cs="Times New Roman"/>
                <w:bCs/>
                <w:sz w:val="18"/>
                <w:szCs w:val="18"/>
                <w:lang w:val="lt-LT"/>
              </w:rPr>
              <w:t>“ (toliau – Sutartis</w:t>
            </w:r>
            <w:r w:rsidR="00901284" w:rsidRPr="004B465E">
              <w:rPr>
                <w:rFonts w:ascii="Times New Roman" w:eastAsia="Times New Roman" w:hAnsi="Times New Roman" w:cs="Times New Roman"/>
                <w:bCs/>
                <w:sz w:val="18"/>
                <w:szCs w:val="18"/>
                <w:lang w:val="lt-LT"/>
              </w:rPr>
              <w:t>)</w:t>
            </w:r>
            <w:r w:rsidRPr="004B465E">
              <w:rPr>
                <w:rFonts w:ascii="Times New Roman" w:eastAsia="Times New Roman" w:hAnsi="Times New Roman" w:cs="Times New Roman"/>
                <w:bCs/>
                <w:sz w:val="18"/>
                <w:szCs w:val="18"/>
                <w:lang w:val="lt-LT"/>
              </w:rPr>
              <w:t>. Sutartis visa apimtimi įsigaliojo 2024-1</w:t>
            </w:r>
            <w:r w:rsidR="00B54A3E" w:rsidRPr="004B465E">
              <w:rPr>
                <w:rFonts w:ascii="Times New Roman" w:eastAsia="Times New Roman" w:hAnsi="Times New Roman" w:cs="Times New Roman"/>
                <w:bCs/>
                <w:sz w:val="18"/>
                <w:szCs w:val="18"/>
                <w:lang w:val="lt-LT"/>
              </w:rPr>
              <w:t>0</w:t>
            </w:r>
            <w:r w:rsidRPr="004B465E">
              <w:rPr>
                <w:rFonts w:ascii="Times New Roman" w:eastAsia="Times New Roman" w:hAnsi="Times New Roman" w:cs="Times New Roman"/>
                <w:bCs/>
                <w:sz w:val="18"/>
                <w:szCs w:val="18"/>
                <w:lang w:val="lt-LT"/>
              </w:rPr>
              <w:t>-</w:t>
            </w:r>
            <w:r w:rsidR="00B54A3E" w:rsidRPr="004B465E">
              <w:rPr>
                <w:rFonts w:ascii="Times New Roman" w:eastAsia="Times New Roman" w:hAnsi="Times New Roman" w:cs="Times New Roman"/>
                <w:bCs/>
                <w:sz w:val="18"/>
                <w:szCs w:val="18"/>
                <w:lang w:val="lt-LT"/>
              </w:rPr>
              <w:t>01</w:t>
            </w:r>
            <w:r w:rsidRPr="004B465E">
              <w:rPr>
                <w:rFonts w:ascii="Times New Roman" w:eastAsia="Times New Roman" w:hAnsi="Times New Roman" w:cs="Times New Roman"/>
                <w:bCs/>
                <w:sz w:val="18"/>
                <w:szCs w:val="18"/>
                <w:lang w:val="lt-LT"/>
              </w:rPr>
              <w:t>, t. y. nuo sekančios dienos, kai Rangovas pateikė Sutarties įvykdymo užtikrinimą (</w:t>
            </w:r>
            <w:r w:rsidR="00C56AA1" w:rsidRPr="00CC195B">
              <w:rPr>
                <w:rFonts w:ascii="Times New Roman" w:eastAsia="Times New Roman" w:hAnsi="Times New Roman" w:cs="Times New Roman"/>
                <w:bCs/>
                <w:sz w:val="18"/>
                <w:szCs w:val="18"/>
                <w:lang w:val="lt-LT"/>
              </w:rPr>
              <w:t>AB SEB bank</w:t>
            </w:r>
            <w:r w:rsidR="00061B9E" w:rsidRPr="00CC195B">
              <w:rPr>
                <w:rFonts w:ascii="Times New Roman" w:eastAsia="Times New Roman" w:hAnsi="Times New Roman" w:cs="Times New Roman"/>
                <w:bCs/>
                <w:sz w:val="18"/>
                <w:szCs w:val="18"/>
                <w:lang w:val="lt-LT"/>
              </w:rPr>
              <w:t>o</w:t>
            </w:r>
            <w:r w:rsidR="00B54A3E" w:rsidRPr="004B465E">
              <w:rPr>
                <w:rFonts w:ascii="Times New Roman" w:eastAsia="Times New Roman" w:hAnsi="Times New Roman" w:cs="Times New Roman"/>
                <w:bCs/>
                <w:sz w:val="18"/>
                <w:szCs w:val="18"/>
                <w:lang w:val="lt-LT"/>
              </w:rPr>
              <w:t xml:space="preserve"> garantiją</w:t>
            </w:r>
            <w:r w:rsidRPr="004B465E">
              <w:rPr>
                <w:rFonts w:ascii="Times New Roman" w:eastAsia="Times New Roman" w:hAnsi="Times New Roman" w:cs="Times New Roman"/>
                <w:bCs/>
                <w:sz w:val="18"/>
                <w:szCs w:val="18"/>
                <w:lang w:val="lt-LT"/>
              </w:rPr>
              <w:t xml:space="preserve"> Nr.</w:t>
            </w:r>
            <w:r w:rsidR="00C56AA1" w:rsidRPr="00CC195B">
              <w:rPr>
                <w:rFonts w:ascii="Times New Roman" w:hAnsi="Times New Roman" w:cs="Times New Roman"/>
                <w:lang w:val="lt-LT"/>
              </w:rPr>
              <w:t xml:space="preserve"> </w:t>
            </w:r>
            <w:r w:rsidR="00C56AA1" w:rsidRPr="004B465E">
              <w:rPr>
                <w:rFonts w:ascii="Times New Roman" w:eastAsia="Times New Roman" w:hAnsi="Times New Roman" w:cs="Times New Roman"/>
                <w:bCs/>
                <w:sz w:val="18"/>
                <w:szCs w:val="18"/>
                <w:lang w:val="lt-LT"/>
              </w:rPr>
              <w:t>IGP2410010085103</w:t>
            </w:r>
            <w:r w:rsidRPr="004B465E">
              <w:rPr>
                <w:rFonts w:ascii="Times New Roman" w:eastAsia="Times New Roman" w:hAnsi="Times New Roman" w:cs="Times New Roman"/>
                <w:bCs/>
                <w:sz w:val="18"/>
                <w:szCs w:val="18"/>
                <w:lang w:val="lt-LT"/>
              </w:rPr>
              <w:t>).</w:t>
            </w:r>
          </w:p>
          <w:p w14:paraId="4AF272DB" w14:textId="77777777" w:rsidR="009437BB" w:rsidRPr="004B465E" w:rsidRDefault="009437BB" w:rsidP="00390978">
            <w:pPr>
              <w:spacing w:before="40" w:after="40"/>
              <w:rPr>
                <w:rFonts w:ascii="Times New Roman" w:hAnsi="Times New Roman" w:cs="Times New Roman"/>
                <w:bCs/>
                <w:sz w:val="18"/>
                <w:szCs w:val="18"/>
                <w:lang w:val="lt-LT"/>
              </w:rPr>
            </w:pPr>
            <w:r w:rsidRPr="004B465E">
              <w:rPr>
                <w:rFonts w:ascii="Times New Roman" w:hAnsi="Times New Roman" w:cs="Times New Roman"/>
                <w:bCs/>
                <w:sz w:val="18"/>
                <w:szCs w:val="18"/>
                <w:lang w:val="lt-LT"/>
              </w:rPr>
              <w:t xml:space="preserve">B. Statybos proceso dalyviai (Rangovas, Užsakovas, projektuotojas ir statybos techninės priežiūros vadovas) pasirašė pakeitimų aktą (pridedama), kuriame detalizuoti Sutarties pakeitimai, kuriems pritaria visi minėti statybos proceso dalyviai.  </w:t>
            </w:r>
          </w:p>
          <w:p w14:paraId="1D5877A3" w14:textId="77777777" w:rsidR="00930E7C" w:rsidRPr="004B465E" w:rsidRDefault="00930E7C" w:rsidP="00390978">
            <w:pPr>
              <w:spacing w:before="40" w:after="40"/>
              <w:rPr>
                <w:rFonts w:ascii="Times New Roman" w:hAnsi="Times New Roman" w:cs="Times New Roman"/>
                <w:bCs/>
                <w:sz w:val="18"/>
                <w:szCs w:val="18"/>
                <w:lang w:val="lt-LT"/>
              </w:rPr>
            </w:pPr>
            <w:r w:rsidRPr="004B465E">
              <w:rPr>
                <w:rFonts w:ascii="Times New Roman" w:hAnsi="Times New Roman" w:cs="Times New Roman"/>
                <w:bCs/>
                <w:sz w:val="18"/>
                <w:szCs w:val="18"/>
                <w:lang w:val="lt-LT"/>
              </w:rPr>
              <w:t xml:space="preserve">C. Pagrindinės sutarties Bendrųjų sąlygų 15.2.2 punkte numatyta, kad </w:t>
            </w:r>
            <w:r w:rsidRPr="004B465E">
              <w:rPr>
                <w:rFonts w:ascii="Times New Roman" w:hAnsi="Times New Roman" w:cs="Times New Roman"/>
                <w:bCs/>
                <w:i/>
                <w:iCs/>
                <w:sz w:val="18"/>
                <w:szCs w:val="18"/>
                <w:lang w:val="lt-LT"/>
              </w:rPr>
              <w:t>„Sutarties kaina negali viršyti Pradinės sutarties vertės, todėl Rangovas privalo atlikti Darbus, neviršydamas Pirkimo dokumentuose nurodytų apimčių, pagal kurias buvo apskaičiuota Pradinės sutarties vertė, ir atlikdamas tik tokius kiekius, kad nebūtų viršijama Pradinės sutarties vertė, nebent sudaromas Susitarimas dėl Papildomų darbų pagal 15.2.4 punktą“</w:t>
            </w:r>
            <w:r w:rsidRPr="004B465E">
              <w:rPr>
                <w:rFonts w:ascii="Times New Roman" w:hAnsi="Times New Roman" w:cs="Times New Roman"/>
                <w:bCs/>
                <w:sz w:val="18"/>
                <w:szCs w:val="18"/>
                <w:lang w:val="lt-LT"/>
              </w:rPr>
              <w:t>.  Sutarties Bendrųjų sąlygų 15.2.4 punkte numatyta, kad „</w:t>
            </w:r>
            <w:r w:rsidRPr="004B465E">
              <w:rPr>
                <w:rFonts w:ascii="Times New Roman" w:hAnsi="Times New Roman" w:cs="Times New Roman"/>
                <w:bCs/>
                <w:i/>
                <w:iCs/>
                <w:sz w:val="18"/>
                <w:szCs w:val="18"/>
                <w:lang w:val="lt-LT"/>
              </w:rPr>
              <w:t>Užsakovas turi teisę priimti sprendimą, ar iš Rangovo įsigyti Darbų kiekius, kurių vertė viršija Pradinės sutarties vertę, kaip Papildomus darbus, vadovaudamasis 25 straipsnyje „Sutarties pakeitimai“ nustatyta tvarka</w:t>
            </w:r>
            <w:r w:rsidRPr="004B465E">
              <w:rPr>
                <w:rFonts w:ascii="Times New Roman" w:hAnsi="Times New Roman" w:cs="Times New Roman"/>
                <w:bCs/>
                <w:sz w:val="18"/>
                <w:szCs w:val="18"/>
                <w:lang w:val="lt-LT"/>
              </w:rPr>
              <w:t>“. Sutarties Bendrųjų sąlygų 25.2 punkte numatyta, kad Šalys turi teisę sudaryti susitarimus dėl papildomų darbų su sąlyga, kad nepažeidžiamos Viešųjų pirkimų įstatymo (toliau – VPĮ) 89 straipsnyje nurodytos vertės.</w:t>
            </w:r>
          </w:p>
          <w:p w14:paraId="6519FE44" w14:textId="77777777" w:rsidR="00861F98" w:rsidRPr="00861F98" w:rsidRDefault="00861F98" w:rsidP="00390978">
            <w:pPr>
              <w:spacing w:before="40" w:after="40"/>
              <w:rPr>
                <w:rFonts w:ascii="Times New Roman" w:eastAsia="Times New Roman" w:hAnsi="Times New Roman" w:cs="Times New Roman"/>
                <w:bCs/>
                <w:sz w:val="18"/>
                <w:szCs w:val="18"/>
                <w:lang w:val="lt-LT"/>
              </w:rPr>
            </w:pPr>
            <w:r w:rsidRPr="00861F98">
              <w:rPr>
                <w:rFonts w:ascii="Times New Roman" w:eastAsia="Times New Roman" w:hAnsi="Times New Roman" w:cs="Times New Roman"/>
                <w:bCs/>
                <w:sz w:val="18"/>
                <w:szCs w:val="18"/>
                <w:lang w:val="lt-LT"/>
              </w:rPr>
              <w:t>D. Vykdant Pagrindinę sutartį buvo nustatyta, kad tikslinga iš Rangovo įsigyti papildomus darbus ir būtina atsisakyti nevykdomų darbų, kurių apimtis ir kaina detalizuota šio susitarimo priede, todėl Šalys, vadovaujantis VPĮ 89 straipsnio 2 dalimi sudaro šį susitarimą dėl papildomų darbų įsigijimo.</w:t>
            </w:r>
          </w:p>
          <w:p w14:paraId="313C5FFB" w14:textId="77777777" w:rsidR="00861F98" w:rsidRPr="00861F98" w:rsidRDefault="00861F98" w:rsidP="00390978">
            <w:pPr>
              <w:spacing w:before="40" w:after="40"/>
              <w:rPr>
                <w:rFonts w:ascii="Times New Roman" w:eastAsia="Times New Roman" w:hAnsi="Times New Roman" w:cs="Times New Roman"/>
                <w:bCs/>
                <w:sz w:val="18"/>
                <w:szCs w:val="18"/>
                <w:lang w:val="lt-LT"/>
              </w:rPr>
            </w:pPr>
            <w:r w:rsidRPr="00861F98">
              <w:rPr>
                <w:rFonts w:ascii="Times New Roman" w:eastAsia="Times New Roman" w:hAnsi="Times New Roman" w:cs="Times New Roman"/>
                <w:bCs/>
                <w:sz w:val="18"/>
                <w:szCs w:val="18"/>
                <w:lang w:val="lt-LT"/>
              </w:rPr>
              <w:t>E.VPĮ 89 straipsnio 2 dalis (</w:t>
            </w:r>
            <w:r w:rsidRPr="00B6717B">
              <w:rPr>
                <w:rFonts w:ascii="Times New Roman" w:eastAsia="Times New Roman" w:hAnsi="Times New Roman" w:cs="Times New Roman"/>
                <w:b/>
                <w:i/>
                <w:iCs/>
                <w:sz w:val="18"/>
                <w:szCs w:val="18"/>
                <w:lang w:val="lt-LT"/>
              </w:rPr>
              <w:t>de minimis</w:t>
            </w:r>
            <w:r w:rsidRPr="00B6717B">
              <w:rPr>
                <w:rFonts w:ascii="Times New Roman" w:eastAsia="Times New Roman" w:hAnsi="Times New Roman" w:cs="Times New Roman"/>
                <w:b/>
                <w:sz w:val="18"/>
                <w:szCs w:val="18"/>
                <w:lang w:val="lt-LT"/>
              </w:rPr>
              <w:t xml:space="preserve"> keitimai</w:t>
            </w:r>
            <w:r w:rsidRPr="00861F98">
              <w:rPr>
                <w:rFonts w:ascii="Times New Roman" w:eastAsia="Times New Roman" w:hAnsi="Times New Roman" w:cs="Times New Roman"/>
                <w:bCs/>
                <w:sz w:val="18"/>
                <w:szCs w:val="18"/>
                <w:lang w:val="lt-LT"/>
              </w:rPr>
              <w:t xml:space="preserve">) numato, kad: </w:t>
            </w:r>
          </w:p>
          <w:p w14:paraId="743ADB86" w14:textId="77777777" w:rsidR="00861F98" w:rsidRPr="00861F98" w:rsidRDefault="00861F98" w:rsidP="00390978">
            <w:pPr>
              <w:spacing w:before="40" w:after="40"/>
              <w:rPr>
                <w:rFonts w:ascii="Times New Roman" w:eastAsia="Times New Roman" w:hAnsi="Times New Roman" w:cs="Times New Roman"/>
                <w:bCs/>
                <w:i/>
                <w:iCs/>
                <w:sz w:val="18"/>
                <w:szCs w:val="18"/>
                <w:lang w:val="lt-LT"/>
              </w:rPr>
            </w:pPr>
            <w:r w:rsidRPr="00861F98">
              <w:rPr>
                <w:rFonts w:ascii="Times New Roman" w:eastAsia="Times New Roman" w:hAnsi="Times New Roman" w:cs="Times New Roman"/>
                <w:bCs/>
                <w:i/>
                <w:iCs/>
                <w:sz w:val="18"/>
                <w:szCs w:val="18"/>
                <w:lang w:val="lt-LT"/>
              </w:rPr>
              <w:t xml:space="preserve">„2.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11049E7E" w14:textId="77777777" w:rsidR="00861F98" w:rsidRPr="00861F98" w:rsidRDefault="00861F98" w:rsidP="00390978">
            <w:pPr>
              <w:spacing w:before="40" w:after="40"/>
              <w:rPr>
                <w:rFonts w:ascii="Times New Roman" w:eastAsia="Times New Roman" w:hAnsi="Times New Roman" w:cs="Times New Roman"/>
                <w:bCs/>
                <w:i/>
                <w:iCs/>
                <w:sz w:val="18"/>
                <w:szCs w:val="18"/>
                <w:lang w:val="lt-LT"/>
              </w:rPr>
            </w:pPr>
            <w:r w:rsidRPr="00861F98">
              <w:rPr>
                <w:rFonts w:ascii="Times New Roman" w:eastAsia="Times New Roman" w:hAnsi="Times New Roman" w:cs="Times New Roman"/>
                <w:bCs/>
                <w:i/>
                <w:iCs/>
                <w:sz w:val="18"/>
                <w:szCs w:val="18"/>
                <w:lang w:val="lt-LT"/>
              </w:rPr>
              <w:t xml:space="preserve">1) bendra atskirų pakeitimų pagal šį punktą vertė neviršija atitinkamų tarptautinio pirkimo vertės ribų, nurodytų šio įstatymo 4 straipsnio 1 dalyje; </w:t>
            </w:r>
          </w:p>
          <w:p w14:paraId="7940F028" w14:textId="77777777" w:rsidR="00861F98" w:rsidRPr="00861F98" w:rsidRDefault="00861F98" w:rsidP="00390978">
            <w:pPr>
              <w:spacing w:before="40" w:after="40"/>
              <w:rPr>
                <w:rFonts w:ascii="Times New Roman" w:eastAsia="Times New Roman" w:hAnsi="Times New Roman" w:cs="Times New Roman"/>
                <w:bCs/>
                <w:i/>
                <w:iCs/>
                <w:sz w:val="18"/>
                <w:szCs w:val="18"/>
                <w:lang w:val="lt-LT"/>
              </w:rPr>
            </w:pPr>
            <w:r w:rsidRPr="00861F98">
              <w:rPr>
                <w:rFonts w:ascii="Times New Roman" w:eastAsia="Times New Roman" w:hAnsi="Times New Roman" w:cs="Times New Roman"/>
                <w:bCs/>
                <w:i/>
                <w:iCs/>
                <w:sz w:val="18"/>
                <w:szCs w:val="18"/>
                <w:lang w:val="lt-LT"/>
              </w:rPr>
              <w:t xml:space="preserve">2) bendra atskirų pakeitimų pagal šį punktą vertė neviršija 10 procentų pradinės pirkimo sutarties ar preliminariosios sutarties vertės prekių ar paslaugų pirkimo atveju ir 15 procentų – darbų pirkimo atveju; </w:t>
            </w:r>
          </w:p>
          <w:p w14:paraId="4B4A2B10" w14:textId="77777777" w:rsidR="00861F98" w:rsidRPr="00861F98" w:rsidRDefault="00861F98" w:rsidP="00390978">
            <w:pPr>
              <w:spacing w:before="40" w:after="40"/>
              <w:rPr>
                <w:rFonts w:ascii="Times New Roman" w:eastAsia="Times New Roman" w:hAnsi="Times New Roman" w:cs="Times New Roman"/>
                <w:bCs/>
                <w:i/>
                <w:iCs/>
                <w:sz w:val="18"/>
                <w:szCs w:val="18"/>
                <w:lang w:val="lt-LT"/>
              </w:rPr>
            </w:pPr>
            <w:r w:rsidRPr="00861F98">
              <w:rPr>
                <w:rFonts w:ascii="Times New Roman" w:eastAsia="Times New Roman" w:hAnsi="Times New Roman" w:cs="Times New Roman"/>
                <w:bCs/>
                <w:i/>
                <w:iCs/>
                <w:sz w:val="18"/>
                <w:szCs w:val="18"/>
                <w:lang w:val="lt-LT"/>
              </w:rPr>
              <w:t>3) pakeitimu iš esmės nepakeičiamas pirkimo sutarties ar preliminariosios sutarties pobūdis“.</w:t>
            </w:r>
          </w:p>
          <w:p w14:paraId="7762DA4D" w14:textId="77777777" w:rsidR="00861F98" w:rsidRPr="00861F98" w:rsidRDefault="00861F98" w:rsidP="00390978">
            <w:pPr>
              <w:spacing w:before="40" w:after="40"/>
              <w:rPr>
                <w:rFonts w:ascii="Times New Roman" w:eastAsia="Times New Roman" w:hAnsi="Times New Roman" w:cs="Times New Roman"/>
                <w:bCs/>
                <w:sz w:val="18"/>
                <w:szCs w:val="18"/>
                <w:lang w:val="lt-LT"/>
              </w:rPr>
            </w:pPr>
            <w:r w:rsidRPr="00861F98">
              <w:rPr>
                <w:rFonts w:ascii="Times New Roman" w:eastAsia="Times New Roman" w:hAnsi="Times New Roman" w:cs="Times New Roman"/>
                <w:bCs/>
                <w:sz w:val="18"/>
                <w:szCs w:val="18"/>
                <w:lang w:val="lt-LT"/>
              </w:rPr>
              <w:t>F. Vadovaujantis VPĮ 89 straipsnio 2 dalimi perkami papildomi darbai jų kainą apskaičiuojant Pagrindinės sutarties Bendrųjų sąlygų 15.8.3.1 punkte nustatyta tvarka, t. y.:</w:t>
            </w:r>
          </w:p>
          <w:p w14:paraId="265DC5D8" w14:textId="77777777" w:rsidR="00861F98" w:rsidRPr="00861F98" w:rsidRDefault="00861F98" w:rsidP="00390978">
            <w:pPr>
              <w:spacing w:before="40" w:after="40"/>
              <w:rPr>
                <w:rFonts w:ascii="Times New Roman" w:eastAsia="Times New Roman" w:hAnsi="Times New Roman" w:cs="Times New Roman"/>
                <w:bCs/>
                <w:sz w:val="18"/>
                <w:szCs w:val="18"/>
                <w:lang w:val="lt-LT"/>
              </w:rPr>
            </w:pPr>
            <w:r w:rsidRPr="00861F98">
              <w:rPr>
                <w:rFonts w:ascii="Times New Roman" w:eastAsia="Times New Roman" w:hAnsi="Times New Roman" w:cs="Times New Roman"/>
                <w:bCs/>
                <w:sz w:val="18"/>
                <w:szCs w:val="18"/>
                <w:lang w:val="lt-LT"/>
              </w:rPr>
              <w:t>- taikomos Sutarties (įkainių) detalizacijos žiniaraštyje nurodytos kainos ir įkainiai.</w:t>
            </w:r>
          </w:p>
          <w:p w14:paraId="7C2028B9" w14:textId="43A30662" w:rsidR="00383C9A" w:rsidRPr="004B465E" w:rsidRDefault="00EC089D" w:rsidP="00390978">
            <w:pPr>
              <w:spacing w:before="40" w:after="40"/>
              <w:rPr>
                <w:rFonts w:ascii="Times New Roman" w:eastAsia="Times New Roman" w:hAnsi="Times New Roman" w:cs="Times New Roman"/>
                <w:bCs/>
                <w:sz w:val="18"/>
                <w:szCs w:val="18"/>
                <w:lang w:val="lt-LT"/>
              </w:rPr>
            </w:pPr>
            <w:r w:rsidRPr="00EC089D">
              <w:rPr>
                <w:rFonts w:ascii="Times New Roman" w:eastAsia="Times New Roman" w:hAnsi="Times New Roman" w:cs="Times New Roman"/>
                <w:bCs/>
                <w:sz w:val="18"/>
                <w:szCs w:val="18"/>
                <w:lang w:val="lt-LT"/>
              </w:rPr>
              <w:t>G</w:t>
            </w:r>
            <w:r w:rsidR="00383C9A" w:rsidRPr="004B465E">
              <w:rPr>
                <w:rFonts w:ascii="Times New Roman" w:eastAsia="Times New Roman" w:hAnsi="Times New Roman" w:cs="Times New Roman"/>
                <w:bCs/>
                <w:sz w:val="18"/>
                <w:szCs w:val="18"/>
                <w:lang w:val="lt-LT"/>
              </w:rPr>
              <w:t>. Pradinė Sutarties vertė yra</w:t>
            </w:r>
            <w:r w:rsidR="00DD5227" w:rsidRPr="004B465E">
              <w:rPr>
                <w:rFonts w:ascii="Times New Roman" w:hAnsi="Times New Roman" w:cs="Times New Roman"/>
              </w:rPr>
              <w:t xml:space="preserve"> </w:t>
            </w:r>
            <w:r w:rsidR="00DD5227" w:rsidRPr="004B465E">
              <w:rPr>
                <w:rFonts w:ascii="Times New Roman" w:eastAsia="Times New Roman" w:hAnsi="Times New Roman" w:cs="Times New Roman"/>
                <w:b/>
                <w:sz w:val="18"/>
                <w:szCs w:val="18"/>
                <w:lang w:val="lt-LT"/>
              </w:rPr>
              <w:t>805 736,70</w:t>
            </w:r>
            <w:r w:rsidR="00383C9A" w:rsidRPr="004B465E">
              <w:rPr>
                <w:rFonts w:ascii="Times New Roman" w:eastAsia="Times New Roman" w:hAnsi="Times New Roman" w:cs="Times New Roman"/>
                <w:b/>
                <w:sz w:val="18"/>
                <w:szCs w:val="18"/>
                <w:lang w:val="lt-LT"/>
              </w:rPr>
              <w:t xml:space="preserve"> Eur be PVM</w:t>
            </w:r>
            <w:r w:rsidR="00383C9A" w:rsidRPr="004B465E">
              <w:rPr>
                <w:rFonts w:ascii="Times New Roman" w:eastAsia="Times New Roman" w:hAnsi="Times New Roman" w:cs="Times New Roman"/>
                <w:bCs/>
                <w:sz w:val="18"/>
                <w:szCs w:val="18"/>
                <w:lang w:val="lt-LT"/>
              </w:rPr>
              <w:t xml:space="preserve">. </w:t>
            </w:r>
          </w:p>
          <w:p w14:paraId="47ECA32C" w14:textId="0E70A2A4" w:rsidR="000F57DD" w:rsidRPr="004B465E" w:rsidRDefault="003232C7" w:rsidP="00390978">
            <w:pPr>
              <w:spacing w:before="40" w:after="40"/>
              <w:rPr>
                <w:rFonts w:ascii="Times New Roman" w:eastAsia="Times New Roman" w:hAnsi="Times New Roman" w:cs="Times New Roman"/>
                <w:bCs/>
                <w:sz w:val="18"/>
                <w:szCs w:val="18"/>
                <w:lang w:val="lt-LT"/>
              </w:rPr>
            </w:pPr>
            <w:r>
              <w:rPr>
                <w:rFonts w:ascii="Times New Roman" w:eastAsia="Times New Roman" w:hAnsi="Times New Roman" w:cs="Times New Roman"/>
                <w:bCs/>
                <w:sz w:val="18"/>
                <w:szCs w:val="18"/>
                <w:lang w:val="lt-LT"/>
              </w:rPr>
              <w:t>H</w:t>
            </w:r>
            <w:r w:rsidR="00383C9A" w:rsidRPr="004B465E">
              <w:rPr>
                <w:rFonts w:ascii="Times New Roman" w:eastAsia="Times New Roman" w:hAnsi="Times New Roman" w:cs="Times New Roman"/>
                <w:bCs/>
                <w:sz w:val="18"/>
                <w:szCs w:val="18"/>
                <w:lang w:val="lt-LT"/>
              </w:rPr>
              <w:t xml:space="preserve">. </w:t>
            </w:r>
            <w:r w:rsidR="00C76422" w:rsidRPr="00CC195B">
              <w:rPr>
                <w:lang w:val="lt-LT"/>
              </w:rPr>
              <w:t xml:space="preserve"> </w:t>
            </w:r>
            <w:r w:rsidR="00C76422" w:rsidRPr="00C76422">
              <w:rPr>
                <w:rFonts w:ascii="Times New Roman" w:eastAsia="Times New Roman" w:hAnsi="Times New Roman" w:cs="Times New Roman"/>
                <w:bCs/>
                <w:sz w:val="18"/>
                <w:szCs w:val="18"/>
                <w:lang w:val="lt-LT"/>
              </w:rPr>
              <w:t xml:space="preserve">Vadovaujantis VPĮ 89 straipsnio 2 dalimi, turi būti skaičiuojami visi šiuo VPĮ nustatytu pagrindu atlikti pakeitimai, kad neviršyti 15 % ribos, todėl lentelėje žemiau nurodyti pakeitimai patvirtinti iki šio susitarimo (žr. Eil. Nr. 1) ir pakeitimai tvirtinami šiuo susitarimu (žr. Eil. Nr. </w:t>
            </w:r>
            <w:r w:rsidR="00D35AAD">
              <w:rPr>
                <w:rFonts w:ascii="Times New Roman" w:eastAsia="Times New Roman" w:hAnsi="Times New Roman" w:cs="Times New Roman"/>
                <w:bCs/>
                <w:sz w:val="18"/>
                <w:szCs w:val="18"/>
                <w:lang w:val="lt-LT"/>
              </w:rPr>
              <w:t>2</w:t>
            </w:r>
            <w:r w:rsidR="00C76422" w:rsidRPr="00C76422">
              <w:rPr>
                <w:rFonts w:ascii="Times New Roman" w:eastAsia="Times New Roman" w:hAnsi="Times New Roman" w:cs="Times New Roman"/>
                <w:bCs/>
                <w:sz w:val="18"/>
                <w:szCs w:val="18"/>
                <w:lang w:val="lt-LT"/>
              </w:rPr>
              <w:t>)</w:t>
            </w:r>
            <w:r w:rsidR="00383C9A" w:rsidRPr="004B465E">
              <w:rPr>
                <w:rFonts w:ascii="Times New Roman" w:eastAsia="Times New Roman" w:hAnsi="Times New Roman" w:cs="Times New Roman"/>
                <w:bCs/>
                <w:sz w:val="18"/>
                <w:szCs w:val="18"/>
                <w:lang w:val="lt-LT"/>
              </w:rPr>
              <w:t>:</w:t>
            </w:r>
          </w:p>
          <w:p w14:paraId="5C3CB902" w14:textId="77777777" w:rsidR="000F57DD" w:rsidRPr="004B465E" w:rsidRDefault="000F57DD" w:rsidP="000F57DD">
            <w:pPr>
              <w:spacing w:before="40" w:after="40"/>
              <w:jc w:val="left"/>
              <w:rPr>
                <w:rFonts w:ascii="Times New Roman" w:eastAsia="Times New Roman" w:hAnsi="Times New Roman" w:cs="Times New Roman"/>
                <w:bCs/>
                <w:sz w:val="18"/>
                <w:szCs w:val="18"/>
                <w:lang w:val="lt-LT"/>
              </w:rPr>
            </w:pPr>
          </w:p>
          <w:tbl>
            <w:tblPr>
              <w:tblStyle w:val="Lentelstinklelis"/>
              <w:tblW w:w="0" w:type="auto"/>
              <w:jc w:val="center"/>
              <w:tblLook w:val="04A0" w:firstRow="1" w:lastRow="0" w:firstColumn="1" w:lastColumn="0" w:noHBand="0" w:noVBand="1"/>
            </w:tblPr>
            <w:tblGrid>
              <w:gridCol w:w="520"/>
              <w:gridCol w:w="1917"/>
              <w:gridCol w:w="1237"/>
              <w:gridCol w:w="1237"/>
              <w:gridCol w:w="1237"/>
              <w:gridCol w:w="1237"/>
            </w:tblGrid>
            <w:tr w:rsidR="008A5230" w:rsidRPr="00C21E35" w14:paraId="288A985B" w14:textId="37C1B531" w:rsidTr="005A6611">
              <w:trPr>
                <w:trHeight w:val="1172"/>
                <w:jc w:val="center"/>
              </w:trPr>
              <w:tc>
                <w:tcPr>
                  <w:tcW w:w="520" w:type="dxa"/>
                  <w:hideMark/>
                </w:tcPr>
                <w:p w14:paraId="082BAFD6" w14:textId="77777777" w:rsidR="008A5230" w:rsidRPr="00C21E35" w:rsidRDefault="008A5230"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Eil. Nr.</w:t>
                  </w:r>
                </w:p>
              </w:tc>
              <w:tc>
                <w:tcPr>
                  <w:tcW w:w="1917" w:type="dxa"/>
                  <w:hideMark/>
                </w:tcPr>
                <w:p w14:paraId="0F056BB4" w14:textId="77777777" w:rsidR="008A5230" w:rsidRPr="00C21E35" w:rsidRDefault="008A5230"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Sutarties pakeitimo akto numeris</w:t>
                  </w:r>
                </w:p>
              </w:tc>
              <w:tc>
                <w:tcPr>
                  <w:tcW w:w="1237" w:type="dxa"/>
                  <w:hideMark/>
                </w:tcPr>
                <w:p w14:paraId="5E018C64" w14:textId="77777777" w:rsidR="008A5230" w:rsidRPr="00C21E35" w:rsidRDefault="008A5230"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Pakeitimo numeris pakeitimų akte</w:t>
                  </w:r>
                </w:p>
              </w:tc>
              <w:tc>
                <w:tcPr>
                  <w:tcW w:w="1237" w:type="dxa"/>
                  <w:hideMark/>
                </w:tcPr>
                <w:p w14:paraId="52D247A6" w14:textId="77777777" w:rsidR="008A5230" w:rsidRPr="00C21E35" w:rsidRDefault="008A5230"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Atsisakomo sutarties objekto kaina, Eur be PVM</w:t>
                  </w:r>
                </w:p>
                <w:p w14:paraId="7C73B469" w14:textId="5F937B07" w:rsidR="008A5230" w:rsidRPr="00C21E35" w:rsidRDefault="008A5230" w:rsidP="000003AD">
                  <w:pPr>
                    <w:pStyle w:val="Body2"/>
                    <w:framePr w:hSpace="180" w:wrap="around" w:vAnchor="text" w:hAnchor="text" w:x="3" w:y="1"/>
                    <w:suppressOverlap/>
                    <w:jc w:val="left"/>
                    <w:rPr>
                      <w:rFonts w:cs="Times New Roman"/>
                      <w:b/>
                      <w:bCs/>
                      <w:sz w:val="18"/>
                      <w:szCs w:val="18"/>
                      <w:lang w:val="lt-LT"/>
                    </w:rPr>
                  </w:pPr>
                </w:p>
              </w:tc>
              <w:tc>
                <w:tcPr>
                  <w:tcW w:w="1237" w:type="dxa"/>
                  <w:hideMark/>
                </w:tcPr>
                <w:p w14:paraId="2831B14D" w14:textId="77777777" w:rsidR="008A5230" w:rsidRPr="00C21E35" w:rsidRDefault="008A5230"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Pridedamo sutarties objekto kaina, Eur be PVM</w:t>
                  </w:r>
                </w:p>
                <w:p w14:paraId="7DDD2969" w14:textId="427D64DE" w:rsidR="008A5230" w:rsidRPr="00C21E35" w:rsidRDefault="008A5230" w:rsidP="000003AD">
                  <w:pPr>
                    <w:pStyle w:val="Body2"/>
                    <w:framePr w:hSpace="180" w:wrap="around" w:vAnchor="text" w:hAnchor="text" w:x="3" w:y="1"/>
                    <w:suppressOverlap/>
                    <w:rPr>
                      <w:rFonts w:cs="Times New Roman"/>
                      <w:b/>
                      <w:bCs/>
                      <w:sz w:val="18"/>
                      <w:szCs w:val="18"/>
                      <w:lang w:val="lt-LT"/>
                    </w:rPr>
                  </w:pPr>
                </w:p>
              </w:tc>
              <w:tc>
                <w:tcPr>
                  <w:tcW w:w="1237" w:type="dxa"/>
                </w:tcPr>
                <w:p w14:paraId="75BA45B3" w14:textId="77777777" w:rsidR="008A5230" w:rsidRDefault="00C21E35"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Pakeitimo vertė, Eur be PVM</w:t>
                  </w:r>
                </w:p>
                <w:p w14:paraId="1D50E348" w14:textId="37E3A857" w:rsidR="005A6611" w:rsidRPr="00C21E35" w:rsidRDefault="005A6611" w:rsidP="000003AD">
                  <w:pPr>
                    <w:pStyle w:val="Body2"/>
                    <w:framePr w:hSpace="180" w:wrap="around" w:vAnchor="text" w:hAnchor="text" w:x="3" w:y="1"/>
                    <w:suppressOverlap/>
                    <w:rPr>
                      <w:rFonts w:cs="Times New Roman"/>
                      <w:b/>
                      <w:bCs/>
                      <w:sz w:val="18"/>
                      <w:szCs w:val="18"/>
                      <w:lang w:val="lt-LT"/>
                    </w:rPr>
                  </w:pPr>
                </w:p>
              </w:tc>
            </w:tr>
            <w:tr w:rsidR="008A5230" w:rsidRPr="00CC195B" w14:paraId="08A79413" w14:textId="2F61DF3D" w:rsidTr="000A62D1">
              <w:trPr>
                <w:trHeight w:val="685"/>
                <w:jc w:val="center"/>
              </w:trPr>
              <w:tc>
                <w:tcPr>
                  <w:tcW w:w="520" w:type="dxa"/>
                  <w:hideMark/>
                </w:tcPr>
                <w:p w14:paraId="6803B499" w14:textId="77777777" w:rsidR="008A5230" w:rsidRPr="00C21E35" w:rsidRDefault="008A5230"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1.</w:t>
                  </w:r>
                </w:p>
              </w:tc>
              <w:tc>
                <w:tcPr>
                  <w:tcW w:w="1917" w:type="dxa"/>
                  <w:hideMark/>
                </w:tcPr>
                <w:p w14:paraId="71342DBE" w14:textId="3AF6E26E" w:rsidR="008A5230" w:rsidRPr="00C21E35" w:rsidRDefault="008A5230"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Pakeitimas Nr. 1 (tranzitinių ryšių tinklų iškėlimas)</w:t>
                  </w:r>
                </w:p>
              </w:tc>
              <w:tc>
                <w:tcPr>
                  <w:tcW w:w="1237" w:type="dxa"/>
                  <w:hideMark/>
                </w:tcPr>
                <w:p w14:paraId="79CBBBE5" w14:textId="77777777" w:rsidR="008A5230" w:rsidRPr="00C21E35" w:rsidRDefault="008A5230"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w:t>
                  </w:r>
                </w:p>
              </w:tc>
              <w:tc>
                <w:tcPr>
                  <w:tcW w:w="1237" w:type="dxa"/>
                  <w:hideMark/>
                </w:tcPr>
                <w:p w14:paraId="17F4335C" w14:textId="4CA969BF" w:rsidR="008A5230" w:rsidRPr="00C21E35" w:rsidRDefault="008A5230"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5 351,61</w:t>
                  </w:r>
                </w:p>
              </w:tc>
              <w:tc>
                <w:tcPr>
                  <w:tcW w:w="1237" w:type="dxa"/>
                  <w:hideMark/>
                </w:tcPr>
                <w:p w14:paraId="0E630AF2" w14:textId="45BF4699" w:rsidR="008A5230" w:rsidRPr="00C21E35" w:rsidRDefault="008A5230"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 xml:space="preserve">76 </w:t>
                  </w:r>
                  <w:r w:rsidR="00030CC4">
                    <w:rPr>
                      <w:rFonts w:cs="Times New Roman"/>
                      <w:sz w:val="18"/>
                      <w:szCs w:val="18"/>
                      <w:lang w:val="lt-LT"/>
                    </w:rPr>
                    <w:t>140,80</w:t>
                  </w:r>
                </w:p>
              </w:tc>
              <w:tc>
                <w:tcPr>
                  <w:tcW w:w="1237" w:type="dxa"/>
                </w:tcPr>
                <w:p w14:paraId="58BDEBF1" w14:textId="5F0D002D" w:rsidR="008A5230" w:rsidRPr="00C21E35" w:rsidRDefault="00200624" w:rsidP="000003AD">
                  <w:pPr>
                    <w:pStyle w:val="Body2"/>
                    <w:framePr w:hSpace="180" w:wrap="around" w:vAnchor="text" w:hAnchor="text" w:x="3" w:y="1"/>
                    <w:suppressOverlap/>
                    <w:rPr>
                      <w:rFonts w:cs="Times New Roman"/>
                      <w:sz w:val="18"/>
                      <w:szCs w:val="18"/>
                      <w:lang w:val="lt-LT"/>
                    </w:rPr>
                  </w:pPr>
                  <w:r w:rsidRPr="00200624">
                    <w:rPr>
                      <w:rFonts w:cs="Times New Roman"/>
                      <w:sz w:val="18"/>
                      <w:szCs w:val="18"/>
                      <w:lang w:val="lt-LT"/>
                    </w:rPr>
                    <w:t>70</w:t>
                  </w:r>
                  <w:r>
                    <w:rPr>
                      <w:rFonts w:cs="Times New Roman"/>
                      <w:sz w:val="18"/>
                      <w:szCs w:val="18"/>
                      <w:lang w:val="lt-LT"/>
                    </w:rPr>
                    <w:t xml:space="preserve"> </w:t>
                  </w:r>
                  <w:r w:rsidR="004E6E25">
                    <w:rPr>
                      <w:rFonts w:cs="Times New Roman"/>
                      <w:sz w:val="18"/>
                      <w:szCs w:val="18"/>
                      <w:lang w:val="lt-LT"/>
                    </w:rPr>
                    <w:t>789,19</w:t>
                  </w:r>
                </w:p>
              </w:tc>
            </w:tr>
            <w:tr w:rsidR="008A5230" w:rsidRPr="00CC195B" w14:paraId="71C6A9F4" w14:textId="36E737A0" w:rsidTr="000A62D1">
              <w:trPr>
                <w:trHeight w:val="685"/>
                <w:jc w:val="center"/>
              </w:trPr>
              <w:tc>
                <w:tcPr>
                  <w:tcW w:w="520" w:type="dxa"/>
                </w:tcPr>
                <w:p w14:paraId="1572CA86" w14:textId="6DCCD6F5" w:rsidR="008A5230" w:rsidRPr="00C21E35" w:rsidRDefault="008A5230"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2.</w:t>
                  </w:r>
                </w:p>
              </w:tc>
              <w:tc>
                <w:tcPr>
                  <w:tcW w:w="1917" w:type="dxa"/>
                </w:tcPr>
                <w:p w14:paraId="6FD041D5" w14:textId="044BEAF7" w:rsidR="008A5230" w:rsidRPr="00C21E35" w:rsidRDefault="008A5230"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Pakeitimas Nr. 2</w:t>
                  </w:r>
                </w:p>
              </w:tc>
              <w:tc>
                <w:tcPr>
                  <w:tcW w:w="1237" w:type="dxa"/>
                </w:tcPr>
                <w:p w14:paraId="237A6957" w14:textId="6F81B4DC" w:rsidR="008A5230" w:rsidRPr="00C21E35" w:rsidRDefault="008A5230"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w:t>
                  </w:r>
                </w:p>
              </w:tc>
              <w:tc>
                <w:tcPr>
                  <w:tcW w:w="1237" w:type="dxa"/>
                </w:tcPr>
                <w:p w14:paraId="2A27E3BB" w14:textId="14254F5D" w:rsidR="008A5230" w:rsidRPr="00C21E35" w:rsidRDefault="008A5230"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12 474,68</w:t>
                  </w:r>
                </w:p>
              </w:tc>
              <w:tc>
                <w:tcPr>
                  <w:tcW w:w="1237" w:type="dxa"/>
                </w:tcPr>
                <w:p w14:paraId="57584E74" w14:textId="71FFA611" w:rsidR="008A5230" w:rsidRPr="00C21E35" w:rsidRDefault="00C26509" w:rsidP="000003AD">
                  <w:pPr>
                    <w:pStyle w:val="Body2"/>
                    <w:framePr w:hSpace="180" w:wrap="around" w:vAnchor="text" w:hAnchor="text" w:x="3" w:y="1"/>
                    <w:suppressOverlap/>
                    <w:rPr>
                      <w:rFonts w:cs="Times New Roman"/>
                      <w:sz w:val="18"/>
                      <w:szCs w:val="18"/>
                      <w:lang w:val="lt-LT"/>
                    </w:rPr>
                  </w:pPr>
                  <w:r w:rsidRPr="00C26509">
                    <w:rPr>
                      <w:rFonts w:cs="Times New Roman"/>
                      <w:sz w:val="18"/>
                      <w:szCs w:val="18"/>
                      <w:lang w:val="lt-LT"/>
                    </w:rPr>
                    <w:t>57</w:t>
                  </w:r>
                  <w:r>
                    <w:rPr>
                      <w:rFonts w:cs="Times New Roman"/>
                      <w:sz w:val="18"/>
                      <w:szCs w:val="18"/>
                      <w:lang w:val="lt-LT"/>
                    </w:rPr>
                    <w:t xml:space="preserve"> </w:t>
                  </w:r>
                  <w:r w:rsidRPr="00C26509">
                    <w:rPr>
                      <w:rFonts w:cs="Times New Roman"/>
                      <w:sz w:val="18"/>
                      <w:szCs w:val="18"/>
                      <w:lang w:val="lt-LT"/>
                    </w:rPr>
                    <w:t>911,19</w:t>
                  </w:r>
                </w:p>
              </w:tc>
              <w:tc>
                <w:tcPr>
                  <w:tcW w:w="1237" w:type="dxa"/>
                </w:tcPr>
                <w:p w14:paraId="5F4DB915" w14:textId="2BB0BDFA" w:rsidR="008A5230" w:rsidRPr="00C21E35" w:rsidRDefault="003F2335" w:rsidP="000003AD">
                  <w:pPr>
                    <w:pStyle w:val="Body2"/>
                    <w:framePr w:hSpace="180" w:wrap="around" w:vAnchor="text" w:hAnchor="text" w:x="3" w:y="1"/>
                    <w:suppressOverlap/>
                    <w:rPr>
                      <w:rFonts w:cs="Times New Roman"/>
                      <w:sz w:val="18"/>
                      <w:szCs w:val="18"/>
                      <w:lang w:val="lt-LT"/>
                    </w:rPr>
                  </w:pPr>
                  <w:r w:rsidRPr="003F2335">
                    <w:rPr>
                      <w:rFonts w:cs="Times New Roman"/>
                      <w:sz w:val="18"/>
                      <w:szCs w:val="18"/>
                      <w:lang w:val="lt-LT"/>
                    </w:rPr>
                    <w:t>45</w:t>
                  </w:r>
                  <w:r>
                    <w:rPr>
                      <w:rFonts w:cs="Times New Roman"/>
                      <w:sz w:val="18"/>
                      <w:szCs w:val="18"/>
                      <w:lang w:val="lt-LT"/>
                    </w:rPr>
                    <w:t xml:space="preserve"> </w:t>
                  </w:r>
                  <w:r w:rsidRPr="003F2335">
                    <w:rPr>
                      <w:rFonts w:cs="Times New Roman"/>
                      <w:sz w:val="18"/>
                      <w:szCs w:val="18"/>
                      <w:lang w:val="lt-LT"/>
                    </w:rPr>
                    <w:t>436,51</w:t>
                  </w:r>
                </w:p>
              </w:tc>
            </w:tr>
            <w:tr w:rsidR="00654F12" w:rsidRPr="00CC195B" w14:paraId="2CACA912" w14:textId="62ECC337" w:rsidTr="000A62D1">
              <w:trPr>
                <w:trHeight w:val="844"/>
                <w:jc w:val="center"/>
              </w:trPr>
              <w:tc>
                <w:tcPr>
                  <w:tcW w:w="520" w:type="dxa"/>
                  <w:hideMark/>
                </w:tcPr>
                <w:p w14:paraId="1FE84C2F" w14:textId="77777777" w:rsidR="00654F12" w:rsidRPr="00C21E35" w:rsidRDefault="00654F12" w:rsidP="000003AD">
                  <w:pPr>
                    <w:pStyle w:val="Body2"/>
                    <w:framePr w:hSpace="180" w:wrap="around" w:vAnchor="text" w:hAnchor="text" w:x="3" w:y="1"/>
                    <w:suppressOverlap/>
                    <w:rPr>
                      <w:rFonts w:cs="Times New Roman"/>
                      <w:sz w:val="18"/>
                      <w:szCs w:val="18"/>
                      <w:lang w:val="lt-LT"/>
                    </w:rPr>
                  </w:pPr>
                </w:p>
                <w:p w14:paraId="2DBF7227" w14:textId="77777777" w:rsidR="00654F12" w:rsidRPr="00C21E35" w:rsidRDefault="00654F12"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 </w:t>
                  </w:r>
                </w:p>
              </w:tc>
              <w:tc>
                <w:tcPr>
                  <w:tcW w:w="1917" w:type="dxa"/>
                  <w:hideMark/>
                </w:tcPr>
                <w:p w14:paraId="248B1C29" w14:textId="021DB7B9" w:rsidR="00654F12" w:rsidRPr="00C21E35" w:rsidRDefault="00654F12"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Iš viso:</w:t>
                  </w:r>
                </w:p>
              </w:tc>
              <w:tc>
                <w:tcPr>
                  <w:tcW w:w="1237" w:type="dxa"/>
                  <w:hideMark/>
                </w:tcPr>
                <w:p w14:paraId="07C40A25" w14:textId="77777777" w:rsidR="00654F12" w:rsidRPr="00C21E35" w:rsidRDefault="00654F12"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 </w:t>
                  </w:r>
                </w:p>
              </w:tc>
              <w:tc>
                <w:tcPr>
                  <w:tcW w:w="1237" w:type="dxa"/>
                  <w:hideMark/>
                </w:tcPr>
                <w:p w14:paraId="06C5D83B" w14:textId="5F9E3BFB" w:rsidR="00654F12" w:rsidRPr="00654F12" w:rsidRDefault="00654F12" w:rsidP="000003AD">
                  <w:pPr>
                    <w:pStyle w:val="Body2"/>
                    <w:framePr w:hSpace="180" w:wrap="around" w:vAnchor="text" w:hAnchor="text" w:x="3" w:y="1"/>
                    <w:suppressOverlap/>
                    <w:rPr>
                      <w:rFonts w:cs="Times New Roman"/>
                      <w:b/>
                      <w:bCs/>
                      <w:sz w:val="20"/>
                      <w:szCs w:val="20"/>
                      <w:lang w:val="lt-LT"/>
                    </w:rPr>
                  </w:pPr>
                  <w:r w:rsidRPr="00CC195B">
                    <w:rPr>
                      <w:sz w:val="20"/>
                      <w:szCs w:val="20"/>
                      <w:lang w:val="lt-LT"/>
                    </w:rPr>
                    <w:t>17 826</w:t>
                  </w:r>
                  <w:r w:rsidR="00A03BE8" w:rsidRPr="00CC195B">
                    <w:rPr>
                      <w:sz w:val="20"/>
                      <w:szCs w:val="20"/>
                      <w:lang w:val="lt-LT"/>
                    </w:rPr>
                    <w:t>,</w:t>
                  </w:r>
                  <w:r w:rsidRPr="00CC195B">
                    <w:rPr>
                      <w:sz w:val="20"/>
                      <w:szCs w:val="20"/>
                      <w:lang w:val="lt-LT"/>
                    </w:rPr>
                    <w:t>29</w:t>
                  </w:r>
                </w:p>
              </w:tc>
              <w:tc>
                <w:tcPr>
                  <w:tcW w:w="1237" w:type="dxa"/>
                  <w:hideMark/>
                </w:tcPr>
                <w:p w14:paraId="6F04F80B" w14:textId="02B742F4" w:rsidR="00654F12" w:rsidRPr="00654F12" w:rsidRDefault="00654F12" w:rsidP="000003AD">
                  <w:pPr>
                    <w:pStyle w:val="Body2"/>
                    <w:framePr w:hSpace="180" w:wrap="around" w:vAnchor="text" w:hAnchor="text" w:x="3" w:y="1"/>
                    <w:suppressOverlap/>
                    <w:rPr>
                      <w:rFonts w:cs="Times New Roman"/>
                      <w:b/>
                      <w:bCs/>
                      <w:sz w:val="20"/>
                      <w:szCs w:val="20"/>
                      <w:lang w:val="lt-LT"/>
                    </w:rPr>
                  </w:pPr>
                  <w:r w:rsidRPr="00CC195B">
                    <w:rPr>
                      <w:sz w:val="20"/>
                      <w:szCs w:val="20"/>
                      <w:lang w:val="lt-LT"/>
                    </w:rPr>
                    <w:t>134</w:t>
                  </w:r>
                  <w:r w:rsidR="00A03BE8" w:rsidRPr="00CC195B">
                    <w:rPr>
                      <w:sz w:val="20"/>
                      <w:szCs w:val="20"/>
                      <w:lang w:val="lt-LT"/>
                    </w:rPr>
                    <w:t xml:space="preserve"> </w:t>
                  </w:r>
                  <w:r w:rsidRPr="00CC195B">
                    <w:rPr>
                      <w:sz w:val="20"/>
                      <w:szCs w:val="20"/>
                      <w:lang w:val="lt-LT"/>
                    </w:rPr>
                    <w:t>051</w:t>
                  </w:r>
                  <w:r w:rsidR="00A03BE8" w:rsidRPr="00CC195B">
                    <w:rPr>
                      <w:sz w:val="20"/>
                      <w:szCs w:val="20"/>
                      <w:lang w:val="lt-LT"/>
                    </w:rPr>
                    <w:t>,</w:t>
                  </w:r>
                  <w:r w:rsidRPr="00CC195B">
                    <w:rPr>
                      <w:sz w:val="20"/>
                      <w:szCs w:val="20"/>
                      <w:lang w:val="lt-LT"/>
                    </w:rPr>
                    <w:t>99</w:t>
                  </w:r>
                </w:p>
              </w:tc>
              <w:tc>
                <w:tcPr>
                  <w:tcW w:w="1237" w:type="dxa"/>
                </w:tcPr>
                <w:p w14:paraId="3009FF9B" w14:textId="749DF9BF" w:rsidR="00654F12" w:rsidRPr="00654F12" w:rsidRDefault="00654F12" w:rsidP="000003AD">
                  <w:pPr>
                    <w:pStyle w:val="Body2"/>
                    <w:framePr w:hSpace="180" w:wrap="around" w:vAnchor="text" w:hAnchor="text" w:x="3" w:y="1"/>
                    <w:suppressOverlap/>
                    <w:rPr>
                      <w:rFonts w:cs="Times New Roman"/>
                      <w:b/>
                      <w:bCs/>
                      <w:sz w:val="20"/>
                      <w:szCs w:val="20"/>
                      <w:lang w:val="lt-LT"/>
                    </w:rPr>
                  </w:pPr>
                  <w:r w:rsidRPr="00CC195B">
                    <w:rPr>
                      <w:sz w:val="20"/>
                      <w:szCs w:val="20"/>
                      <w:lang w:val="lt-LT"/>
                    </w:rPr>
                    <w:t>116</w:t>
                  </w:r>
                  <w:r w:rsidR="00A03BE8" w:rsidRPr="00CC195B">
                    <w:rPr>
                      <w:sz w:val="20"/>
                      <w:szCs w:val="20"/>
                      <w:lang w:val="lt-LT"/>
                    </w:rPr>
                    <w:t xml:space="preserve"> </w:t>
                  </w:r>
                  <w:r w:rsidRPr="00CC195B">
                    <w:rPr>
                      <w:sz w:val="20"/>
                      <w:szCs w:val="20"/>
                      <w:lang w:val="lt-LT"/>
                    </w:rPr>
                    <w:t>22570</w:t>
                  </w:r>
                </w:p>
              </w:tc>
            </w:tr>
          </w:tbl>
          <w:p w14:paraId="2CBD0B1B" w14:textId="77777777" w:rsidR="000F57DD" w:rsidRPr="004B465E" w:rsidRDefault="000F57DD" w:rsidP="000F57DD">
            <w:pPr>
              <w:spacing w:before="40" w:after="40"/>
              <w:jc w:val="left"/>
              <w:rPr>
                <w:rFonts w:ascii="Times New Roman" w:eastAsia="Times New Roman" w:hAnsi="Times New Roman" w:cs="Times New Roman"/>
                <w:bCs/>
                <w:sz w:val="18"/>
                <w:szCs w:val="18"/>
                <w:lang w:val="lt-LT"/>
              </w:rPr>
            </w:pPr>
          </w:p>
          <w:p w14:paraId="70CAE3E0" w14:textId="738C7A0E" w:rsidR="00533AED" w:rsidRPr="004B465E" w:rsidRDefault="003232C7" w:rsidP="00390978">
            <w:pPr>
              <w:spacing w:before="40" w:after="40"/>
              <w:rPr>
                <w:rFonts w:ascii="Times New Roman" w:eastAsia="Times New Roman" w:hAnsi="Times New Roman" w:cs="Times New Roman"/>
                <w:bCs/>
                <w:sz w:val="18"/>
                <w:szCs w:val="18"/>
                <w:lang w:val="lt-LT"/>
              </w:rPr>
            </w:pPr>
            <w:r>
              <w:rPr>
                <w:rFonts w:ascii="Times New Roman" w:eastAsia="Times New Roman" w:hAnsi="Times New Roman" w:cs="Times New Roman"/>
                <w:bCs/>
                <w:sz w:val="18"/>
                <w:szCs w:val="18"/>
                <w:lang w:val="lt-LT"/>
              </w:rPr>
              <w:t>I</w:t>
            </w:r>
            <w:r w:rsidR="00533AED" w:rsidRPr="004B465E">
              <w:rPr>
                <w:rFonts w:ascii="Times New Roman" w:eastAsia="Times New Roman" w:hAnsi="Times New Roman" w:cs="Times New Roman"/>
                <w:bCs/>
                <w:sz w:val="18"/>
                <w:szCs w:val="18"/>
                <w:lang w:val="lt-LT"/>
              </w:rPr>
              <w:t xml:space="preserve">. Bendra pakeitimų vertė pagal VPĮ 89 straipsnio 2 dalį (papildomi darbai) </w:t>
            </w:r>
            <w:r w:rsidR="0095151F">
              <w:rPr>
                <w:rFonts w:ascii="Times New Roman" w:eastAsia="Times New Roman" w:hAnsi="Times New Roman" w:cs="Times New Roman"/>
                <w:bCs/>
                <w:sz w:val="18"/>
                <w:szCs w:val="18"/>
                <w:lang w:val="lt-LT"/>
              </w:rPr>
              <w:t xml:space="preserve">turi </w:t>
            </w:r>
            <w:r w:rsidR="00533AED" w:rsidRPr="004B465E">
              <w:rPr>
                <w:rFonts w:ascii="Times New Roman" w:eastAsia="Times New Roman" w:hAnsi="Times New Roman" w:cs="Times New Roman"/>
                <w:bCs/>
                <w:sz w:val="18"/>
                <w:szCs w:val="18"/>
                <w:lang w:val="lt-LT"/>
              </w:rPr>
              <w:t>nev</w:t>
            </w:r>
            <w:r w:rsidR="0095151F">
              <w:rPr>
                <w:rFonts w:ascii="Times New Roman" w:eastAsia="Times New Roman" w:hAnsi="Times New Roman" w:cs="Times New Roman"/>
                <w:bCs/>
                <w:sz w:val="18"/>
                <w:szCs w:val="18"/>
                <w:lang w:val="lt-LT"/>
              </w:rPr>
              <w:t>iršyti</w:t>
            </w:r>
            <w:r w:rsidR="00533AED" w:rsidRPr="004B465E">
              <w:rPr>
                <w:rFonts w:ascii="Times New Roman" w:eastAsia="Times New Roman" w:hAnsi="Times New Roman" w:cs="Times New Roman"/>
                <w:bCs/>
                <w:sz w:val="18"/>
                <w:szCs w:val="18"/>
                <w:lang w:val="lt-LT"/>
              </w:rPr>
              <w:t xml:space="preserve"> 15 % nuo pradinės Sutarties vertės, t. y. nevirš</w:t>
            </w:r>
            <w:r w:rsidR="0095151F">
              <w:rPr>
                <w:rFonts w:ascii="Times New Roman" w:eastAsia="Times New Roman" w:hAnsi="Times New Roman" w:cs="Times New Roman"/>
                <w:bCs/>
                <w:sz w:val="18"/>
                <w:szCs w:val="18"/>
                <w:lang w:val="lt-LT"/>
              </w:rPr>
              <w:t>yti</w:t>
            </w:r>
            <w:r w:rsidR="00533AED" w:rsidRPr="004B465E">
              <w:rPr>
                <w:rFonts w:ascii="Times New Roman" w:eastAsia="Times New Roman" w:hAnsi="Times New Roman" w:cs="Times New Roman"/>
                <w:bCs/>
                <w:sz w:val="18"/>
                <w:szCs w:val="18"/>
                <w:lang w:val="lt-LT"/>
              </w:rPr>
              <w:t xml:space="preserve"> </w:t>
            </w:r>
            <w:r w:rsidR="006F22F4" w:rsidRPr="004B465E">
              <w:rPr>
                <w:rFonts w:ascii="Times New Roman" w:eastAsia="Times New Roman" w:hAnsi="Times New Roman" w:cs="Times New Roman"/>
                <w:b/>
                <w:sz w:val="18"/>
                <w:szCs w:val="18"/>
                <w:lang w:val="lt-LT"/>
              </w:rPr>
              <w:t>120 860,50</w:t>
            </w:r>
            <w:r w:rsidR="00533AED" w:rsidRPr="004B465E">
              <w:rPr>
                <w:rFonts w:ascii="Times New Roman" w:eastAsia="Times New Roman" w:hAnsi="Times New Roman" w:cs="Times New Roman"/>
                <w:b/>
                <w:sz w:val="18"/>
                <w:szCs w:val="18"/>
                <w:lang w:val="lt-LT"/>
              </w:rPr>
              <w:t xml:space="preserve"> Eur be PVM</w:t>
            </w:r>
            <w:r w:rsidR="0095151F">
              <w:rPr>
                <w:rFonts w:ascii="Times New Roman" w:eastAsia="Times New Roman" w:hAnsi="Times New Roman" w:cs="Times New Roman"/>
                <w:b/>
                <w:sz w:val="18"/>
                <w:szCs w:val="18"/>
                <w:lang w:val="lt-LT"/>
              </w:rPr>
              <w:t xml:space="preserve">, todėl Rangovas </w:t>
            </w:r>
            <w:r w:rsidR="00D613BF">
              <w:rPr>
                <w:rFonts w:ascii="Times New Roman" w:eastAsia="Times New Roman" w:hAnsi="Times New Roman" w:cs="Times New Roman"/>
                <w:b/>
                <w:sz w:val="18"/>
                <w:szCs w:val="18"/>
                <w:lang w:val="lt-LT"/>
              </w:rPr>
              <w:t xml:space="preserve">taiko papildomų darbų nuolaidą - </w:t>
            </w:r>
            <w:r w:rsidR="00D613BF" w:rsidRPr="00D613BF">
              <w:rPr>
                <w:rFonts w:ascii="Times New Roman" w:eastAsia="Times New Roman" w:hAnsi="Times New Roman" w:cs="Times New Roman"/>
                <w:b/>
                <w:sz w:val="18"/>
                <w:szCs w:val="18"/>
                <w:lang w:val="lt-LT"/>
              </w:rPr>
              <w:t>4 701,58</w:t>
            </w:r>
            <w:r w:rsidR="00D613BF">
              <w:rPr>
                <w:rFonts w:ascii="Times New Roman" w:eastAsia="Times New Roman" w:hAnsi="Times New Roman" w:cs="Times New Roman"/>
                <w:b/>
                <w:sz w:val="18"/>
                <w:szCs w:val="18"/>
                <w:lang w:val="lt-LT"/>
              </w:rPr>
              <w:t xml:space="preserve"> Eur be PVM</w:t>
            </w:r>
            <w:r w:rsidR="00533AED" w:rsidRPr="004B465E">
              <w:rPr>
                <w:rFonts w:ascii="Times New Roman" w:eastAsia="Times New Roman" w:hAnsi="Times New Roman" w:cs="Times New Roman"/>
                <w:bCs/>
                <w:sz w:val="18"/>
                <w:szCs w:val="18"/>
                <w:lang w:val="lt-LT"/>
              </w:rPr>
              <w:t>.</w:t>
            </w:r>
            <w:r w:rsidR="00EF0581">
              <w:rPr>
                <w:rFonts w:ascii="Times New Roman" w:eastAsia="Times New Roman" w:hAnsi="Times New Roman" w:cs="Times New Roman"/>
                <w:bCs/>
                <w:sz w:val="18"/>
                <w:szCs w:val="18"/>
                <w:lang w:val="lt-LT"/>
              </w:rPr>
              <w:t xml:space="preserve"> </w:t>
            </w:r>
            <w:r w:rsidR="00EF0581" w:rsidRPr="00EF0581">
              <w:rPr>
                <w:rFonts w:ascii="Times New Roman" w:eastAsia="Times New Roman" w:hAnsi="Times New Roman" w:cs="Times New Roman"/>
                <w:bCs/>
                <w:sz w:val="18"/>
                <w:szCs w:val="18"/>
                <w:lang w:val="lt-LT"/>
              </w:rPr>
              <w:t>Pakeitimo pagal šį susitarimą vertė skaičiuojama Vadovaujantis Viešųjų pirkimų tarnybos 2025-02-18 paaiškinimu (pridedama).</w:t>
            </w:r>
          </w:p>
          <w:p w14:paraId="1854C016" w14:textId="77777777" w:rsidR="00533AED" w:rsidRDefault="00533AED" w:rsidP="00390978">
            <w:pPr>
              <w:spacing w:before="40" w:after="40"/>
              <w:rPr>
                <w:rFonts w:ascii="Times New Roman" w:eastAsia="Times New Roman" w:hAnsi="Times New Roman" w:cs="Times New Roman"/>
                <w:bCs/>
                <w:sz w:val="18"/>
                <w:szCs w:val="18"/>
                <w:lang w:val="lt-LT"/>
              </w:rPr>
            </w:pPr>
          </w:p>
          <w:p w14:paraId="3FD2EF1D" w14:textId="77777777" w:rsidR="00B6717B" w:rsidRPr="00F031BD" w:rsidRDefault="00B6717B" w:rsidP="00B6717B">
            <w:pPr>
              <w:spacing w:before="40" w:after="40"/>
              <w:rPr>
                <w:rFonts w:ascii="Times New Roman" w:eastAsia="Times New Roman" w:hAnsi="Times New Roman" w:cs="Times New Roman"/>
                <w:bCs/>
                <w:i/>
                <w:iCs/>
                <w:sz w:val="18"/>
                <w:szCs w:val="18"/>
                <w:lang w:val="lt-LT"/>
              </w:rPr>
            </w:pPr>
            <w:r w:rsidRPr="00B6717B">
              <w:rPr>
                <w:rFonts w:ascii="Times New Roman" w:eastAsia="Times New Roman" w:hAnsi="Times New Roman" w:cs="Times New Roman"/>
                <w:bCs/>
                <w:sz w:val="18"/>
                <w:szCs w:val="18"/>
                <w:lang w:val="lt-LT"/>
              </w:rPr>
              <w:t>J. Vadovaujantis VPĮ 89 straipsnio 1 dalies 3 punktu (</w:t>
            </w:r>
            <w:r w:rsidRPr="00B6717B">
              <w:rPr>
                <w:rFonts w:ascii="Times New Roman" w:eastAsia="Times New Roman" w:hAnsi="Times New Roman" w:cs="Times New Roman"/>
                <w:b/>
                <w:sz w:val="18"/>
                <w:szCs w:val="18"/>
                <w:lang w:val="lt-LT"/>
              </w:rPr>
              <w:t>nenumatytos aplinkybės</w:t>
            </w:r>
            <w:r w:rsidRPr="00B6717B">
              <w:rPr>
                <w:rFonts w:ascii="Times New Roman" w:eastAsia="Times New Roman" w:hAnsi="Times New Roman" w:cs="Times New Roman"/>
                <w:bCs/>
                <w:sz w:val="18"/>
                <w:szCs w:val="18"/>
                <w:lang w:val="lt-LT"/>
              </w:rPr>
              <w:t xml:space="preserve">), Sutartis gali būti keičiama neatliekant naujos pirkimo procedūros, kai </w:t>
            </w:r>
            <w:r w:rsidRPr="00F031BD">
              <w:rPr>
                <w:rFonts w:ascii="Times New Roman" w:eastAsia="Times New Roman" w:hAnsi="Times New Roman" w:cs="Times New Roman"/>
                <w:bCs/>
                <w:i/>
                <w:iCs/>
                <w:sz w:val="18"/>
                <w:szCs w:val="18"/>
                <w:lang w:val="lt-LT"/>
              </w:rPr>
              <w:t>„pakeitimo poreikis atsirado dėl aplinkybių, kurių protinga ir apdairi perkančioji organizacija negalėjo numatyti, ir kai kartu yra šios sąlygos:</w:t>
            </w:r>
          </w:p>
          <w:p w14:paraId="1A2C0800" w14:textId="77777777" w:rsidR="00B6717B" w:rsidRPr="00F031BD" w:rsidRDefault="00B6717B" w:rsidP="00B6717B">
            <w:pPr>
              <w:spacing w:before="40" w:after="40"/>
              <w:rPr>
                <w:rFonts w:ascii="Times New Roman" w:eastAsia="Times New Roman" w:hAnsi="Times New Roman" w:cs="Times New Roman"/>
                <w:bCs/>
                <w:i/>
                <w:iCs/>
                <w:sz w:val="18"/>
                <w:szCs w:val="18"/>
                <w:lang w:val="lt-LT"/>
              </w:rPr>
            </w:pPr>
            <w:r w:rsidRPr="00F031BD">
              <w:rPr>
                <w:rFonts w:ascii="Times New Roman" w:eastAsia="Times New Roman" w:hAnsi="Times New Roman" w:cs="Times New Roman"/>
                <w:bCs/>
                <w:i/>
                <w:iCs/>
                <w:sz w:val="18"/>
                <w:szCs w:val="18"/>
                <w:lang w:val="lt-LT"/>
              </w:rPr>
              <w:t>a) pakeitimas iš esmės nepakeičia pirkimo sutarties ar preliminariosios sutarties pobūdžio;</w:t>
            </w:r>
          </w:p>
          <w:p w14:paraId="17DFE554" w14:textId="263BA106" w:rsidR="00B6717B" w:rsidRDefault="00B6717B" w:rsidP="00B6717B">
            <w:pPr>
              <w:spacing w:before="40" w:after="40"/>
              <w:rPr>
                <w:rFonts w:ascii="Times New Roman" w:eastAsia="Times New Roman" w:hAnsi="Times New Roman" w:cs="Times New Roman"/>
                <w:bCs/>
                <w:sz w:val="18"/>
                <w:szCs w:val="18"/>
                <w:lang w:val="lt-LT"/>
              </w:rPr>
            </w:pPr>
            <w:r w:rsidRPr="00F031BD">
              <w:rPr>
                <w:rFonts w:ascii="Times New Roman" w:eastAsia="Times New Roman" w:hAnsi="Times New Roman" w:cs="Times New Roman"/>
                <w:bCs/>
                <w:i/>
                <w:iCs/>
                <w:sz w:val="18"/>
                <w:szCs w:val="18"/>
                <w:lang w:val="lt-LT"/>
              </w:rPr>
              <w:t>b) atskiro pakeitimo vertė neviršija 50 procentų pradinės pirkimo sutarties vertės. Tokiais pakeitimais negali būti siekiama išvengti šiame įstatyme pirkimui nustatytos tvarkos taikymo“</w:t>
            </w:r>
            <w:r w:rsidRPr="00B6717B">
              <w:rPr>
                <w:rFonts w:ascii="Times New Roman" w:eastAsia="Times New Roman" w:hAnsi="Times New Roman" w:cs="Times New Roman"/>
                <w:bCs/>
                <w:sz w:val="18"/>
                <w:szCs w:val="18"/>
                <w:lang w:val="lt-LT"/>
              </w:rPr>
              <w:t>.</w:t>
            </w:r>
          </w:p>
          <w:p w14:paraId="1DB04F97" w14:textId="77777777" w:rsidR="00F031BD" w:rsidRDefault="00F031BD" w:rsidP="00B6717B">
            <w:pPr>
              <w:spacing w:before="40" w:after="40"/>
              <w:rPr>
                <w:rFonts w:ascii="Times New Roman" w:eastAsia="Times New Roman" w:hAnsi="Times New Roman" w:cs="Times New Roman"/>
                <w:bCs/>
                <w:sz w:val="18"/>
                <w:szCs w:val="18"/>
                <w:lang w:val="lt-LT"/>
              </w:rPr>
            </w:pPr>
          </w:p>
          <w:p w14:paraId="2058F75B" w14:textId="6DFEBC22" w:rsidR="00F031BD" w:rsidRDefault="00F031BD" w:rsidP="00B6717B">
            <w:pPr>
              <w:spacing w:before="40" w:after="40"/>
              <w:rPr>
                <w:rFonts w:ascii="Times New Roman" w:eastAsia="Times New Roman" w:hAnsi="Times New Roman" w:cs="Times New Roman"/>
                <w:bCs/>
                <w:sz w:val="18"/>
                <w:szCs w:val="18"/>
                <w:lang w:val="lt-LT"/>
              </w:rPr>
            </w:pPr>
            <w:r>
              <w:rPr>
                <w:rFonts w:ascii="Times New Roman" w:eastAsia="Times New Roman" w:hAnsi="Times New Roman" w:cs="Times New Roman"/>
                <w:bCs/>
                <w:sz w:val="18"/>
                <w:szCs w:val="18"/>
                <w:lang w:val="lt-LT"/>
              </w:rPr>
              <w:t xml:space="preserve">K. </w:t>
            </w:r>
            <w:r w:rsidR="003D3AA3">
              <w:rPr>
                <w:rFonts w:ascii="Times New Roman" w:eastAsia="Times New Roman" w:hAnsi="Times New Roman" w:cs="Times New Roman"/>
                <w:bCs/>
                <w:sz w:val="18"/>
                <w:szCs w:val="18"/>
                <w:lang w:val="lt-LT"/>
              </w:rPr>
              <w:t>Vykdant da</w:t>
            </w:r>
            <w:r w:rsidR="00403FAF">
              <w:rPr>
                <w:rFonts w:ascii="Times New Roman" w:eastAsia="Times New Roman" w:hAnsi="Times New Roman" w:cs="Times New Roman"/>
                <w:bCs/>
                <w:sz w:val="18"/>
                <w:szCs w:val="18"/>
                <w:lang w:val="lt-LT"/>
              </w:rPr>
              <w:t>rbus, atkasus po gatve esantį gruntą buvo rasta, kad</w:t>
            </w:r>
            <w:r w:rsidR="0079312D">
              <w:rPr>
                <w:rFonts w:ascii="Times New Roman" w:eastAsia="Times New Roman" w:hAnsi="Times New Roman" w:cs="Times New Roman"/>
                <w:bCs/>
                <w:sz w:val="18"/>
                <w:szCs w:val="18"/>
                <w:lang w:val="lt-LT"/>
              </w:rPr>
              <w:t xml:space="preserve"> po gruntu sudėtos betoninės plokštės, kurios nebuvo </w:t>
            </w:r>
            <w:r w:rsidR="00153237">
              <w:rPr>
                <w:rFonts w:ascii="Times New Roman" w:eastAsia="Times New Roman" w:hAnsi="Times New Roman" w:cs="Times New Roman"/>
                <w:bCs/>
                <w:sz w:val="18"/>
                <w:szCs w:val="18"/>
                <w:lang w:val="lt-LT"/>
              </w:rPr>
              <w:t>pažymėtos projekte</w:t>
            </w:r>
            <w:r w:rsidR="00EF6E48">
              <w:rPr>
                <w:rFonts w:ascii="Times New Roman" w:eastAsia="Times New Roman" w:hAnsi="Times New Roman" w:cs="Times New Roman"/>
                <w:bCs/>
                <w:sz w:val="18"/>
                <w:szCs w:val="18"/>
                <w:lang w:val="lt-LT"/>
              </w:rPr>
              <w:t>, nenumatyti jokie su šiomis plokštėmis susiję darbai</w:t>
            </w:r>
            <w:r w:rsidR="0079312D">
              <w:rPr>
                <w:rFonts w:ascii="Times New Roman" w:eastAsia="Times New Roman" w:hAnsi="Times New Roman" w:cs="Times New Roman"/>
                <w:bCs/>
                <w:sz w:val="18"/>
                <w:szCs w:val="18"/>
                <w:lang w:val="lt-LT"/>
              </w:rPr>
              <w:t xml:space="preserve">. </w:t>
            </w:r>
            <w:r w:rsidR="00266F76">
              <w:rPr>
                <w:rFonts w:ascii="Times New Roman" w:eastAsia="Times New Roman" w:hAnsi="Times New Roman" w:cs="Times New Roman"/>
                <w:bCs/>
                <w:sz w:val="18"/>
                <w:szCs w:val="18"/>
                <w:lang w:val="lt-LT"/>
              </w:rPr>
              <w:t>Projekte nebuvo numatyti šių plo</w:t>
            </w:r>
            <w:r w:rsidR="00D837DE">
              <w:rPr>
                <w:rFonts w:ascii="Times New Roman" w:eastAsia="Times New Roman" w:hAnsi="Times New Roman" w:cs="Times New Roman"/>
                <w:bCs/>
                <w:sz w:val="18"/>
                <w:szCs w:val="18"/>
                <w:lang w:val="lt-LT"/>
              </w:rPr>
              <w:t>k</w:t>
            </w:r>
            <w:r w:rsidR="00266F76">
              <w:rPr>
                <w:rFonts w:ascii="Times New Roman" w:eastAsia="Times New Roman" w:hAnsi="Times New Roman" w:cs="Times New Roman"/>
                <w:bCs/>
                <w:sz w:val="18"/>
                <w:szCs w:val="18"/>
                <w:lang w:val="lt-LT"/>
              </w:rPr>
              <w:t xml:space="preserve">ščių </w:t>
            </w:r>
            <w:r w:rsidR="00D837DE">
              <w:rPr>
                <w:rFonts w:ascii="Times New Roman" w:eastAsia="Times New Roman" w:hAnsi="Times New Roman" w:cs="Times New Roman"/>
                <w:bCs/>
                <w:sz w:val="18"/>
                <w:szCs w:val="18"/>
                <w:lang w:val="lt-LT"/>
              </w:rPr>
              <w:t xml:space="preserve">atkasimo ir išvežimo darbai, kadangi apie jas nebuvo žinomo, plokštės surastos darbų vykdymo metu. Siekiant tęsti darbus, būtina </w:t>
            </w:r>
            <w:r w:rsidR="009A7189">
              <w:rPr>
                <w:rFonts w:ascii="Times New Roman" w:eastAsia="Times New Roman" w:hAnsi="Times New Roman" w:cs="Times New Roman"/>
                <w:bCs/>
                <w:sz w:val="18"/>
                <w:szCs w:val="18"/>
                <w:lang w:val="lt-LT"/>
              </w:rPr>
              <w:t>plokštes išardyti ir išvežti</w:t>
            </w:r>
            <w:r w:rsidR="00C36B78">
              <w:rPr>
                <w:rFonts w:ascii="Times New Roman" w:eastAsia="Times New Roman" w:hAnsi="Times New Roman" w:cs="Times New Roman"/>
                <w:bCs/>
                <w:sz w:val="18"/>
                <w:szCs w:val="18"/>
                <w:lang w:val="lt-LT"/>
              </w:rPr>
              <w:t>. Papildomų darbų kaina nurodom lentelėje žemiau</w:t>
            </w:r>
            <w:r w:rsidR="00D13760">
              <w:rPr>
                <w:rFonts w:ascii="Times New Roman" w:eastAsia="Times New Roman" w:hAnsi="Times New Roman" w:cs="Times New Roman"/>
                <w:bCs/>
                <w:sz w:val="18"/>
                <w:szCs w:val="18"/>
                <w:lang w:val="lt-LT"/>
              </w:rPr>
              <w:t xml:space="preserve">, remiantis </w:t>
            </w:r>
            <w:r w:rsidR="00D13760" w:rsidRPr="00713FCE">
              <w:rPr>
                <w:rFonts w:ascii="Times New Roman" w:eastAsia="Times New Roman" w:hAnsi="Times New Roman" w:cs="Times New Roman"/>
                <w:bCs/>
                <w:sz w:val="18"/>
                <w:szCs w:val="18"/>
                <w:lang w:val="lt-LT"/>
              </w:rPr>
              <w:t xml:space="preserve"> Pakeitimų akt</w:t>
            </w:r>
            <w:r w:rsidR="00D13760">
              <w:rPr>
                <w:rFonts w:ascii="Times New Roman" w:eastAsia="Times New Roman" w:hAnsi="Times New Roman" w:cs="Times New Roman"/>
                <w:bCs/>
                <w:sz w:val="18"/>
                <w:szCs w:val="18"/>
                <w:lang w:val="lt-LT"/>
              </w:rPr>
              <w:t>u</w:t>
            </w:r>
            <w:r w:rsidR="00D13760" w:rsidRPr="00713FCE">
              <w:rPr>
                <w:rFonts w:ascii="Times New Roman" w:eastAsia="Times New Roman" w:hAnsi="Times New Roman" w:cs="Times New Roman"/>
                <w:bCs/>
                <w:sz w:val="18"/>
                <w:szCs w:val="18"/>
                <w:lang w:val="lt-LT"/>
              </w:rPr>
              <w:t xml:space="preserve"> Nr. </w:t>
            </w:r>
            <w:r w:rsidR="00D13760" w:rsidRPr="00CC195B">
              <w:rPr>
                <w:rFonts w:ascii="Times New Roman" w:eastAsia="Times New Roman" w:hAnsi="Times New Roman" w:cs="Times New Roman"/>
                <w:bCs/>
                <w:sz w:val="18"/>
                <w:szCs w:val="18"/>
                <w:lang w:val="lt-LT"/>
              </w:rPr>
              <w:t>2</w:t>
            </w:r>
            <w:r w:rsidR="00C36B78">
              <w:rPr>
                <w:rFonts w:ascii="Times New Roman" w:eastAsia="Times New Roman" w:hAnsi="Times New Roman" w:cs="Times New Roman"/>
                <w:bCs/>
                <w:sz w:val="18"/>
                <w:szCs w:val="18"/>
                <w:lang w:val="lt-LT"/>
              </w:rPr>
              <w:t>:</w:t>
            </w:r>
          </w:p>
          <w:p w14:paraId="1B5BE534" w14:textId="77777777" w:rsidR="00B6717B" w:rsidRDefault="00B6717B" w:rsidP="00390978">
            <w:pPr>
              <w:spacing w:before="40" w:after="40"/>
              <w:rPr>
                <w:rFonts w:ascii="Times New Roman" w:eastAsia="Times New Roman" w:hAnsi="Times New Roman" w:cs="Times New Roman"/>
                <w:bCs/>
                <w:sz w:val="18"/>
                <w:szCs w:val="18"/>
                <w:lang w:val="lt-LT"/>
              </w:rPr>
            </w:pPr>
          </w:p>
          <w:tbl>
            <w:tblPr>
              <w:tblStyle w:val="Lentelstinklelis"/>
              <w:tblW w:w="0" w:type="auto"/>
              <w:jc w:val="center"/>
              <w:tblLook w:val="04A0" w:firstRow="1" w:lastRow="0" w:firstColumn="1" w:lastColumn="0" w:noHBand="0" w:noVBand="1"/>
            </w:tblPr>
            <w:tblGrid>
              <w:gridCol w:w="520"/>
              <w:gridCol w:w="1917"/>
              <w:gridCol w:w="1237"/>
              <w:gridCol w:w="1237"/>
              <w:gridCol w:w="1237"/>
              <w:gridCol w:w="1237"/>
            </w:tblGrid>
            <w:tr w:rsidR="006D0CD4" w:rsidRPr="00C21E35" w14:paraId="6A48CAA2" w14:textId="77777777" w:rsidTr="001B28D9">
              <w:trPr>
                <w:trHeight w:val="1710"/>
                <w:jc w:val="center"/>
              </w:trPr>
              <w:tc>
                <w:tcPr>
                  <w:tcW w:w="520" w:type="dxa"/>
                  <w:hideMark/>
                </w:tcPr>
                <w:p w14:paraId="4DCB60EE" w14:textId="77777777" w:rsidR="006D0CD4" w:rsidRPr="00C21E35" w:rsidRDefault="006D0CD4"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Eil. Nr.</w:t>
                  </w:r>
                </w:p>
              </w:tc>
              <w:tc>
                <w:tcPr>
                  <w:tcW w:w="1917" w:type="dxa"/>
                  <w:hideMark/>
                </w:tcPr>
                <w:p w14:paraId="0E526640" w14:textId="77777777" w:rsidR="006D0CD4" w:rsidRPr="00C21E35" w:rsidRDefault="006D0CD4"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Sutarties pakeitimo akto numeris</w:t>
                  </w:r>
                </w:p>
              </w:tc>
              <w:tc>
                <w:tcPr>
                  <w:tcW w:w="1237" w:type="dxa"/>
                  <w:hideMark/>
                </w:tcPr>
                <w:p w14:paraId="0A296C49" w14:textId="77777777" w:rsidR="006D0CD4" w:rsidRPr="00C21E35" w:rsidRDefault="006D0CD4"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Pakeitimo numeris pakeitimų akte</w:t>
                  </w:r>
                </w:p>
              </w:tc>
              <w:tc>
                <w:tcPr>
                  <w:tcW w:w="1237" w:type="dxa"/>
                  <w:hideMark/>
                </w:tcPr>
                <w:p w14:paraId="722BE77C" w14:textId="77777777" w:rsidR="006D0CD4" w:rsidRPr="00C21E35" w:rsidRDefault="006D0CD4"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Atsisakomo sutarties objekto kaina, Eur be PVM</w:t>
                  </w:r>
                </w:p>
                <w:p w14:paraId="0C690C29" w14:textId="4AC6BAEC" w:rsidR="006D0CD4" w:rsidRPr="00C21E35" w:rsidRDefault="006D0CD4" w:rsidP="000003AD">
                  <w:pPr>
                    <w:pStyle w:val="Body2"/>
                    <w:framePr w:hSpace="180" w:wrap="around" w:vAnchor="text" w:hAnchor="text" w:x="3" w:y="1"/>
                    <w:suppressOverlap/>
                    <w:jc w:val="left"/>
                    <w:rPr>
                      <w:rFonts w:cs="Times New Roman"/>
                      <w:b/>
                      <w:bCs/>
                      <w:sz w:val="18"/>
                      <w:szCs w:val="18"/>
                      <w:lang w:val="lt-LT"/>
                    </w:rPr>
                  </w:pPr>
                </w:p>
              </w:tc>
              <w:tc>
                <w:tcPr>
                  <w:tcW w:w="1237" w:type="dxa"/>
                  <w:hideMark/>
                </w:tcPr>
                <w:p w14:paraId="350427DC" w14:textId="77777777" w:rsidR="006D0CD4" w:rsidRPr="00C21E35" w:rsidRDefault="006D0CD4"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Pridedamo sutarties objekto kaina, Eur be PVM</w:t>
                  </w:r>
                </w:p>
                <w:p w14:paraId="7B79E7C7" w14:textId="77777777" w:rsidR="006D0CD4" w:rsidRPr="00C21E35" w:rsidRDefault="006D0CD4" w:rsidP="000003AD">
                  <w:pPr>
                    <w:pStyle w:val="Body2"/>
                    <w:framePr w:hSpace="180" w:wrap="around" w:vAnchor="text" w:hAnchor="text" w:x="3" w:y="1"/>
                    <w:suppressOverlap/>
                    <w:rPr>
                      <w:rFonts w:cs="Times New Roman"/>
                      <w:b/>
                      <w:bCs/>
                      <w:sz w:val="18"/>
                      <w:szCs w:val="18"/>
                      <w:lang w:val="lt-LT"/>
                    </w:rPr>
                  </w:pPr>
                </w:p>
                <w:p w14:paraId="0EBDBABA" w14:textId="15D70108" w:rsidR="006D0CD4" w:rsidRPr="00C21E35" w:rsidRDefault="006D0CD4"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 xml:space="preserve">(VPĮ 89 str. </w:t>
                  </w:r>
                  <w:r w:rsidR="00C4000B">
                    <w:rPr>
                      <w:rFonts w:cs="Times New Roman"/>
                      <w:b/>
                      <w:bCs/>
                      <w:sz w:val="18"/>
                      <w:szCs w:val="18"/>
                      <w:lang w:val="lt-LT"/>
                    </w:rPr>
                    <w:t>1</w:t>
                  </w:r>
                  <w:r w:rsidRPr="00C21E35">
                    <w:rPr>
                      <w:rFonts w:cs="Times New Roman"/>
                      <w:b/>
                      <w:bCs/>
                      <w:sz w:val="18"/>
                      <w:szCs w:val="18"/>
                      <w:lang w:val="lt-LT"/>
                    </w:rPr>
                    <w:t xml:space="preserve"> d.</w:t>
                  </w:r>
                  <w:r w:rsidR="00C4000B">
                    <w:rPr>
                      <w:rFonts w:cs="Times New Roman"/>
                      <w:b/>
                      <w:bCs/>
                      <w:sz w:val="18"/>
                      <w:szCs w:val="18"/>
                      <w:lang w:val="lt-LT"/>
                    </w:rPr>
                    <w:t xml:space="preserve"> 3 p.</w:t>
                  </w:r>
                  <w:r w:rsidRPr="00C21E35">
                    <w:rPr>
                      <w:rFonts w:cs="Times New Roman"/>
                      <w:b/>
                      <w:bCs/>
                      <w:sz w:val="18"/>
                      <w:szCs w:val="18"/>
                      <w:lang w:val="lt-LT"/>
                    </w:rPr>
                    <w:t>)</w:t>
                  </w:r>
                </w:p>
              </w:tc>
              <w:tc>
                <w:tcPr>
                  <w:tcW w:w="1237" w:type="dxa"/>
                </w:tcPr>
                <w:p w14:paraId="1FB12799" w14:textId="77777777" w:rsidR="006D0CD4" w:rsidRPr="00C21E35" w:rsidRDefault="006D0CD4"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Pakeitimo vertė, Eur be PVM</w:t>
                  </w:r>
                </w:p>
              </w:tc>
            </w:tr>
            <w:tr w:rsidR="006D0CD4" w:rsidRPr="00CC195B" w14:paraId="6537B618" w14:textId="77777777" w:rsidTr="00C4000B">
              <w:trPr>
                <w:trHeight w:val="685"/>
                <w:jc w:val="center"/>
              </w:trPr>
              <w:tc>
                <w:tcPr>
                  <w:tcW w:w="520" w:type="dxa"/>
                  <w:hideMark/>
                </w:tcPr>
                <w:p w14:paraId="05928F95" w14:textId="77777777" w:rsidR="006D0CD4" w:rsidRPr="00C21E35" w:rsidRDefault="006D0CD4"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1.</w:t>
                  </w:r>
                </w:p>
              </w:tc>
              <w:tc>
                <w:tcPr>
                  <w:tcW w:w="1917" w:type="dxa"/>
                  <w:hideMark/>
                </w:tcPr>
                <w:p w14:paraId="629AFBBA" w14:textId="5D0599AE" w:rsidR="006D0CD4" w:rsidRPr="00C21E35" w:rsidRDefault="00D318CB" w:rsidP="000003AD">
                  <w:pPr>
                    <w:pStyle w:val="Body2"/>
                    <w:framePr w:hSpace="180" w:wrap="around" w:vAnchor="text" w:hAnchor="text" w:x="3" w:y="1"/>
                    <w:suppressOverlap/>
                    <w:rPr>
                      <w:rFonts w:cs="Times New Roman"/>
                      <w:sz w:val="18"/>
                      <w:szCs w:val="18"/>
                      <w:lang w:val="lt-LT"/>
                    </w:rPr>
                  </w:pPr>
                  <w:r w:rsidRPr="00D318CB">
                    <w:rPr>
                      <w:rFonts w:cs="Times New Roman"/>
                      <w:sz w:val="18"/>
                      <w:szCs w:val="18"/>
                      <w:lang w:val="lt-LT"/>
                    </w:rPr>
                    <w:t>Betonini</w:t>
                  </w:r>
                  <w:r>
                    <w:rPr>
                      <w:rFonts w:cs="Times New Roman"/>
                      <w:sz w:val="18"/>
                      <w:szCs w:val="18"/>
                      <w:lang w:val="lt-LT"/>
                    </w:rPr>
                    <w:t>ų</w:t>
                  </w:r>
                  <w:r w:rsidRPr="00D318CB">
                    <w:rPr>
                      <w:rFonts w:cs="Times New Roman"/>
                      <w:sz w:val="18"/>
                      <w:szCs w:val="18"/>
                      <w:lang w:val="lt-LT"/>
                    </w:rPr>
                    <w:t xml:space="preserve"> plokšči</w:t>
                  </w:r>
                  <w:r>
                    <w:rPr>
                      <w:rFonts w:cs="Times New Roman"/>
                      <w:sz w:val="18"/>
                      <w:szCs w:val="18"/>
                      <w:lang w:val="lt-LT"/>
                    </w:rPr>
                    <w:t>ų</w:t>
                  </w:r>
                  <w:r w:rsidRPr="00D318CB">
                    <w:rPr>
                      <w:rFonts w:cs="Times New Roman"/>
                      <w:sz w:val="18"/>
                      <w:szCs w:val="18"/>
                      <w:lang w:val="lt-LT"/>
                    </w:rPr>
                    <w:t xml:space="preserve"> išardymas ir išvežimas</w:t>
                  </w:r>
                </w:p>
              </w:tc>
              <w:tc>
                <w:tcPr>
                  <w:tcW w:w="1237" w:type="dxa"/>
                  <w:hideMark/>
                </w:tcPr>
                <w:p w14:paraId="6EB7FC0A" w14:textId="77777777" w:rsidR="006D0CD4" w:rsidRPr="00C21E35" w:rsidRDefault="006D0CD4"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w:t>
                  </w:r>
                </w:p>
              </w:tc>
              <w:tc>
                <w:tcPr>
                  <w:tcW w:w="1237" w:type="dxa"/>
                </w:tcPr>
                <w:p w14:paraId="234CF3EF" w14:textId="744F4B2C" w:rsidR="006D0CD4" w:rsidRPr="00C21E35" w:rsidRDefault="00C4000B" w:rsidP="000003AD">
                  <w:pPr>
                    <w:pStyle w:val="Body2"/>
                    <w:framePr w:hSpace="180" w:wrap="around" w:vAnchor="text" w:hAnchor="text" w:x="3" w:y="1"/>
                    <w:suppressOverlap/>
                    <w:rPr>
                      <w:rFonts w:cs="Times New Roman"/>
                      <w:sz w:val="18"/>
                      <w:szCs w:val="18"/>
                      <w:lang w:val="lt-LT"/>
                    </w:rPr>
                  </w:pPr>
                  <w:r>
                    <w:rPr>
                      <w:rFonts w:cs="Times New Roman"/>
                      <w:sz w:val="18"/>
                      <w:szCs w:val="18"/>
                      <w:lang w:val="lt-LT"/>
                    </w:rPr>
                    <w:t>-</w:t>
                  </w:r>
                </w:p>
              </w:tc>
              <w:tc>
                <w:tcPr>
                  <w:tcW w:w="1237" w:type="dxa"/>
                </w:tcPr>
                <w:p w14:paraId="5A36EBAB" w14:textId="4EEA7781" w:rsidR="006D0CD4" w:rsidRPr="00C21E35" w:rsidRDefault="00D318CB" w:rsidP="000003AD">
                  <w:pPr>
                    <w:pStyle w:val="Body2"/>
                    <w:framePr w:hSpace="180" w:wrap="around" w:vAnchor="text" w:hAnchor="text" w:x="3" w:y="1"/>
                    <w:suppressOverlap/>
                    <w:rPr>
                      <w:rFonts w:cs="Times New Roman"/>
                      <w:sz w:val="18"/>
                      <w:szCs w:val="18"/>
                      <w:lang w:val="lt-LT"/>
                    </w:rPr>
                  </w:pPr>
                  <w:r w:rsidRPr="00D318CB">
                    <w:rPr>
                      <w:rFonts w:cs="Times New Roman"/>
                      <w:sz w:val="18"/>
                      <w:szCs w:val="18"/>
                      <w:lang w:val="lt-LT"/>
                    </w:rPr>
                    <w:t>9 361,58</w:t>
                  </w:r>
                </w:p>
              </w:tc>
              <w:tc>
                <w:tcPr>
                  <w:tcW w:w="1237" w:type="dxa"/>
                </w:tcPr>
                <w:p w14:paraId="07FBE2C8" w14:textId="1B583D30" w:rsidR="006D0CD4" w:rsidRPr="00C21E35" w:rsidRDefault="00D318CB" w:rsidP="000003AD">
                  <w:pPr>
                    <w:pStyle w:val="Body2"/>
                    <w:framePr w:hSpace="180" w:wrap="around" w:vAnchor="text" w:hAnchor="text" w:x="3" w:y="1"/>
                    <w:suppressOverlap/>
                    <w:rPr>
                      <w:rFonts w:cs="Times New Roman"/>
                      <w:sz w:val="18"/>
                      <w:szCs w:val="18"/>
                      <w:lang w:val="lt-LT"/>
                    </w:rPr>
                  </w:pPr>
                  <w:r w:rsidRPr="00D318CB">
                    <w:rPr>
                      <w:rFonts w:cs="Times New Roman"/>
                      <w:sz w:val="18"/>
                      <w:szCs w:val="18"/>
                      <w:lang w:val="lt-LT"/>
                    </w:rPr>
                    <w:t>9 361,58</w:t>
                  </w:r>
                </w:p>
              </w:tc>
            </w:tr>
            <w:tr w:rsidR="006D0CD4" w:rsidRPr="00CC195B" w14:paraId="78251F3E" w14:textId="77777777" w:rsidTr="00C4000B">
              <w:trPr>
                <w:trHeight w:val="352"/>
                <w:jc w:val="center"/>
              </w:trPr>
              <w:tc>
                <w:tcPr>
                  <w:tcW w:w="520" w:type="dxa"/>
                  <w:hideMark/>
                </w:tcPr>
                <w:p w14:paraId="4774F712" w14:textId="77777777" w:rsidR="006D0CD4" w:rsidRPr="00C21E35" w:rsidRDefault="006D0CD4" w:rsidP="000003AD">
                  <w:pPr>
                    <w:pStyle w:val="Body2"/>
                    <w:framePr w:hSpace="180" w:wrap="around" w:vAnchor="text" w:hAnchor="text" w:x="3" w:y="1"/>
                    <w:suppressOverlap/>
                    <w:rPr>
                      <w:rFonts w:cs="Times New Roman"/>
                      <w:sz w:val="18"/>
                      <w:szCs w:val="18"/>
                      <w:lang w:val="lt-LT"/>
                    </w:rPr>
                  </w:pPr>
                </w:p>
                <w:p w14:paraId="6D375589" w14:textId="77777777" w:rsidR="006D0CD4" w:rsidRPr="00C21E35" w:rsidRDefault="006D0CD4"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 </w:t>
                  </w:r>
                </w:p>
              </w:tc>
              <w:tc>
                <w:tcPr>
                  <w:tcW w:w="1917" w:type="dxa"/>
                  <w:hideMark/>
                </w:tcPr>
                <w:p w14:paraId="7ED96D77" w14:textId="77777777" w:rsidR="006D0CD4" w:rsidRPr="00C21E35" w:rsidRDefault="006D0CD4" w:rsidP="000003AD">
                  <w:pPr>
                    <w:pStyle w:val="Body2"/>
                    <w:framePr w:hSpace="180" w:wrap="around" w:vAnchor="text" w:hAnchor="text" w:x="3" w:y="1"/>
                    <w:suppressOverlap/>
                    <w:rPr>
                      <w:rFonts w:cs="Times New Roman"/>
                      <w:b/>
                      <w:bCs/>
                      <w:sz w:val="18"/>
                      <w:szCs w:val="18"/>
                      <w:lang w:val="lt-LT"/>
                    </w:rPr>
                  </w:pPr>
                  <w:r w:rsidRPr="00C21E35">
                    <w:rPr>
                      <w:rFonts w:cs="Times New Roman"/>
                      <w:b/>
                      <w:bCs/>
                      <w:sz w:val="18"/>
                      <w:szCs w:val="18"/>
                      <w:lang w:val="lt-LT"/>
                    </w:rPr>
                    <w:t>Iš viso:</w:t>
                  </w:r>
                </w:p>
              </w:tc>
              <w:tc>
                <w:tcPr>
                  <w:tcW w:w="1237" w:type="dxa"/>
                  <w:hideMark/>
                </w:tcPr>
                <w:p w14:paraId="76496271" w14:textId="77777777" w:rsidR="006D0CD4" w:rsidRPr="00C21E35" w:rsidRDefault="006D0CD4" w:rsidP="000003AD">
                  <w:pPr>
                    <w:pStyle w:val="Body2"/>
                    <w:framePr w:hSpace="180" w:wrap="around" w:vAnchor="text" w:hAnchor="text" w:x="3" w:y="1"/>
                    <w:suppressOverlap/>
                    <w:rPr>
                      <w:rFonts w:cs="Times New Roman"/>
                      <w:sz w:val="18"/>
                      <w:szCs w:val="18"/>
                      <w:lang w:val="lt-LT"/>
                    </w:rPr>
                  </w:pPr>
                  <w:r w:rsidRPr="00C21E35">
                    <w:rPr>
                      <w:rFonts w:cs="Times New Roman"/>
                      <w:sz w:val="18"/>
                      <w:szCs w:val="18"/>
                      <w:lang w:val="lt-LT"/>
                    </w:rPr>
                    <w:t> </w:t>
                  </w:r>
                </w:p>
              </w:tc>
              <w:tc>
                <w:tcPr>
                  <w:tcW w:w="1237" w:type="dxa"/>
                </w:tcPr>
                <w:p w14:paraId="78527EC3" w14:textId="45077956" w:rsidR="006D0CD4" w:rsidRPr="00C21E35" w:rsidRDefault="006D0CD4" w:rsidP="000003AD">
                  <w:pPr>
                    <w:pStyle w:val="Body2"/>
                    <w:framePr w:hSpace="180" w:wrap="around" w:vAnchor="text" w:hAnchor="text" w:x="3" w:y="1"/>
                    <w:suppressOverlap/>
                    <w:rPr>
                      <w:rFonts w:cs="Times New Roman"/>
                      <w:b/>
                      <w:bCs/>
                      <w:sz w:val="18"/>
                      <w:szCs w:val="18"/>
                      <w:lang w:val="lt-LT"/>
                    </w:rPr>
                  </w:pPr>
                </w:p>
              </w:tc>
              <w:tc>
                <w:tcPr>
                  <w:tcW w:w="1237" w:type="dxa"/>
                </w:tcPr>
                <w:p w14:paraId="0FD5E678" w14:textId="56EA9763" w:rsidR="006D0CD4" w:rsidRPr="00C21E35" w:rsidRDefault="00D318CB" w:rsidP="000003AD">
                  <w:pPr>
                    <w:pStyle w:val="Body2"/>
                    <w:framePr w:hSpace="180" w:wrap="around" w:vAnchor="text" w:hAnchor="text" w:x="3" w:y="1"/>
                    <w:suppressOverlap/>
                    <w:rPr>
                      <w:rFonts w:cs="Times New Roman"/>
                      <w:b/>
                      <w:bCs/>
                      <w:sz w:val="18"/>
                      <w:szCs w:val="18"/>
                      <w:lang w:val="lt-LT"/>
                    </w:rPr>
                  </w:pPr>
                  <w:r w:rsidRPr="00D318CB">
                    <w:rPr>
                      <w:rFonts w:cs="Times New Roman"/>
                      <w:b/>
                      <w:bCs/>
                      <w:sz w:val="18"/>
                      <w:szCs w:val="18"/>
                      <w:lang w:val="lt-LT"/>
                    </w:rPr>
                    <w:t>9 361,58</w:t>
                  </w:r>
                </w:p>
              </w:tc>
              <w:tc>
                <w:tcPr>
                  <w:tcW w:w="1237" w:type="dxa"/>
                </w:tcPr>
                <w:p w14:paraId="1BF7452A" w14:textId="7237EC79" w:rsidR="006D0CD4" w:rsidRPr="00C21E35" w:rsidRDefault="00D318CB" w:rsidP="000003AD">
                  <w:pPr>
                    <w:pStyle w:val="Body2"/>
                    <w:framePr w:hSpace="180" w:wrap="around" w:vAnchor="text" w:hAnchor="text" w:x="3" w:y="1"/>
                    <w:suppressOverlap/>
                    <w:rPr>
                      <w:rFonts w:cs="Times New Roman"/>
                      <w:b/>
                      <w:bCs/>
                      <w:sz w:val="18"/>
                      <w:szCs w:val="18"/>
                      <w:lang w:val="lt-LT"/>
                    </w:rPr>
                  </w:pPr>
                  <w:r w:rsidRPr="00D318CB">
                    <w:rPr>
                      <w:rFonts w:cs="Times New Roman"/>
                      <w:b/>
                      <w:bCs/>
                      <w:sz w:val="18"/>
                      <w:szCs w:val="18"/>
                      <w:lang w:val="lt-LT"/>
                    </w:rPr>
                    <w:t>9 361,58</w:t>
                  </w:r>
                </w:p>
              </w:tc>
            </w:tr>
          </w:tbl>
          <w:p w14:paraId="464B3209" w14:textId="77777777" w:rsidR="006D0CD4" w:rsidRPr="004B465E" w:rsidRDefault="006D0CD4" w:rsidP="00390978">
            <w:pPr>
              <w:spacing w:before="40" w:after="40"/>
              <w:rPr>
                <w:rFonts w:ascii="Times New Roman" w:eastAsia="Times New Roman" w:hAnsi="Times New Roman" w:cs="Times New Roman"/>
                <w:bCs/>
                <w:sz w:val="18"/>
                <w:szCs w:val="18"/>
                <w:lang w:val="lt-LT"/>
              </w:rPr>
            </w:pPr>
          </w:p>
          <w:p w14:paraId="6B5FDD74" w14:textId="77777777" w:rsidR="000F57DD" w:rsidRPr="004B465E" w:rsidRDefault="000F57DD" w:rsidP="00390978">
            <w:pPr>
              <w:spacing w:before="40" w:after="40"/>
              <w:rPr>
                <w:rFonts w:ascii="Times New Roman" w:eastAsia="Times New Roman" w:hAnsi="Times New Roman" w:cs="Times New Roman"/>
                <w:bCs/>
                <w:sz w:val="18"/>
                <w:szCs w:val="18"/>
                <w:lang w:val="lt-LT"/>
              </w:rPr>
            </w:pPr>
            <w:r w:rsidRPr="004B465E">
              <w:rPr>
                <w:rFonts w:ascii="Times New Roman" w:eastAsia="Times New Roman" w:hAnsi="Times New Roman" w:cs="Times New Roman"/>
                <w:bCs/>
                <w:sz w:val="18"/>
                <w:szCs w:val="18"/>
                <w:lang w:val="lt-LT"/>
              </w:rPr>
              <w:t>ŠALYS SUSITARIA:</w:t>
            </w:r>
          </w:p>
          <w:p w14:paraId="57BF9264" w14:textId="77777777" w:rsidR="000F57DD" w:rsidRPr="004B465E" w:rsidRDefault="000F57DD" w:rsidP="00390978">
            <w:pPr>
              <w:spacing w:before="40" w:after="40"/>
              <w:rPr>
                <w:rFonts w:ascii="Times New Roman" w:eastAsia="Times New Roman" w:hAnsi="Times New Roman" w:cs="Times New Roman"/>
                <w:bCs/>
                <w:sz w:val="18"/>
                <w:szCs w:val="18"/>
                <w:lang w:val="lt-LT"/>
              </w:rPr>
            </w:pPr>
          </w:p>
          <w:p w14:paraId="6B5FEBB4" w14:textId="53DEE654" w:rsidR="000F57DD" w:rsidRPr="004B465E" w:rsidRDefault="000F57DD" w:rsidP="00390978">
            <w:pPr>
              <w:spacing w:before="40" w:after="40"/>
              <w:rPr>
                <w:rFonts w:ascii="Times New Roman" w:eastAsia="Times New Roman" w:hAnsi="Times New Roman" w:cs="Times New Roman"/>
                <w:bCs/>
                <w:sz w:val="18"/>
                <w:szCs w:val="18"/>
                <w:lang w:val="lt-LT"/>
              </w:rPr>
            </w:pPr>
            <w:r w:rsidRPr="004B465E">
              <w:rPr>
                <w:rFonts w:ascii="Times New Roman" w:eastAsia="Times New Roman" w:hAnsi="Times New Roman" w:cs="Times New Roman"/>
                <w:bCs/>
                <w:sz w:val="18"/>
                <w:szCs w:val="18"/>
                <w:lang w:val="lt-LT"/>
              </w:rPr>
              <w:t>1. SUTARTIES SĄLYGŲ PAKEITIMAS</w:t>
            </w:r>
          </w:p>
          <w:p w14:paraId="59E24F60" w14:textId="77777777" w:rsidR="000F57DD" w:rsidRPr="004B465E" w:rsidRDefault="000F57DD" w:rsidP="00390978">
            <w:pPr>
              <w:spacing w:before="40" w:after="40"/>
              <w:rPr>
                <w:rFonts w:ascii="Times New Roman" w:eastAsia="Times New Roman" w:hAnsi="Times New Roman" w:cs="Times New Roman"/>
                <w:bCs/>
                <w:sz w:val="18"/>
                <w:szCs w:val="18"/>
                <w:lang w:val="lt-LT"/>
              </w:rPr>
            </w:pPr>
          </w:p>
          <w:p w14:paraId="245C9903" w14:textId="77777777" w:rsidR="00FE4819" w:rsidRPr="00FE4819" w:rsidRDefault="00FE4819" w:rsidP="00390978">
            <w:pPr>
              <w:spacing w:before="40" w:after="40"/>
              <w:rPr>
                <w:rFonts w:ascii="Times New Roman" w:eastAsia="Times New Roman" w:hAnsi="Times New Roman" w:cs="Times New Roman"/>
                <w:bCs/>
                <w:sz w:val="18"/>
                <w:szCs w:val="18"/>
                <w:lang w:val="lt-LT"/>
              </w:rPr>
            </w:pPr>
            <w:r w:rsidRPr="00FE4819">
              <w:rPr>
                <w:rFonts w:ascii="Times New Roman" w:eastAsia="Times New Roman" w:hAnsi="Times New Roman" w:cs="Times New Roman"/>
                <w:bCs/>
                <w:sz w:val="18"/>
                <w:szCs w:val="18"/>
                <w:lang w:val="lt-LT"/>
              </w:rPr>
              <w:t>1. SUTARTIES SĄLYGŲ PAKEITIMAS</w:t>
            </w:r>
          </w:p>
          <w:p w14:paraId="0F66BC9E" w14:textId="438D9345" w:rsidR="00FE4819" w:rsidRPr="00FE4819" w:rsidRDefault="00FE4819" w:rsidP="00390978">
            <w:pPr>
              <w:spacing w:before="40" w:after="40"/>
              <w:rPr>
                <w:rFonts w:ascii="Times New Roman" w:eastAsia="Times New Roman" w:hAnsi="Times New Roman" w:cs="Times New Roman"/>
                <w:bCs/>
                <w:sz w:val="18"/>
                <w:szCs w:val="18"/>
                <w:lang w:val="lt-LT"/>
              </w:rPr>
            </w:pPr>
            <w:r w:rsidRPr="00FE4819">
              <w:rPr>
                <w:rFonts w:ascii="Times New Roman" w:eastAsia="Times New Roman" w:hAnsi="Times New Roman" w:cs="Times New Roman"/>
                <w:bCs/>
                <w:sz w:val="18"/>
                <w:szCs w:val="18"/>
                <w:lang w:val="lt-LT"/>
              </w:rPr>
              <w:t>1.1. Pakeisti Sutarties sąlygas taip, kaip nurodyta prie šio Susitarimo pridedame pakeitimų akte ir jo prieduose (žr. šio susitarimo Priedą Nr. 1), o taip pat atnaujintame Sutarties priede Nr. 5 „</w:t>
            </w:r>
            <w:r w:rsidR="001F35D8" w:rsidRPr="001F35D8">
              <w:rPr>
                <w:rFonts w:ascii="Times New Roman" w:eastAsia="Times New Roman" w:hAnsi="Times New Roman" w:cs="Times New Roman"/>
                <w:bCs/>
                <w:sz w:val="18"/>
                <w:szCs w:val="18"/>
                <w:lang w:val="lt-LT"/>
              </w:rPr>
              <w:t>Darbų kainų žiniaraštis</w:t>
            </w:r>
            <w:r w:rsidRPr="00FE4819">
              <w:rPr>
                <w:rFonts w:ascii="Times New Roman" w:eastAsia="Times New Roman" w:hAnsi="Times New Roman" w:cs="Times New Roman"/>
                <w:bCs/>
                <w:sz w:val="18"/>
                <w:szCs w:val="18"/>
                <w:lang w:val="lt-LT"/>
              </w:rPr>
              <w:t xml:space="preserve">“ (žr. šio susitarimo Priedą Nr. 2) į kurį įtraukiama šio pakeitimo kaina. </w:t>
            </w:r>
          </w:p>
          <w:p w14:paraId="735EB989" w14:textId="77777777" w:rsidR="00FE4819" w:rsidRPr="00FE4819" w:rsidRDefault="00FE4819" w:rsidP="00390978">
            <w:pPr>
              <w:spacing w:before="40" w:after="40"/>
              <w:rPr>
                <w:rFonts w:ascii="Times New Roman" w:eastAsia="Times New Roman" w:hAnsi="Times New Roman" w:cs="Times New Roman"/>
                <w:bCs/>
                <w:sz w:val="18"/>
                <w:szCs w:val="18"/>
                <w:lang w:val="lt-LT"/>
              </w:rPr>
            </w:pPr>
            <w:r w:rsidRPr="00FE4819">
              <w:rPr>
                <w:rFonts w:ascii="Times New Roman" w:eastAsia="Times New Roman" w:hAnsi="Times New Roman" w:cs="Times New Roman"/>
                <w:bCs/>
                <w:sz w:val="18"/>
                <w:szCs w:val="18"/>
                <w:lang w:val="lt-LT"/>
              </w:rPr>
              <w:t>1.2. Šiuo susitarimu darbų atlikimo terminai nekeičiami.</w:t>
            </w:r>
          </w:p>
          <w:p w14:paraId="1400A932" w14:textId="77777777" w:rsidR="00FE4819" w:rsidRPr="00FE4819" w:rsidRDefault="00FE4819" w:rsidP="00390978">
            <w:pPr>
              <w:spacing w:before="40" w:after="40"/>
              <w:rPr>
                <w:rFonts w:ascii="Times New Roman" w:eastAsia="Times New Roman" w:hAnsi="Times New Roman" w:cs="Times New Roman"/>
                <w:bCs/>
                <w:sz w:val="18"/>
                <w:szCs w:val="18"/>
                <w:lang w:val="lt-LT"/>
              </w:rPr>
            </w:pPr>
            <w:r w:rsidRPr="00FE4819">
              <w:rPr>
                <w:rFonts w:ascii="Times New Roman" w:eastAsia="Times New Roman" w:hAnsi="Times New Roman" w:cs="Times New Roman"/>
                <w:bCs/>
                <w:sz w:val="18"/>
                <w:szCs w:val="18"/>
                <w:lang w:val="lt-LT"/>
              </w:rPr>
              <w:t>1.3. Kitos Sutarties nuostatos, nenurodytos šio susitarimo dėl Sutarties pakeitimo 1.1 -1.2 punktuose lieka nepakeistos.</w:t>
            </w:r>
          </w:p>
          <w:p w14:paraId="037C5069" w14:textId="77777777" w:rsidR="000F57DD" w:rsidRPr="004B465E" w:rsidRDefault="000F57DD" w:rsidP="00390978">
            <w:pPr>
              <w:spacing w:before="40" w:after="40"/>
              <w:rPr>
                <w:rFonts w:ascii="Times New Roman" w:eastAsia="Times New Roman" w:hAnsi="Times New Roman" w:cs="Times New Roman"/>
                <w:bCs/>
                <w:sz w:val="18"/>
                <w:szCs w:val="18"/>
                <w:lang w:val="lt-LT"/>
              </w:rPr>
            </w:pPr>
          </w:p>
          <w:p w14:paraId="5325743B" w14:textId="2EAECD2A" w:rsidR="000F57DD" w:rsidRPr="004B465E" w:rsidRDefault="000F57DD" w:rsidP="00390978">
            <w:pPr>
              <w:spacing w:before="40" w:after="40"/>
              <w:rPr>
                <w:rFonts w:ascii="Times New Roman" w:eastAsia="Times New Roman" w:hAnsi="Times New Roman" w:cs="Times New Roman"/>
                <w:bCs/>
                <w:sz w:val="18"/>
                <w:szCs w:val="18"/>
                <w:lang w:val="lt-LT"/>
              </w:rPr>
            </w:pPr>
            <w:r w:rsidRPr="004B465E">
              <w:rPr>
                <w:rFonts w:ascii="Times New Roman" w:eastAsia="Times New Roman" w:hAnsi="Times New Roman" w:cs="Times New Roman"/>
                <w:bCs/>
                <w:sz w:val="18"/>
                <w:szCs w:val="18"/>
                <w:lang w:val="lt-LT"/>
              </w:rPr>
              <w:t>2. KITOS NUOSTATOS</w:t>
            </w:r>
          </w:p>
          <w:p w14:paraId="5EE8DC17" w14:textId="77777777" w:rsidR="000F57DD" w:rsidRPr="004B465E" w:rsidRDefault="000F57DD" w:rsidP="00390978">
            <w:pPr>
              <w:spacing w:before="40" w:after="40"/>
              <w:rPr>
                <w:rFonts w:ascii="Times New Roman" w:eastAsia="Times New Roman" w:hAnsi="Times New Roman" w:cs="Times New Roman"/>
                <w:bCs/>
                <w:sz w:val="18"/>
                <w:szCs w:val="18"/>
                <w:lang w:val="lt-LT"/>
              </w:rPr>
            </w:pPr>
          </w:p>
          <w:p w14:paraId="26504456" w14:textId="0301A226" w:rsidR="000F57DD" w:rsidRPr="004B465E" w:rsidRDefault="000F57DD" w:rsidP="00390978">
            <w:pPr>
              <w:spacing w:before="40" w:after="40"/>
              <w:rPr>
                <w:rFonts w:ascii="Times New Roman" w:eastAsia="Times New Roman" w:hAnsi="Times New Roman" w:cs="Times New Roman"/>
                <w:bCs/>
                <w:sz w:val="18"/>
                <w:szCs w:val="18"/>
                <w:lang w:val="lt-LT"/>
              </w:rPr>
            </w:pPr>
            <w:r w:rsidRPr="004B465E">
              <w:rPr>
                <w:rFonts w:ascii="Times New Roman" w:eastAsia="Times New Roman" w:hAnsi="Times New Roman" w:cs="Times New Roman"/>
                <w:bCs/>
                <w:sz w:val="18"/>
                <w:szCs w:val="18"/>
                <w:lang w:val="lt-LT"/>
              </w:rPr>
              <w:t>2.1. Susitarimas įsigalioja, kai jį pasirašo abi Sutarties Šalys.</w:t>
            </w:r>
          </w:p>
          <w:p w14:paraId="705A52E2" w14:textId="70B62FC5" w:rsidR="000F57DD" w:rsidRPr="004B465E" w:rsidRDefault="000F57DD" w:rsidP="00390978">
            <w:pPr>
              <w:spacing w:before="40" w:after="40"/>
              <w:rPr>
                <w:rFonts w:ascii="Times New Roman" w:eastAsia="Times New Roman" w:hAnsi="Times New Roman" w:cs="Times New Roman"/>
                <w:bCs/>
                <w:sz w:val="18"/>
                <w:szCs w:val="18"/>
                <w:lang w:val="lt-LT"/>
              </w:rPr>
            </w:pPr>
            <w:r w:rsidRPr="004B465E">
              <w:rPr>
                <w:rFonts w:ascii="Times New Roman" w:eastAsia="Times New Roman" w:hAnsi="Times New Roman" w:cs="Times New Roman"/>
                <w:bCs/>
                <w:sz w:val="18"/>
                <w:szCs w:val="18"/>
                <w:lang w:val="lt-LT"/>
              </w:rPr>
              <w:t>2.2. Susitarimas laikomas neatskiriama Sutarties dalimi.</w:t>
            </w:r>
          </w:p>
          <w:p w14:paraId="542A986B" w14:textId="1853799B" w:rsidR="000F57DD" w:rsidRPr="004B465E" w:rsidRDefault="000F57DD" w:rsidP="00390978">
            <w:pPr>
              <w:spacing w:before="40" w:after="40"/>
              <w:rPr>
                <w:rFonts w:ascii="Times New Roman" w:eastAsia="Times New Roman" w:hAnsi="Times New Roman" w:cs="Times New Roman"/>
                <w:bCs/>
                <w:sz w:val="18"/>
                <w:szCs w:val="18"/>
                <w:lang w:val="lt-LT"/>
              </w:rPr>
            </w:pPr>
            <w:r w:rsidRPr="004B465E">
              <w:rPr>
                <w:rFonts w:ascii="Times New Roman" w:eastAsia="Times New Roman" w:hAnsi="Times New Roman" w:cs="Times New Roman"/>
                <w:bCs/>
                <w:sz w:val="18"/>
                <w:szCs w:val="18"/>
                <w:lang w:val="lt-LT"/>
              </w:rPr>
              <w:t>2.3. Susitarime naudojamų sąvokų reikšmės atitinka Sutartyje pateiktus sąvokų apibrėžimus.</w:t>
            </w:r>
          </w:p>
          <w:p w14:paraId="774DAF51" w14:textId="77777777" w:rsidR="009A4148" w:rsidRPr="004B465E" w:rsidRDefault="000F57DD" w:rsidP="00390978">
            <w:pPr>
              <w:spacing w:before="40" w:after="40"/>
              <w:rPr>
                <w:rFonts w:ascii="Times New Roman" w:eastAsia="Times New Roman" w:hAnsi="Times New Roman" w:cs="Times New Roman"/>
                <w:bCs/>
                <w:sz w:val="18"/>
                <w:szCs w:val="18"/>
                <w:lang w:val="lt-LT"/>
              </w:rPr>
            </w:pPr>
            <w:r w:rsidRPr="004B465E">
              <w:rPr>
                <w:rFonts w:ascii="Times New Roman" w:eastAsia="Times New Roman" w:hAnsi="Times New Roman" w:cs="Times New Roman"/>
                <w:bCs/>
                <w:sz w:val="18"/>
                <w:szCs w:val="18"/>
                <w:lang w:val="lt-LT"/>
              </w:rPr>
              <w:t>2.4. Susitarimas pasirašomas Šalių atstovų elektroniniais parašais.</w:t>
            </w:r>
          </w:p>
          <w:p w14:paraId="004568F0" w14:textId="0E2510E9" w:rsidR="00AE39C8" w:rsidRPr="00CC195B" w:rsidRDefault="00AE39C8" w:rsidP="000F57DD">
            <w:pPr>
              <w:spacing w:before="40" w:after="40"/>
              <w:jc w:val="left"/>
              <w:rPr>
                <w:rFonts w:ascii="Times New Roman" w:eastAsia="Times New Roman" w:hAnsi="Times New Roman" w:cs="Times New Roman"/>
                <w:bCs/>
                <w:sz w:val="18"/>
                <w:szCs w:val="18"/>
                <w:lang w:val="pt-BR"/>
              </w:rPr>
            </w:pPr>
          </w:p>
        </w:tc>
      </w:tr>
      <w:tr w:rsidR="005B4055" w:rsidRPr="004B465E" w14:paraId="4F784EEB" w14:textId="77777777" w:rsidTr="001B49E6">
        <w:trPr>
          <w:trHeight w:val="238"/>
        </w:trPr>
        <w:tc>
          <w:tcPr>
            <w:tcW w:w="2122" w:type="dxa"/>
            <w:shd w:val="clear" w:color="auto" w:fill="F2F2F2" w:themeFill="background1" w:themeFillShade="F2"/>
            <w:vAlign w:val="center"/>
          </w:tcPr>
          <w:p w14:paraId="4253AA0D" w14:textId="12612C64" w:rsidR="005B4055" w:rsidRPr="004B465E" w:rsidRDefault="005B4055" w:rsidP="005B4055">
            <w:pPr>
              <w:spacing w:before="40" w:after="40"/>
              <w:jc w:val="left"/>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lastRenderedPageBreak/>
              <w:t>Sutarties kaina</w:t>
            </w:r>
            <w:r w:rsidR="00CB42CD" w:rsidRPr="004B465E">
              <w:rPr>
                <w:rFonts w:ascii="Times New Roman" w:eastAsia="Times New Roman" w:hAnsi="Times New Roman" w:cs="Times New Roman"/>
                <w:b/>
                <w:bCs/>
                <w:sz w:val="18"/>
                <w:szCs w:val="18"/>
                <w:lang w:val="lt-LT"/>
              </w:rPr>
              <w:t xml:space="preserve"> po Susitarimo</w:t>
            </w:r>
          </w:p>
        </w:tc>
        <w:tc>
          <w:tcPr>
            <w:tcW w:w="8072" w:type="dxa"/>
            <w:gridSpan w:val="4"/>
            <w:vAlign w:val="center"/>
          </w:tcPr>
          <w:p w14:paraId="22B7F846" w14:textId="356ED3AC" w:rsidR="005B4055" w:rsidRDefault="00F741CE" w:rsidP="005B4055">
            <w:pPr>
              <w:spacing w:before="40" w:after="40"/>
              <w:rPr>
                <w:rFonts w:ascii="Times New Roman" w:eastAsia="Times New Roman" w:hAnsi="Times New Roman" w:cs="Times New Roman"/>
                <w:bCs/>
                <w:sz w:val="18"/>
                <w:szCs w:val="18"/>
                <w:lang w:val="lt-LT"/>
              </w:rPr>
            </w:pPr>
            <w:r w:rsidRPr="00F741CE">
              <w:rPr>
                <w:rFonts w:ascii="Times New Roman" w:eastAsia="Times New Roman" w:hAnsi="Times New Roman" w:cs="Times New Roman"/>
                <w:bCs/>
                <w:sz w:val="18"/>
                <w:szCs w:val="18"/>
                <w:lang w:val="lt-LT"/>
              </w:rPr>
              <w:t>931</w:t>
            </w:r>
            <w:r>
              <w:rPr>
                <w:rFonts w:ascii="Times New Roman" w:eastAsia="Times New Roman" w:hAnsi="Times New Roman" w:cs="Times New Roman"/>
                <w:bCs/>
                <w:sz w:val="18"/>
                <w:szCs w:val="18"/>
                <w:lang w:val="lt-LT"/>
              </w:rPr>
              <w:t xml:space="preserve"> </w:t>
            </w:r>
            <w:r w:rsidRPr="00F741CE">
              <w:rPr>
                <w:rFonts w:ascii="Times New Roman" w:eastAsia="Times New Roman" w:hAnsi="Times New Roman" w:cs="Times New Roman"/>
                <w:bCs/>
                <w:sz w:val="18"/>
                <w:szCs w:val="18"/>
                <w:lang w:val="lt-LT"/>
              </w:rPr>
              <w:t>323,98</w:t>
            </w:r>
            <w:r w:rsidR="00C172CE">
              <w:rPr>
                <w:rFonts w:ascii="Times New Roman" w:eastAsia="Times New Roman" w:hAnsi="Times New Roman" w:cs="Times New Roman"/>
                <w:bCs/>
                <w:sz w:val="18"/>
                <w:szCs w:val="18"/>
                <w:lang w:val="lt-LT"/>
              </w:rPr>
              <w:t xml:space="preserve"> </w:t>
            </w:r>
            <w:r w:rsidR="000B63F6" w:rsidRPr="000B63F6">
              <w:rPr>
                <w:rFonts w:ascii="Times New Roman" w:eastAsia="Times New Roman" w:hAnsi="Times New Roman" w:cs="Times New Roman"/>
                <w:bCs/>
                <w:sz w:val="18"/>
                <w:szCs w:val="18"/>
                <w:lang w:val="lt-LT"/>
              </w:rPr>
              <w:t>EUR be PVM</w:t>
            </w:r>
          </w:p>
          <w:p w14:paraId="536A495E" w14:textId="283CDAB8" w:rsidR="000B63F6" w:rsidRDefault="00A97A8E" w:rsidP="005B4055">
            <w:pPr>
              <w:spacing w:before="40" w:after="40"/>
              <w:rPr>
                <w:rFonts w:ascii="Times New Roman" w:eastAsia="Times New Roman" w:hAnsi="Times New Roman" w:cs="Times New Roman"/>
                <w:bCs/>
                <w:sz w:val="18"/>
                <w:szCs w:val="18"/>
                <w:lang w:val="lt-LT"/>
              </w:rPr>
            </w:pPr>
            <w:r w:rsidRPr="00A97A8E">
              <w:rPr>
                <w:rFonts w:ascii="Times New Roman" w:eastAsia="Times New Roman" w:hAnsi="Times New Roman" w:cs="Times New Roman"/>
                <w:bCs/>
                <w:sz w:val="18"/>
                <w:szCs w:val="18"/>
              </w:rPr>
              <w:t>195</w:t>
            </w:r>
            <w:r>
              <w:rPr>
                <w:rFonts w:ascii="Times New Roman" w:eastAsia="Times New Roman" w:hAnsi="Times New Roman" w:cs="Times New Roman"/>
                <w:bCs/>
                <w:sz w:val="18"/>
                <w:szCs w:val="18"/>
              </w:rPr>
              <w:t xml:space="preserve"> </w:t>
            </w:r>
            <w:r w:rsidRPr="00A97A8E">
              <w:rPr>
                <w:rFonts w:ascii="Times New Roman" w:eastAsia="Times New Roman" w:hAnsi="Times New Roman" w:cs="Times New Roman"/>
                <w:bCs/>
                <w:sz w:val="18"/>
                <w:szCs w:val="18"/>
              </w:rPr>
              <w:t>578</w:t>
            </w:r>
            <w:r>
              <w:rPr>
                <w:rFonts w:ascii="Times New Roman" w:eastAsia="Times New Roman" w:hAnsi="Times New Roman" w:cs="Times New Roman"/>
                <w:bCs/>
                <w:sz w:val="18"/>
                <w:szCs w:val="18"/>
              </w:rPr>
              <w:t>,</w:t>
            </w:r>
            <w:r w:rsidRPr="00A97A8E">
              <w:rPr>
                <w:rFonts w:ascii="Times New Roman" w:eastAsia="Times New Roman" w:hAnsi="Times New Roman" w:cs="Times New Roman"/>
                <w:bCs/>
                <w:sz w:val="18"/>
                <w:szCs w:val="18"/>
              </w:rPr>
              <w:t>04</w:t>
            </w:r>
            <w:r w:rsidR="000B63F6">
              <w:rPr>
                <w:rFonts w:ascii="Times New Roman" w:eastAsia="Times New Roman" w:hAnsi="Times New Roman" w:cs="Times New Roman"/>
                <w:bCs/>
                <w:sz w:val="18"/>
                <w:szCs w:val="18"/>
                <w:lang w:val="lt-LT"/>
              </w:rPr>
              <w:t xml:space="preserve"> EUR PVM</w:t>
            </w:r>
          </w:p>
          <w:p w14:paraId="1EAF8B1B" w14:textId="0190B3A4" w:rsidR="000B63F6" w:rsidRPr="004B465E" w:rsidRDefault="00A97A8E" w:rsidP="005B4055">
            <w:pPr>
              <w:spacing w:before="40" w:after="40"/>
              <w:rPr>
                <w:rFonts w:ascii="Times New Roman" w:eastAsia="Times New Roman" w:hAnsi="Times New Roman" w:cs="Times New Roman"/>
                <w:bCs/>
                <w:sz w:val="18"/>
                <w:szCs w:val="18"/>
                <w:lang w:val="lt-LT"/>
              </w:rPr>
            </w:pPr>
            <w:r w:rsidRPr="00A97A8E">
              <w:rPr>
                <w:rFonts w:ascii="Times New Roman" w:eastAsia="Times New Roman" w:hAnsi="Times New Roman" w:cs="Times New Roman"/>
                <w:bCs/>
                <w:sz w:val="18"/>
                <w:szCs w:val="18"/>
                <w:lang w:val="lt-LT"/>
              </w:rPr>
              <w:t>1</w:t>
            </w:r>
            <w:r>
              <w:rPr>
                <w:rFonts w:ascii="Times New Roman" w:eastAsia="Times New Roman" w:hAnsi="Times New Roman" w:cs="Times New Roman"/>
                <w:bCs/>
                <w:sz w:val="18"/>
                <w:szCs w:val="18"/>
                <w:lang w:val="lt-LT"/>
              </w:rPr>
              <w:t xml:space="preserve"> </w:t>
            </w:r>
            <w:r w:rsidRPr="00A97A8E">
              <w:rPr>
                <w:rFonts w:ascii="Times New Roman" w:eastAsia="Times New Roman" w:hAnsi="Times New Roman" w:cs="Times New Roman"/>
                <w:bCs/>
                <w:sz w:val="18"/>
                <w:szCs w:val="18"/>
                <w:lang w:val="lt-LT"/>
              </w:rPr>
              <w:t>126</w:t>
            </w:r>
            <w:r>
              <w:rPr>
                <w:rFonts w:ascii="Times New Roman" w:eastAsia="Times New Roman" w:hAnsi="Times New Roman" w:cs="Times New Roman"/>
                <w:bCs/>
                <w:sz w:val="18"/>
                <w:szCs w:val="18"/>
                <w:lang w:val="lt-LT"/>
              </w:rPr>
              <w:t xml:space="preserve"> </w:t>
            </w:r>
            <w:r w:rsidRPr="00A97A8E">
              <w:rPr>
                <w:rFonts w:ascii="Times New Roman" w:eastAsia="Times New Roman" w:hAnsi="Times New Roman" w:cs="Times New Roman"/>
                <w:bCs/>
                <w:sz w:val="18"/>
                <w:szCs w:val="18"/>
                <w:lang w:val="lt-LT"/>
              </w:rPr>
              <w:t>902</w:t>
            </w:r>
            <w:r>
              <w:rPr>
                <w:rFonts w:ascii="Times New Roman" w:eastAsia="Times New Roman" w:hAnsi="Times New Roman" w:cs="Times New Roman"/>
                <w:bCs/>
                <w:sz w:val="18"/>
                <w:szCs w:val="18"/>
                <w:lang w:val="lt-LT"/>
              </w:rPr>
              <w:t>,</w:t>
            </w:r>
            <w:r w:rsidRPr="00A97A8E">
              <w:rPr>
                <w:rFonts w:ascii="Times New Roman" w:eastAsia="Times New Roman" w:hAnsi="Times New Roman" w:cs="Times New Roman"/>
                <w:bCs/>
                <w:sz w:val="18"/>
                <w:szCs w:val="18"/>
                <w:lang w:val="lt-LT"/>
              </w:rPr>
              <w:t>02</w:t>
            </w:r>
            <w:r w:rsidR="009A1A17">
              <w:rPr>
                <w:rFonts w:ascii="Times New Roman" w:eastAsia="Times New Roman" w:hAnsi="Times New Roman" w:cs="Times New Roman"/>
                <w:bCs/>
                <w:sz w:val="18"/>
                <w:szCs w:val="18"/>
                <w:lang w:val="lt-LT"/>
              </w:rPr>
              <w:t xml:space="preserve"> </w:t>
            </w:r>
            <w:r w:rsidR="000B63F6" w:rsidRPr="000B63F6">
              <w:rPr>
                <w:rFonts w:ascii="Times New Roman" w:eastAsia="Times New Roman" w:hAnsi="Times New Roman" w:cs="Times New Roman"/>
                <w:bCs/>
                <w:sz w:val="18"/>
                <w:szCs w:val="18"/>
                <w:lang w:val="lt-LT"/>
              </w:rPr>
              <w:t xml:space="preserve">EUR </w:t>
            </w:r>
            <w:r w:rsidR="000B63F6">
              <w:rPr>
                <w:rFonts w:ascii="Times New Roman" w:eastAsia="Times New Roman" w:hAnsi="Times New Roman" w:cs="Times New Roman"/>
                <w:bCs/>
                <w:sz w:val="18"/>
                <w:szCs w:val="18"/>
                <w:lang w:val="lt-LT"/>
              </w:rPr>
              <w:t>su</w:t>
            </w:r>
            <w:r w:rsidR="000B63F6" w:rsidRPr="000B63F6">
              <w:rPr>
                <w:rFonts w:ascii="Times New Roman" w:eastAsia="Times New Roman" w:hAnsi="Times New Roman" w:cs="Times New Roman"/>
                <w:bCs/>
                <w:sz w:val="18"/>
                <w:szCs w:val="18"/>
                <w:lang w:val="lt-LT"/>
              </w:rPr>
              <w:t xml:space="preserve"> PVM</w:t>
            </w:r>
          </w:p>
        </w:tc>
      </w:tr>
      <w:tr w:rsidR="005B4055" w:rsidRPr="004B465E" w14:paraId="7288080A" w14:textId="77777777" w:rsidTr="001B49E6">
        <w:trPr>
          <w:trHeight w:val="238"/>
        </w:trPr>
        <w:tc>
          <w:tcPr>
            <w:tcW w:w="2122" w:type="dxa"/>
            <w:shd w:val="clear" w:color="auto" w:fill="F2F2F2" w:themeFill="background1" w:themeFillShade="F2"/>
            <w:vAlign w:val="center"/>
          </w:tcPr>
          <w:p w14:paraId="55786B7B" w14:textId="46DF0C2F" w:rsidR="005B4055" w:rsidRPr="004B465E" w:rsidRDefault="008F5165" w:rsidP="005B4055">
            <w:pPr>
              <w:spacing w:before="40" w:after="40"/>
              <w:jc w:val="left"/>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 xml:space="preserve">Darbų </w:t>
            </w:r>
            <w:r w:rsidR="00CB42CD" w:rsidRPr="004B465E">
              <w:rPr>
                <w:rFonts w:ascii="Times New Roman" w:eastAsia="Times New Roman" w:hAnsi="Times New Roman" w:cs="Times New Roman"/>
                <w:b/>
                <w:bCs/>
                <w:sz w:val="18"/>
                <w:szCs w:val="18"/>
                <w:lang w:val="lt-LT"/>
              </w:rPr>
              <w:t>terminai po Susitarimo</w:t>
            </w:r>
          </w:p>
        </w:tc>
        <w:tc>
          <w:tcPr>
            <w:tcW w:w="8072" w:type="dxa"/>
            <w:gridSpan w:val="4"/>
            <w:vAlign w:val="center"/>
          </w:tcPr>
          <w:p w14:paraId="07C02CEC" w14:textId="3A342FBF" w:rsidR="005B4055" w:rsidRPr="004B465E" w:rsidRDefault="00094C50" w:rsidP="005B4055">
            <w:pPr>
              <w:spacing w:before="40" w:after="40"/>
              <w:rPr>
                <w:rFonts w:ascii="Times New Roman" w:eastAsia="Times New Roman" w:hAnsi="Times New Roman" w:cs="Times New Roman"/>
                <w:bCs/>
                <w:sz w:val="18"/>
                <w:szCs w:val="18"/>
                <w:lang w:val="lt-LT"/>
              </w:rPr>
            </w:pPr>
            <w:r w:rsidRPr="004B465E">
              <w:rPr>
                <w:rFonts w:ascii="Times New Roman" w:eastAsia="Times New Roman" w:hAnsi="Times New Roman" w:cs="Times New Roman"/>
                <w:bCs/>
                <w:sz w:val="18"/>
                <w:szCs w:val="18"/>
                <w:lang w:val="lt-LT"/>
              </w:rPr>
              <w:t>Darbų terminai nekeičiami.</w:t>
            </w:r>
          </w:p>
        </w:tc>
      </w:tr>
      <w:tr w:rsidR="005B4055" w:rsidRPr="004B465E" w14:paraId="651AEF88" w14:textId="77777777" w:rsidTr="001B49E6">
        <w:trPr>
          <w:trHeight w:val="238"/>
        </w:trPr>
        <w:tc>
          <w:tcPr>
            <w:tcW w:w="2122" w:type="dxa"/>
            <w:shd w:val="clear" w:color="auto" w:fill="F2F2F2" w:themeFill="background1" w:themeFillShade="F2"/>
            <w:vAlign w:val="center"/>
          </w:tcPr>
          <w:p w14:paraId="67A94B36" w14:textId="4A96C679" w:rsidR="005B4055" w:rsidRPr="004B465E" w:rsidRDefault="00CB42CD" w:rsidP="005B4055">
            <w:pPr>
              <w:spacing w:before="40" w:after="40"/>
              <w:jc w:val="left"/>
              <w:rPr>
                <w:rFonts w:ascii="Times New Roman" w:eastAsia="Times New Roman" w:hAnsi="Times New Roman" w:cs="Times New Roman"/>
                <w:b/>
                <w:bCs/>
                <w:sz w:val="18"/>
                <w:szCs w:val="18"/>
                <w:lang w:val="lt-LT"/>
              </w:rPr>
            </w:pPr>
            <w:r w:rsidRPr="004B465E">
              <w:rPr>
                <w:rFonts w:ascii="Times New Roman" w:eastAsia="Times New Roman" w:hAnsi="Times New Roman" w:cs="Times New Roman"/>
                <w:b/>
                <w:bCs/>
                <w:sz w:val="18"/>
                <w:szCs w:val="18"/>
                <w:lang w:val="lt-LT"/>
              </w:rPr>
              <w:t>Susitarimo priedai:</w:t>
            </w:r>
          </w:p>
        </w:tc>
        <w:tc>
          <w:tcPr>
            <w:tcW w:w="8072" w:type="dxa"/>
            <w:gridSpan w:val="4"/>
            <w:vAlign w:val="center"/>
          </w:tcPr>
          <w:p w14:paraId="7FA7B581" w14:textId="77777777" w:rsidR="00713FCE" w:rsidRPr="00713FCE" w:rsidRDefault="00713FCE" w:rsidP="00713FCE">
            <w:pPr>
              <w:spacing w:before="40" w:after="40"/>
              <w:rPr>
                <w:rFonts w:ascii="Times New Roman" w:eastAsia="Times New Roman" w:hAnsi="Times New Roman" w:cs="Times New Roman"/>
                <w:bCs/>
                <w:sz w:val="18"/>
                <w:szCs w:val="18"/>
                <w:lang w:val="lt-LT"/>
              </w:rPr>
            </w:pPr>
            <w:r w:rsidRPr="00713FCE">
              <w:rPr>
                <w:rFonts w:ascii="Times New Roman" w:eastAsia="Times New Roman" w:hAnsi="Times New Roman" w:cs="Times New Roman"/>
                <w:bCs/>
                <w:sz w:val="18"/>
                <w:szCs w:val="18"/>
                <w:lang w:val="lt-LT"/>
              </w:rPr>
              <w:t xml:space="preserve">1. Pakeitimų aktas Nr. </w:t>
            </w:r>
            <w:r w:rsidRPr="00CC195B">
              <w:rPr>
                <w:rFonts w:ascii="Times New Roman" w:eastAsia="Times New Roman" w:hAnsi="Times New Roman" w:cs="Times New Roman"/>
                <w:bCs/>
                <w:sz w:val="18"/>
                <w:szCs w:val="18"/>
                <w:lang w:val="pt-BR"/>
              </w:rPr>
              <w:t>2</w:t>
            </w:r>
            <w:r w:rsidRPr="00713FCE">
              <w:rPr>
                <w:rFonts w:ascii="Times New Roman" w:eastAsia="Times New Roman" w:hAnsi="Times New Roman" w:cs="Times New Roman"/>
                <w:bCs/>
                <w:sz w:val="18"/>
                <w:szCs w:val="18"/>
                <w:lang w:val="lt-LT"/>
              </w:rPr>
              <w:t xml:space="preserve"> su priedais</w:t>
            </w:r>
          </w:p>
          <w:p w14:paraId="5FEB1278" w14:textId="289BAA1A" w:rsidR="00713FCE" w:rsidRPr="00713FCE" w:rsidRDefault="00713FCE" w:rsidP="00713FCE">
            <w:pPr>
              <w:spacing w:before="40" w:after="40"/>
              <w:rPr>
                <w:rFonts w:ascii="Times New Roman" w:eastAsia="Times New Roman" w:hAnsi="Times New Roman" w:cs="Times New Roman"/>
                <w:bCs/>
                <w:sz w:val="18"/>
                <w:szCs w:val="18"/>
                <w:lang w:val="lt-LT"/>
              </w:rPr>
            </w:pPr>
            <w:r w:rsidRPr="00713FCE">
              <w:rPr>
                <w:rFonts w:ascii="Times New Roman" w:eastAsia="Times New Roman" w:hAnsi="Times New Roman" w:cs="Times New Roman"/>
                <w:bCs/>
                <w:sz w:val="18"/>
                <w:szCs w:val="18"/>
                <w:lang w:val="lt-LT"/>
              </w:rPr>
              <w:t>2. Sutarties priedo Nr. 5 „</w:t>
            </w:r>
            <w:r w:rsidR="001A701A">
              <w:rPr>
                <w:rFonts w:ascii="Times New Roman" w:eastAsia="Times New Roman" w:hAnsi="Times New Roman" w:cs="Times New Roman"/>
                <w:bCs/>
                <w:sz w:val="18"/>
                <w:szCs w:val="18"/>
                <w:lang w:val="lt-LT"/>
              </w:rPr>
              <w:t>D</w:t>
            </w:r>
            <w:r w:rsidR="001A701A" w:rsidRPr="001A701A">
              <w:rPr>
                <w:rFonts w:ascii="Times New Roman" w:eastAsia="Times New Roman" w:hAnsi="Times New Roman" w:cs="Times New Roman"/>
                <w:bCs/>
                <w:sz w:val="18"/>
                <w:szCs w:val="18"/>
                <w:lang w:val="lt-LT"/>
              </w:rPr>
              <w:t>arbų kainų žiniaraštis</w:t>
            </w:r>
            <w:r w:rsidRPr="00713FCE">
              <w:rPr>
                <w:rFonts w:ascii="Times New Roman" w:eastAsia="Times New Roman" w:hAnsi="Times New Roman" w:cs="Times New Roman"/>
                <w:bCs/>
                <w:sz w:val="18"/>
                <w:szCs w:val="18"/>
                <w:lang w:val="lt-LT"/>
              </w:rPr>
              <w:t>“ pakeitimas</w:t>
            </w:r>
          </w:p>
          <w:p w14:paraId="64B73FE4" w14:textId="58306221" w:rsidR="000F57DD" w:rsidRPr="004B465E" w:rsidRDefault="00713FCE" w:rsidP="00713FCE">
            <w:pPr>
              <w:spacing w:before="40" w:after="40"/>
              <w:rPr>
                <w:rFonts w:ascii="Times New Roman" w:eastAsia="Times New Roman" w:hAnsi="Times New Roman" w:cs="Times New Roman"/>
                <w:bCs/>
                <w:sz w:val="18"/>
                <w:szCs w:val="18"/>
              </w:rPr>
            </w:pPr>
            <w:r w:rsidRPr="00713FCE">
              <w:rPr>
                <w:rFonts w:ascii="Times New Roman" w:eastAsia="Times New Roman" w:hAnsi="Times New Roman" w:cs="Times New Roman"/>
                <w:bCs/>
                <w:sz w:val="18"/>
                <w:szCs w:val="18"/>
              </w:rPr>
              <w:t xml:space="preserve">3. </w:t>
            </w:r>
            <w:r w:rsidRPr="00713FCE">
              <w:rPr>
                <w:rFonts w:ascii="Times New Roman" w:eastAsia="Times New Roman" w:hAnsi="Times New Roman" w:cs="Times New Roman"/>
                <w:bCs/>
                <w:sz w:val="18"/>
                <w:szCs w:val="18"/>
                <w:lang w:val="lt-LT"/>
              </w:rPr>
              <w:t xml:space="preserve">Viešųjų pirkimų tarnybos </w:t>
            </w:r>
            <w:r w:rsidRPr="00713FCE">
              <w:rPr>
                <w:rFonts w:ascii="Times New Roman" w:eastAsia="Times New Roman" w:hAnsi="Times New Roman" w:cs="Times New Roman"/>
                <w:bCs/>
                <w:sz w:val="18"/>
                <w:szCs w:val="18"/>
              </w:rPr>
              <w:t>2025-02-18 paai</w:t>
            </w:r>
            <w:r w:rsidRPr="00713FCE">
              <w:rPr>
                <w:rFonts w:ascii="Times New Roman" w:eastAsia="Times New Roman" w:hAnsi="Times New Roman" w:cs="Times New Roman"/>
                <w:bCs/>
                <w:sz w:val="18"/>
                <w:szCs w:val="18"/>
                <w:lang w:val="lt-LT"/>
              </w:rPr>
              <w:t>škinimas</w:t>
            </w:r>
          </w:p>
        </w:tc>
      </w:tr>
    </w:tbl>
    <w:p w14:paraId="02D7F6DF" w14:textId="77777777" w:rsidR="00CC195B" w:rsidRDefault="00CC195B" w:rsidP="009F39AF">
      <w:pPr>
        <w:spacing w:line="276" w:lineRule="auto"/>
        <w:jc w:val="left"/>
        <w:rPr>
          <w:rFonts w:ascii="Times New Roman" w:hAnsi="Times New Roman" w:cs="Times New Roman"/>
          <w:b/>
          <w:bCs/>
          <w:sz w:val="18"/>
          <w:szCs w:val="18"/>
          <w:lang w:val="lt-LT"/>
        </w:rPr>
      </w:pPr>
    </w:p>
    <w:p w14:paraId="3391BD3E" w14:textId="71591DC5" w:rsidR="00B73556" w:rsidRDefault="000B515A" w:rsidP="009F39AF">
      <w:pPr>
        <w:spacing w:line="276" w:lineRule="auto"/>
        <w:jc w:val="left"/>
        <w:rPr>
          <w:rFonts w:ascii="Times New Roman" w:hAnsi="Times New Roman" w:cs="Times New Roman"/>
          <w:b/>
          <w:bCs/>
          <w:sz w:val="18"/>
          <w:szCs w:val="18"/>
          <w:lang w:val="lt-LT"/>
        </w:rPr>
      </w:pPr>
      <w:r w:rsidRPr="000B515A">
        <w:rPr>
          <w:rFonts w:ascii="Times New Roman" w:hAnsi="Times New Roman" w:cs="Times New Roman"/>
          <w:b/>
          <w:bCs/>
          <w:sz w:val="18"/>
          <w:szCs w:val="18"/>
          <w:lang w:val="lt-LT"/>
        </w:rPr>
        <w:t>Šalių atstovų parašai:</w:t>
      </w:r>
    </w:p>
    <w:p w14:paraId="51609DE4" w14:textId="77777777" w:rsidR="00B73556" w:rsidRDefault="00B73556" w:rsidP="009F39AF">
      <w:pPr>
        <w:spacing w:line="276" w:lineRule="auto"/>
        <w:jc w:val="left"/>
        <w:rPr>
          <w:rFonts w:ascii="Times New Roman" w:hAnsi="Times New Roman" w:cs="Times New Roman"/>
          <w:b/>
          <w:bCs/>
          <w:sz w:val="18"/>
          <w:szCs w:val="18"/>
          <w:lang w:val="lt-LT"/>
        </w:rPr>
      </w:pPr>
    </w:p>
    <w:p w14:paraId="60720DE8" w14:textId="7915B8D4" w:rsidR="00E474FD" w:rsidRPr="00E474FD" w:rsidRDefault="00E474FD" w:rsidP="009F39AF">
      <w:pPr>
        <w:spacing w:line="276" w:lineRule="auto"/>
        <w:jc w:val="left"/>
        <w:rPr>
          <w:rFonts w:ascii="Times New Roman" w:hAnsi="Times New Roman" w:cs="Times New Roman"/>
          <w:b/>
          <w:bCs/>
          <w:sz w:val="18"/>
          <w:szCs w:val="18"/>
          <w:lang w:val="lt-LT"/>
        </w:rPr>
      </w:pPr>
      <w:r w:rsidRPr="00E474FD">
        <w:rPr>
          <w:rFonts w:ascii="Times New Roman" w:hAnsi="Times New Roman" w:cs="Times New Roman"/>
          <w:b/>
          <w:bCs/>
          <w:sz w:val="18"/>
          <w:szCs w:val="18"/>
          <w:lang w:val="lt-LT"/>
        </w:rPr>
        <w:t>Užsakovas</w:t>
      </w:r>
    </w:p>
    <w:p w14:paraId="128C6EE0" w14:textId="77777777" w:rsidR="00E474FD" w:rsidRPr="00E474FD" w:rsidRDefault="00E474FD" w:rsidP="009F39AF">
      <w:pPr>
        <w:spacing w:line="276" w:lineRule="auto"/>
        <w:jc w:val="left"/>
        <w:rPr>
          <w:rFonts w:ascii="Times New Roman" w:hAnsi="Times New Roman" w:cs="Times New Roman"/>
          <w:b/>
          <w:bCs/>
          <w:sz w:val="18"/>
          <w:szCs w:val="18"/>
          <w:lang w:val="lt-LT"/>
        </w:rPr>
      </w:pPr>
      <w:r w:rsidRPr="00E474FD">
        <w:rPr>
          <w:rFonts w:ascii="Times New Roman" w:hAnsi="Times New Roman" w:cs="Times New Roman"/>
          <w:b/>
          <w:bCs/>
          <w:sz w:val="18"/>
          <w:szCs w:val="18"/>
          <w:lang w:val="lt-LT"/>
        </w:rPr>
        <w:t>Kauno rajono savivaldybės administracija</w:t>
      </w:r>
    </w:p>
    <w:p w14:paraId="308648F0" w14:textId="77777777" w:rsidR="00E474FD" w:rsidRPr="00E474FD" w:rsidRDefault="00E474FD" w:rsidP="009F39AF">
      <w:pPr>
        <w:spacing w:line="276" w:lineRule="auto"/>
        <w:jc w:val="left"/>
        <w:rPr>
          <w:rFonts w:ascii="Times New Roman" w:hAnsi="Times New Roman" w:cs="Times New Roman"/>
          <w:b/>
          <w:bCs/>
          <w:sz w:val="18"/>
          <w:szCs w:val="18"/>
          <w:lang w:val="lt-LT"/>
        </w:rPr>
      </w:pPr>
      <w:r w:rsidRPr="00E474FD">
        <w:rPr>
          <w:rFonts w:ascii="Times New Roman" w:hAnsi="Times New Roman" w:cs="Times New Roman"/>
          <w:b/>
          <w:bCs/>
          <w:sz w:val="18"/>
          <w:szCs w:val="18"/>
          <w:lang w:val="lt-LT"/>
        </w:rPr>
        <w:t>Užsakovo vadovas</w:t>
      </w:r>
    </w:p>
    <w:p w14:paraId="2AA8F68E" w14:textId="77777777" w:rsidR="00E474FD" w:rsidRPr="00E474FD" w:rsidRDefault="00E474FD" w:rsidP="009F39AF">
      <w:pPr>
        <w:spacing w:line="276" w:lineRule="auto"/>
        <w:jc w:val="left"/>
        <w:rPr>
          <w:rFonts w:ascii="Times New Roman" w:hAnsi="Times New Roman" w:cs="Times New Roman"/>
          <w:b/>
          <w:bCs/>
          <w:sz w:val="18"/>
          <w:szCs w:val="18"/>
          <w:lang w:val="lt-LT"/>
        </w:rPr>
      </w:pPr>
      <w:r w:rsidRPr="00E474FD">
        <w:rPr>
          <w:rFonts w:ascii="Times New Roman" w:hAnsi="Times New Roman" w:cs="Times New Roman"/>
          <w:b/>
          <w:bCs/>
          <w:sz w:val="18"/>
          <w:szCs w:val="18"/>
          <w:lang w:val="lt-LT"/>
        </w:rPr>
        <w:t xml:space="preserve">Administracijos direktoriaus pavaduotoja, </w:t>
      </w:r>
    </w:p>
    <w:p w14:paraId="2F07777C" w14:textId="77777777" w:rsidR="00E474FD" w:rsidRPr="00E474FD" w:rsidRDefault="00E474FD" w:rsidP="009F39AF">
      <w:pPr>
        <w:spacing w:line="276" w:lineRule="auto"/>
        <w:jc w:val="left"/>
        <w:rPr>
          <w:rFonts w:ascii="Times New Roman" w:hAnsi="Times New Roman" w:cs="Times New Roman"/>
          <w:b/>
          <w:bCs/>
          <w:sz w:val="18"/>
          <w:szCs w:val="18"/>
          <w:lang w:val="lt-LT"/>
        </w:rPr>
      </w:pPr>
      <w:r w:rsidRPr="00E474FD">
        <w:rPr>
          <w:rFonts w:ascii="Times New Roman" w:hAnsi="Times New Roman" w:cs="Times New Roman"/>
          <w:b/>
          <w:bCs/>
          <w:sz w:val="18"/>
          <w:szCs w:val="18"/>
          <w:lang w:val="lt-LT"/>
        </w:rPr>
        <w:t xml:space="preserve">pavaduojanti administracijos direktorių </w:t>
      </w:r>
    </w:p>
    <w:p w14:paraId="4C7F97FA" w14:textId="77777777" w:rsidR="00E474FD" w:rsidRPr="00E474FD" w:rsidRDefault="00E474FD" w:rsidP="009F39AF">
      <w:pPr>
        <w:spacing w:line="276" w:lineRule="auto"/>
        <w:jc w:val="left"/>
        <w:rPr>
          <w:rFonts w:ascii="Times New Roman" w:hAnsi="Times New Roman" w:cs="Times New Roman"/>
          <w:b/>
          <w:bCs/>
          <w:sz w:val="18"/>
          <w:szCs w:val="18"/>
          <w:lang w:val="lt-LT"/>
        </w:rPr>
      </w:pPr>
      <w:r w:rsidRPr="00E474FD">
        <w:rPr>
          <w:rFonts w:ascii="Times New Roman" w:hAnsi="Times New Roman" w:cs="Times New Roman"/>
          <w:b/>
          <w:bCs/>
          <w:sz w:val="18"/>
          <w:szCs w:val="18"/>
          <w:lang w:val="lt-LT"/>
        </w:rPr>
        <w:t>Eglė Brinkman</w:t>
      </w:r>
    </w:p>
    <w:p w14:paraId="55F63A0B" w14:textId="77777777" w:rsidR="00E474FD" w:rsidRPr="00E474FD" w:rsidRDefault="00E474FD" w:rsidP="009F39AF">
      <w:pPr>
        <w:spacing w:line="276" w:lineRule="auto"/>
        <w:jc w:val="left"/>
        <w:rPr>
          <w:rFonts w:ascii="Times New Roman" w:hAnsi="Times New Roman" w:cs="Times New Roman"/>
          <w:b/>
          <w:bCs/>
          <w:sz w:val="18"/>
          <w:szCs w:val="18"/>
          <w:lang w:val="lt-LT"/>
        </w:rPr>
      </w:pPr>
    </w:p>
    <w:p w14:paraId="621DAB3C" w14:textId="77777777" w:rsidR="00E474FD" w:rsidRPr="00E474FD" w:rsidRDefault="00E474FD" w:rsidP="009F39AF">
      <w:pPr>
        <w:spacing w:line="276" w:lineRule="auto"/>
        <w:jc w:val="left"/>
        <w:rPr>
          <w:rFonts w:ascii="Times New Roman" w:hAnsi="Times New Roman" w:cs="Times New Roman"/>
          <w:b/>
          <w:bCs/>
          <w:sz w:val="18"/>
          <w:szCs w:val="18"/>
          <w:lang w:val="lt-LT"/>
        </w:rPr>
      </w:pPr>
      <w:r w:rsidRPr="00E474FD">
        <w:rPr>
          <w:rFonts w:ascii="Times New Roman" w:hAnsi="Times New Roman" w:cs="Times New Roman"/>
          <w:b/>
          <w:bCs/>
          <w:sz w:val="18"/>
          <w:szCs w:val="18"/>
          <w:lang w:val="lt-LT"/>
        </w:rPr>
        <w:t>Rangovas</w:t>
      </w:r>
    </w:p>
    <w:p w14:paraId="273F0493" w14:textId="77777777" w:rsidR="00E474FD" w:rsidRPr="00E474FD" w:rsidRDefault="00E474FD" w:rsidP="009F39AF">
      <w:pPr>
        <w:spacing w:line="276" w:lineRule="auto"/>
        <w:jc w:val="left"/>
        <w:rPr>
          <w:rFonts w:ascii="Times New Roman" w:hAnsi="Times New Roman" w:cs="Times New Roman"/>
          <w:b/>
          <w:bCs/>
          <w:sz w:val="18"/>
          <w:szCs w:val="18"/>
          <w:lang w:val="lt-LT"/>
        </w:rPr>
      </w:pPr>
      <w:r w:rsidRPr="00E474FD">
        <w:rPr>
          <w:rFonts w:ascii="Times New Roman" w:hAnsi="Times New Roman" w:cs="Times New Roman"/>
          <w:b/>
          <w:bCs/>
          <w:sz w:val="18"/>
          <w:szCs w:val="18"/>
          <w:lang w:val="lt-LT"/>
        </w:rPr>
        <w:t>UAB „Kauno keliai“</w:t>
      </w:r>
    </w:p>
    <w:p w14:paraId="379F44D5" w14:textId="77777777" w:rsidR="00E474FD" w:rsidRPr="00E474FD" w:rsidRDefault="00E474FD" w:rsidP="009F39AF">
      <w:pPr>
        <w:spacing w:line="276" w:lineRule="auto"/>
        <w:jc w:val="left"/>
        <w:rPr>
          <w:rFonts w:ascii="Times New Roman" w:hAnsi="Times New Roman" w:cs="Times New Roman"/>
          <w:b/>
          <w:bCs/>
          <w:sz w:val="18"/>
          <w:szCs w:val="18"/>
          <w:lang w:val="lt-LT"/>
        </w:rPr>
      </w:pPr>
      <w:r w:rsidRPr="00E474FD">
        <w:rPr>
          <w:rFonts w:ascii="Times New Roman" w:hAnsi="Times New Roman" w:cs="Times New Roman"/>
          <w:b/>
          <w:bCs/>
          <w:sz w:val="18"/>
          <w:szCs w:val="18"/>
          <w:lang w:val="lt-LT"/>
        </w:rPr>
        <w:t>Rangovo vadovas</w:t>
      </w:r>
    </w:p>
    <w:p w14:paraId="74207984" w14:textId="77777777" w:rsidR="00E474FD" w:rsidRPr="00E474FD" w:rsidRDefault="00E474FD" w:rsidP="009F39AF">
      <w:pPr>
        <w:spacing w:line="276" w:lineRule="auto"/>
        <w:jc w:val="left"/>
        <w:rPr>
          <w:rFonts w:ascii="Times New Roman" w:hAnsi="Times New Roman" w:cs="Times New Roman"/>
          <w:b/>
          <w:bCs/>
          <w:sz w:val="18"/>
          <w:szCs w:val="18"/>
          <w:lang w:val="lt-LT"/>
        </w:rPr>
      </w:pPr>
      <w:r w:rsidRPr="00E474FD">
        <w:rPr>
          <w:rFonts w:ascii="Times New Roman" w:hAnsi="Times New Roman" w:cs="Times New Roman"/>
          <w:b/>
          <w:bCs/>
          <w:sz w:val="18"/>
          <w:szCs w:val="18"/>
          <w:lang w:val="lt-LT"/>
        </w:rPr>
        <w:t>Generalinis direktorius Ramūnas Šilinis</w:t>
      </w:r>
    </w:p>
    <w:p w14:paraId="6D36EF42" w14:textId="11896EF3" w:rsidR="00AC0305" w:rsidRPr="004B465E" w:rsidRDefault="00AC0305" w:rsidP="00E474FD">
      <w:pPr>
        <w:spacing w:after="160" w:line="259" w:lineRule="auto"/>
        <w:jc w:val="left"/>
        <w:rPr>
          <w:rFonts w:ascii="Times New Roman" w:eastAsia="Times New Roman" w:hAnsi="Times New Roman" w:cs="Times New Roman"/>
          <w:b/>
          <w:bCs/>
          <w:sz w:val="18"/>
          <w:szCs w:val="18"/>
          <w:lang w:val="lt-LT"/>
        </w:rPr>
      </w:pPr>
    </w:p>
    <w:sectPr w:rsidR="00AC0305" w:rsidRPr="004B465E" w:rsidSect="00C53AEE">
      <w:headerReference w:type="default" r:id="rId9"/>
      <w:footerReference w:type="default" r:id="rId10"/>
      <w:footerReference w:type="first" r:id="rId11"/>
      <w:pgSz w:w="11906" w:h="16838"/>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A072" w14:textId="77777777" w:rsidR="005E4DE6" w:rsidRDefault="005E4DE6" w:rsidP="009A684C">
      <w:r>
        <w:separator/>
      </w:r>
    </w:p>
    <w:p w14:paraId="15722236" w14:textId="77777777" w:rsidR="005E4DE6" w:rsidRDefault="005E4DE6"/>
  </w:endnote>
  <w:endnote w:type="continuationSeparator" w:id="0">
    <w:p w14:paraId="03BB2A40" w14:textId="77777777" w:rsidR="005E4DE6" w:rsidRDefault="005E4DE6" w:rsidP="009A684C">
      <w:r>
        <w:continuationSeparator/>
      </w:r>
    </w:p>
    <w:p w14:paraId="3E50932C" w14:textId="77777777" w:rsidR="005E4DE6" w:rsidRDefault="005E4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53AEE" w:rsidRDefault="00BC48CE" w:rsidP="00B76693">
        <w:pPr>
          <w:pStyle w:val="Porat"/>
          <w:jc w:val="center"/>
          <w:rPr>
            <w:sz w:val="18"/>
            <w:szCs w:val="18"/>
          </w:rPr>
        </w:pPr>
        <w:r w:rsidRPr="00C53AEE">
          <w:rPr>
            <w:sz w:val="18"/>
            <w:szCs w:val="18"/>
          </w:rPr>
          <w:fldChar w:fldCharType="begin"/>
        </w:r>
        <w:r w:rsidRPr="00C53AEE">
          <w:rPr>
            <w:sz w:val="18"/>
            <w:szCs w:val="18"/>
          </w:rPr>
          <w:instrText>PAGE   \* MERGEFORMAT</w:instrText>
        </w:r>
        <w:r w:rsidRPr="00C53AEE">
          <w:rPr>
            <w:sz w:val="18"/>
            <w:szCs w:val="18"/>
          </w:rPr>
          <w:fldChar w:fldCharType="separate"/>
        </w:r>
        <w:r w:rsidRPr="00C53AEE">
          <w:rPr>
            <w:sz w:val="18"/>
            <w:szCs w:val="18"/>
          </w:rPr>
          <w:t>2</w:t>
        </w:r>
        <w:r w:rsidRPr="00C53AEE">
          <w:rPr>
            <w:sz w:val="18"/>
            <w:szCs w:val="18"/>
          </w:rPr>
          <w:fldChar w:fldCharType="end"/>
        </w:r>
        <w:r w:rsidRPr="00C53AEE">
          <w:rPr>
            <w:sz w:val="18"/>
            <w:szCs w:val="18"/>
          </w:rPr>
          <w:t xml:space="preserve"> / </w:t>
        </w:r>
        <w:r w:rsidR="00F9316D" w:rsidRPr="00C53AEE">
          <w:rPr>
            <w:sz w:val="18"/>
            <w:szCs w:val="18"/>
          </w:rPr>
          <w:fldChar w:fldCharType="begin"/>
        </w:r>
        <w:r w:rsidR="00F9316D" w:rsidRPr="00C53AEE">
          <w:rPr>
            <w:sz w:val="18"/>
            <w:szCs w:val="18"/>
          </w:rPr>
          <w:instrText xml:space="preserve"> NUMPAGES  \* Arabic  \* MERGEFORMAT </w:instrText>
        </w:r>
        <w:r w:rsidR="00F9316D" w:rsidRPr="00C53AEE">
          <w:rPr>
            <w:sz w:val="18"/>
            <w:szCs w:val="18"/>
          </w:rPr>
          <w:fldChar w:fldCharType="separate"/>
        </w:r>
        <w:r w:rsidRPr="00C53AEE">
          <w:rPr>
            <w:sz w:val="18"/>
            <w:szCs w:val="18"/>
          </w:rPr>
          <w:t>8</w:t>
        </w:r>
        <w:r w:rsidR="00F9316D" w:rsidRPr="00C53AEE">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BA5D" w14:textId="77777777" w:rsidR="005E4DE6" w:rsidRDefault="005E4DE6" w:rsidP="009A684C">
      <w:r>
        <w:separator/>
      </w:r>
    </w:p>
    <w:p w14:paraId="078C4034" w14:textId="77777777" w:rsidR="005E4DE6" w:rsidRDefault="005E4DE6"/>
  </w:footnote>
  <w:footnote w:type="continuationSeparator" w:id="0">
    <w:p w14:paraId="36623984" w14:textId="77777777" w:rsidR="005E4DE6" w:rsidRDefault="005E4DE6" w:rsidP="009A684C">
      <w:r>
        <w:continuationSeparator/>
      </w:r>
    </w:p>
    <w:p w14:paraId="71455B83" w14:textId="77777777" w:rsidR="005E4DE6" w:rsidRDefault="005E4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992E" w14:textId="294F7DB3" w:rsidR="00BC48CE" w:rsidRDefault="00BC48CE">
    <w:pPr>
      <w:rPr>
        <w:sz w:val="18"/>
        <w:szCs w:val="18"/>
      </w:rPr>
    </w:pPr>
  </w:p>
  <w:p w14:paraId="69960DFF" w14:textId="77777777" w:rsidR="00CD3C9A" w:rsidRPr="00CD3C9A" w:rsidRDefault="00CD3C9A">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7074CB3"/>
    <w:multiLevelType w:val="multilevel"/>
    <w:tmpl w:val="A4A60EC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7669B8"/>
    <w:multiLevelType w:val="hybridMultilevel"/>
    <w:tmpl w:val="DD605BD6"/>
    <w:lvl w:ilvl="0" w:tplc="E3C24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CB75F4"/>
    <w:multiLevelType w:val="hybridMultilevel"/>
    <w:tmpl w:val="DD605BD6"/>
    <w:lvl w:ilvl="0" w:tplc="E3C24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E95531"/>
    <w:multiLevelType w:val="hybridMultilevel"/>
    <w:tmpl w:val="0D921E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1C6EDF"/>
    <w:multiLevelType w:val="multilevel"/>
    <w:tmpl w:val="9CAE3E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912"/>
        </w:tabs>
        <w:ind w:left="2912" w:hanging="360"/>
      </w:pPr>
      <w:rPr>
        <w:rFonts w:ascii="Arial" w:hAnsi="Arial" w:cs="Arial" w:hint="default"/>
        <w:b w:val="0"/>
        <w:sz w:val="20"/>
        <w:szCs w:val="20"/>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5255D4F"/>
    <w:multiLevelType w:val="hybridMultilevel"/>
    <w:tmpl w:val="FBD0DCD2"/>
    <w:lvl w:ilvl="0" w:tplc="04090011">
      <w:start w:val="1"/>
      <w:numFmt w:val="decimal"/>
      <w:lvlText w:val="%1)"/>
      <w:lvlJc w:val="left"/>
      <w:pPr>
        <w:ind w:left="360" w:hanging="360"/>
      </w:pPr>
    </w:lvl>
    <w:lvl w:ilvl="1" w:tplc="E948155E">
      <w:start w:val="1"/>
      <w:numFmt w:val="lowerLetter"/>
      <w:lvlText w:val="(%2)"/>
      <w:lvlJc w:val="left"/>
      <w:pPr>
        <w:ind w:left="1083" w:hanging="363"/>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7303193">
    <w:abstractNumId w:val="3"/>
  </w:num>
  <w:num w:numId="2" w16cid:durableId="1120808137">
    <w:abstractNumId w:val="5"/>
  </w:num>
  <w:num w:numId="3" w16cid:durableId="657269416">
    <w:abstractNumId w:val="1"/>
  </w:num>
  <w:num w:numId="4" w16cid:durableId="293758405">
    <w:abstractNumId w:val="8"/>
  </w:num>
  <w:num w:numId="5" w16cid:durableId="1600213573">
    <w:abstractNumId w:val="0"/>
  </w:num>
  <w:num w:numId="6" w16cid:durableId="1572305118">
    <w:abstractNumId w:val="7"/>
  </w:num>
  <w:num w:numId="7" w16cid:durableId="795559707">
    <w:abstractNumId w:val="4"/>
  </w:num>
  <w:num w:numId="8" w16cid:durableId="840045288">
    <w:abstractNumId w:val="2"/>
  </w:num>
  <w:num w:numId="9" w16cid:durableId="2083483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003AD"/>
    <w:rsid w:val="00021240"/>
    <w:rsid w:val="00030CC4"/>
    <w:rsid w:val="00045E38"/>
    <w:rsid w:val="00051B89"/>
    <w:rsid w:val="00060916"/>
    <w:rsid w:val="00061B9E"/>
    <w:rsid w:val="00064ABB"/>
    <w:rsid w:val="0006630E"/>
    <w:rsid w:val="00067709"/>
    <w:rsid w:val="00071333"/>
    <w:rsid w:val="00091AFE"/>
    <w:rsid w:val="00094C50"/>
    <w:rsid w:val="000A41AC"/>
    <w:rsid w:val="000A71C4"/>
    <w:rsid w:val="000B0B2F"/>
    <w:rsid w:val="000B0D88"/>
    <w:rsid w:val="000B296F"/>
    <w:rsid w:val="000B515A"/>
    <w:rsid w:val="000B53FE"/>
    <w:rsid w:val="000B63F6"/>
    <w:rsid w:val="000B7891"/>
    <w:rsid w:val="000C6066"/>
    <w:rsid w:val="000C72A5"/>
    <w:rsid w:val="000D12EA"/>
    <w:rsid w:val="000E5DFA"/>
    <w:rsid w:val="000F57DD"/>
    <w:rsid w:val="00104B99"/>
    <w:rsid w:val="001228AF"/>
    <w:rsid w:val="001325E3"/>
    <w:rsid w:val="00153237"/>
    <w:rsid w:val="00177329"/>
    <w:rsid w:val="00195D54"/>
    <w:rsid w:val="00197A98"/>
    <w:rsid w:val="001A3045"/>
    <w:rsid w:val="001A604B"/>
    <w:rsid w:val="001A6239"/>
    <w:rsid w:val="001A701A"/>
    <w:rsid w:val="001B49E6"/>
    <w:rsid w:val="001C0A62"/>
    <w:rsid w:val="001C5653"/>
    <w:rsid w:val="001C6C87"/>
    <w:rsid w:val="001D4EB7"/>
    <w:rsid w:val="001E4419"/>
    <w:rsid w:val="001E6767"/>
    <w:rsid w:val="001E7E50"/>
    <w:rsid w:val="001F35D8"/>
    <w:rsid w:val="00200624"/>
    <w:rsid w:val="00200A50"/>
    <w:rsid w:val="00202DEE"/>
    <w:rsid w:val="00207954"/>
    <w:rsid w:val="00217EC3"/>
    <w:rsid w:val="00257032"/>
    <w:rsid w:val="00257766"/>
    <w:rsid w:val="002614A6"/>
    <w:rsid w:val="00266F76"/>
    <w:rsid w:val="00267F5A"/>
    <w:rsid w:val="002756CB"/>
    <w:rsid w:val="00284B52"/>
    <w:rsid w:val="0028760D"/>
    <w:rsid w:val="00287BD5"/>
    <w:rsid w:val="00292FC4"/>
    <w:rsid w:val="00294F11"/>
    <w:rsid w:val="002A1B3B"/>
    <w:rsid w:val="002A3490"/>
    <w:rsid w:val="002A39C7"/>
    <w:rsid w:val="002B0C6E"/>
    <w:rsid w:val="002B1990"/>
    <w:rsid w:val="002E74E9"/>
    <w:rsid w:val="002F352B"/>
    <w:rsid w:val="002F4D45"/>
    <w:rsid w:val="00301A20"/>
    <w:rsid w:val="00303373"/>
    <w:rsid w:val="003232C7"/>
    <w:rsid w:val="00325067"/>
    <w:rsid w:val="00325E42"/>
    <w:rsid w:val="0032669D"/>
    <w:rsid w:val="00334451"/>
    <w:rsid w:val="00342DC8"/>
    <w:rsid w:val="0034552C"/>
    <w:rsid w:val="00346ADD"/>
    <w:rsid w:val="003551D0"/>
    <w:rsid w:val="00363358"/>
    <w:rsid w:val="00364C7C"/>
    <w:rsid w:val="0036732F"/>
    <w:rsid w:val="003815A7"/>
    <w:rsid w:val="00383C9A"/>
    <w:rsid w:val="00390978"/>
    <w:rsid w:val="00392734"/>
    <w:rsid w:val="00394DDF"/>
    <w:rsid w:val="00395CFE"/>
    <w:rsid w:val="003A6E01"/>
    <w:rsid w:val="003B5197"/>
    <w:rsid w:val="003B618A"/>
    <w:rsid w:val="003C1301"/>
    <w:rsid w:val="003C4297"/>
    <w:rsid w:val="003C640A"/>
    <w:rsid w:val="003C7A37"/>
    <w:rsid w:val="003C7FDB"/>
    <w:rsid w:val="003D02CA"/>
    <w:rsid w:val="003D09B9"/>
    <w:rsid w:val="003D3AA3"/>
    <w:rsid w:val="003E6E69"/>
    <w:rsid w:val="003F2335"/>
    <w:rsid w:val="003F2974"/>
    <w:rsid w:val="003F5416"/>
    <w:rsid w:val="004035EE"/>
    <w:rsid w:val="00403FAF"/>
    <w:rsid w:val="0041091A"/>
    <w:rsid w:val="00431B33"/>
    <w:rsid w:val="004441AC"/>
    <w:rsid w:val="00457023"/>
    <w:rsid w:val="004817A7"/>
    <w:rsid w:val="004A48DF"/>
    <w:rsid w:val="004B3A58"/>
    <w:rsid w:val="004B465E"/>
    <w:rsid w:val="004B7123"/>
    <w:rsid w:val="004C662D"/>
    <w:rsid w:val="004D770E"/>
    <w:rsid w:val="004E5F23"/>
    <w:rsid w:val="004E6162"/>
    <w:rsid w:val="004E6E25"/>
    <w:rsid w:val="004F2083"/>
    <w:rsid w:val="00507D89"/>
    <w:rsid w:val="00510072"/>
    <w:rsid w:val="00525EDD"/>
    <w:rsid w:val="00531098"/>
    <w:rsid w:val="00533AED"/>
    <w:rsid w:val="00534DA7"/>
    <w:rsid w:val="005516D8"/>
    <w:rsid w:val="00556636"/>
    <w:rsid w:val="00560699"/>
    <w:rsid w:val="00560FC5"/>
    <w:rsid w:val="005654F9"/>
    <w:rsid w:val="005663A9"/>
    <w:rsid w:val="00582B24"/>
    <w:rsid w:val="005A2B14"/>
    <w:rsid w:val="005A37BE"/>
    <w:rsid w:val="005A6611"/>
    <w:rsid w:val="005B4055"/>
    <w:rsid w:val="005B7478"/>
    <w:rsid w:val="005B798A"/>
    <w:rsid w:val="005C6113"/>
    <w:rsid w:val="005E4DE6"/>
    <w:rsid w:val="005F352B"/>
    <w:rsid w:val="00610231"/>
    <w:rsid w:val="00614018"/>
    <w:rsid w:val="006369A1"/>
    <w:rsid w:val="006379CC"/>
    <w:rsid w:val="00642CB1"/>
    <w:rsid w:val="0064695F"/>
    <w:rsid w:val="00652B0D"/>
    <w:rsid w:val="00654F12"/>
    <w:rsid w:val="00675C03"/>
    <w:rsid w:val="006964B6"/>
    <w:rsid w:val="006C0321"/>
    <w:rsid w:val="006D005B"/>
    <w:rsid w:val="006D0CD4"/>
    <w:rsid w:val="006D15C2"/>
    <w:rsid w:val="006E26D4"/>
    <w:rsid w:val="006E28F3"/>
    <w:rsid w:val="006E41F5"/>
    <w:rsid w:val="006E486E"/>
    <w:rsid w:val="006E49FB"/>
    <w:rsid w:val="006E5982"/>
    <w:rsid w:val="006F22F4"/>
    <w:rsid w:val="00704A1B"/>
    <w:rsid w:val="00707B5F"/>
    <w:rsid w:val="00707E36"/>
    <w:rsid w:val="00713FCE"/>
    <w:rsid w:val="007141B5"/>
    <w:rsid w:val="00734746"/>
    <w:rsid w:val="00734FAA"/>
    <w:rsid w:val="00746E28"/>
    <w:rsid w:val="00747A2A"/>
    <w:rsid w:val="00750084"/>
    <w:rsid w:val="00753991"/>
    <w:rsid w:val="007663F4"/>
    <w:rsid w:val="007743F4"/>
    <w:rsid w:val="0078288A"/>
    <w:rsid w:val="007828BE"/>
    <w:rsid w:val="00786976"/>
    <w:rsid w:val="0079312D"/>
    <w:rsid w:val="007964AE"/>
    <w:rsid w:val="007A4348"/>
    <w:rsid w:val="007A50ED"/>
    <w:rsid w:val="007A5905"/>
    <w:rsid w:val="007A6A93"/>
    <w:rsid w:val="007B19A8"/>
    <w:rsid w:val="007B5F2E"/>
    <w:rsid w:val="007C0896"/>
    <w:rsid w:val="007C24AE"/>
    <w:rsid w:val="007C2FF0"/>
    <w:rsid w:val="007C715C"/>
    <w:rsid w:val="007D0392"/>
    <w:rsid w:val="0081775A"/>
    <w:rsid w:val="00820B42"/>
    <w:rsid w:val="0083224C"/>
    <w:rsid w:val="008561D5"/>
    <w:rsid w:val="0086061C"/>
    <w:rsid w:val="00861F98"/>
    <w:rsid w:val="00865D6D"/>
    <w:rsid w:val="00875094"/>
    <w:rsid w:val="00897AE5"/>
    <w:rsid w:val="008A5230"/>
    <w:rsid w:val="008B66CE"/>
    <w:rsid w:val="008B6819"/>
    <w:rsid w:val="008C100B"/>
    <w:rsid w:val="008C4789"/>
    <w:rsid w:val="008C77CC"/>
    <w:rsid w:val="008F0A61"/>
    <w:rsid w:val="008F5165"/>
    <w:rsid w:val="00901284"/>
    <w:rsid w:val="00924C69"/>
    <w:rsid w:val="00926138"/>
    <w:rsid w:val="009272C1"/>
    <w:rsid w:val="00930E7C"/>
    <w:rsid w:val="00931C6B"/>
    <w:rsid w:val="009357A9"/>
    <w:rsid w:val="009437BB"/>
    <w:rsid w:val="0094516F"/>
    <w:rsid w:val="0095151F"/>
    <w:rsid w:val="009666C8"/>
    <w:rsid w:val="009766A1"/>
    <w:rsid w:val="00982449"/>
    <w:rsid w:val="00990BE6"/>
    <w:rsid w:val="00996084"/>
    <w:rsid w:val="009A028E"/>
    <w:rsid w:val="009A1A17"/>
    <w:rsid w:val="009A4148"/>
    <w:rsid w:val="009A684C"/>
    <w:rsid w:val="009A7189"/>
    <w:rsid w:val="009A7C55"/>
    <w:rsid w:val="009D4A67"/>
    <w:rsid w:val="009E0CF6"/>
    <w:rsid w:val="009F1A60"/>
    <w:rsid w:val="009F39AF"/>
    <w:rsid w:val="00A03BE8"/>
    <w:rsid w:val="00A06480"/>
    <w:rsid w:val="00A240DB"/>
    <w:rsid w:val="00A330D7"/>
    <w:rsid w:val="00A358BA"/>
    <w:rsid w:val="00A54766"/>
    <w:rsid w:val="00A5647A"/>
    <w:rsid w:val="00A578EE"/>
    <w:rsid w:val="00A92153"/>
    <w:rsid w:val="00A92362"/>
    <w:rsid w:val="00A97A8E"/>
    <w:rsid w:val="00AA2F25"/>
    <w:rsid w:val="00AC0305"/>
    <w:rsid w:val="00AD652C"/>
    <w:rsid w:val="00AD7281"/>
    <w:rsid w:val="00AE39C8"/>
    <w:rsid w:val="00AE6758"/>
    <w:rsid w:val="00AF0C7A"/>
    <w:rsid w:val="00AF19E7"/>
    <w:rsid w:val="00AF1D57"/>
    <w:rsid w:val="00AF5132"/>
    <w:rsid w:val="00B0663D"/>
    <w:rsid w:val="00B16F3A"/>
    <w:rsid w:val="00B244F4"/>
    <w:rsid w:val="00B363B4"/>
    <w:rsid w:val="00B37C13"/>
    <w:rsid w:val="00B41FF6"/>
    <w:rsid w:val="00B47024"/>
    <w:rsid w:val="00B54A3E"/>
    <w:rsid w:val="00B62CA7"/>
    <w:rsid w:val="00B6717B"/>
    <w:rsid w:val="00B73556"/>
    <w:rsid w:val="00B74274"/>
    <w:rsid w:val="00B76693"/>
    <w:rsid w:val="00B90065"/>
    <w:rsid w:val="00BA3BEC"/>
    <w:rsid w:val="00BA5EF4"/>
    <w:rsid w:val="00BA6708"/>
    <w:rsid w:val="00BA74B1"/>
    <w:rsid w:val="00BB101D"/>
    <w:rsid w:val="00BB21DE"/>
    <w:rsid w:val="00BB26B9"/>
    <w:rsid w:val="00BB38EE"/>
    <w:rsid w:val="00BC48CE"/>
    <w:rsid w:val="00BC6689"/>
    <w:rsid w:val="00BD1513"/>
    <w:rsid w:val="00BD7E0A"/>
    <w:rsid w:val="00C010CF"/>
    <w:rsid w:val="00C11C44"/>
    <w:rsid w:val="00C172CE"/>
    <w:rsid w:val="00C21E35"/>
    <w:rsid w:val="00C23FD3"/>
    <w:rsid w:val="00C251B3"/>
    <w:rsid w:val="00C262CC"/>
    <w:rsid w:val="00C26509"/>
    <w:rsid w:val="00C36B78"/>
    <w:rsid w:val="00C4000B"/>
    <w:rsid w:val="00C42B1E"/>
    <w:rsid w:val="00C4688B"/>
    <w:rsid w:val="00C53AEE"/>
    <w:rsid w:val="00C54AD2"/>
    <w:rsid w:val="00C56AA1"/>
    <w:rsid w:val="00C60AA4"/>
    <w:rsid w:val="00C61BD7"/>
    <w:rsid w:val="00C73EDB"/>
    <w:rsid w:val="00C76422"/>
    <w:rsid w:val="00C82526"/>
    <w:rsid w:val="00C82C99"/>
    <w:rsid w:val="00C86142"/>
    <w:rsid w:val="00C919DD"/>
    <w:rsid w:val="00C94A37"/>
    <w:rsid w:val="00CA1263"/>
    <w:rsid w:val="00CB3055"/>
    <w:rsid w:val="00CB42CD"/>
    <w:rsid w:val="00CC195B"/>
    <w:rsid w:val="00CC3FFA"/>
    <w:rsid w:val="00CD2517"/>
    <w:rsid w:val="00CD3C9A"/>
    <w:rsid w:val="00CF39F8"/>
    <w:rsid w:val="00D01D70"/>
    <w:rsid w:val="00D04AFC"/>
    <w:rsid w:val="00D13760"/>
    <w:rsid w:val="00D318CB"/>
    <w:rsid w:val="00D35AAD"/>
    <w:rsid w:val="00D4535F"/>
    <w:rsid w:val="00D613BF"/>
    <w:rsid w:val="00D82ED4"/>
    <w:rsid w:val="00D837DE"/>
    <w:rsid w:val="00D87518"/>
    <w:rsid w:val="00D90C59"/>
    <w:rsid w:val="00D920CF"/>
    <w:rsid w:val="00DC30F0"/>
    <w:rsid w:val="00DD3044"/>
    <w:rsid w:val="00DD35F9"/>
    <w:rsid w:val="00DD4379"/>
    <w:rsid w:val="00DD5227"/>
    <w:rsid w:val="00E0073C"/>
    <w:rsid w:val="00E05D79"/>
    <w:rsid w:val="00E06A6C"/>
    <w:rsid w:val="00E112B9"/>
    <w:rsid w:val="00E153E1"/>
    <w:rsid w:val="00E17C34"/>
    <w:rsid w:val="00E26252"/>
    <w:rsid w:val="00E474FD"/>
    <w:rsid w:val="00E53BC7"/>
    <w:rsid w:val="00E57D33"/>
    <w:rsid w:val="00E631AA"/>
    <w:rsid w:val="00E67C66"/>
    <w:rsid w:val="00E7782D"/>
    <w:rsid w:val="00E849D9"/>
    <w:rsid w:val="00EC089D"/>
    <w:rsid w:val="00ED107B"/>
    <w:rsid w:val="00EE0D6A"/>
    <w:rsid w:val="00EF0581"/>
    <w:rsid w:val="00EF6E48"/>
    <w:rsid w:val="00F02C1D"/>
    <w:rsid w:val="00F031BD"/>
    <w:rsid w:val="00F236C5"/>
    <w:rsid w:val="00F261C3"/>
    <w:rsid w:val="00F32236"/>
    <w:rsid w:val="00F41EF7"/>
    <w:rsid w:val="00F612E9"/>
    <w:rsid w:val="00F61724"/>
    <w:rsid w:val="00F64EF4"/>
    <w:rsid w:val="00F67492"/>
    <w:rsid w:val="00F741CE"/>
    <w:rsid w:val="00F77091"/>
    <w:rsid w:val="00F84D62"/>
    <w:rsid w:val="00F86A1B"/>
    <w:rsid w:val="00F879A6"/>
    <w:rsid w:val="00F879C9"/>
    <w:rsid w:val="00F9316D"/>
    <w:rsid w:val="00FB71E1"/>
    <w:rsid w:val="00FC184E"/>
    <w:rsid w:val="00FD45ED"/>
    <w:rsid w:val="00FD5AA1"/>
    <w:rsid w:val="00FE4819"/>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paragraph" w:styleId="Antrat1">
    <w:name w:val="heading 1"/>
    <w:basedOn w:val="prastasis"/>
    <w:next w:val="prastasis"/>
    <w:link w:val="Antrat1Diagrama"/>
    <w:qFormat/>
    <w:rsid w:val="007A5905"/>
    <w:pPr>
      <w:keepNext/>
      <w:spacing w:before="240" w:after="60"/>
      <w:jc w:val="left"/>
      <w:outlineLvl w:val="0"/>
    </w:pPr>
    <w:rPr>
      <w:rFonts w:eastAsia="SimSun"/>
      <w:b/>
      <w:bCs/>
      <w:kern w:val="28"/>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3D02CA"/>
    <w:pPr>
      <w:ind w:left="720"/>
      <w:contextualSpacing/>
    </w:pPr>
  </w:style>
  <w:style w:type="character" w:customStyle="1" w:styleId="Antrat1Diagrama">
    <w:name w:val="Antraštė 1 Diagrama"/>
    <w:basedOn w:val="Numatytasispastraiposriftas"/>
    <w:link w:val="Antrat1"/>
    <w:rsid w:val="007A5905"/>
    <w:rPr>
      <w:rFonts w:eastAsia="SimSun"/>
      <w:b/>
      <w:bCs/>
      <w:kern w:val="28"/>
      <w:sz w:val="28"/>
      <w:szCs w:val="28"/>
    </w:rPr>
  </w:style>
  <w:style w:type="character" w:styleId="Vietosrezervavimoenklotekstas">
    <w:name w:val="Placeholder Text"/>
    <w:basedOn w:val="Numatytasispastraiposriftas"/>
    <w:uiPriority w:val="99"/>
    <w:semiHidden/>
    <w:rsid w:val="005B4055"/>
    <w:rPr>
      <w:color w:val="808080"/>
    </w:rPr>
  </w:style>
  <w:style w:type="paragraph" w:customStyle="1" w:styleId="Body2">
    <w:name w:val="Body 2"/>
    <w:rsid w:val="00FC184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szCs w:val="22"/>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5467">
      <w:bodyDiv w:val="1"/>
      <w:marLeft w:val="0"/>
      <w:marRight w:val="0"/>
      <w:marTop w:val="0"/>
      <w:marBottom w:val="0"/>
      <w:divBdr>
        <w:top w:val="none" w:sz="0" w:space="0" w:color="auto"/>
        <w:left w:val="none" w:sz="0" w:space="0" w:color="auto"/>
        <w:bottom w:val="none" w:sz="0" w:space="0" w:color="auto"/>
        <w:right w:val="none" w:sz="0" w:space="0" w:color="auto"/>
      </w:divBdr>
    </w:div>
    <w:div w:id="110252555">
      <w:bodyDiv w:val="1"/>
      <w:marLeft w:val="0"/>
      <w:marRight w:val="0"/>
      <w:marTop w:val="0"/>
      <w:marBottom w:val="0"/>
      <w:divBdr>
        <w:top w:val="none" w:sz="0" w:space="0" w:color="auto"/>
        <w:left w:val="none" w:sz="0" w:space="0" w:color="auto"/>
        <w:bottom w:val="none" w:sz="0" w:space="0" w:color="auto"/>
        <w:right w:val="none" w:sz="0" w:space="0" w:color="auto"/>
      </w:divBdr>
    </w:div>
    <w:div w:id="222759008">
      <w:bodyDiv w:val="1"/>
      <w:marLeft w:val="0"/>
      <w:marRight w:val="0"/>
      <w:marTop w:val="0"/>
      <w:marBottom w:val="0"/>
      <w:divBdr>
        <w:top w:val="none" w:sz="0" w:space="0" w:color="auto"/>
        <w:left w:val="none" w:sz="0" w:space="0" w:color="auto"/>
        <w:bottom w:val="none" w:sz="0" w:space="0" w:color="auto"/>
        <w:right w:val="none" w:sz="0" w:space="0" w:color="auto"/>
      </w:divBdr>
    </w:div>
    <w:div w:id="488139415">
      <w:bodyDiv w:val="1"/>
      <w:marLeft w:val="0"/>
      <w:marRight w:val="0"/>
      <w:marTop w:val="0"/>
      <w:marBottom w:val="0"/>
      <w:divBdr>
        <w:top w:val="none" w:sz="0" w:space="0" w:color="auto"/>
        <w:left w:val="none" w:sz="0" w:space="0" w:color="auto"/>
        <w:bottom w:val="none" w:sz="0" w:space="0" w:color="auto"/>
        <w:right w:val="none" w:sz="0" w:space="0" w:color="auto"/>
      </w:divBdr>
    </w:div>
    <w:div w:id="637884396">
      <w:bodyDiv w:val="1"/>
      <w:marLeft w:val="0"/>
      <w:marRight w:val="0"/>
      <w:marTop w:val="0"/>
      <w:marBottom w:val="0"/>
      <w:divBdr>
        <w:top w:val="none" w:sz="0" w:space="0" w:color="auto"/>
        <w:left w:val="none" w:sz="0" w:space="0" w:color="auto"/>
        <w:bottom w:val="none" w:sz="0" w:space="0" w:color="auto"/>
        <w:right w:val="none" w:sz="0" w:space="0" w:color="auto"/>
      </w:divBdr>
    </w:div>
    <w:div w:id="658340221">
      <w:bodyDiv w:val="1"/>
      <w:marLeft w:val="0"/>
      <w:marRight w:val="0"/>
      <w:marTop w:val="0"/>
      <w:marBottom w:val="0"/>
      <w:divBdr>
        <w:top w:val="none" w:sz="0" w:space="0" w:color="auto"/>
        <w:left w:val="none" w:sz="0" w:space="0" w:color="auto"/>
        <w:bottom w:val="none" w:sz="0" w:space="0" w:color="auto"/>
        <w:right w:val="none" w:sz="0" w:space="0" w:color="auto"/>
      </w:divBdr>
    </w:div>
    <w:div w:id="660961026">
      <w:bodyDiv w:val="1"/>
      <w:marLeft w:val="0"/>
      <w:marRight w:val="0"/>
      <w:marTop w:val="0"/>
      <w:marBottom w:val="0"/>
      <w:divBdr>
        <w:top w:val="none" w:sz="0" w:space="0" w:color="auto"/>
        <w:left w:val="none" w:sz="0" w:space="0" w:color="auto"/>
        <w:bottom w:val="none" w:sz="0" w:space="0" w:color="auto"/>
        <w:right w:val="none" w:sz="0" w:space="0" w:color="auto"/>
      </w:divBdr>
    </w:div>
    <w:div w:id="713044942">
      <w:bodyDiv w:val="1"/>
      <w:marLeft w:val="0"/>
      <w:marRight w:val="0"/>
      <w:marTop w:val="0"/>
      <w:marBottom w:val="0"/>
      <w:divBdr>
        <w:top w:val="none" w:sz="0" w:space="0" w:color="auto"/>
        <w:left w:val="none" w:sz="0" w:space="0" w:color="auto"/>
        <w:bottom w:val="none" w:sz="0" w:space="0" w:color="auto"/>
        <w:right w:val="none" w:sz="0" w:space="0" w:color="auto"/>
      </w:divBdr>
    </w:div>
    <w:div w:id="791873008">
      <w:bodyDiv w:val="1"/>
      <w:marLeft w:val="0"/>
      <w:marRight w:val="0"/>
      <w:marTop w:val="0"/>
      <w:marBottom w:val="0"/>
      <w:divBdr>
        <w:top w:val="none" w:sz="0" w:space="0" w:color="auto"/>
        <w:left w:val="none" w:sz="0" w:space="0" w:color="auto"/>
        <w:bottom w:val="none" w:sz="0" w:space="0" w:color="auto"/>
        <w:right w:val="none" w:sz="0" w:space="0" w:color="auto"/>
      </w:divBdr>
    </w:div>
    <w:div w:id="870649587">
      <w:bodyDiv w:val="1"/>
      <w:marLeft w:val="0"/>
      <w:marRight w:val="0"/>
      <w:marTop w:val="0"/>
      <w:marBottom w:val="0"/>
      <w:divBdr>
        <w:top w:val="none" w:sz="0" w:space="0" w:color="auto"/>
        <w:left w:val="none" w:sz="0" w:space="0" w:color="auto"/>
        <w:bottom w:val="none" w:sz="0" w:space="0" w:color="auto"/>
        <w:right w:val="none" w:sz="0" w:space="0" w:color="auto"/>
      </w:divBdr>
    </w:div>
    <w:div w:id="1053774056">
      <w:bodyDiv w:val="1"/>
      <w:marLeft w:val="0"/>
      <w:marRight w:val="0"/>
      <w:marTop w:val="0"/>
      <w:marBottom w:val="0"/>
      <w:divBdr>
        <w:top w:val="none" w:sz="0" w:space="0" w:color="auto"/>
        <w:left w:val="none" w:sz="0" w:space="0" w:color="auto"/>
        <w:bottom w:val="none" w:sz="0" w:space="0" w:color="auto"/>
        <w:right w:val="none" w:sz="0" w:space="0" w:color="auto"/>
      </w:divBdr>
    </w:div>
    <w:div w:id="1348100173">
      <w:bodyDiv w:val="1"/>
      <w:marLeft w:val="0"/>
      <w:marRight w:val="0"/>
      <w:marTop w:val="0"/>
      <w:marBottom w:val="0"/>
      <w:divBdr>
        <w:top w:val="none" w:sz="0" w:space="0" w:color="auto"/>
        <w:left w:val="none" w:sz="0" w:space="0" w:color="auto"/>
        <w:bottom w:val="none" w:sz="0" w:space="0" w:color="auto"/>
        <w:right w:val="none" w:sz="0" w:space="0" w:color="auto"/>
      </w:divBdr>
    </w:div>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678270424">
      <w:bodyDiv w:val="1"/>
      <w:marLeft w:val="0"/>
      <w:marRight w:val="0"/>
      <w:marTop w:val="0"/>
      <w:marBottom w:val="0"/>
      <w:divBdr>
        <w:top w:val="none" w:sz="0" w:space="0" w:color="auto"/>
        <w:left w:val="none" w:sz="0" w:space="0" w:color="auto"/>
        <w:bottom w:val="none" w:sz="0" w:space="0" w:color="auto"/>
        <w:right w:val="none" w:sz="0" w:space="0" w:color="auto"/>
      </w:divBdr>
    </w:div>
    <w:div w:id="1700856929">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 w:id="1885869823">
      <w:bodyDiv w:val="1"/>
      <w:marLeft w:val="0"/>
      <w:marRight w:val="0"/>
      <w:marTop w:val="0"/>
      <w:marBottom w:val="0"/>
      <w:divBdr>
        <w:top w:val="none" w:sz="0" w:space="0" w:color="auto"/>
        <w:left w:val="none" w:sz="0" w:space="0" w:color="auto"/>
        <w:bottom w:val="none" w:sz="0" w:space="0" w:color="auto"/>
        <w:right w:val="none" w:sz="0" w:space="0" w:color="auto"/>
      </w:divBdr>
    </w:div>
    <w:div w:id="1902523941">
      <w:bodyDiv w:val="1"/>
      <w:marLeft w:val="0"/>
      <w:marRight w:val="0"/>
      <w:marTop w:val="0"/>
      <w:marBottom w:val="0"/>
      <w:divBdr>
        <w:top w:val="none" w:sz="0" w:space="0" w:color="auto"/>
        <w:left w:val="none" w:sz="0" w:space="0" w:color="auto"/>
        <w:bottom w:val="none" w:sz="0" w:space="0" w:color="auto"/>
        <w:right w:val="none" w:sz="0" w:space="0" w:color="auto"/>
      </w:divBdr>
    </w:div>
    <w:div w:id="1988581818">
      <w:bodyDiv w:val="1"/>
      <w:marLeft w:val="0"/>
      <w:marRight w:val="0"/>
      <w:marTop w:val="0"/>
      <w:marBottom w:val="0"/>
      <w:divBdr>
        <w:top w:val="none" w:sz="0" w:space="0" w:color="auto"/>
        <w:left w:val="none" w:sz="0" w:space="0" w:color="auto"/>
        <w:bottom w:val="none" w:sz="0" w:space="0" w:color="auto"/>
        <w:right w:val="none" w:sz="0" w:space="0" w:color="auto"/>
      </w:divBdr>
    </w:div>
    <w:div w:id="20825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 V N O ! 4 6 1 4 1 0 8 . 1 < / d o c u m e n t i d >  
     < s e n d e r i d > N V A I C I U N A I T E < / s e n d e r i d >  
     < s e n d e r e m a i l > N I J O L E . V A I C I U N A I T E @ E L L E X . L E G A L < / s e n d e r e m a i l >  
     < l a s t m o d i f i e d > 2 0 2 2 - 0 2 - 0 2 T 1 7 : 4 2 : 0 0 . 0 0 0 0 0 0 0 + 0 2 : 0 0 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536C-CF08-1B45-8601-39F966231E55}">
  <ds:schemaRefs>
    <ds:schemaRef ds:uri="http://www.imanage.com/work/xmlschema"/>
  </ds:schemaRefs>
</ds:datastoreItem>
</file>

<file path=customXml/itemProps2.xml><?xml version="1.0" encoding="utf-8"?>
<ds:datastoreItem xmlns:ds="http://schemas.openxmlformats.org/officeDocument/2006/customXml" ds:itemID="{452EE13D-3524-4C16-BA0C-F877590D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4663</Words>
  <Characters>2658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Violeta Ambrazevičienė</cp:lastModifiedBy>
  <cp:revision>2</cp:revision>
  <dcterms:created xsi:type="dcterms:W3CDTF">2025-11-19T12:29:00Z</dcterms:created>
  <dcterms:modified xsi:type="dcterms:W3CDTF">2025-11-19T12:29:00Z</dcterms:modified>
</cp:coreProperties>
</file>