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51E1C" w14:textId="77777777" w:rsidR="00D8657B" w:rsidRDefault="00D8657B" w:rsidP="00D8657B">
      <w:pPr>
        <w:jc w:val="right"/>
        <w:rPr>
          <w:rFonts w:ascii="Times New Roman" w:hAnsi="Times New Roman" w:cs="Times New Roman"/>
          <w:sz w:val="24"/>
          <w:szCs w:val="24"/>
        </w:rPr>
      </w:pPr>
      <w:r w:rsidRPr="00D8657B">
        <w:rPr>
          <w:rFonts w:ascii="Times New Roman" w:hAnsi="Times New Roman" w:cs="Times New Roman"/>
          <w:sz w:val="24"/>
          <w:szCs w:val="24"/>
        </w:rPr>
        <w:t xml:space="preserve">Teisėjų atrankos ir vertinimo modelio parengimo </w:t>
      </w:r>
    </w:p>
    <w:p w14:paraId="4998A8C1" w14:textId="2FBAC2EF" w:rsidR="00D8657B" w:rsidRPr="00D8657B" w:rsidRDefault="00D8657B" w:rsidP="00D8657B">
      <w:pPr>
        <w:jc w:val="right"/>
        <w:rPr>
          <w:rFonts w:ascii="Times New Roman" w:hAnsi="Times New Roman" w:cs="Times New Roman"/>
          <w:sz w:val="24"/>
          <w:szCs w:val="24"/>
        </w:rPr>
      </w:pPr>
      <w:r w:rsidRPr="00D8657B">
        <w:rPr>
          <w:rFonts w:ascii="Times New Roman" w:hAnsi="Times New Roman" w:cs="Times New Roman"/>
          <w:sz w:val="24"/>
          <w:szCs w:val="24"/>
        </w:rPr>
        <w:t>paslaugų teikimo sutarties 1 priedas</w:t>
      </w:r>
    </w:p>
    <w:p w14:paraId="7FD66E73" w14:textId="77777777" w:rsidR="00D8657B" w:rsidRDefault="00D8657B">
      <w:pPr>
        <w:jc w:val="center"/>
        <w:rPr>
          <w:rFonts w:ascii="Times New Roman" w:hAnsi="Times New Roman" w:cs="Times New Roman"/>
          <w:b/>
          <w:bCs/>
          <w:sz w:val="24"/>
          <w:szCs w:val="24"/>
        </w:rPr>
      </w:pPr>
    </w:p>
    <w:p w14:paraId="128C6FAA" w14:textId="008EC2DE" w:rsidR="00D75BC6" w:rsidRDefault="00C149F2">
      <w:pPr>
        <w:jc w:val="center"/>
        <w:rPr>
          <w:rFonts w:ascii="Times New Roman" w:hAnsi="Times New Roman" w:cs="Times New Roman"/>
          <w:b/>
          <w:bCs/>
          <w:sz w:val="24"/>
          <w:szCs w:val="24"/>
        </w:rPr>
      </w:pPr>
      <w:r>
        <w:rPr>
          <w:rFonts w:ascii="Times New Roman" w:hAnsi="Times New Roman" w:cs="Times New Roman"/>
          <w:b/>
          <w:bCs/>
          <w:sz w:val="24"/>
          <w:szCs w:val="24"/>
        </w:rPr>
        <w:t xml:space="preserve">TEISĖJŲ ATRANKOS IR VERTINIMO MODELIO PARENGIMO </w:t>
      </w:r>
      <w:r w:rsidR="00CF175F">
        <w:rPr>
          <w:rFonts w:ascii="Times New Roman" w:hAnsi="Times New Roman" w:cs="Times New Roman"/>
          <w:b/>
          <w:bCs/>
          <w:sz w:val="24"/>
          <w:szCs w:val="24"/>
        </w:rPr>
        <w:t>PASLAUGŲ</w:t>
      </w:r>
    </w:p>
    <w:p w14:paraId="30A4916E" w14:textId="77777777" w:rsidR="00D75BC6" w:rsidRDefault="00C149F2">
      <w:pPr>
        <w:jc w:val="center"/>
        <w:rPr>
          <w:rFonts w:ascii="Times New Roman" w:hAnsi="Times New Roman" w:cs="Times New Roman"/>
          <w:b/>
          <w:bCs/>
          <w:sz w:val="24"/>
          <w:szCs w:val="24"/>
        </w:rPr>
      </w:pPr>
      <w:r>
        <w:rPr>
          <w:rFonts w:ascii="Times New Roman" w:hAnsi="Times New Roman" w:cs="Times New Roman"/>
          <w:b/>
          <w:bCs/>
          <w:sz w:val="24"/>
          <w:szCs w:val="24"/>
        </w:rPr>
        <w:t>TECHNINĖ SPECIFIKACIJA</w:t>
      </w:r>
    </w:p>
    <w:p w14:paraId="346C01CA" w14:textId="77777777" w:rsidR="00D75BC6" w:rsidRDefault="00D75BC6">
      <w:pPr>
        <w:jc w:val="center"/>
        <w:rPr>
          <w:rFonts w:ascii="Times New Roman" w:hAnsi="Times New Roman" w:cs="Times New Roman"/>
          <w:sz w:val="24"/>
          <w:szCs w:val="24"/>
        </w:rPr>
      </w:pPr>
    </w:p>
    <w:p w14:paraId="2E8D75E4" w14:textId="12309402" w:rsidR="00D75BC6" w:rsidRPr="003F7E19" w:rsidRDefault="00C149F2" w:rsidP="00BD41D7">
      <w:pPr>
        <w:pStyle w:val="ListParagraph"/>
        <w:numPr>
          <w:ilvl w:val="0"/>
          <w:numId w:val="1"/>
        </w:numPr>
        <w:spacing w:before="240" w:after="240" w:line="240" w:lineRule="auto"/>
        <w:ind w:left="720"/>
        <w:jc w:val="center"/>
        <w:rPr>
          <w:rFonts w:ascii="Times New Roman" w:hAnsi="Times New Roman" w:cs="Times New Roman"/>
          <w:sz w:val="24"/>
          <w:szCs w:val="24"/>
        </w:rPr>
      </w:pPr>
      <w:r>
        <w:rPr>
          <w:rFonts w:ascii="Times New Roman" w:hAnsi="Times New Roman" w:cs="Times New Roman"/>
          <w:b/>
          <w:w w:val="102"/>
          <w:sz w:val="24"/>
          <w:szCs w:val="24"/>
        </w:rPr>
        <w:t>BENDROSIOS NUOSTATOS</w:t>
      </w:r>
    </w:p>
    <w:p w14:paraId="6CAAD043" w14:textId="77777777" w:rsidR="00BD41D7" w:rsidRDefault="00BD41D7" w:rsidP="003F7E19">
      <w:pPr>
        <w:pStyle w:val="ListParagraph"/>
        <w:spacing w:before="240" w:after="240" w:line="240" w:lineRule="auto"/>
        <w:rPr>
          <w:rFonts w:ascii="Times New Roman" w:hAnsi="Times New Roman" w:cs="Times New Roman"/>
          <w:sz w:val="24"/>
          <w:szCs w:val="24"/>
        </w:rPr>
      </w:pPr>
    </w:p>
    <w:p w14:paraId="03F08350" w14:textId="77777777" w:rsidR="00D75BC6" w:rsidRDefault="00C149F2">
      <w:pPr>
        <w:pStyle w:val="ListParagraph"/>
        <w:numPr>
          <w:ilvl w:val="1"/>
          <w:numId w:val="4"/>
        </w:num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Nacionalinė teismų administracija (toliau – Administracija arba Perkančioji organizacija) įgyvendina projektą „Kokybės, paslaugų ir infrastruktūros tobulinimas Lietuvos teismuose“ (toliau – Projektas), finansuojamą 2014–2021 metų Europos ekonominės erdvės finansinio mechanizmo lėšomis. </w:t>
      </w:r>
    </w:p>
    <w:p w14:paraId="3CEA36DE" w14:textId="77777777" w:rsidR="00D75BC6" w:rsidRDefault="00C149F2">
      <w:pPr>
        <w:pStyle w:val="ListParagraph"/>
        <w:numPr>
          <w:ilvl w:val="1"/>
          <w:numId w:val="4"/>
        </w:numPr>
        <w:spacing w:after="0" w:line="240" w:lineRule="auto"/>
        <w:jc w:val="both"/>
        <w:textAlignment w:val="baseline"/>
        <w:rPr>
          <w:rFonts w:ascii="Times New Roman" w:hAnsi="Times New Roman" w:cs="Times New Roman"/>
          <w:sz w:val="24"/>
          <w:szCs w:val="24"/>
        </w:rPr>
      </w:pPr>
      <w:r>
        <w:rPr>
          <w:rFonts w:ascii="Times New Roman" w:hAnsi="Times New Roman" w:cs="Times New Roman"/>
          <w:color w:val="000000"/>
          <w:sz w:val="24"/>
          <w:szCs w:val="24"/>
        </w:rPr>
        <w:t xml:space="preserve">Projektu siekiama </w:t>
      </w:r>
      <w:r>
        <w:rPr>
          <w:rFonts w:ascii="Times New Roman" w:hAnsi="Times New Roman" w:cs="Times New Roman"/>
          <w:color w:val="000000" w:themeColor="text1"/>
          <w:sz w:val="24"/>
          <w:szCs w:val="24"/>
        </w:rPr>
        <w:t>sukurti efektyvias priemones teisėjų korpuso formavimo skaidrumui ir nepriklausomumui užtikrinti, padidinti teismo proceso vedimo ir aptarnavimo kokybę, sustiprinti teismų sistemos atstovų teisines, psichologines ir vadybines kompetencijas, patobulinti teismų infrastruktūrą, prisitaikant prie proceso šalių poreikių.</w:t>
      </w:r>
    </w:p>
    <w:p w14:paraId="0047B795" w14:textId="16C459DB" w:rsidR="00D75BC6" w:rsidRDefault="00C149F2" w:rsidP="00F620CC">
      <w:pPr>
        <w:pStyle w:val="ListParagraph"/>
        <w:spacing w:after="0" w:line="240" w:lineRule="auto"/>
        <w:jc w:val="both"/>
        <w:textAlignment w:val="baseline"/>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p>
    <w:p w14:paraId="5A5A9184" w14:textId="70049BBD" w:rsidR="00D75BC6" w:rsidRDefault="00C149F2" w:rsidP="00BD41D7">
      <w:pPr>
        <w:pStyle w:val="ListParagraph"/>
        <w:numPr>
          <w:ilvl w:val="0"/>
          <w:numId w:val="1"/>
        </w:numPr>
        <w:spacing w:before="240" w:after="240" w:line="240" w:lineRule="auto"/>
        <w:ind w:left="720"/>
        <w:jc w:val="center"/>
        <w:rPr>
          <w:rFonts w:ascii="Times New Roman" w:hAnsi="Times New Roman" w:cs="Times New Roman"/>
          <w:b/>
          <w:bCs/>
          <w:sz w:val="24"/>
          <w:szCs w:val="24"/>
        </w:rPr>
      </w:pPr>
      <w:r>
        <w:rPr>
          <w:rFonts w:ascii="Times New Roman" w:hAnsi="Times New Roman" w:cs="Times New Roman"/>
          <w:b/>
          <w:bCs/>
          <w:sz w:val="24"/>
          <w:szCs w:val="24"/>
        </w:rPr>
        <w:t>ESAMA SITUACIJA</w:t>
      </w:r>
    </w:p>
    <w:p w14:paraId="7BD7962C" w14:textId="77777777" w:rsidR="00BD41D7" w:rsidRDefault="00BD41D7" w:rsidP="003F7E19">
      <w:pPr>
        <w:pStyle w:val="ListParagraph"/>
        <w:spacing w:before="240" w:after="240" w:line="240" w:lineRule="auto"/>
        <w:rPr>
          <w:rFonts w:ascii="Times New Roman" w:hAnsi="Times New Roman" w:cs="Times New Roman"/>
          <w:b/>
          <w:bCs/>
          <w:sz w:val="24"/>
          <w:szCs w:val="24"/>
        </w:rPr>
      </w:pPr>
    </w:p>
    <w:p w14:paraId="5F8D4C3F" w14:textId="77777777" w:rsidR="00D75BC6" w:rsidRDefault="00C149F2">
      <w:pPr>
        <w:pStyle w:val="ListParagraph"/>
        <w:numPr>
          <w:ilvl w:val="1"/>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Vadovaujantis 2016 m. birželio 23 d. Lietuvos Respublikos teismų reorganizavimo įstatymu Nr. XII-2474, nuo 2018 m. sausio 1 d. vietoj 49 apylinkės teismų ir 5 apygardos administracinių teismų Lietuvoje veikia 12 apylinkės teismų ir 2 apygardos administraciniai teismai bei toliau savo veiklą vykdo Lietuvos Aukščiausiasis Teismas, Lietuvos apeliacinis teismas, Lietuvos vyriausiasis administracinis teismas ir 5 apygardos teismai, iš viso 22 teismai.</w:t>
      </w:r>
    </w:p>
    <w:p w14:paraId="4AB2E633" w14:textId="77777777" w:rsidR="00D75BC6" w:rsidRDefault="00C149F2">
      <w:pPr>
        <w:pStyle w:val="ListParagraph"/>
        <w:numPr>
          <w:ilvl w:val="1"/>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Lietuvos Respublikos teismų įstatymo VII skyrius reglamentuoja </w:t>
      </w:r>
      <w:r>
        <w:rPr>
          <w:rFonts w:ascii="Times New Roman" w:eastAsia="Times New Roman" w:hAnsi="Times New Roman" w:cs="Times New Roman"/>
          <w:bCs/>
          <w:color w:val="000000"/>
          <w:sz w:val="24"/>
          <w:szCs w:val="24"/>
          <w:lang w:eastAsia="lt-LT"/>
        </w:rPr>
        <w:t>pretendentų į teisėjus atranką, teisėjų skyrimą ir teisėjų karjeros galimybes, IX skyriaus 3 skirsnis reglamentuoja teisėjų veiklos vertinimą.</w:t>
      </w:r>
    </w:p>
    <w:p w14:paraId="4C362026" w14:textId="77777777" w:rsidR="00D75BC6" w:rsidRDefault="00C149F2">
      <w:pPr>
        <w:pStyle w:val="ListParagraph"/>
        <w:numPr>
          <w:ilvl w:val="1"/>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Teisėjų atranką vykdo </w:t>
      </w:r>
      <w:r>
        <w:rPr>
          <w:rFonts w:ascii="Times New Roman" w:hAnsi="Times New Roman" w:cs="Times New Roman"/>
          <w:sz w:val="24"/>
          <w:szCs w:val="24"/>
          <w:shd w:val="clear" w:color="auto" w:fill="FFFFFF"/>
        </w:rPr>
        <w:t>pagal Teismų įstatymo 55</w:t>
      </w:r>
      <w:r>
        <w:rPr>
          <w:rFonts w:ascii="Times New Roman" w:hAnsi="Times New Roman" w:cs="Times New Roman"/>
          <w:sz w:val="24"/>
          <w:szCs w:val="24"/>
          <w:shd w:val="clear" w:color="auto" w:fill="FFFFFF"/>
          <w:vertAlign w:val="superscript"/>
        </w:rPr>
        <w:t>1</w:t>
      </w:r>
      <w:r>
        <w:rPr>
          <w:rFonts w:ascii="Times New Roman" w:hAnsi="Times New Roman" w:cs="Times New Roman"/>
          <w:sz w:val="24"/>
          <w:szCs w:val="24"/>
          <w:shd w:val="clear" w:color="auto" w:fill="FFFFFF"/>
        </w:rPr>
        <w:t xml:space="preserve"> straipsnio nuostatas sudaryta </w:t>
      </w:r>
      <w:r>
        <w:rPr>
          <w:rFonts w:ascii="Times New Roman" w:hAnsi="Times New Roman" w:cs="Times New Roman"/>
          <w:sz w:val="24"/>
          <w:szCs w:val="24"/>
        </w:rPr>
        <w:t>Pretendentų į teisėjus atrankos komisija</w:t>
      </w:r>
      <w:r>
        <w:rPr>
          <w:rFonts w:ascii="Times New Roman" w:hAnsi="Times New Roman" w:cs="Times New Roman"/>
          <w:sz w:val="24"/>
          <w:szCs w:val="24"/>
          <w:shd w:val="clear" w:color="auto" w:fill="FFFFFF"/>
        </w:rPr>
        <w:t xml:space="preserve"> (toliau – Atrankos komisija), kurios tikslas – padėti Lietuvos Respublikos Prezidentui atrinkti tinkamiausius kandidatus teismų teisėjų, pirmininkų, pirmininkų pavaduotojų, skyrių pirmininkų pareigoms užimti.</w:t>
      </w:r>
      <w:r>
        <w:rPr>
          <w:color w:val="FF0000"/>
        </w:rPr>
        <w:t xml:space="preserve"> </w:t>
      </w:r>
      <w:r>
        <w:rPr>
          <w:rFonts w:ascii="Times New Roman" w:hAnsi="Times New Roman" w:cs="Times New Roman"/>
          <w:sz w:val="24"/>
          <w:szCs w:val="24"/>
        </w:rPr>
        <w:t xml:space="preserve">Atrankos komisiją trejiems metams sudaroma iš septynių narių, iš kurių tris narius teisėjus skiria Teisėjų taryba, o keturis – visuomenės atstovus – Respublikos Prezidentas. Informacija apie Atrankos komisijos sudėtį, veiklą, išvadas skelbiama internetinėje svetainėje: </w:t>
      </w:r>
      <w:hyperlink r:id="rId8">
        <w:r>
          <w:rPr>
            <w:rStyle w:val="Internetosaitas"/>
            <w:rFonts w:ascii="Times New Roman" w:hAnsi="Times New Roman" w:cs="Times New Roman"/>
            <w:sz w:val="24"/>
            <w:szCs w:val="24"/>
          </w:rPr>
          <w:t>https://www.teismai.lt/lt/teismu-savivalda/pretendentu-i-teisejus-atrankos-komisija/apie-komisija/191</w:t>
        </w:r>
      </w:hyperlink>
      <w:r>
        <w:rPr>
          <w:rStyle w:val="Internetosaitas"/>
          <w:rFonts w:ascii="Times New Roman" w:hAnsi="Times New Roman" w:cs="Times New Roman"/>
          <w:sz w:val="24"/>
          <w:szCs w:val="24"/>
        </w:rPr>
        <w:t>.</w:t>
      </w:r>
    </w:p>
    <w:p w14:paraId="537C21AD" w14:textId="77777777" w:rsidR="00D75BC6" w:rsidRDefault="00C149F2">
      <w:pPr>
        <w:pStyle w:val="ListParagraph"/>
        <w:numPr>
          <w:ilvl w:val="1"/>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Teisėjų veiklos vertinimą atlieka </w:t>
      </w:r>
      <w:r>
        <w:rPr>
          <w:rFonts w:ascii="Times New Roman" w:hAnsi="Times New Roman" w:cs="Times New Roman"/>
          <w:sz w:val="24"/>
          <w:szCs w:val="24"/>
          <w:shd w:val="clear" w:color="auto" w:fill="FFFFFF"/>
        </w:rPr>
        <w:t xml:space="preserve">Teisėjų tarybos sudaryta </w:t>
      </w:r>
      <w:r>
        <w:rPr>
          <w:rFonts w:ascii="Times New Roman" w:hAnsi="Times New Roman" w:cs="Times New Roman"/>
          <w:bCs/>
          <w:sz w:val="24"/>
          <w:szCs w:val="24"/>
          <w:shd w:val="clear" w:color="auto" w:fill="FFFFFF"/>
        </w:rPr>
        <w:t>Nuolatinė teisėjų veiklos vertinimo komisija</w:t>
      </w:r>
      <w:r>
        <w:rPr>
          <w:rFonts w:ascii="Times New Roman" w:hAnsi="Times New Roman" w:cs="Times New Roman"/>
          <w:sz w:val="24"/>
          <w:szCs w:val="24"/>
          <w:shd w:val="clear" w:color="auto" w:fill="FFFFFF"/>
        </w:rPr>
        <w:t xml:space="preserve"> (toliau – Vertinimo komisija), kuri LR teismų įstatymo nustatyta tvarka atlieka ne tik teisėjų veiklos vertinimą, bet ir nagrinėja kitus klausimus, susijusius su teisėjų veiklos vertinimu. Komisija sudaroma Teisėjų tarybos įgaliojimų laikui iš septynių narių: keturis Vertinimo komisijos narius iš teisėjų skiria Teisėjų taryba, tris (ne teisėjus) skiria Lietuvos Respublikos Prezidentas. Informacija apie Vertinimo komisijos sudėtį skelbiama internetinėje svetainėje: </w:t>
      </w:r>
      <w:hyperlink r:id="rId9">
        <w:r>
          <w:rPr>
            <w:rStyle w:val="Internetosaitas"/>
            <w:rFonts w:ascii="Times New Roman" w:hAnsi="Times New Roman" w:cs="Times New Roman"/>
            <w:sz w:val="24"/>
            <w:szCs w:val="24"/>
          </w:rPr>
          <w:t>https://www.teismai.lt/lt/teismu-savivalda/nuolatine-teiseju-veiklos-vertinimo-komisija/apie-komisija/196</w:t>
        </w:r>
      </w:hyperlink>
      <w:r>
        <w:rPr>
          <w:rStyle w:val="Internetosaitas"/>
          <w:rFonts w:ascii="Times New Roman" w:hAnsi="Times New Roman" w:cs="Times New Roman"/>
          <w:sz w:val="24"/>
          <w:szCs w:val="24"/>
        </w:rPr>
        <w:t>.</w:t>
      </w:r>
    </w:p>
    <w:p w14:paraId="5C24DBD0" w14:textId="63B022C5" w:rsidR="00D75BC6" w:rsidRDefault="00C149F2">
      <w:pPr>
        <w:pStyle w:val="ListParagraph"/>
        <w:numPr>
          <w:ilvl w:val="1"/>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Teisėjų atrankos ir vertinimo mechanizmo skaidrumo ir atrankos ir vertinimo komisijos narių nepriklausomumo stiprinimas yra prioritetiniai tikslai siekiant kurti antikorupcinę aplinką </w:t>
      </w:r>
      <w:r>
        <w:rPr>
          <w:rFonts w:ascii="Times New Roman" w:hAnsi="Times New Roman" w:cs="Times New Roman"/>
          <w:sz w:val="24"/>
          <w:szCs w:val="24"/>
        </w:rPr>
        <w:lastRenderedPageBreak/>
        <w:t>teismuose ir stiprinti visuomenės pasitikėjimą teismų sistema. Tai yra pabrėžusi ir Europos Tarybos valstybių prieš korupciją grupė (GRECO).</w:t>
      </w:r>
    </w:p>
    <w:p w14:paraId="0D119EF8" w14:textId="3587D7E8" w:rsidR="00D75BC6" w:rsidRDefault="00D75BC6">
      <w:pPr>
        <w:spacing w:after="0" w:line="240" w:lineRule="auto"/>
        <w:jc w:val="both"/>
        <w:rPr>
          <w:rFonts w:ascii="Times New Roman" w:hAnsi="Times New Roman" w:cs="Times New Roman"/>
          <w:sz w:val="24"/>
          <w:szCs w:val="24"/>
        </w:rPr>
      </w:pPr>
    </w:p>
    <w:p w14:paraId="3772A4E4" w14:textId="77777777" w:rsidR="00BD41D7" w:rsidRDefault="00BD41D7">
      <w:pPr>
        <w:spacing w:after="0" w:line="240" w:lineRule="auto"/>
        <w:jc w:val="both"/>
        <w:rPr>
          <w:rFonts w:ascii="Times New Roman" w:hAnsi="Times New Roman" w:cs="Times New Roman"/>
          <w:sz w:val="24"/>
          <w:szCs w:val="24"/>
        </w:rPr>
      </w:pPr>
    </w:p>
    <w:p w14:paraId="0BD36F55" w14:textId="442C8EDA" w:rsidR="00D75BC6" w:rsidRDefault="00C149F2">
      <w:pPr>
        <w:pStyle w:val="ListParagraph"/>
        <w:numPr>
          <w:ilvl w:val="0"/>
          <w:numId w:val="1"/>
        </w:numPr>
        <w:spacing w:before="240" w:after="240" w:line="240" w:lineRule="auto"/>
        <w:ind w:left="720"/>
        <w:jc w:val="center"/>
        <w:rPr>
          <w:rFonts w:ascii="Times New Roman" w:hAnsi="Times New Roman" w:cs="Times New Roman"/>
          <w:b/>
          <w:bCs/>
          <w:sz w:val="24"/>
          <w:szCs w:val="24"/>
        </w:rPr>
      </w:pPr>
      <w:r>
        <w:rPr>
          <w:rFonts w:ascii="Times New Roman" w:hAnsi="Times New Roman" w:cs="Times New Roman"/>
          <w:b/>
          <w:bCs/>
          <w:sz w:val="24"/>
          <w:szCs w:val="24"/>
        </w:rPr>
        <w:t>SIEKIAMOS SPRĘSTI PROBLEMOS</w:t>
      </w:r>
    </w:p>
    <w:p w14:paraId="7C711ABB" w14:textId="77777777" w:rsidR="00BD41D7" w:rsidRDefault="00BD41D7" w:rsidP="003F7E19">
      <w:pPr>
        <w:pStyle w:val="ListParagraph"/>
        <w:spacing w:before="240" w:after="240" w:line="240" w:lineRule="auto"/>
        <w:rPr>
          <w:rFonts w:ascii="Times New Roman" w:hAnsi="Times New Roman" w:cs="Times New Roman"/>
          <w:b/>
          <w:bCs/>
          <w:sz w:val="24"/>
          <w:szCs w:val="24"/>
        </w:rPr>
      </w:pPr>
    </w:p>
    <w:p w14:paraId="4962C65A" w14:textId="7732D0DB" w:rsidR="00D75BC6" w:rsidRDefault="00C149F2">
      <w:pPr>
        <w:pStyle w:val="ListParagraph"/>
        <w:numPr>
          <w:ilvl w:val="1"/>
          <w:numId w:val="7"/>
        </w:num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Skaidrių (objektyvių), moksliškai pagrįstų kriterijų, priemonių ir metodų trūkumas teisėjų atrankos ir teisėjų veiklos vertinimo procesuose,</w:t>
      </w:r>
      <w:r w:rsidR="00E028D9">
        <w:rPr>
          <w:rFonts w:ascii="Times New Roman" w:hAnsi="Times New Roman" w:cs="Times New Roman"/>
          <w:sz w:val="24"/>
          <w:szCs w:val="24"/>
        </w:rPr>
        <w:t xml:space="preserve"> </w:t>
      </w:r>
      <w:r>
        <w:rPr>
          <w:rFonts w:ascii="Times New Roman" w:hAnsi="Times New Roman" w:cs="Times New Roman"/>
          <w:sz w:val="24"/>
          <w:szCs w:val="24"/>
        </w:rPr>
        <w:t>vertinant teisėjų ir (ar) pretendentų į teisėjus asmenines bei profesines savybes ir (ar) kompetencijas.</w:t>
      </w:r>
    </w:p>
    <w:p w14:paraId="6D60468E" w14:textId="3D26346A" w:rsidR="00D75BC6" w:rsidRDefault="00C149F2">
      <w:pPr>
        <w:pStyle w:val="ListParagraph"/>
        <w:numPr>
          <w:ilvl w:val="1"/>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Žemas visuomen</w:t>
      </w:r>
      <w:r w:rsidR="00CF0E74">
        <w:rPr>
          <w:rFonts w:ascii="Times New Roman" w:hAnsi="Times New Roman" w:cs="Times New Roman"/>
          <w:sz w:val="24"/>
          <w:szCs w:val="24"/>
        </w:rPr>
        <w:t>ė</w:t>
      </w:r>
      <w:r>
        <w:rPr>
          <w:rFonts w:ascii="Times New Roman" w:hAnsi="Times New Roman" w:cs="Times New Roman"/>
          <w:sz w:val="24"/>
          <w:szCs w:val="24"/>
        </w:rPr>
        <w:t>s pasitikėjimas teismų sistema, kuris susijęs su teisėjų atrankos skaidrumo ir atrankos komisijos narių nepriklausomumo stiprinimo problemomis.</w:t>
      </w:r>
    </w:p>
    <w:p w14:paraId="217FA9F4" w14:textId="77777777" w:rsidR="006C5EAE" w:rsidRDefault="006C5EAE">
      <w:pPr>
        <w:pStyle w:val="ListParagraph"/>
        <w:numPr>
          <w:ilvl w:val="1"/>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Pasikeitęs teisėjų atrankos procedūrų teisinis reguliavimas, įtvirtinantis ekspertų dalyvavimą pretendentų į teisėjus ir teisėjo karjeros siekiančių asmenų atrankos procese vertinant kandidatų asmenines būdo ir pažintines savybes. </w:t>
      </w:r>
    </w:p>
    <w:p w14:paraId="39A7AC90" w14:textId="77777777" w:rsidR="00D75BC6" w:rsidRDefault="00D75BC6">
      <w:pPr>
        <w:pStyle w:val="ListParagraph"/>
        <w:spacing w:after="0" w:line="240" w:lineRule="auto"/>
        <w:jc w:val="both"/>
        <w:rPr>
          <w:rFonts w:ascii="Times New Roman" w:hAnsi="Times New Roman" w:cs="Times New Roman"/>
          <w:sz w:val="24"/>
          <w:szCs w:val="24"/>
        </w:rPr>
      </w:pPr>
    </w:p>
    <w:p w14:paraId="7093EF9E" w14:textId="77777777" w:rsidR="00D75BC6" w:rsidRDefault="00C149F2">
      <w:pPr>
        <w:pStyle w:val="ListParagraph"/>
        <w:numPr>
          <w:ilvl w:val="0"/>
          <w:numId w:val="1"/>
        </w:numPr>
        <w:spacing w:before="240" w:after="240" w:line="240" w:lineRule="auto"/>
        <w:ind w:left="720"/>
        <w:jc w:val="center"/>
        <w:rPr>
          <w:rFonts w:ascii="Times New Roman" w:hAnsi="Times New Roman" w:cs="Times New Roman"/>
          <w:b/>
          <w:bCs/>
          <w:sz w:val="24"/>
          <w:szCs w:val="24"/>
        </w:rPr>
      </w:pPr>
      <w:r>
        <w:rPr>
          <w:rFonts w:ascii="Times New Roman" w:hAnsi="Times New Roman" w:cs="Times New Roman"/>
          <w:b/>
          <w:bCs/>
          <w:sz w:val="24"/>
          <w:szCs w:val="24"/>
        </w:rPr>
        <w:t>SIEKIAMA BŪSENA</w:t>
      </w:r>
    </w:p>
    <w:p w14:paraId="765C8265" w14:textId="77777777" w:rsidR="00D75BC6" w:rsidRDefault="00D75BC6">
      <w:pPr>
        <w:pStyle w:val="ListParagraph"/>
        <w:spacing w:before="240" w:after="240" w:line="240" w:lineRule="auto"/>
        <w:ind w:left="4264"/>
        <w:jc w:val="center"/>
        <w:rPr>
          <w:rFonts w:ascii="Times New Roman" w:hAnsi="Times New Roman" w:cs="Times New Roman"/>
          <w:b/>
          <w:bCs/>
          <w:sz w:val="24"/>
          <w:szCs w:val="24"/>
        </w:rPr>
      </w:pPr>
    </w:p>
    <w:p w14:paraId="56036296" w14:textId="77777777" w:rsidR="00D75BC6" w:rsidRDefault="00C149F2">
      <w:pPr>
        <w:pStyle w:val="ListParagraph"/>
        <w:numPr>
          <w:ilvl w:val="1"/>
          <w:numId w:val="8"/>
        </w:numPr>
        <w:spacing w:after="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Pagrindiniai šios Projekto veiklos rezultatai:</w:t>
      </w:r>
    </w:p>
    <w:p w14:paraId="5AEA051C" w14:textId="7379D07A" w:rsidR="00D75BC6" w:rsidRDefault="00C149F2">
      <w:pPr>
        <w:pStyle w:val="ListParagraph"/>
        <w:numPr>
          <w:ilvl w:val="2"/>
          <w:numId w:val="8"/>
        </w:numPr>
        <w:spacing w:after="0" w:line="240" w:lineRule="auto"/>
        <w:jc w:val="both"/>
        <w:textAlignment w:val="baseline"/>
        <w:rPr>
          <w:rFonts w:ascii="Times New Roman" w:hAnsi="Times New Roman" w:cs="Times New Roman"/>
          <w:color w:val="000000"/>
          <w:sz w:val="24"/>
          <w:szCs w:val="24"/>
        </w:rPr>
      </w:pPr>
      <w:r>
        <w:rPr>
          <w:rFonts w:ascii="Times New Roman" w:hAnsi="Times New Roman" w:cs="Times New Roman"/>
          <w:sz w:val="24"/>
          <w:szCs w:val="24"/>
        </w:rPr>
        <w:t>išanalizuota esama situacija, įvertinant šiuo metu teisėjų atrankos ir vertinimo teisinį reguliavimą kandidatuojant į teisėjus, siekiant teisėjo karjeros ir teisėjų periodinio vertinimo metu;</w:t>
      </w:r>
    </w:p>
    <w:p w14:paraId="5ED2DD3C" w14:textId="6EB740DA" w:rsidR="00D75BC6" w:rsidRDefault="00C149F2">
      <w:pPr>
        <w:pStyle w:val="ListParagraph"/>
        <w:numPr>
          <w:ilvl w:val="2"/>
          <w:numId w:val="8"/>
        </w:numPr>
        <w:spacing w:after="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išanalizuota užsienio šalių geroji teisėjų atrankų ir vertinimo praktika;</w:t>
      </w:r>
    </w:p>
    <w:p w14:paraId="5A7E2D5F" w14:textId="4157E866" w:rsidR="00D75BC6" w:rsidRDefault="00C149F2">
      <w:pPr>
        <w:pStyle w:val="ListParagraph"/>
        <w:numPr>
          <w:ilvl w:val="2"/>
          <w:numId w:val="8"/>
        </w:numPr>
        <w:spacing w:after="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parengtas teisėjo asmeninių ir profesinių savybių modelis</w:t>
      </w:r>
      <w:r w:rsidR="00386825">
        <w:rPr>
          <w:rFonts w:ascii="Times New Roman" w:hAnsi="Times New Roman" w:cs="Times New Roman"/>
          <w:color w:val="000000"/>
          <w:sz w:val="24"/>
          <w:szCs w:val="24"/>
        </w:rPr>
        <w:t>, apimantis</w:t>
      </w:r>
      <w:r>
        <w:rPr>
          <w:rFonts w:ascii="Times New Roman" w:hAnsi="Times New Roman" w:cs="Times New Roman"/>
          <w:color w:val="000000"/>
          <w:sz w:val="24"/>
          <w:szCs w:val="24"/>
        </w:rPr>
        <w:t xml:space="preserve"> ir teisėjų atrankos ir vertinimo kriterij</w:t>
      </w:r>
      <w:r w:rsidR="00386825">
        <w:rPr>
          <w:rFonts w:ascii="Times New Roman" w:hAnsi="Times New Roman" w:cs="Times New Roman"/>
          <w:color w:val="000000"/>
          <w:sz w:val="24"/>
          <w:szCs w:val="24"/>
        </w:rPr>
        <w:t>ų parengimą</w:t>
      </w:r>
      <w:r w:rsidR="00AE11D9">
        <w:rPr>
          <w:rFonts w:ascii="Times New Roman" w:hAnsi="Times New Roman" w:cs="Times New Roman"/>
          <w:color w:val="000000"/>
          <w:sz w:val="24"/>
          <w:szCs w:val="24"/>
        </w:rPr>
        <w:t>, ir</w:t>
      </w:r>
      <w:r>
        <w:rPr>
          <w:rFonts w:ascii="Times New Roman" w:hAnsi="Times New Roman" w:cs="Times New Roman"/>
          <w:color w:val="000000"/>
          <w:sz w:val="24"/>
          <w:szCs w:val="24"/>
        </w:rPr>
        <w:t xml:space="preserve"> </w:t>
      </w:r>
      <w:r w:rsidR="00B8641F">
        <w:rPr>
          <w:rFonts w:ascii="Times New Roman" w:hAnsi="Times New Roman" w:cs="Times New Roman"/>
          <w:color w:val="000000"/>
          <w:sz w:val="24"/>
          <w:szCs w:val="24"/>
        </w:rPr>
        <w:t xml:space="preserve">teisėjų </w:t>
      </w:r>
      <w:r w:rsidR="00B8641F" w:rsidRPr="001A06C0">
        <w:rPr>
          <w:rFonts w:ascii="Times New Roman" w:hAnsi="Times New Roman" w:cs="Times New Roman"/>
          <w:color w:val="000000"/>
          <w:sz w:val="24"/>
          <w:szCs w:val="24"/>
        </w:rPr>
        <w:t>asmeninių būdo ir pažintinių savybių</w:t>
      </w:r>
      <w:r w:rsidR="00B8641F">
        <w:rPr>
          <w:rFonts w:ascii="Times New Roman" w:hAnsi="Times New Roman" w:cs="Times New Roman"/>
          <w:color w:val="000000"/>
          <w:sz w:val="24"/>
          <w:szCs w:val="24"/>
        </w:rPr>
        <w:t xml:space="preserve"> įvertinimo </w:t>
      </w:r>
      <w:r>
        <w:rPr>
          <w:rFonts w:ascii="Times New Roman" w:hAnsi="Times New Roman" w:cs="Times New Roman"/>
          <w:color w:val="000000"/>
          <w:sz w:val="24"/>
          <w:szCs w:val="24"/>
        </w:rPr>
        <w:t>metodik</w:t>
      </w:r>
      <w:r w:rsidR="00386825">
        <w:rPr>
          <w:rFonts w:ascii="Times New Roman" w:hAnsi="Times New Roman" w:cs="Times New Roman"/>
          <w:color w:val="000000"/>
          <w:sz w:val="24"/>
          <w:szCs w:val="24"/>
        </w:rPr>
        <w:t>os parengimą</w:t>
      </w:r>
      <w:r w:rsidR="00E028D9">
        <w:rPr>
          <w:rFonts w:ascii="Times New Roman" w:hAnsi="Times New Roman" w:cs="Times New Roman"/>
          <w:color w:val="000000"/>
          <w:sz w:val="24"/>
          <w:szCs w:val="24"/>
        </w:rPr>
        <w:t>;</w:t>
      </w:r>
    </w:p>
    <w:p w14:paraId="359F88E7" w14:textId="3092CDF3" w:rsidR="00D75BC6" w:rsidRDefault="00C149F2">
      <w:pPr>
        <w:pStyle w:val="ListParagraph"/>
        <w:numPr>
          <w:ilvl w:val="2"/>
          <w:numId w:val="8"/>
        </w:numPr>
        <w:spacing w:after="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parengti teisėjų atrankos ir vertinimo modelio taikymą reglamentuojantys visų lygių teisės aktų</w:t>
      </w:r>
      <w:r w:rsidR="00321976">
        <w:rPr>
          <w:rFonts w:ascii="Times New Roman" w:hAnsi="Times New Roman" w:cs="Times New Roman"/>
          <w:color w:val="000000"/>
          <w:sz w:val="24"/>
          <w:szCs w:val="24"/>
        </w:rPr>
        <w:t xml:space="preserve"> ir (ar) jų pakeitimų</w:t>
      </w:r>
      <w:r>
        <w:rPr>
          <w:rFonts w:ascii="Times New Roman" w:hAnsi="Times New Roman" w:cs="Times New Roman"/>
          <w:color w:val="000000"/>
          <w:sz w:val="24"/>
          <w:szCs w:val="24"/>
        </w:rPr>
        <w:t xml:space="preserve"> projektai</w:t>
      </w:r>
      <w:r w:rsidR="00321976">
        <w:rPr>
          <w:rFonts w:ascii="Times New Roman" w:hAnsi="Times New Roman" w:cs="Times New Roman"/>
          <w:color w:val="000000"/>
          <w:sz w:val="24"/>
          <w:szCs w:val="24"/>
        </w:rPr>
        <w:t xml:space="preserve"> (toliau – teisės aktų projektai)</w:t>
      </w:r>
      <w:r>
        <w:rPr>
          <w:rFonts w:ascii="Times New Roman" w:hAnsi="Times New Roman" w:cs="Times New Roman"/>
          <w:color w:val="000000"/>
          <w:sz w:val="24"/>
          <w:szCs w:val="24"/>
        </w:rPr>
        <w:t>.</w:t>
      </w:r>
    </w:p>
    <w:p w14:paraId="5F297941" w14:textId="77777777" w:rsidR="00D75BC6" w:rsidRDefault="00D75BC6" w:rsidP="00F620CC">
      <w:pPr>
        <w:pStyle w:val="ListParagraph"/>
        <w:spacing w:after="0" w:line="240" w:lineRule="auto"/>
        <w:jc w:val="both"/>
        <w:textAlignment w:val="baseline"/>
        <w:rPr>
          <w:rFonts w:ascii="Times New Roman" w:hAnsi="Times New Roman" w:cs="Times New Roman"/>
          <w:color w:val="000000"/>
          <w:sz w:val="24"/>
          <w:szCs w:val="24"/>
        </w:rPr>
      </w:pPr>
    </w:p>
    <w:p w14:paraId="551D8D80" w14:textId="1A1B7A76" w:rsidR="00D75BC6" w:rsidRDefault="00C149F2">
      <w:pPr>
        <w:pStyle w:val="ListParagraph"/>
        <w:numPr>
          <w:ilvl w:val="0"/>
          <w:numId w:val="1"/>
        </w:numPr>
        <w:spacing w:before="240" w:after="240" w:line="240" w:lineRule="auto"/>
        <w:ind w:left="720"/>
        <w:jc w:val="center"/>
        <w:rPr>
          <w:rFonts w:ascii="Times New Roman" w:hAnsi="Times New Roman" w:cs="Times New Roman"/>
          <w:b/>
          <w:bCs/>
          <w:sz w:val="24"/>
          <w:szCs w:val="24"/>
        </w:rPr>
      </w:pPr>
      <w:r>
        <w:rPr>
          <w:rFonts w:ascii="Times New Roman" w:hAnsi="Times New Roman" w:cs="Times New Roman"/>
          <w:b/>
          <w:bCs/>
          <w:sz w:val="24"/>
          <w:szCs w:val="24"/>
        </w:rPr>
        <w:t>PIRKIMO OBJEKTAS, TIKSLAS, UŽDAVINIAI</w:t>
      </w:r>
    </w:p>
    <w:p w14:paraId="2B35C487" w14:textId="77777777" w:rsidR="00BD41D7" w:rsidRDefault="00BD41D7" w:rsidP="003F7E19">
      <w:pPr>
        <w:pStyle w:val="ListParagraph"/>
        <w:spacing w:before="240" w:after="240" w:line="240" w:lineRule="auto"/>
        <w:rPr>
          <w:rFonts w:ascii="Times New Roman" w:hAnsi="Times New Roman" w:cs="Times New Roman"/>
          <w:b/>
          <w:bCs/>
          <w:sz w:val="24"/>
          <w:szCs w:val="24"/>
        </w:rPr>
      </w:pPr>
    </w:p>
    <w:p w14:paraId="69CA4E00" w14:textId="77777777" w:rsidR="00D75BC6" w:rsidRDefault="00C149F2">
      <w:pPr>
        <w:pStyle w:val="ListParagraph"/>
        <w:numPr>
          <w:ilvl w:val="1"/>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objektas –  teisėjų atrankos ir vertinimo modelio parengimo paslaugos.</w:t>
      </w:r>
    </w:p>
    <w:p w14:paraId="111F426D" w14:textId="77777777" w:rsidR="00D75BC6" w:rsidRDefault="00C149F2">
      <w:pPr>
        <w:pStyle w:val="ListParagraph"/>
        <w:numPr>
          <w:ilvl w:val="1"/>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Perkamų paslaugų tikslas – parengti teisėjų atrankos ir vertinimo modelį ir jį reglamentuojančius teisės aktų projektus.</w:t>
      </w:r>
    </w:p>
    <w:p w14:paraId="7743FCB4" w14:textId="77777777" w:rsidR="00D75BC6" w:rsidRDefault="00C149F2">
      <w:pPr>
        <w:pStyle w:val="ListParagraph"/>
        <w:numPr>
          <w:ilvl w:val="1"/>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Siekiant įgyvendinti numatytą tikslą būtina pasiekti šiuos uždavinius:</w:t>
      </w:r>
    </w:p>
    <w:p w14:paraId="06426C92" w14:textId="77777777" w:rsidR="00D75BC6" w:rsidRDefault="00C149F2">
      <w:pPr>
        <w:pStyle w:val="ListParagraph"/>
        <w:numPr>
          <w:ilvl w:val="2"/>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atlikti teisėjų atrankos ir vertinimo procesų esamos situacijos analizę;</w:t>
      </w:r>
    </w:p>
    <w:p w14:paraId="3D4BD529" w14:textId="77777777" w:rsidR="00D75BC6" w:rsidRDefault="00C149F2">
      <w:pPr>
        <w:pStyle w:val="ListParagraph"/>
        <w:numPr>
          <w:ilvl w:val="2"/>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atlikti užsienio šalių gerosios praktikos analizę;</w:t>
      </w:r>
    </w:p>
    <w:p w14:paraId="213D619C" w14:textId="77777777" w:rsidR="00D75BC6" w:rsidRDefault="00C149F2">
      <w:pPr>
        <w:pStyle w:val="ListParagraph"/>
        <w:numPr>
          <w:ilvl w:val="2"/>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parengti teisėjų atrankos ir vertinimo modelį;</w:t>
      </w:r>
    </w:p>
    <w:p w14:paraId="4AD65DBC" w14:textId="77777777" w:rsidR="00D75BC6" w:rsidRDefault="00C149F2">
      <w:pPr>
        <w:pStyle w:val="ListParagraph"/>
        <w:numPr>
          <w:ilvl w:val="2"/>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parengti teisės aktų projektus.</w:t>
      </w:r>
    </w:p>
    <w:p w14:paraId="1CD6DAC1" w14:textId="77777777" w:rsidR="00D75BC6" w:rsidRDefault="00C149F2">
      <w:pPr>
        <w:pStyle w:val="ListParagraph"/>
        <w:numPr>
          <w:ilvl w:val="1"/>
          <w:numId w:val="5"/>
        </w:numPr>
        <w:spacing w:after="0" w:line="240" w:lineRule="auto"/>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sz w:val="24"/>
          <w:szCs w:val="24"/>
        </w:rPr>
        <w:t>Šio pirkimo apimtyje „teisėjų atranka“ reiškia Teismų įstatyme nustatytą, teisėjo karjeros siekiančių asmenų procesą, „teisėjų vertinimas“ reiškia Teismų įstatyme nustatytą periodinį ir neeilinį teisėjų veiklos vertinimą.</w:t>
      </w:r>
    </w:p>
    <w:p w14:paraId="7992CF57" w14:textId="77777777" w:rsidR="00D75BC6" w:rsidRDefault="00C149F2">
      <w:pPr>
        <w:pStyle w:val="ListParagraph"/>
        <w:numPr>
          <w:ilvl w:val="1"/>
          <w:numId w:val="5"/>
        </w:numPr>
        <w:spacing w:after="0" w:line="240" w:lineRule="auto"/>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Šioje</w:t>
      </w:r>
      <w:r>
        <w:rPr>
          <w:rFonts w:ascii="Times New Roman" w:hAnsi="Times New Roman" w:cs="Times New Roman"/>
          <w:color w:val="000000"/>
          <w:sz w:val="24"/>
          <w:szCs w:val="24"/>
        </w:rPr>
        <w:t xml:space="preserve"> techninėje specifikacijoje</w:t>
      </w:r>
      <w:r>
        <w:rPr>
          <w:rFonts w:ascii="Times New Roman" w:hAnsi="Times New Roman" w:cs="Times New Roman"/>
          <w:color w:val="000000" w:themeColor="text1"/>
          <w:sz w:val="24"/>
          <w:szCs w:val="24"/>
        </w:rPr>
        <w:t xml:space="preserve"> naudojami terminai „turi būti“, „turi turėti“, „turi turėti galimybę“ (jeigu tokie naudojami) yra lygiaverčiai ir reiškia, kad paslaugų teikėjas šio pirkimo apimtyje privalo atlikti numatytas analizes, parengti, suderinti nurodytus dokumentus.</w:t>
      </w:r>
    </w:p>
    <w:p w14:paraId="10292369" w14:textId="77777777" w:rsidR="00D75BC6" w:rsidRDefault="00C149F2">
      <w:pPr>
        <w:pStyle w:val="ListParagraph"/>
        <w:numPr>
          <w:ilvl w:val="1"/>
          <w:numId w:val="5"/>
        </w:numPr>
        <w:spacing w:after="0" w:line="240" w:lineRule="auto"/>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Pirkimas į dalis neskaidomas.</w:t>
      </w:r>
    </w:p>
    <w:p w14:paraId="15402EB7" w14:textId="77777777" w:rsidR="00D75BC6" w:rsidRDefault="00C149F2">
      <w:pPr>
        <w:pStyle w:val="ListParagraph"/>
        <w:numPr>
          <w:ilvl w:val="1"/>
          <w:numId w:val="5"/>
        </w:numPr>
        <w:spacing w:after="0" w:line="240" w:lineRule="auto"/>
        <w:jc w:val="both"/>
        <w:textAlignment w:val="baseline"/>
        <w:rPr>
          <w:rFonts w:ascii="Times New Roman" w:hAnsi="Times New Roman" w:cs="Times New Roman"/>
          <w:color w:val="000000" w:themeColor="text1"/>
          <w:sz w:val="24"/>
          <w:szCs w:val="24"/>
        </w:rPr>
        <w:sectPr w:rsidR="00D75BC6">
          <w:headerReference w:type="default" r:id="rId10"/>
          <w:footerReference w:type="default" r:id="rId11"/>
          <w:headerReference w:type="first" r:id="rId12"/>
          <w:footerReference w:type="first" r:id="rId13"/>
          <w:pgSz w:w="11906" w:h="16838"/>
          <w:pgMar w:top="1134" w:right="567" w:bottom="851" w:left="1701" w:header="567" w:footer="567" w:gutter="0"/>
          <w:cols w:space="1296"/>
          <w:formProt w:val="0"/>
          <w:titlePg/>
          <w:docGrid w:linePitch="360" w:charSpace="4096"/>
        </w:sectPr>
      </w:pPr>
      <w:r>
        <w:rPr>
          <w:rFonts w:ascii="Times New Roman" w:hAnsi="Times New Roman" w:cs="Times New Roman"/>
          <w:color w:val="000000"/>
          <w:sz w:val="24"/>
          <w:szCs w:val="24"/>
        </w:rPr>
        <w:t xml:space="preserve">Teikdamas </w:t>
      </w:r>
      <w:r>
        <w:rPr>
          <w:rFonts w:ascii="Times New Roman" w:hAnsi="Times New Roman" w:cs="Times New Roman"/>
          <w:sz w:val="24"/>
          <w:szCs w:val="24"/>
        </w:rPr>
        <w:t xml:space="preserve">teisėjų atrankos ir vertinimo </w:t>
      </w:r>
      <w:r>
        <w:rPr>
          <w:rFonts w:ascii="Times New Roman" w:hAnsi="Times New Roman" w:cs="Times New Roman"/>
          <w:color w:val="000000"/>
          <w:sz w:val="24"/>
          <w:szCs w:val="24"/>
        </w:rPr>
        <w:t>modelio teisės aktų projektų parengimo paslaugas, paslaugų teikėjas privalo vadovautis Lietuvos Respublikos teisės aktais,</w:t>
      </w:r>
      <w:r>
        <w:rPr>
          <w:rFonts w:ascii="Times New Roman" w:hAnsi="Times New Roman" w:cs="Times New Roman"/>
          <w:sz w:val="24"/>
          <w:szCs w:val="24"/>
        </w:rPr>
        <w:t xml:space="preserve"> taikomais perkamų paslaugų objektui, teisėjų atrankos ir vertinimo veiklai, atsižvelgiant į visus jų pakeitimus, taip pat naujai priimamus su teisėjų atrankos ir vertinimo veikla susijusius teisės aktus, galiosiančius paslaugų teikimo metu. Parengti teisės aktų projektai turi </w:t>
      </w:r>
      <w:r>
        <w:rPr>
          <w:rFonts w:ascii="Times New Roman" w:eastAsia="Times New Roman" w:hAnsi="Times New Roman" w:cs="Times New Roman"/>
          <w:sz w:val="24"/>
          <w:szCs w:val="24"/>
          <w:lang w:eastAsia="lt-LT"/>
        </w:rPr>
        <w:t>atitikti Lietuvos Respublikos valstybinės kalbos įstatymo ir Lietuvos Respublikos teisėkūros pagrindų įstatymo reikalavimus.</w:t>
      </w:r>
    </w:p>
    <w:p w14:paraId="5A4CE577" w14:textId="067A0403" w:rsidR="00D75BC6" w:rsidRDefault="00C149F2">
      <w:pPr>
        <w:pStyle w:val="ListParagraph"/>
        <w:numPr>
          <w:ilvl w:val="0"/>
          <w:numId w:val="1"/>
        </w:numPr>
        <w:spacing w:before="240" w:after="240" w:line="240" w:lineRule="auto"/>
        <w:ind w:left="720"/>
        <w:jc w:val="center"/>
        <w:rPr>
          <w:rFonts w:ascii="Times New Roman" w:hAnsi="Times New Roman" w:cs="Times New Roman"/>
          <w:b/>
          <w:sz w:val="24"/>
          <w:szCs w:val="24"/>
        </w:rPr>
      </w:pPr>
      <w:r>
        <w:rPr>
          <w:rFonts w:ascii="Times New Roman" w:hAnsi="Times New Roman" w:cs="Times New Roman"/>
          <w:b/>
          <w:caps/>
          <w:w w:val="102"/>
          <w:sz w:val="24"/>
          <w:szCs w:val="24"/>
        </w:rPr>
        <w:lastRenderedPageBreak/>
        <w:t>DETALUS PERKAMŲ PASLAUGŲ APRAŠYMAS</w:t>
      </w:r>
      <w:r w:rsidR="008F7475">
        <w:rPr>
          <w:rFonts w:ascii="Times New Roman" w:hAnsi="Times New Roman" w:cs="Times New Roman"/>
          <w:b/>
          <w:caps/>
          <w:w w:val="102"/>
          <w:sz w:val="24"/>
          <w:szCs w:val="24"/>
        </w:rPr>
        <w:t xml:space="preserve"> </w:t>
      </w:r>
    </w:p>
    <w:tbl>
      <w:tblPr>
        <w:tblW w:w="5000" w:type="pct"/>
        <w:tblLook w:val="0000" w:firstRow="0" w:lastRow="0" w:firstColumn="0" w:lastColumn="0" w:noHBand="0" w:noVBand="0"/>
      </w:tblPr>
      <w:tblGrid>
        <w:gridCol w:w="2418"/>
        <w:gridCol w:w="7828"/>
        <w:gridCol w:w="1867"/>
        <w:gridCol w:w="1738"/>
      </w:tblGrid>
      <w:tr w:rsidR="00D75BC6" w14:paraId="0FD40E75" w14:textId="77777777">
        <w:trPr>
          <w:trHeight w:val="692"/>
          <w:tblHeader/>
        </w:trPr>
        <w:tc>
          <w:tcPr>
            <w:tcW w:w="2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BEEE8" w14:textId="77777777" w:rsidR="00D75BC6" w:rsidRDefault="00C149F2">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Paslaugos (etapo) pavadinimas</w:t>
            </w:r>
          </w:p>
        </w:tc>
        <w:tc>
          <w:tcPr>
            <w:tcW w:w="7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90A9C" w14:textId="77777777" w:rsidR="00D75BC6" w:rsidRDefault="00C149F2">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Paslaugos detalizavimas</w:t>
            </w:r>
          </w:p>
        </w:tc>
        <w:tc>
          <w:tcPr>
            <w:tcW w:w="1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8AB5C" w14:textId="77777777" w:rsidR="00D75BC6" w:rsidRDefault="00C149F2">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Paslaugos rezultatas</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2B419" w14:textId="5023A2DB" w:rsidR="00D75BC6" w:rsidRDefault="00C149F2">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Paslaugos suteikimo terminas</w:t>
            </w:r>
          </w:p>
        </w:tc>
      </w:tr>
      <w:tr w:rsidR="00D75BC6" w14:paraId="3FB55D7F" w14:textId="77777777">
        <w:trPr>
          <w:trHeight w:val="829"/>
        </w:trPr>
        <w:tc>
          <w:tcPr>
            <w:tcW w:w="2420" w:type="dxa"/>
            <w:tcBorders>
              <w:top w:val="single" w:sz="4" w:space="0" w:color="000000"/>
              <w:left w:val="single" w:sz="4" w:space="0" w:color="000000"/>
              <w:bottom w:val="single" w:sz="4" w:space="0" w:color="000000"/>
              <w:right w:val="single" w:sz="4" w:space="0" w:color="000000"/>
            </w:tcBorders>
            <w:shd w:val="clear" w:color="auto" w:fill="auto"/>
          </w:tcPr>
          <w:p w14:paraId="553B5D25" w14:textId="77777777" w:rsidR="00D75BC6" w:rsidRDefault="00C149F2">
            <w:pPr>
              <w:pStyle w:val="ListParagraph"/>
              <w:numPr>
                <w:ilvl w:val="1"/>
                <w:numId w:val="3"/>
              </w:numPr>
              <w:spacing w:after="0" w:line="240" w:lineRule="auto"/>
              <w:ind w:hanging="397"/>
              <w:jc w:val="both"/>
              <w:textAlignment w:val="baseline"/>
              <w:rPr>
                <w:rFonts w:ascii="Times New Roman" w:hAnsi="Times New Roman" w:cs="Times New Roman"/>
                <w:b/>
                <w:sz w:val="24"/>
                <w:szCs w:val="24"/>
              </w:rPr>
            </w:pPr>
            <w:r>
              <w:rPr>
                <w:rFonts w:ascii="Times New Roman" w:hAnsi="Times New Roman" w:cs="Times New Roman"/>
                <w:b/>
                <w:sz w:val="24"/>
                <w:szCs w:val="24"/>
              </w:rPr>
              <w:t>Teisėjų atrankos ir vertinimo procesų esamos situacijos analizė</w:t>
            </w:r>
          </w:p>
        </w:tc>
        <w:tc>
          <w:tcPr>
            <w:tcW w:w="7835" w:type="dxa"/>
            <w:tcBorders>
              <w:top w:val="single" w:sz="4" w:space="0" w:color="000000"/>
              <w:left w:val="single" w:sz="4" w:space="0" w:color="000000"/>
              <w:bottom w:val="single" w:sz="4" w:space="0" w:color="000000"/>
              <w:right w:val="single" w:sz="4" w:space="0" w:color="000000"/>
            </w:tcBorders>
            <w:shd w:val="clear" w:color="auto" w:fill="auto"/>
          </w:tcPr>
          <w:p w14:paraId="61712896" w14:textId="5583D721" w:rsidR="00D75BC6" w:rsidRDefault="00C149F2">
            <w:pPr>
              <w:pStyle w:val="ListParagraph"/>
              <w:numPr>
                <w:ilvl w:val="2"/>
                <w:numId w:val="3"/>
              </w:num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Išnagrinėti šiuo metu galiojančius ir taikomus teisės aktus, reglamentuojančius teisėjų </w:t>
            </w:r>
            <w:r w:rsidR="00EA6AB6">
              <w:rPr>
                <w:rFonts w:ascii="Times New Roman" w:hAnsi="Times New Roman" w:cs="Times New Roman"/>
                <w:sz w:val="24"/>
                <w:szCs w:val="24"/>
              </w:rPr>
              <w:t xml:space="preserve"> </w:t>
            </w:r>
            <w:r>
              <w:rPr>
                <w:rFonts w:ascii="Times New Roman" w:hAnsi="Times New Roman" w:cs="Times New Roman"/>
                <w:sz w:val="24"/>
                <w:szCs w:val="24"/>
              </w:rPr>
              <w:t xml:space="preserve">atranką ir teisėjų vertinimą ir pateikti teisės aktų, reglamentuojančių </w:t>
            </w:r>
            <w:r w:rsidR="00EA6AB6">
              <w:rPr>
                <w:rFonts w:ascii="Times New Roman" w:hAnsi="Times New Roman" w:cs="Times New Roman"/>
                <w:sz w:val="24"/>
                <w:szCs w:val="24"/>
              </w:rPr>
              <w:t xml:space="preserve">šių </w:t>
            </w:r>
            <w:r>
              <w:rPr>
                <w:rFonts w:ascii="Times New Roman" w:hAnsi="Times New Roman" w:cs="Times New Roman"/>
                <w:sz w:val="24"/>
                <w:szCs w:val="24"/>
              </w:rPr>
              <w:t>teisėjų atrankos ir vertinimo procesus analizę, įvertinti ar šiuo metu taikomas atrankos ir vertinimo modelis yra pagrįsta</w:t>
            </w:r>
            <w:r w:rsidR="00E028D9">
              <w:rPr>
                <w:rFonts w:ascii="Times New Roman" w:hAnsi="Times New Roman" w:cs="Times New Roman"/>
                <w:sz w:val="24"/>
                <w:szCs w:val="24"/>
              </w:rPr>
              <w:t>s;</w:t>
            </w:r>
            <w:r>
              <w:rPr>
                <w:rFonts w:ascii="Times New Roman" w:hAnsi="Times New Roman" w:cs="Times New Roman"/>
                <w:sz w:val="24"/>
                <w:szCs w:val="24"/>
              </w:rPr>
              <w:t xml:space="preserve"> pateikta analizė neturi būti teisės aktų suvestinės formos dokumentas;</w:t>
            </w:r>
          </w:p>
          <w:p w14:paraId="4D2EDBA8" w14:textId="77777777" w:rsidR="00D75BC6" w:rsidRDefault="00C149F2">
            <w:pPr>
              <w:pStyle w:val="ListParagraph"/>
              <w:numPr>
                <w:ilvl w:val="2"/>
                <w:numId w:val="3"/>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išnagrinėti Atrankos komisijos ir Vertinimo komisijos darbo organizavimo tvarkas ir pateikti pasiūlymus dėl tokio reguliavimo tobulinimo;</w:t>
            </w:r>
          </w:p>
          <w:p w14:paraId="19AD9BB8" w14:textId="56A3592D" w:rsidR="00D75BC6" w:rsidRDefault="00C149F2">
            <w:pPr>
              <w:pStyle w:val="ListParagraph"/>
              <w:numPr>
                <w:ilvl w:val="2"/>
                <w:numId w:val="3"/>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atlikti tikslinių grupių ir suinteresuotų šalių </w:t>
            </w:r>
            <w:r w:rsidR="00132CA0" w:rsidRPr="00132CA0">
              <w:rPr>
                <w:rFonts w:ascii="Times New Roman" w:hAnsi="Times New Roman" w:cs="Times New Roman"/>
                <w:color w:val="000000"/>
                <w:sz w:val="24"/>
                <w:szCs w:val="24"/>
              </w:rPr>
              <w:t>kokybinį tyrimą</w:t>
            </w:r>
            <w:r>
              <w:rPr>
                <w:rFonts w:ascii="Times New Roman" w:hAnsi="Times New Roman" w:cs="Times New Roman"/>
                <w:color w:val="000000"/>
                <w:sz w:val="24"/>
                <w:szCs w:val="24"/>
              </w:rPr>
              <w:t xml:space="preserve"> siekiant nustatyti ir įvertinti kaip pagerinti šiuo metu taikomą teisėjų atrankos ir vertinimo modelį, taip pat </w:t>
            </w:r>
            <w:r w:rsidR="007F17A2">
              <w:rPr>
                <w:rFonts w:ascii="Times New Roman" w:hAnsi="Times New Roman" w:cs="Times New Roman"/>
                <w:color w:val="000000"/>
                <w:sz w:val="24"/>
                <w:szCs w:val="24"/>
              </w:rPr>
              <w:t>įvertinti</w:t>
            </w:r>
            <w:r>
              <w:rPr>
                <w:rFonts w:ascii="Times New Roman" w:hAnsi="Times New Roman" w:cs="Times New Roman"/>
                <w:color w:val="000000"/>
                <w:sz w:val="24"/>
                <w:szCs w:val="24"/>
              </w:rPr>
              <w:t xml:space="preserve"> kokias kompetencijas turi </w:t>
            </w:r>
            <w:r w:rsidR="00596D39">
              <w:rPr>
                <w:rFonts w:ascii="Times New Roman" w:hAnsi="Times New Roman" w:cs="Times New Roman"/>
                <w:color w:val="000000"/>
                <w:sz w:val="24"/>
                <w:szCs w:val="24"/>
              </w:rPr>
              <w:t xml:space="preserve">atitikti </w:t>
            </w:r>
            <w:r w:rsidR="00CC0B05">
              <w:rPr>
                <w:rFonts w:ascii="Times New Roman" w:hAnsi="Times New Roman" w:cs="Times New Roman"/>
                <w:color w:val="000000"/>
                <w:sz w:val="24"/>
                <w:szCs w:val="24"/>
              </w:rPr>
              <w:t xml:space="preserve">asmuo, ketinantis tapti teisėju, ar </w:t>
            </w:r>
            <w:r>
              <w:rPr>
                <w:rFonts w:ascii="Times New Roman" w:hAnsi="Times New Roman" w:cs="Times New Roman"/>
                <w:color w:val="000000"/>
                <w:sz w:val="24"/>
                <w:szCs w:val="24"/>
              </w:rPr>
              <w:t>teisėjas:</w:t>
            </w:r>
          </w:p>
          <w:p w14:paraId="343B9399" w14:textId="03EAEA32" w:rsidR="00D75BC6" w:rsidRDefault="00C149F2">
            <w:pPr>
              <w:pStyle w:val="ListParagraph"/>
              <w:numPr>
                <w:ilvl w:val="3"/>
                <w:numId w:val="3"/>
              </w:numPr>
              <w:spacing w:after="0" w:line="240" w:lineRule="auto"/>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 xml:space="preserve">rengiant </w:t>
            </w:r>
            <w:r w:rsidR="00596D39">
              <w:rPr>
                <w:rFonts w:ascii="Times New Roman" w:eastAsia="Calibri" w:hAnsi="Times New Roman" w:cs="Times New Roman"/>
                <w:color w:val="000000"/>
                <w:sz w:val="24"/>
                <w:szCs w:val="24"/>
              </w:rPr>
              <w:t xml:space="preserve">ir derinant </w:t>
            </w:r>
            <w:r w:rsidR="00132CA0">
              <w:rPr>
                <w:rFonts w:ascii="Times New Roman" w:eastAsia="Calibri" w:hAnsi="Times New Roman" w:cs="Times New Roman"/>
                <w:color w:val="000000"/>
                <w:sz w:val="24"/>
                <w:szCs w:val="24"/>
              </w:rPr>
              <w:t>kokybinio tyrimo</w:t>
            </w:r>
            <w:r>
              <w:rPr>
                <w:rFonts w:ascii="Times New Roman" w:eastAsia="Calibri" w:hAnsi="Times New Roman" w:cs="Times New Roman"/>
                <w:color w:val="000000"/>
                <w:sz w:val="24"/>
                <w:szCs w:val="24"/>
              </w:rPr>
              <w:t xml:space="preserve"> programą bei įgyvendinant kitus </w:t>
            </w:r>
            <w:r w:rsidR="00132CA0">
              <w:rPr>
                <w:rFonts w:ascii="Times New Roman" w:eastAsia="Calibri" w:hAnsi="Times New Roman" w:cs="Times New Roman"/>
                <w:color w:val="000000"/>
                <w:sz w:val="24"/>
                <w:szCs w:val="24"/>
              </w:rPr>
              <w:t>kokybinio tyrimo</w:t>
            </w:r>
            <w:r>
              <w:rPr>
                <w:rFonts w:ascii="Times New Roman" w:eastAsia="Calibri" w:hAnsi="Times New Roman" w:cs="Times New Roman"/>
                <w:color w:val="000000"/>
                <w:sz w:val="24"/>
                <w:szCs w:val="24"/>
              </w:rPr>
              <w:t xml:space="preserve"> etapus, turi būti suorganizuota mažiausiai po vieną konsultaciją su Perkančiosios organizacijos paskirtais </w:t>
            </w:r>
            <w:r w:rsidR="00F70453">
              <w:rPr>
                <w:rFonts w:ascii="Times New Roman" w:eastAsia="Calibri" w:hAnsi="Times New Roman" w:cs="Times New Roman"/>
                <w:color w:val="000000"/>
                <w:sz w:val="24"/>
                <w:szCs w:val="24"/>
              </w:rPr>
              <w:t xml:space="preserve">dviem </w:t>
            </w:r>
            <w:r>
              <w:rPr>
                <w:rFonts w:ascii="Times New Roman" w:eastAsia="Calibri" w:hAnsi="Times New Roman" w:cs="Times New Roman"/>
                <w:color w:val="000000"/>
                <w:sz w:val="24"/>
                <w:szCs w:val="24"/>
              </w:rPr>
              <w:t>ekspertais, suderinant su Perkančiąja organizacija konsultacijos datas bei eigą; Perkančiosios organizacijos atstovas taip pat tur</w:t>
            </w:r>
            <w:r w:rsidR="00E028D9">
              <w:rPr>
                <w:rFonts w:ascii="Times New Roman" w:eastAsia="Calibri" w:hAnsi="Times New Roman" w:cs="Times New Roman"/>
                <w:color w:val="000000"/>
                <w:sz w:val="24"/>
                <w:szCs w:val="24"/>
              </w:rPr>
              <w:t>i</w:t>
            </w:r>
            <w:r>
              <w:rPr>
                <w:rFonts w:ascii="Times New Roman" w:eastAsia="Calibri" w:hAnsi="Times New Roman" w:cs="Times New Roman"/>
                <w:color w:val="000000"/>
                <w:sz w:val="24"/>
                <w:szCs w:val="24"/>
              </w:rPr>
              <w:t xml:space="preserve"> dalyvauti numatytose konsultacijose;</w:t>
            </w:r>
          </w:p>
          <w:p w14:paraId="6C9A1F6F" w14:textId="44CECC80" w:rsidR="00D75BC6" w:rsidRDefault="00132CA0">
            <w:pPr>
              <w:pStyle w:val="ListParagraph"/>
              <w:numPr>
                <w:ilvl w:val="3"/>
                <w:numId w:val="3"/>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kokybiniam tyrimui</w:t>
            </w:r>
            <w:r w:rsidR="00C149F2">
              <w:rPr>
                <w:rFonts w:ascii="Times New Roman" w:hAnsi="Times New Roman" w:cs="Times New Roman"/>
                <w:color w:val="000000"/>
                <w:sz w:val="24"/>
                <w:szCs w:val="24"/>
              </w:rPr>
              <w:t xml:space="preserve"> atlikti būtina taikyti interviu ir fokusuotų grupių metodus; tikslines grupes galėtų sudaryti teisėjai, Atrankos komisijos, Vertinimo komisijos nariai, Administracijos atstovai ir kt.; kontaktiniai asmenys turi būti suderinti su Perkančiąja organizacija:</w:t>
            </w:r>
          </w:p>
          <w:p w14:paraId="6FB4D0C5" w14:textId="77777777" w:rsidR="00D75BC6" w:rsidRDefault="00C149F2" w:rsidP="004C57C3">
            <w:pPr>
              <w:pStyle w:val="ListParagraph"/>
              <w:numPr>
                <w:ilvl w:val="4"/>
                <w:numId w:val="3"/>
              </w:numPr>
              <w:spacing w:after="0" w:line="240" w:lineRule="auto"/>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kiekvieną fokusuotų dalyvių grupę turi sudaryti ne mažiau 10 (dešimt) asmenų, turėtų būti atliktos ne mažiau nei 5 (penkios) diskusijos; </w:t>
            </w:r>
          </w:p>
          <w:p w14:paraId="06BA01B1" w14:textId="77777777" w:rsidR="00D75BC6" w:rsidRDefault="00C149F2">
            <w:pPr>
              <w:pStyle w:val="ListParagraph"/>
              <w:numPr>
                <w:ilvl w:val="4"/>
                <w:numId w:val="3"/>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interviu turėtų būti atliekamas su ne mažiau nei 10 (dešimt) asmenų;</w:t>
            </w:r>
          </w:p>
          <w:p w14:paraId="28DF9AF9" w14:textId="77777777" w:rsidR="00D75BC6" w:rsidRDefault="00C149F2">
            <w:pPr>
              <w:pStyle w:val="ListParagraph"/>
              <w:numPr>
                <w:ilvl w:val="3"/>
                <w:numId w:val="3"/>
              </w:num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naudojant kokybinius duomenų rinkimo metodus, surinkti reikiamą informaciją, ją apdoroti ir pateikti išvadas (bendras ir apibendrintas kiekvienos tyrimo grupės ir interviu), analizės metu surinkti duomenys turi būti pateikti struktūrizuotai, detaliai ir aiškiai</w:t>
            </w:r>
            <w:r>
              <w:rPr>
                <w:rFonts w:ascii="Times New Roman" w:hAnsi="Times New Roman" w:cs="Times New Roman"/>
                <w:color w:val="000000"/>
                <w:sz w:val="24"/>
                <w:szCs w:val="24"/>
              </w:rPr>
              <w:t>;</w:t>
            </w:r>
          </w:p>
          <w:p w14:paraId="25491AB9" w14:textId="77777777" w:rsidR="00D75BC6" w:rsidRDefault="00C149F2">
            <w:pPr>
              <w:pStyle w:val="ListParagraph"/>
              <w:numPr>
                <w:ilvl w:val="2"/>
                <w:numId w:val="3"/>
              </w:num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lastRenderedPageBreak/>
              <w:t>Paslaugų teikėjas turi pateikti išsamų esamos padėties įvertinimą, detalizuojant problemines sritis, apibrėžti jų atsiradimo priežastis ir galimus sprendimo būdus.</w:t>
            </w:r>
          </w:p>
        </w:tc>
        <w:tc>
          <w:tcPr>
            <w:tcW w:w="1867" w:type="dxa"/>
            <w:tcBorders>
              <w:top w:val="single" w:sz="4" w:space="0" w:color="000000"/>
              <w:left w:val="single" w:sz="4" w:space="0" w:color="000000"/>
              <w:bottom w:val="single" w:sz="4" w:space="0" w:color="000000"/>
              <w:right w:val="single" w:sz="4" w:space="0" w:color="000000"/>
            </w:tcBorders>
            <w:shd w:val="clear" w:color="auto" w:fill="auto"/>
          </w:tcPr>
          <w:p w14:paraId="00930400" w14:textId="51AC08FF" w:rsidR="00D75BC6" w:rsidRDefault="00C149F2">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Rezultatas_1. Teisėjų atrankos ir vertinimo procesų esamos </w:t>
            </w:r>
            <w:r w:rsidR="00E028D9">
              <w:rPr>
                <w:rFonts w:ascii="Times New Roman" w:hAnsi="Times New Roman" w:cs="Times New Roman"/>
                <w:sz w:val="24"/>
                <w:szCs w:val="24"/>
              </w:rPr>
              <w:t>situacijos</w:t>
            </w:r>
            <w:r>
              <w:rPr>
                <w:rFonts w:ascii="Times New Roman" w:hAnsi="Times New Roman" w:cs="Times New Roman"/>
                <w:b/>
                <w:sz w:val="24"/>
                <w:szCs w:val="24"/>
              </w:rPr>
              <w:t xml:space="preserve"> </w:t>
            </w:r>
            <w:r>
              <w:rPr>
                <w:rFonts w:ascii="Times New Roman" w:hAnsi="Times New Roman" w:cs="Times New Roman"/>
                <w:sz w:val="24"/>
                <w:szCs w:val="24"/>
              </w:rPr>
              <w:t>analizės ataskaita</w:t>
            </w:r>
          </w:p>
        </w:tc>
        <w:tc>
          <w:tcPr>
            <w:tcW w:w="1738" w:type="dxa"/>
            <w:tcBorders>
              <w:top w:val="single" w:sz="4" w:space="0" w:color="000000"/>
              <w:left w:val="single" w:sz="4" w:space="0" w:color="000000"/>
              <w:bottom w:val="single" w:sz="4" w:space="0" w:color="000000"/>
              <w:right w:val="single" w:sz="4" w:space="0" w:color="000000"/>
            </w:tcBorders>
            <w:shd w:val="clear" w:color="auto" w:fill="auto"/>
          </w:tcPr>
          <w:p w14:paraId="230D30D8" w14:textId="3B84AABB" w:rsidR="00D75BC6" w:rsidRDefault="00C149F2">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Iki</w:t>
            </w:r>
            <w:r w:rsidR="00E028D9">
              <w:rPr>
                <w:rFonts w:ascii="Times New Roman" w:hAnsi="Times New Roman" w:cs="Times New Roman"/>
                <w:sz w:val="24"/>
                <w:szCs w:val="24"/>
              </w:rPr>
              <w:t xml:space="preserve"> </w:t>
            </w:r>
            <w:r w:rsidR="00094774">
              <w:rPr>
                <w:rFonts w:ascii="Times New Roman" w:hAnsi="Times New Roman" w:cs="Times New Roman"/>
                <w:sz w:val="24"/>
                <w:szCs w:val="24"/>
              </w:rPr>
              <w:t>4</w:t>
            </w:r>
            <w:r>
              <w:rPr>
                <w:rFonts w:ascii="Times New Roman" w:hAnsi="Times New Roman" w:cs="Times New Roman"/>
                <w:sz w:val="24"/>
                <w:szCs w:val="24"/>
              </w:rPr>
              <w:t xml:space="preserve"> </w:t>
            </w:r>
            <w:r w:rsidR="00E028D9">
              <w:rPr>
                <w:rFonts w:ascii="Times New Roman" w:hAnsi="Times New Roman" w:cs="Times New Roman"/>
                <w:sz w:val="24"/>
                <w:szCs w:val="24"/>
              </w:rPr>
              <w:t>(</w:t>
            </w:r>
            <w:r w:rsidR="00102C58">
              <w:rPr>
                <w:rFonts w:ascii="Times New Roman" w:hAnsi="Times New Roman" w:cs="Times New Roman"/>
                <w:sz w:val="24"/>
                <w:szCs w:val="24"/>
              </w:rPr>
              <w:t>keturių</w:t>
            </w:r>
            <w:r w:rsidR="00E028D9">
              <w:rPr>
                <w:rFonts w:ascii="Times New Roman" w:hAnsi="Times New Roman" w:cs="Times New Roman"/>
                <w:sz w:val="24"/>
                <w:szCs w:val="24"/>
              </w:rPr>
              <w:t>)</w:t>
            </w:r>
            <w:r>
              <w:rPr>
                <w:rFonts w:ascii="Times New Roman" w:hAnsi="Times New Roman" w:cs="Times New Roman"/>
                <w:sz w:val="24"/>
                <w:szCs w:val="24"/>
                <w:highlight w:val="yellow"/>
              </w:rPr>
              <w:t xml:space="preserve"> </w:t>
            </w:r>
            <w:r>
              <w:rPr>
                <w:rFonts w:ascii="Times New Roman" w:hAnsi="Times New Roman" w:cs="Times New Roman"/>
                <w:sz w:val="24"/>
                <w:szCs w:val="24"/>
              </w:rPr>
              <w:t>mėnesių nuo Sutarties įsigaliojimo dienos</w:t>
            </w:r>
          </w:p>
          <w:p w14:paraId="4C1794D4" w14:textId="77777777" w:rsidR="00D75BC6" w:rsidRDefault="00D75BC6">
            <w:pPr>
              <w:spacing w:after="0" w:line="240" w:lineRule="auto"/>
              <w:contextualSpacing/>
              <w:jc w:val="both"/>
              <w:rPr>
                <w:rFonts w:ascii="Times New Roman" w:hAnsi="Times New Roman" w:cs="Times New Roman"/>
                <w:sz w:val="24"/>
                <w:szCs w:val="24"/>
              </w:rPr>
            </w:pPr>
          </w:p>
        </w:tc>
      </w:tr>
      <w:tr w:rsidR="00D75BC6" w14:paraId="389EC093" w14:textId="77777777" w:rsidTr="00596D39">
        <w:trPr>
          <w:trHeight w:val="3402"/>
        </w:trPr>
        <w:tc>
          <w:tcPr>
            <w:tcW w:w="2420" w:type="dxa"/>
            <w:tcBorders>
              <w:top w:val="single" w:sz="4" w:space="0" w:color="000000"/>
              <w:left w:val="single" w:sz="4" w:space="0" w:color="000000"/>
              <w:bottom w:val="single" w:sz="4" w:space="0" w:color="000000"/>
              <w:right w:val="single" w:sz="4" w:space="0" w:color="000000"/>
            </w:tcBorders>
            <w:shd w:val="clear" w:color="auto" w:fill="auto"/>
          </w:tcPr>
          <w:p w14:paraId="2BD0B671" w14:textId="5D059717" w:rsidR="00D75BC6" w:rsidRDefault="00C149F2">
            <w:pPr>
              <w:pStyle w:val="ListParagraph"/>
              <w:numPr>
                <w:ilvl w:val="1"/>
                <w:numId w:val="2"/>
              </w:numPr>
              <w:spacing w:after="0" w:line="240" w:lineRule="auto"/>
              <w:ind w:left="397" w:hanging="397"/>
              <w:jc w:val="both"/>
              <w:textAlignment w:val="baseline"/>
              <w:rPr>
                <w:rFonts w:ascii="Times New Roman" w:hAnsi="Times New Roman" w:cs="Times New Roman"/>
                <w:b/>
                <w:sz w:val="24"/>
                <w:szCs w:val="24"/>
              </w:rPr>
            </w:pPr>
            <w:r>
              <w:rPr>
                <w:rFonts w:ascii="Times New Roman" w:hAnsi="Times New Roman" w:cs="Times New Roman"/>
                <w:b/>
                <w:sz w:val="24"/>
                <w:szCs w:val="24"/>
              </w:rPr>
              <w:t>Užsienio šalių gerosios praktikos analizė</w:t>
            </w:r>
          </w:p>
        </w:tc>
        <w:tc>
          <w:tcPr>
            <w:tcW w:w="7835" w:type="dxa"/>
            <w:tcBorders>
              <w:top w:val="single" w:sz="4" w:space="0" w:color="000000"/>
              <w:left w:val="single" w:sz="4" w:space="0" w:color="000000"/>
              <w:bottom w:val="single" w:sz="4" w:space="0" w:color="000000"/>
              <w:right w:val="single" w:sz="4" w:space="0" w:color="000000"/>
            </w:tcBorders>
            <w:shd w:val="clear" w:color="auto" w:fill="auto"/>
          </w:tcPr>
          <w:p w14:paraId="00F3D6B6" w14:textId="3C6BFB1D" w:rsidR="00D75BC6" w:rsidRDefault="00C149F2">
            <w:pPr>
              <w:pStyle w:val="ListParagraph"/>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Paslaugų teikėjas turi atlikti ne mažiau kaip 3 (trijų) užsienio šalių gerosios praktikos analizę pirkimo objekto srityje, siekiant įvertinti ir apibendrinti teisėjų atrankos ir vertinimo procesus (</w:t>
            </w:r>
            <w:r w:rsidR="00E028D9">
              <w:rPr>
                <w:rFonts w:ascii="Times New Roman" w:hAnsi="Times New Roman" w:cs="Times New Roman"/>
                <w:sz w:val="24"/>
                <w:szCs w:val="24"/>
              </w:rPr>
              <w:t xml:space="preserve">atlikti </w:t>
            </w:r>
            <w:r>
              <w:rPr>
                <w:rFonts w:ascii="Times New Roman" w:hAnsi="Times New Roman" w:cs="Times New Roman"/>
                <w:sz w:val="24"/>
                <w:szCs w:val="24"/>
              </w:rPr>
              <w:t xml:space="preserve">vertinimą, kuo remiasi savo procese, kuo vadovaujantis vyksta kompetencijų vertinimas ir pan.) bei sukauptą patirtį </w:t>
            </w:r>
            <w:r>
              <w:rPr>
                <w:rFonts w:ascii="Times New Roman" w:hAnsi="Times New Roman" w:cs="Times New Roman"/>
                <w:color w:val="000000"/>
                <w:sz w:val="24"/>
                <w:szCs w:val="24"/>
              </w:rPr>
              <w:t>(parengtas metodikas, kriterijus (pvz., teisėjų asmeninių savybių vertinimo ir pan.))</w:t>
            </w:r>
            <w:r>
              <w:rPr>
                <w:rFonts w:ascii="Times New Roman" w:hAnsi="Times New Roman" w:cs="Times New Roman"/>
                <w:sz w:val="24"/>
                <w:szCs w:val="24"/>
              </w:rPr>
              <w:t>; užsienio šalis Paslaugų teikėjas turi suderinti su Perkančiąja organizacija;</w:t>
            </w:r>
          </w:p>
          <w:p w14:paraId="2580A670" w14:textId="77777777" w:rsidR="00D75BC6" w:rsidRDefault="00C149F2">
            <w:pPr>
              <w:pStyle w:val="ListParagraph"/>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Paslaugų teikėjas privalo pateikti analizės išvadomis pagrįstas, argumentuotas ir praktiškai įgyvendinamas rekomendacijas, kurios turi būti išsamiai aprašytos organizaciniais, teisiniais aspektais, su konkrečiais pavyzdžiais, kaip užsienio šalių gerosios praktikos galėtų būti realiai pritaikomos Lietuvos teismų sistemai.</w:t>
            </w:r>
          </w:p>
        </w:tc>
        <w:tc>
          <w:tcPr>
            <w:tcW w:w="1867" w:type="dxa"/>
            <w:tcBorders>
              <w:top w:val="single" w:sz="4" w:space="0" w:color="000000"/>
              <w:left w:val="single" w:sz="4" w:space="0" w:color="000000"/>
              <w:bottom w:val="single" w:sz="4" w:space="0" w:color="000000"/>
              <w:right w:val="single" w:sz="4" w:space="0" w:color="000000"/>
            </w:tcBorders>
            <w:shd w:val="clear" w:color="auto" w:fill="auto"/>
          </w:tcPr>
          <w:p w14:paraId="537DD182" w14:textId="77777777" w:rsidR="00D75BC6" w:rsidRDefault="00C149F2">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Rezultatas_2. Užsienio šalių gerosios praktikos analizės ataskaita</w:t>
            </w:r>
          </w:p>
        </w:tc>
        <w:tc>
          <w:tcPr>
            <w:tcW w:w="1738" w:type="dxa"/>
            <w:tcBorders>
              <w:top w:val="single" w:sz="4" w:space="0" w:color="000000"/>
              <w:left w:val="single" w:sz="4" w:space="0" w:color="000000"/>
              <w:bottom w:val="single" w:sz="4" w:space="0" w:color="000000"/>
              <w:right w:val="single" w:sz="4" w:space="0" w:color="000000"/>
            </w:tcBorders>
            <w:shd w:val="clear" w:color="auto" w:fill="auto"/>
          </w:tcPr>
          <w:p w14:paraId="1CDB3DC2" w14:textId="71345E7C" w:rsidR="00D75BC6" w:rsidRDefault="00C149F2">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Per </w:t>
            </w:r>
            <w:r w:rsidR="00094774">
              <w:rPr>
                <w:rFonts w:ascii="Times New Roman" w:hAnsi="Times New Roman" w:cs="Times New Roman"/>
                <w:sz w:val="24"/>
                <w:szCs w:val="24"/>
              </w:rPr>
              <w:t>4</w:t>
            </w:r>
            <w:r>
              <w:rPr>
                <w:rFonts w:ascii="Times New Roman" w:hAnsi="Times New Roman" w:cs="Times New Roman"/>
                <w:sz w:val="24"/>
                <w:szCs w:val="24"/>
              </w:rPr>
              <w:t xml:space="preserve"> (</w:t>
            </w:r>
            <w:r w:rsidR="00102C58">
              <w:rPr>
                <w:rFonts w:ascii="Times New Roman" w:hAnsi="Times New Roman" w:cs="Times New Roman"/>
                <w:sz w:val="24"/>
                <w:szCs w:val="24"/>
              </w:rPr>
              <w:t>keturis</w:t>
            </w:r>
            <w:r>
              <w:rPr>
                <w:rFonts w:ascii="Times New Roman" w:hAnsi="Times New Roman" w:cs="Times New Roman"/>
                <w:sz w:val="24"/>
                <w:szCs w:val="24"/>
              </w:rPr>
              <w:t>)</w:t>
            </w:r>
            <w:r>
              <w:rPr>
                <w:rFonts w:ascii="Times New Roman" w:hAnsi="Times New Roman" w:cs="Times New Roman"/>
                <w:sz w:val="24"/>
                <w:szCs w:val="24"/>
                <w:shd w:val="clear" w:color="auto" w:fill="FFFF00"/>
              </w:rPr>
              <w:t xml:space="preserve"> </w:t>
            </w:r>
            <w:r>
              <w:rPr>
                <w:rFonts w:ascii="Times New Roman" w:hAnsi="Times New Roman" w:cs="Times New Roman"/>
                <w:sz w:val="24"/>
                <w:szCs w:val="24"/>
              </w:rPr>
              <w:t>mėnesius nuo Sutarties įsigaliojimo dienos</w:t>
            </w:r>
          </w:p>
          <w:p w14:paraId="21DD0F40" w14:textId="77777777" w:rsidR="00D75BC6" w:rsidRDefault="00D75BC6">
            <w:pPr>
              <w:spacing w:after="0" w:line="240" w:lineRule="auto"/>
              <w:contextualSpacing/>
              <w:jc w:val="both"/>
              <w:rPr>
                <w:rFonts w:ascii="Times New Roman" w:hAnsi="Times New Roman" w:cs="Times New Roman"/>
                <w:sz w:val="24"/>
                <w:szCs w:val="24"/>
                <w:highlight w:val="yellow"/>
              </w:rPr>
            </w:pPr>
          </w:p>
        </w:tc>
      </w:tr>
      <w:tr w:rsidR="00D75BC6" w14:paraId="422DA746" w14:textId="77777777" w:rsidTr="001A06C0">
        <w:trPr>
          <w:trHeight w:val="724"/>
        </w:trPr>
        <w:tc>
          <w:tcPr>
            <w:tcW w:w="2420" w:type="dxa"/>
            <w:tcBorders>
              <w:top w:val="single" w:sz="4" w:space="0" w:color="000000"/>
              <w:left w:val="single" w:sz="4" w:space="0" w:color="000000"/>
              <w:bottom w:val="single" w:sz="4" w:space="0" w:color="000000"/>
              <w:right w:val="single" w:sz="4" w:space="0" w:color="000000"/>
            </w:tcBorders>
            <w:shd w:val="clear" w:color="auto" w:fill="auto"/>
          </w:tcPr>
          <w:p w14:paraId="38FB70EC" w14:textId="77777777" w:rsidR="00D75BC6" w:rsidRDefault="00C149F2">
            <w:pPr>
              <w:pStyle w:val="ListParagraph"/>
              <w:numPr>
                <w:ilvl w:val="1"/>
                <w:numId w:val="2"/>
              </w:numPr>
              <w:spacing w:after="0" w:line="240" w:lineRule="auto"/>
              <w:ind w:hanging="397"/>
              <w:jc w:val="both"/>
              <w:textAlignment w:val="baseline"/>
              <w:rPr>
                <w:rFonts w:ascii="Times New Roman" w:hAnsi="Times New Roman" w:cs="Times New Roman"/>
                <w:b/>
                <w:sz w:val="24"/>
                <w:szCs w:val="24"/>
              </w:rPr>
            </w:pPr>
            <w:r>
              <w:rPr>
                <w:rFonts w:ascii="Times New Roman" w:hAnsi="Times New Roman" w:cs="Times New Roman"/>
                <w:b/>
                <w:sz w:val="24"/>
                <w:szCs w:val="24"/>
              </w:rPr>
              <w:t>Teisėjų atrankos ir vertinimo modelis</w:t>
            </w:r>
          </w:p>
          <w:p w14:paraId="3D4E9554" w14:textId="5C014D32" w:rsidR="004C57C3" w:rsidRPr="004C57C3" w:rsidRDefault="004C57C3" w:rsidP="004C57C3">
            <w:pPr>
              <w:spacing w:after="0" w:line="240" w:lineRule="auto"/>
              <w:ind w:left="-40"/>
              <w:jc w:val="both"/>
              <w:textAlignment w:val="baseline"/>
              <w:rPr>
                <w:rFonts w:ascii="Times New Roman" w:hAnsi="Times New Roman" w:cs="Times New Roman"/>
                <w:b/>
                <w:sz w:val="24"/>
                <w:szCs w:val="24"/>
              </w:rPr>
            </w:pPr>
          </w:p>
        </w:tc>
        <w:tc>
          <w:tcPr>
            <w:tcW w:w="7835" w:type="dxa"/>
            <w:tcBorders>
              <w:top w:val="single" w:sz="4" w:space="0" w:color="000000"/>
              <w:left w:val="single" w:sz="4" w:space="0" w:color="000000"/>
              <w:bottom w:val="single" w:sz="4" w:space="0" w:color="000000"/>
              <w:right w:val="single" w:sz="4" w:space="0" w:color="000000"/>
            </w:tcBorders>
            <w:shd w:val="clear" w:color="auto" w:fill="auto"/>
          </w:tcPr>
          <w:p w14:paraId="0AC38DC3" w14:textId="16722C49" w:rsidR="00D75BC6" w:rsidRDefault="00C149F2">
            <w:pPr>
              <w:pStyle w:val="ListParagraph"/>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Įvertinęs atliktos teisėjų atrankos ir vertinimo procesų esamos situacijos analizės rezultatus ir užsienio šalių gerąją praktiką, Paslaugų teikėjas turi parengti universalų teisėjų atrankos ir vertinimo modelį, apimantį žemiau nurodytas dalis:</w:t>
            </w:r>
          </w:p>
          <w:p w14:paraId="0B2227F1" w14:textId="59649A57" w:rsidR="00D75BC6" w:rsidRDefault="00C149F2">
            <w:pPr>
              <w:pStyle w:val="ListParagraph"/>
              <w:numPr>
                <w:ilvl w:val="3"/>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Paslaugų teikėjas turi pateikti kompetencijų sąrašą, kurias turi turėti  specifinės tikslinės grupės: pretendentas į teisėjus, apylinkės, </w:t>
            </w:r>
            <w:r>
              <w:rPr>
                <w:rFonts w:ascii="Times New Roman" w:hAnsi="Times New Roman" w:cs="Times New Roman"/>
                <w:color w:val="000000"/>
                <w:sz w:val="24"/>
                <w:szCs w:val="24"/>
              </w:rPr>
              <w:t>apygardos teismo, apygardos administracinio teismo, Lietuvos apeliacinio teismo ir Lietuvos vyriausiojo administracinio teismo bei Lietuvos Aukščiausiojo Teismo teisėjas;</w:t>
            </w:r>
          </w:p>
          <w:p w14:paraId="38630192" w14:textId="1A4F5B01" w:rsidR="00D75BC6" w:rsidRDefault="00C149F2">
            <w:pPr>
              <w:pStyle w:val="ListParagraph"/>
              <w:numPr>
                <w:ilvl w:val="3"/>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parengti ir išsamiai aprašyti teisėjų atrankos ir vertinimo kriterij</w:t>
            </w:r>
            <w:r w:rsidR="00596D39">
              <w:rPr>
                <w:rFonts w:ascii="Times New Roman" w:hAnsi="Times New Roman" w:cs="Times New Roman"/>
                <w:sz w:val="24"/>
                <w:szCs w:val="24"/>
              </w:rPr>
              <w:t>us</w:t>
            </w:r>
            <w:r w:rsidR="00F72C53">
              <w:rPr>
                <w:rFonts w:ascii="Times New Roman" w:hAnsi="Times New Roman" w:cs="Times New Roman"/>
                <w:sz w:val="24"/>
                <w:szCs w:val="24"/>
              </w:rPr>
              <w:t>;</w:t>
            </w:r>
          </w:p>
          <w:p w14:paraId="494020A5" w14:textId="69270DF5" w:rsidR="00D75BC6" w:rsidRDefault="00C149F2">
            <w:pPr>
              <w:pStyle w:val="ListParagraph"/>
              <w:numPr>
                <w:ilvl w:val="3"/>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parengti atrankos ir vertinimo metodines</w:t>
            </w:r>
            <w:r w:rsidR="00596D39">
              <w:rPr>
                <w:rFonts w:ascii="Times New Roman" w:hAnsi="Times New Roman" w:cs="Times New Roman"/>
                <w:sz w:val="24"/>
                <w:szCs w:val="24"/>
              </w:rPr>
              <w:t xml:space="preserve"> </w:t>
            </w:r>
            <w:r>
              <w:rPr>
                <w:rFonts w:ascii="Times New Roman" w:hAnsi="Times New Roman" w:cs="Times New Roman"/>
                <w:sz w:val="24"/>
                <w:szCs w:val="24"/>
              </w:rPr>
              <w:t>(-ę) priemones</w:t>
            </w:r>
            <w:r w:rsidR="00596D39">
              <w:rPr>
                <w:rFonts w:ascii="Times New Roman" w:hAnsi="Times New Roman" w:cs="Times New Roman"/>
                <w:sz w:val="24"/>
                <w:szCs w:val="24"/>
              </w:rPr>
              <w:t xml:space="preserve"> </w:t>
            </w:r>
            <w:r>
              <w:rPr>
                <w:rFonts w:ascii="Times New Roman" w:hAnsi="Times New Roman" w:cs="Times New Roman"/>
                <w:sz w:val="24"/>
                <w:szCs w:val="24"/>
              </w:rPr>
              <w:t>(-ę) pagal pasiūlytus vertinimo kriterijus (</w:t>
            </w:r>
            <w:r w:rsidR="00F72C53">
              <w:rPr>
                <w:rFonts w:ascii="Times New Roman" w:hAnsi="Times New Roman" w:cs="Times New Roman"/>
                <w:sz w:val="24"/>
                <w:szCs w:val="24"/>
              </w:rPr>
              <w:t xml:space="preserve">pvz., </w:t>
            </w:r>
            <w:r>
              <w:rPr>
                <w:rFonts w:ascii="Times New Roman" w:hAnsi="Times New Roman" w:cs="Times New Roman"/>
                <w:sz w:val="24"/>
                <w:szCs w:val="24"/>
              </w:rPr>
              <w:t>klausimynai, anketos, testai)</w:t>
            </w:r>
            <w:r w:rsidR="00F72C53">
              <w:rPr>
                <w:rFonts w:ascii="Times New Roman" w:hAnsi="Times New Roman" w:cs="Times New Roman"/>
                <w:sz w:val="24"/>
                <w:szCs w:val="24"/>
              </w:rPr>
              <w:t>;</w:t>
            </w:r>
          </w:p>
          <w:p w14:paraId="46D5CEBE" w14:textId="49C8350A" w:rsidR="00D75BC6" w:rsidRDefault="00C149F2">
            <w:pPr>
              <w:pStyle w:val="ListParagraph"/>
              <w:numPr>
                <w:ilvl w:val="3"/>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parengtos priemonės turi būti realiai taikomos </w:t>
            </w:r>
            <w:r w:rsidR="00F72C53">
              <w:rPr>
                <w:rFonts w:ascii="Times New Roman" w:hAnsi="Times New Roman" w:cs="Times New Roman"/>
                <w:sz w:val="24"/>
                <w:szCs w:val="24"/>
              </w:rPr>
              <w:t>ir</w:t>
            </w:r>
            <w:r>
              <w:rPr>
                <w:rFonts w:ascii="Times New Roman" w:hAnsi="Times New Roman" w:cs="Times New Roman"/>
                <w:sz w:val="24"/>
                <w:szCs w:val="24"/>
              </w:rPr>
              <w:t xml:space="preserve"> derėti tarpusavyje bei neprieštarauti teisės aktams</w:t>
            </w:r>
            <w:r w:rsidR="00F72C53">
              <w:rPr>
                <w:rFonts w:ascii="Times New Roman" w:hAnsi="Times New Roman" w:cs="Times New Roman"/>
                <w:sz w:val="24"/>
                <w:szCs w:val="24"/>
              </w:rPr>
              <w:t>;</w:t>
            </w:r>
          </w:p>
          <w:p w14:paraId="136922B9" w14:textId="32951749" w:rsidR="00D75BC6" w:rsidRDefault="00C149F2" w:rsidP="00F620CC">
            <w:pPr>
              <w:pStyle w:val="ListParagraph"/>
              <w:numPr>
                <w:ilvl w:val="3"/>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parengtų priemonių įgyvendinamumas patikrinamas validavimo sesijų metu</w:t>
            </w:r>
            <w:r w:rsidR="002B383F">
              <w:rPr>
                <w:rFonts w:ascii="Times New Roman" w:hAnsi="Times New Roman" w:cs="Times New Roman"/>
                <w:sz w:val="24"/>
                <w:szCs w:val="24"/>
              </w:rPr>
              <w:t xml:space="preserve"> (Paslaugų teikėjas turi atlikti ne mažiau nei </w:t>
            </w:r>
            <w:r w:rsidR="002B383F" w:rsidRPr="001F0029">
              <w:rPr>
                <w:rFonts w:ascii="Times New Roman" w:hAnsi="Times New Roman" w:cs="Times New Roman"/>
                <w:sz w:val="24"/>
                <w:szCs w:val="24"/>
              </w:rPr>
              <w:t>po</w:t>
            </w:r>
            <w:r w:rsidR="002B383F">
              <w:rPr>
                <w:rFonts w:ascii="Times New Roman" w:hAnsi="Times New Roman" w:cs="Times New Roman"/>
                <w:sz w:val="24"/>
                <w:szCs w:val="24"/>
              </w:rPr>
              <w:t xml:space="preserve"> 2 (dvi) valivavimo sesijas su Atrankos komisija, Vertinimo komisija)</w:t>
            </w:r>
            <w:r>
              <w:rPr>
                <w:rFonts w:ascii="Times New Roman" w:hAnsi="Times New Roman" w:cs="Times New Roman"/>
                <w:sz w:val="24"/>
                <w:szCs w:val="24"/>
              </w:rPr>
              <w:t xml:space="preserve">. Atsižvelgus į sesijų rezultatus, jeigu reikalinga, priemones </w:t>
            </w:r>
            <w:r w:rsidR="00F72C53">
              <w:rPr>
                <w:rFonts w:ascii="Times New Roman" w:hAnsi="Times New Roman" w:cs="Times New Roman"/>
                <w:sz w:val="24"/>
                <w:szCs w:val="24"/>
              </w:rPr>
              <w:t>Paslaug</w:t>
            </w:r>
            <w:r w:rsidR="00321976">
              <w:rPr>
                <w:rFonts w:ascii="Times New Roman" w:hAnsi="Times New Roman" w:cs="Times New Roman"/>
                <w:sz w:val="24"/>
                <w:szCs w:val="24"/>
              </w:rPr>
              <w:t>ų</w:t>
            </w:r>
            <w:r w:rsidR="00F72C53">
              <w:rPr>
                <w:rFonts w:ascii="Times New Roman" w:hAnsi="Times New Roman" w:cs="Times New Roman"/>
                <w:sz w:val="24"/>
                <w:szCs w:val="24"/>
              </w:rPr>
              <w:t xml:space="preserve"> teikėjas tur</w:t>
            </w:r>
            <w:r w:rsidR="00321976">
              <w:rPr>
                <w:rFonts w:ascii="Times New Roman" w:hAnsi="Times New Roman" w:cs="Times New Roman"/>
                <w:sz w:val="24"/>
                <w:szCs w:val="24"/>
              </w:rPr>
              <w:t>i</w:t>
            </w:r>
            <w:r w:rsidR="00F72C53">
              <w:rPr>
                <w:rFonts w:ascii="Times New Roman" w:hAnsi="Times New Roman" w:cs="Times New Roman"/>
                <w:sz w:val="24"/>
                <w:szCs w:val="24"/>
              </w:rPr>
              <w:t xml:space="preserve"> </w:t>
            </w:r>
            <w:r>
              <w:rPr>
                <w:rFonts w:ascii="Times New Roman" w:hAnsi="Times New Roman" w:cs="Times New Roman"/>
                <w:sz w:val="24"/>
                <w:szCs w:val="24"/>
              </w:rPr>
              <w:t>koreguoti</w:t>
            </w:r>
            <w:r w:rsidR="00321976">
              <w:rPr>
                <w:rFonts w:ascii="Times New Roman" w:hAnsi="Times New Roman" w:cs="Times New Roman"/>
                <w:sz w:val="24"/>
                <w:szCs w:val="24"/>
              </w:rPr>
              <w:t>;</w:t>
            </w:r>
          </w:p>
          <w:p w14:paraId="4365C290" w14:textId="1A5B970D" w:rsidR="00D75BC6" w:rsidRDefault="00C149F2">
            <w:pPr>
              <w:pStyle w:val="ListParagraph"/>
              <w:numPr>
                <w:ilvl w:val="3"/>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į teisėjų atrankos ir vertinimo modelį, kaip sudėtinę dalį, įtraukti teismų vadovų (teisėjų) kompetencijų modelį bei teismų vadovų (teisėjų) atrankos ir vertinimo kriterijus ir metodiką, aprašytą Kompetencijų stiprinimo efektyviam teismų ištekliui valdymo studijoje</w:t>
            </w:r>
            <w:r w:rsidR="00402122">
              <w:rPr>
                <w:rFonts w:ascii="Times New Roman" w:hAnsi="Times New Roman" w:cs="Times New Roman"/>
                <w:sz w:val="24"/>
                <w:szCs w:val="24"/>
              </w:rPr>
              <w:t xml:space="preserve"> (toliau – Kompetencijų studija</w:t>
            </w:r>
            <w:r w:rsidR="007F17A2">
              <w:rPr>
                <w:rStyle w:val="FootnoteReference"/>
                <w:rFonts w:ascii="Times New Roman" w:hAnsi="Times New Roman" w:cs="Times New Roman"/>
                <w:sz w:val="24"/>
                <w:szCs w:val="24"/>
              </w:rPr>
              <w:footnoteReference w:id="1"/>
            </w:r>
            <w:r w:rsidR="00402122">
              <w:rPr>
                <w:rFonts w:ascii="Times New Roman" w:hAnsi="Times New Roman" w:cs="Times New Roman"/>
                <w:sz w:val="24"/>
                <w:szCs w:val="24"/>
              </w:rPr>
              <w:t>)</w:t>
            </w:r>
            <w:r>
              <w:rPr>
                <w:rFonts w:ascii="Times New Roman" w:hAnsi="Times New Roman" w:cs="Times New Roman"/>
                <w:sz w:val="24"/>
                <w:szCs w:val="24"/>
              </w:rPr>
              <w:t>.</w:t>
            </w:r>
            <w:r w:rsidR="00CF175F" w:rsidRPr="00DB067C">
              <w:rPr>
                <w:rFonts w:ascii="Times New Roman" w:hAnsi="Times New Roman" w:cs="Times New Roman"/>
                <w:sz w:val="24"/>
                <w:szCs w:val="24"/>
                <w:highlight w:val="yellow"/>
              </w:rPr>
              <w:t xml:space="preserve"> </w:t>
            </w:r>
          </w:p>
        </w:tc>
        <w:tc>
          <w:tcPr>
            <w:tcW w:w="1867" w:type="dxa"/>
            <w:tcBorders>
              <w:top w:val="single" w:sz="4" w:space="0" w:color="000000"/>
              <w:left w:val="single" w:sz="4" w:space="0" w:color="000000"/>
              <w:bottom w:val="single" w:sz="4" w:space="0" w:color="000000"/>
              <w:right w:val="single" w:sz="4" w:space="0" w:color="000000"/>
            </w:tcBorders>
            <w:shd w:val="clear" w:color="auto" w:fill="auto"/>
          </w:tcPr>
          <w:p w14:paraId="31E5E05C" w14:textId="77DB5BAC" w:rsidR="00D75BC6" w:rsidRDefault="00C149F2">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Rezultatas_</w:t>
            </w:r>
            <w:r w:rsidR="00A61559">
              <w:rPr>
                <w:rFonts w:ascii="Times New Roman" w:hAnsi="Times New Roman" w:cs="Times New Roman"/>
                <w:sz w:val="24"/>
                <w:szCs w:val="24"/>
              </w:rPr>
              <w:t>3</w:t>
            </w:r>
            <w:r>
              <w:rPr>
                <w:rFonts w:ascii="Times New Roman" w:hAnsi="Times New Roman" w:cs="Times New Roman"/>
                <w:sz w:val="24"/>
                <w:szCs w:val="24"/>
              </w:rPr>
              <w:t>. Teisėjų atrankos ir vertinimo modelio dokumentacija</w:t>
            </w:r>
          </w:p>
        </w:tc>
        <w:tc>
          <w:tcPr>
            <w:tcW w:w="1738" w:type="dxa"/>
            <w:tcBorders>
              <w:top w:val="single" w:sz="4" w:space="0" w:color="000000"/>
              <w:left w:val="single" w:sz="4" w:space="0" w:color="000000"/>
              <w:bottom w:val="single" w:sz="4" w:space="0" w:color="000000"/>
              <w:right w:val="single" w:sz="4" w:space="0" w:color="000000"/>
            </w:tcBorders>
            <w:shd w:val="clear" w:color="auto" w:fill="auto"/>
          </w:tcPr>
          <w:p w14:paraId="5ADCFF4A" w14:textId="7B1031E6" w:rsidR="00D75BC6" w:rsidRDefault="00C149F2">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Per </w:t>
            </w:r>
            <w:r w:rsidR="00A61559">
              <w:rPr>
                <w:rFonts w:ascii="Times New Roman" w:hAnsi="Times New Roman" w:cs="Times New Roman"/>
                <w:sz w:val="24"/>
                <w:szCs w:val="24"/>
              </w:rPr>
              <w:t>8</w:t>
            </w:r>
            <w:r>
              <w:rPr>
                <w:rFonts w:ascii="Times New Roman" w:hAnsi="Times New Roman" w:cs="Times New Roman"/>
                <w:sz w:val="24"/>
                <w:szCs w:val="24"/>
              </w:rPr>
              <w:t xml:space="preserve"> (</w:t>
            </w:r>
            <w:r w:rsidR="00A61559">
              <w:rPr>
                <w:rFonts w:ascii="Times New Roman" w:hAnsi="Times New Roman" w:cs="Times New Roman"/>
                <w:sz w:val="24"/>
                <w:szCs w:val="24"/>
              </w:rPr>
              <w:t>aštuonis</w:t>
            </w:r>
            <w:r>
              <w:rPr>
                <w:rFonts w:ascii="Times New Roman" w:hAnsi="Times New Roman" w:cs="Times New Roman"/>
                <w:sz w:val="24"/>
                <w:szCs w:val="24"/>
              </w:rPr>
              <w:t>) mėnesius nuo Sutarties įsigaliojimo dienos</w:t>
            </w:r>
          </w:p>
          <w:p w14:paraId="6B3A99DD" w14:textId="77777777" w:rsidR="00D75BC6" w:rsidRDefault="00D75BC6">
            <w:pPr>
              <w:spacing w:after="0" w:line="240" w:lineRule="auto"/>
              <w:contextualSpacing/>
              <w:jc w:val="both"/>
              <w:rPr>
                <w:rFonts w:ascii="Times New Roman" w:hAnsi="Times New Roman" w:cs="Times New Roman"/>
                <w:sz w:val="24"/>
                <w:szCs w:val="24"/>
              </w:rPr>
            </w:pPr>
          </w:p>
        </w:tc>
      </w:tr>
      <w:tr w:rsidR="00D75BC6" w14:paraId="335552CE" w14:textId="77777777">
        <w:trPr>
          <w:trHeight w:val="829"/>
        </w:trPr>
        <w:tc>
          <w:tcPr>
            <w:tcW w:w="2420" w:type="dxa"/>
            <w:tcBorders>
              <w:top w:val="single" w:sz="4" w:space="0" w:color="000000"/>
              <w:left w:val="single" w:sz="4" w:space="0" w:color="000000"/>
              <w:bottom w:val="single" w:sz="4" w:space="0" w:color="000000"/>
              <w:right w:val="single" w:sz="4" w:space="0" w:color="000000"/>
            </w:tcBorders>
            <w:shd w:val="clear" w:color="auto" w:fill="auto"/>
          </w:tcPr>
          <w:p w14:paraId="6C770929" w14:textId="24819BD2" w:rsidR="00D75BC6" w:rsidRPr="004C57C3" w:rsidRDefault="00C149F2" w:rsidP="004C57C3">
            <w:pPr>
              <w:pStyle w:val="ListParagraph"/>
              <w:numPr>
                <w:ilvl w:val="1"/>
                <w:numId w:val="2"/>
              </w:numPr>
              <w:spacing w:after="0" w:line="240" w:lineRule="auto"/>
              <w:jc w:val="both"/>
              <w:textAlignment w:val="baseline"/>
              <w:rPr>
                <w:rFonts w:ascii="Times New Roman" w:hAnsi="Times New Roman" w:cs="Times New Roman"/>
                <w:b/>
                <w:sz w:val="24"/>
                <w:szCs w:val="24"/>
              </w:rPr>
            </w:pPr>
            <w:r w:rsidRPr="004C57C3">
              <w:rPr>
                <w:rFonts w:ascii="Times New Roman" w:hAnsi="Times New Roman" w:cs="Times New Roman"/>
                <w:b/>
                <w:sz w:val="24"/>
                <w:szCs w:val="24"/>
              </w:rPr>
              <w:t>T</w:t>
            </w:r>
            <w:r w:rsidRPr="004C57C3">
              <w:rPr>
                <w:rFonts w:ascii="Times New Roman" w:hAnsi="Times New Roman" w:cs="Times New Roman"/>
                <w:b/>
                <w:color w:val="000000"/>
                <w:sz w:val="24"/>
                <w:szCs w:val="24"/>
              </w:rPr>
              <w:t>eisės aktų projektai</w:t>
            </w:r>
          </w:p>
        </w:tc>
        <w:tc>
          <w:tcPr>
            <w:tcW w:w="7835" w:type="dxa"/>
            <w:tcBorders>
              <w:top w:val="single" w:sz="4" w:space="0" w:color="000000"/>
              <w:left w:val="single" w:sz="4" w:space="0" w:color="000000"/>
              <w:bottom w:val="single" w:sz="4" w:space="0" w:color="000000"/>
              <w:right w:val="single" w:sz="4" w:space="0" w:color="000000"/>
            </w:tcBorders>
            <w:shd w:val="clear" w:color="auto" w:fill="auto"/>
          </w:tcPr>
          <w:p w14:paraId="2DA756D7" w14:textId="47A82800" w:rsidR="00D75BC6" w:rsidRPr="004C57C3" w:rsidRDefault="00C149F2" w:rsidP="004C57C3">
            <w:pPr>
              <w:pStyle w:val="ListParagraph"/>
              <w:numPr>
                <w:ilvl w:val="2"/>
                <w:numId w:val="2"/>
              </w:numPr>
              <w:spacing w:after="0" w:line="240" w:lineRule="auto"/>
              <w:jc w:val="both"/>
              <w:textAlignment w:val="baseline"/>
              <w:rPr>
                <w:rFonts w:ascii="Times New Roman" w:hAnsi="Times New Roman" w:cs="Times New Roman"/>
                <w:sz w:val="24"/>
                <w:szCs w:val="24"/>
              </w:rPr>
            </w:pPr>
            <w:r w:rsidRPr="004C57C3">
              <w:rPr>
                <w:rFonts w:ascii="Times New Roman" w:hAnsi="Times New Roman" w:cs="Times New Roman"/>
                <w:sz w:val="24"/>
                <w:szCs w:val="24"/>
              </w:rPr>
              <w:t xml:space="preserve">Paslaugų teikėjas turi parengti ir su Perkančiąja organizacija suderinti teisės aktų, reglamentuojančių </w:t>
            </w:r>
            <w:r w:rsidRPr="004C57C3">
              <w:rPr>
                <w:rFonts w:ascii="Times New Roman" w:hAnsi="Times New Roman" w:cs="Times New Roman"/>
                <w:color w:val="000000"/>
                <w:sz w:val="24"/>
                <w:szCs w:val="24"/>
              </w:rPr>
              <w:t>teisėjų atrankos ir vertinimo modelio taikymą</w:t>
            </w:r>
            <w:r w:rsidRPr="004C57C3">
              <w:rPr>
                <w:rFonts w:ascii="Times New Roman" w:hAnsi="Times New Roman" w:cs="Times New Roman"/>
                <w:sz w:val="24"/>
                <w:szCs w:val="24"/>
              </w:rPr>
              <w:t>, sąrašą (rekomenduojamas teisės aktų</w:t>
            </w:r>
            <w:r w:rsidRPr="004C57C3">
              <w:rPr>
                <w:rFonts w:ascii="Times New Roman" w:hAnsi="Times New Roman" w:cs="Times New Roman"/>
                <w:sz w:val="24"/>
                <w:szCs w:val="24"/>
                <w:lang w:eastAsia="lt-LT"/>
              </w:rPr>
              <w:t xml:space="preserve">, kurių keitimo poreikį ir įtaką būtina įvertinti, įskaitant, bet neapsiribojant </w:t>
            </w:r>
            <w:r w:rsidRPr="004C57C3">
              <w:rPr>
                <w:rFonts w:ascii="Times New Roman" w:hAnsi="Times New Roman" w:cs="Times New Roman"/>
                <w:sz w:val="24"/>
                <w:szCs w:val="24"/>
              </w:rPr>
              <w:t xml:space="preserve">po šia lentele pateikiamu teisės aktų sąrašu); </w:t>
            </w:r>
          </w:p>
          <w:p w14:paraId="07BB5425" w14:textId="7B607FE7" w:rsidR="00D75BC6" w:rsidRDefault="00C149F2">
            <w:pPr>
              <w:pStyle w:val="ListParagraph"/>
              <w:numPr>
                <w:ilvl w:val="2"/>
                <w:numId w:val="2"/>
              </w:num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paslaugų teikėjas, vadovaudamasis Lietuvos Respublikos </w:t>
            </w:r>
            <w:r>
              <w:rPr>
                <w:rFonts w:ascii="Times New Roman" w:hAnsi="Times New Roman" w:cs="Times New Roman"/>
                <w:color w:val="000000"/>
                <w:sz w:val="24"/>
                <w:szCs w:val="24"/>
              </w:rPr>
              <w:t>įstatymų ir kitų teisės aktų rengimui taikomais reikalavimais</w:t>
            </w:r>
            <w:r>
              <w:rPr>
                <w:rFonts w:ascii="Times New Roman" w:hAnsi="Times New Roman" w:cs="Times New Roman"/>
                <w:sz w:val="24"/>
                <w:szCs w:val="24"/>
              </w:rPr>
              <w:t xml:space="preserve">, turi parengti ir su Perkančiąja organizacija suderinti </w:t>
            </w:r>
            <w:r>
              <w:rPr>
                <w:rFonts w:ascii="Times New Roman" w:hAnsi="Times New Roman" w:cs="Times New Roman"/>
                <w:color w:val="000000"/>
                <w:sz w:val="24"/>
                <w:szCs w:val="24"/>
              </w:rPr>
              <w:t xml:space="preserve">teisėjų atrankos ir vertinimo </w:t>
            </w:r>
            <w:r>
              <w:rPr>
                <w:rFonts w:ascii="Times New Roman" w:hAnsi="Times New Roman" w:cs="Times New Roman"/>
                <w:sz w:val="24"/>
                <w:szCs w:val="24"/>
              </w:rPr>
              <w:t>modelio taikymą reglamentuojančių teisės aktų projektus arba jų pakeitimo projektus su lyginamaisiais variantais. Teisės aktų projektų pateikimo forma/ struktūra turi būti suderinta su Perkančiąja organizacija;</w:t>
            </w:r>
          </w:p>
          <w:p w14:paraId="3897C158" w14:textId="77777777" w:rsidR="00D75BC6" w:rsidRDefault="00C149F2">
            <w:pPr>
              <w:pStyle w:val="ListParagraph"/>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jei rengiant ir derinant teisės aktų projektus paaiškėja aplinkybės, kad </w:t>
            </w:r>
            <w:r>
              <w:rPr>
                <w:rFonts w:ascii="Times New Roman" w:hAnsi="Times New Roman" w:cs="Times New Roman"/>
                <w:color w:val="000000"/>
                <w:sz w:val="24"/>
                <w:szCs w:val="24"/>
              </w:rPr>
              <w:t>teisėjų atrankos ir vertinimo</w:t>
            </w:r>
            <w:r>
              <w:rPr>
                <w:rFonts w:ascii="Times New Roman" w:hAnsi="Times New Roman" w:cs="Times New Roman"/>
                <w:sz w:val="24"/>
                <w:szCs w:val="24"/>
              </w:rPr>
              <w:t xml:space="preserve"> modelio nebus galima įgyvendinti dėl esminio prieštaravimo valstybės lygiu nustatytam teisiniam reglamentavimui, paslaugų tiekėjas turi atitinkamai pakoreguoti </w:t>
            </w:r>
            <w:r>
              <w:rPr>
                <w:rFonts w:ascii="Times New Roman" w:hAnsi="Times New Roman" w:cs="Times New Roman"/>
                <w:color w:val="000000"/>
                <w:sz w:val="24"/>
                <w:szCs w:val="24"/>
              </w:rPr>
              <w:t xml:space="preserve">teisėjų atrankos ir vertinimo </w:t>
            </w:r>
            <w:r>
              <w:rPr>
                <w:rFonts w:ascii="Times New Roman" w:hAnsi="Times New Roman" w:cs="Times New Roman"/>
                <w:sz w:val="24"/>
                <w:szCs w:val="24"/>
              </w:rPr>
              <w:t>modelį ir pateikti atnaujintą versiją derinimui kartu su teisės aktų projektais.</w:t>
            </w:r>
          </w:p>
        </w:tc>
        <w:tc>
          <w:tcPr>
            <w:tcW w:w="1867" w:type="dxa"/>
            <w:tcBorders>
              <w:top w:val="single" w:sz="4" w:space="0" w:color="000000"/>
              <w:left w:val="single" w:sz="4" w:space="0" w:color="000000"/>
              <w:bottom w:val="single" w:sz="4" w:space="0" w:color="000000"/>
              <w:right w:val="single" w:sz="4" w:space="0" w:color="000000"/>
            </w:tcBorders>
            <w:shd w:val="clear" w:color="auto" w:fill="auto"/>
          </w:tcPr>
          <w:p w14:paraId="30E125C3" w14:textId="298F4F58" w:rsidR="00D75BC6" w:rsidRDefault="00C149F2">
            <w:pPr>
              <w:spacing w:after="0" w:line="240" w:lineRule="auto"/>
              <w:contextualSpacing/>
              <w:rPr>
                <w:rFonts w:ascii="Times New Roman" w:hAnsi="Times New Roman" w:cs="Times New Roman"/>
                <w:sz w:val="24"/>
                <w:szCs w:val="24"/>
                <w:highlight w:val="yellow"/>
              </w:rPr>
            </w:pPr>
            <w:r>
              <w:rPr>
                <w:rFonts w:ascii="Times New Roman" w:hAnsi="Times New Roman" w:cs="Times New Roman"/>
                <w:sz w:val="24"/>
                <w:szCs w:val="24"/>
              </w:rPr>
              <w:t>Rezultatas_</w:t>
            </w:r>
            <w:r w:rsidR="00A61559">
              <w:rPr>
                <w:rFonts w:ascii="Times New Roman" w:hAnsi="Times New Roman" w:cs="Times New Roman"/>
                <w:sz w:val="24"/>
                <w:szCs w:val="24"/>
              </w:rPr>
              <w:t>4</w:t>
            </w:r>
            <w:r>
              <w:rPr>
                <w:rFonts w:ascii="Times New Roman" w:hAnsi="Times New Roman" w:cs="Times New Roman"/>
                <w:sz w:val="24"/>
                <w:szCs w:val="24"/>
              </w:rPr>
              <w:t>. Teisės aktų projektai</w:t>
            </w:r>
          </w:p>
        </w:tc>
        <w:tc>
          <w:tcPr>
            <w:tcW w:w="1738" w:type="dxa"/>
            <w:tcBorders>
              <w:top w:val="single" w:sz="4" w:space="0" w:color="000000"/>
              <w:left w:val="single" w:sz="4" w:space="0" w:color="000000"/>
              <w:bottom w:val="single" w:sz="4" w:space="0" w:color="000000"/>
              <w:right w:val="single" w:sz="4" w:space="0" w:color="000000"/>
            </w:tcBorders>
            <w:shd w:val="clear" w:color="auto" w:fill="auto"/>
          </w:tcPr>
          <w:p w14:paraId="487266AE" w14:textId="77777777" w:rsidR="00D75BC6" w:rsidRDefault="00C149F2">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Per 8 (aštuonis) mėnesius nuo Sutarties įsigaliojimo dienos</w:t>
            </w:r>
          </w:p>
          <w:p w14:paraId="67DA0DEE" w14:textId="77777777" w:rsidR="00D75BC6" w:rsidRDefault="00D75BC6">
            <w:pPr>
              <w:spacing w:after="0" w:line="240" w:lineRule="auto"/>
              <w:contextualSpacing/>
              <w:jc w:val="both"/>
              <w:rPr>
                <w:rFonts w:ascii="Times New Roman" w:hAnsi="Times New Roman" w:cs="Times New Roman"/>
                <w:sz w:val="24"/>
                <w:szCs w:val="24"/>
              </w:rPr>
            </w:pPr>
          </w:p>
        </w:tc>
      </w:tr>
    </w:tbl>
    <w:p w14:paraId="6B567F87" w14:textId="77777777" w:rsidR="00D75BC6" w:rsidRDefault="00D75BC6">
      <w:pPr>
        <w:pStyle w:val="ListParagraph"/>
        <w:spacing w:line="240" w:lineRule="auto"/>
        <w:jc w:val="both"/>
        <w:rPr>
          <w:rFonts w:ascii="Times New Roman" w:hAnsi="Times New Roman" w:cs="Times New Roman"/>
          <w:sz w:val="24"/>
          <w:szCs w:val="24"/>
        </w:rPr>
      </w:pPr>
    </w:p>
    <w:p w14:paraId="64881F31" w14:textId="77777777" w:rsidR="00025742" w:rsidRDefault="00C149F2" w:rsidP="004C57C3">
      <w:pPr>
        <w:tabs>
          <w:tab w:val="left" w:pos="-5245"/>
          <w:tab w:val="left" w:pos="-5103"/>
        </w:tabs>
        <w:spacing w:after="0" w:line="240" w:lineRule="auto"/>
        <w:ind w:firstLine="720"/>
        <w:contextualSpacing/>
        <w:jc w:val="both"/>
        <w:rPr>
          <w:rFonts w:ascii="Times New Roman" w:eastAsia="Calibri" w:hAnsi="Times New Roman" w:cs="Times New Roman"/>
          <w:sz w:val="24"/>
          <w:szCs w:val="24"/>
          <w:lang w:eastAsia="lt-LT"/>
        </w:rPr>
      </w:pPr>
      <w:r>
        <w:rPr>
          <w:rFonts w:ascii="Times New Roman" w:hAnsi="Times New Roman" w:cs="Times New Roman"/>
          <w:sz w:val="24"/>
          <w:szCs w:val="24"/>
        </w:rPr>
        <w:t xml:space="preserve">PASTABA. </w:t>
      </w:r>
      <w:r w:rsidR="00321976" w:rsidRPr="00321976">
        <w:rPr>
          <w:rFonts w:ascii="Times New Roman" w:eastAsia="Calibri" w:hAnsi="Times New Roman" w:cs="Times New Roman"/>
          <w:sz w:val="24"/>
          <w:szCs w:val="24"/>
          <w:lang w:eastAsia="lt-LT"/>
        </w:rPr>
        <w:t>jei nėra galimybės įgyvendinti techninės specifikacijos punkt</w:t>
      </w:r>
      <w:r w:rsidR="00025742">
        <w:rPr>
          <w:rFonts w:ascii="Times New Roman" w:eastAsia="Calibri" w:hAnsi="Times New Roman" w:cs="Times New Roman"/>
          <w:sz w:val="24"/>
          <w:szCs w:val="24"/>
          <w:lang w:eastAsia="lt-LT"/>
        </w:rPr>
        <w:t>o</w:t>
      </w:r>
      <w:r w:rsidR="00321976" w:rsidRPr="00321976">
        <w:rPr>
          <w:rFonts w:ascii="Times New Roman" w:eastAsia="Calibri" w:hAnsi="Times New Roman" w:cs="Times New Roman"/>
          <w:sz w:val="24"/>
          <w:szCs w:val="24"/>
          <w:lang w:eastAsia="lt-LT"/>
        </w:rPr>
        <w:t xml:space="preserve"> 6.1.</w:t>
      </w:r>
      <w:r w:rsidR="00025742">
        <w:rPr>
          <w:rFonts w:ascii="Times New Roman" w:eastAsia="Calibri" w:hAnsi="Times New Roman" w:cs="Times New Roman"/>
          <w:sz w:val="24"/>
          <w:szCs w:val="24"/>
          <w:lang w:eastAsia="lt-LT"/>
        </w:rPr>
        <w:t>3</w:t>
      </w:r>
      <w:r w:rsidR="00321976" w:rsidRPr="00321976">
        <w:rPr>
          <w:rFonts w:ascii="Times New Roman" w:eastAsia="Calibri" w:hAnsi="Times New Roman" w:cs="Times New Roman"/>
          <w:sz w:val="24"/>
          <w:szCs w:val="24"/>
          <w:lang w:eastAsia="lt-LT"/>
        </w:rPr>
        <w:t xml:space="preserve"> taip kaip įvardinta dėl susidariusios situacijos šalyje ir pasaulyje, t. y. dėl COVID-19, paskelbto karantino ir pan., Paslaugų teikėjas turi kreiptis ir suderinti su Perkančiąją organizacija paslaugų atlikimą kitu būdu (pvz., </w:t>
      </w:r>
      <w:r w:rsidR="00025742">
        <w:rPr>
          <w:rFonts w:ascii="Times New Roman" w:eastAsia="Calibri" w:hAnsi="Times New Roman" w:cs="Times New Roman"/>
          <w:sz w:val="24"/>
          <w:szCs w:val="24"/>
          <w:lang w:eastAsia="lt-LT"/>
        </w:rPr>
        <w:t xml:space="preserve">atliekant apklausą </w:t>
      </w:r>
      <w:r w:rsidR="00321976" w:rsidRPr="00321976">
        <w:rPr>
          <w:rFonts w:ascii="Times New Roman" w:eastAsia="Calibri" w:hAnsi="Times New Roman" w:cs="Times New Roman"/>
          <w:sz w:val="24"/>
          <w:szCs w:val="24"/>
          <w:lang w:eastAsia="lt-LT"/>
        </w:rPr>
        <w:t>nuotoliniu būdu).</w:t>
      </w:r>
    </w:p>
    <w:p w14:paraId="43C0804C" w14:textId="77777777" w:rsidR="00D75BC6" w:rsidRDefault="00D75BC6" w:rsidP="003F7E19">
      <w:pPr>
        <w:tabs>
          <w:tab w:val="left" w:pos="-5245"/>
          <w:tab w:val="left" w:pos="-5103"/>
        </w:tabs>
        <w:spacing w:after="0" w:line="240" w:lineRule="auto"/>
        <w:ind w:left="720" w:firstLine="720"/>
        <w:contextualSpacing/>
        <w:jc w:val="both"/>
        <w:rPr>
          <w:rFonts w:ascii="Times New Roman" w:hAnsi="Times New Roman" w:cs="Times New Roman"/>
          <w:sz w:val="24"/>
          <w:szCs w:val="24"/>
        </w:rPr>
      </w:pPr>
    </w:p>
    <w:p w14:paraId="4B06C88A" w14:textId="77777777" w:rsidR="00D75BC6" w:rsidRDefault="00C149F2">
      <w:pPr>
        <w:pStyle w:val="ListParagraph"/>
        <w:tabs>
          <w:tab w:val="left" w:pos="-5245"/>
          <w:tab w:val="left" w:pos="-5103"/>
        </w:tabs>
        <w:spacing w:after="0" w:line="240" w:lineRule="auto"/>
        <w:ind w:left="0" w:firstLine="720"/>
        <w:jc w:val="both"/>
        <w:rPr>
          <w:rFonts w:ascii="Times New Roman" w:hAnsi="Times New Roman" w:cs="Times New Roman"/>
          <w:b/>
          <w:sz w:val="24"/>
          <w:szCs w:val="24"/>
          <w:lang w:eastAsia="lt-LT"/>
        </w:rPr>
      </w:pPr>
      <w:r>
        <w:rPr>
          <w:rFonts w:ascii="Times New Roman" w:hAnsi="Times New Roman" w:cs="Times New Roman"/>
          <w:b/>
          <w:sz w:val="24"/>
          <w:szCs w:val="24"/>
          <w:lang w:eastAsia="lt-LT"/>
        </w:rPr>
        <w:t>Teisės aktų, kurių keitimo poreikį ir įtaką būtina įvertinti, tačiau jais neapsiribojant, sąrašas:</w:t>
      </w:r>
    </w:p>
    <w:p w14:paraId="5E48234F" w14:textId="77777777" w:rsidR="00D75BC6" w:rsidRDefault="00C149F2">
      <w:pPr>
        <w:pStyle w:val="ListParagraph"/>
        <w:numPr>
          <w:ilvl w:val="0"/>
          <w:numId w:val="12"/>
        </w:numPr>
        <w:tabs>
          <w:tab w:val="left" w:pos="-5245"/>
          <w:tab w:val="left" w:pos="-5103"/>
        </w:tabs>
        <w:spacing w:after="0" w:line="240" w:lineRule="auto"/>
        <w:jc w:val="both"/>
        <w:textAlignment w:val="baseline"/>
        <w:rPr>
          <w:rFonts w:ascii="Times New Roman" w:hAnsi="Times New Roman" w:cs="Times New Roman"/>
          <w:sz w:val="24"/>
          <w:szCs w:val="24"/>
          <w:lang w:eastAsia="lt-LT"/>
        </w:rPr>
      </w:pPr>
      <w:r>
        <w:rPr>
          <w:rFonts w:ascii="Times New Roman" w:hAnsi="Times New Roman" w:cs="Times New Roman"/>
          <w:sz w:val="24"/>
          <w:szCs w:val="24"/>
          <w:lang w:eastAsia="lt-LT"/>
        </w:rPr>
        <w:t>Lietuvos Respublikos teismų įstatymas;</w:t>
      </w:r>
    </w:p>
    <w:p w14:paraId="107F6AFD" w14:textId="77777777" w:rsidR="00D75BC6" w:rsidRDefault="00C149F2">
      <w:pPr>
        <w:pStyle w:val="ListParagraph"/>
        <w:numPr>
          <w:ilvl w:val="0"/>
          <w:numId w:val="11"/>
        </w:numPr>
        <w:tabs>
          <w:tab w:val="left" w:pos="-5245"/>
          <w:tab w:val="left" w:pos="-5103"/>
        </w:tabs>
        <w:spacing w:after="0" w:line="240" w:lineRule="auto"/>
        <w:jc w:val="both"/>
        <w:textAlignment w:val="baseline"/>
        <w:rPr>
          <w:rFonts w:ascii="Times New Roman" w:hAnsi="Times New Roman" w:cs="Times New Roman"/>
          <w:sz w:val="24"/>
          <w:szCs w:val="24"/>
          <w:lang w:eastAsia="lt-LT"/>
        </w:rPr>
      </w:pPr>
      <w:r>
        <w:rPr>
          <w:rFonts w:ascii="Times New Roman" w:hAnsi="Times New Roman" w:cs="Times New Roman"/>
          <w:sz w:val="24"/>
          <w:szCs w:val="24"/>
          <w:lang w:eastAsia="lt-LT"/>
        </w:rPr>
        <w:t>Lietuvos Respublikos Prezidento 2020 m. balandžio 2 d. dekretas Nr. 1K-242 „Dėl Teisėjų atrankos skelbimo ir organizavimo tvarkos aprašo tvirtinimo“ (su visais pakeitimais ir papildymais);</w:t>
      </w:r>
    </w:p>
    <w:p w14:paraId="033824DC" w14:textId="77777777" w:rsidR="00D75BC6" w:rsidRDefault="00C149F2">
      <w:pPr>
        <w:pStyle w:val="ListParagraph"/>
        <w:numPr>
          <w:ilvl w:val="0"/>
          <w:numId w:val="11"/>
        </w:numPr>
        <w:tabs>
          <w:tab w:val="left" w:pos="-5245"/>
          <w:tab w:val="left" w:pos="-5103"/>
        </w:tabs>
        <w:spacing w:after="0" w:line="240" w:lineRule="auto"/>
        <w:jc w:val="both"/>
        <w:textAlignment w:val="baseline"/>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Lietuvos Respublikos Prezidento 2020 m. balandžio 2 d. dekretas Nr. 1K-243 „Dėl Pretendentų į teisėjus atrankos komisijos darbo tvarkos aprašo tvirtinimo“ (su visais pakeitimais ir papildymais);</w:t>
      </w:r>
    </w:p>
    <w:p w14:paraId="1BEAC133" w14:textId="77777777" w:rsidR="00D75BC6" w:rsidRDefault="00C149F2">
      <w:pPr>
        <w:pStyle w:val="ListParagraph"/>
        <w:numPr>
          <w:ilvl w:val="0"/>
          <w:numId w:val="11"/>
        </w:numPr>
        <w:tabs>
          <w:tab w:val="left" w:pos="-5245"/>
          <w:tab w:val="left" w:pos="-5103"/>
        </w:tabs>
        <w:spacing w:after="0" w:line="240" w:lineRule="auto"/>
        <w:jc w:val="both"/>
        <w:textAlignment w:val="baseline"/>
        <w:rPr>
          <w:rFonts w:ascii="Times New Roman" w:hAnsi="Times New Roman" w:cs="Times New Roman"/>
          <w:sz w:val="24"/>
          <w:szCs w:val="24"/>
          <w:lang w:eastAsia="lt-LT"/>
        </w:rPr>
      </w:pPr>
      <w:r>
        <w:rPr>
          <w:rFonts w:ascii="Times New Roman" w:hAnsi="Times New Roman" w:cs="Times New Roman"/>
          <w:sz w:val="24"/>
          <w:szCs w:val="24"/>
          <w:lang w:eastAsia="lt-LT"/>
        </w:rPr>
        <w:t>Teisėjų tarybos 2014 m. spalio 31 d. nutarimas Nr. 13P-134-(7.1.2) „Dėl Nuolatinės teisėjų veiklos vertinimo komisijos nuostatų patvirtinimo“ (su visais pakeitimais ir papildymais);</w:t>
      </w:r>
    </w:p>
    <w:p w14:paraId="18027AA1" w14:textId="77777777" w:rsidR="00D75BC6" w:rsidRDefault="00C149F2">
      <w:pPr>
        <w:pStyle w:val="ListParagraph"/>
        <w:numPr>
          <w:ilvl w:val="0"/>
          <w:numId w:val="11"/>
        </w:numPr>
        <w:tabs>
          <w:tab w:val="left" w:pos="-5245"/>
          <w:tab w:val="left" w:pos="-5103"/>
        </w:tabs>
        <w:spacing w:after="0" w:line="240" w:lineRule="auto"/>
        <w:jc w:val="both"/>
        <w:textAlignment w:val="baseline"/>
        <w:rPr>
          <w:rFonts w:ascii="Times New Roman" w:hAnsi="Times New Roman" w:cs="Times New Roman"/>
          <w:sz w:val="24"/>
          <w:szCs w:val="24"/>
          <w:lang w:eastAsia="lt-LT"/>
        </w:rPr>
      </w:pPr>
      <w:r>
        <w:rPr>
          <w:rFonts w:ascii="Times New Roman" w:hAnsi="Times New Roman" w:cs="Times New Roman"/>
          <w:sz w:val="24"/>
          <w:szCs w:val="24"/>
          <w:lang w:eastAsia="lt-LT"/>
        </w:rPr>
        <w:t>Teisėjų tarybos 2014 m. spalio 31 d. nutarimas Nr. 13P-135-(7.1.2) „Dėl Teisėjų veiklos vertinimo tvarkos aprašo patvirtinimo“ (su visais pakeitimais ir papildymais);</w:t>
      </w:r>
    </w:p>
    <w:p w14:paraId="32272657" w14:textId="77777777" w:rsidR="00D75BC6" w:rsidRDefault="00C149F2">
      <w:pPr>
        <w:pStyle w:val="ListParagraph"/>
        <w:numPr>
          <w:ilvl w:val="0"/>
          <w:numId w:val="11"/>
        </w:numPr>
        <w:tabs>
          <w:tab w:val="left" w:pos="-5245"/>
          <w:tab w:val="left" w:pos="-5103"/>
        </w:tabs>
        <w:spacing w:after="0" w:line="240" w:lineRule="auto"/>
        <w:jc w:val="both"/>
        <w:textAlignment w:val="baseline"/>
        <w:rPr>
          <w:rFonts w:ascii="Times New Roman" w:hAnsi="Times New Roman" w:cs="Times New Roman"/>
          <w:sz w:val="24"/>
          <w:szCs w:val="24"/>
          <w:lang w:eastAsia="lt-LT"/>
        </w:rPr>
      </w:pPr>
      <w:r>
        <w:rPr>
          <w:rFonts w:ascii="Times New Roman" w:hAnsi="Times New Roman" w:cs="Times New Roman"/>
          <w:sz w:val="24"/>
          <w:szCs w:val="24"/>
          <w:lang w:eastAsia="lt-LT"/>
        </w:rPr>
        <w:t>Teisėjų tarybos 2019 m. rugsėjo 27 d. nutarimas Nr. 13P-161-(7.1.2.) „Dėl Pretendentų į apylinkės teismo teisėjus atrankos kriterijų patvirtinimo“ (su visais pakeitimais ir papildymais);</w:t>
      </w:r>
    </w:p>
    <w:p w14:paraId="22F6A5C2" w14:textId="77777777" w:rsidR="00D75BC6" w:rsidRDefault="00C149F2">
      <w:pPr>
        <w:pStyle w:val="ListParagraph"/>
        <w:numPr>
          <w:ilvl w:val="0"/>
          <w:numId w:val="11"/>
        </w:numPr>
        <w:tabs>
          <w:tab w:val="left" w:pos="-5245"/>
          <w:tab w:val="left" w:pos="-5103"/>
        </w:tabs>
        <w:spacing w:after="0" w:line="240" w:lineRule="auto"/>
        <w:jc w:val="both"/>
        <w:textAlignment w:val="baseline"/>
        <w:rPr>
          <w:rFonts w:ascii="Times New Roman" w:hAnsi="Times New Roman" w:cs="Times New Roman"/>
          <w:sz w:val="24"/>
          <w:szCs w:val="24"/>
          <w:lang w:eastAsia="lt-LT"/>
        </w:rPr>
      </w:pPr>
      <w:r>
        <w:rPr>
          <w:rFonts w:ascii="Times New Roman" w:hAnsi="Times New Roman" w:cs="Times New Roman"/>
          <w:sz w:val="24"/>
          <w:szCs w:val="24"/>
          <w:lang w:eastAsia="lt-LT"/>
        </w:rPr>
        <w:t>Teisėjų tarybos 2019 m. rugsėjo 27 d. nutarimas Nr. 13P-160-(7.1.2) „Dėl Teisėjų karjeros siekiančių, į kitą teismą perkeliamų ar skiriamų asmenų vertinimo kriterijų patvirtinimo“ (su visais pakeitimais ir papildymais);</w:t>
      </w:r>
    </w:p>
    <w:p w14:paraId="6B41C842" w14:textId="77777777" w:rsidR="00D75BC6" w:rsidRDefault="00C149F2">
      <w:pPr>
        <w:pStyle w:val="ListParagraph"/>
        <w:numPr>
          <w:ilvl w:val="0"/>
          <w:numId w:val="11"/>
        </w:numPr>
        <w:tabs>
          <w:tab w:val="left" w:pos="-5245"/>
          <w:tab w:val="left" w:pos="-5103"/>
        </w:tabs>
        <w:spacing w:after="0" w:line="240" w:lineRule="auto"/>
        <w:jc w:val="both"/>
        <w:textAlignment w:val="baseline"/>
        <w:rPr>
          <w:rFonts w:ascii="Times New Roman" w:hAnsi="Times New Roman" w:cs="Times New Roman"/>
          <w:sz w:val="24"/>
          <w:szCs w:val="24"/>
          <w:lang w:eastAsia="lt-LT"/>
        </w:rPr>
      </w:pPr>
      <w:r>
        <w:rPr>
          <w:rFonts w:ascii="Times New Roman" w:hAnsi="Times New Roman" w:cs="Times New Roman"/>
          <w:sz w:val="24"/>
          <w:szCs w:val="24"/>
          <w:lang w:eastAsia="lt-LT"/>
        </w:rPr>
        <w:t>Lietuvos Respublikos sveikatos apsaugos ministro ir Lietuvos Respublikos teisingumo ministro 2009 m. kovo 19 d įsakymas Nr. V-196/1R-80 „Dėl Reikalavimų pretendentų į teisėjus ir teisėjų sveikatai ir pretendentų į teisėjus ir teisėjų sveikatos tikrinimo tvarkos aprašo patvirtinimo“ (su visais pakeitimai ir papildymai);</w:t>
      </w:r>
    </w:p>
    <w:p w14:paraId="55AC8270" w14:textId="77777777" w:rsidR="00D75BC6" w:rsidRDefault="00D75BC6">
      <w:pPr>
        <w:pStyle w:val="ListParagraph"/>
        <w:tabs>
          <w:tab w:val="left" w:pos="-5245"/>
          <w:tab w:val="left" w:pos="-5103"/>
        </w:tabs>
        <w:spacing w:after="0" w:line="240" w:lineRule="auto"/>
        <w:ind w:left="709"/>
        <w:jc w:val="both"/>
        <w:textAlignment w:val="baseline"/>
        <w:rPr>
          <w:rFonts w:ascii="Times New Roman" w:hAnsi="Times New Roman" w:cs="Times New Roman"/>
          <w:sz w:val="24"/>
          <w:szCs w:val="24"/>
          <w:lang w:eastAsia="lt-LT"/>
        </w:rPr>
      </w:pPr>
    </w:p>
    <w:p w14:paraId="5614E345" w14:textId="77777777" w:rsidR="00D75BC6" w:rsidRDefault="00D75BC6">
      <w:pPr>
        <w:tabs>
          <w:tab w:val="left" w:pos="-5245"/>
          <w:tab w:val="left" w:pos="-5103"/>
        </w:tabs>
        <w:spacing w:after="0" w:line="240" w:lineRule="auto"/>
        <w:contextualSpacing/>
        <w:jc w:val="both"/>
        <w:textAlignment w:val="baseline"/>
        <w:rPr>
          <w:rFonts w:ascii="Times New Roman" w:hAnsi="Times New Roman" w:cs="Times New Roman"/>
          <w:sz w:val="24"/>
          <w:szCs w:val="24"/>
          <w:lang w:eastAsia="lt-LT"/>
        </w:rPr>
      </w:pPr>
    </w:p>
    <w:p w14:paraId="7A5FAD12" w14:textId="77777777" w:rsidR="00D75BC6" w:rsidRDefault="00D75BC6">
      <w:pPr>
        <w:spacing w:line="240" w:lineRule="auto"/>
        <w:jc w:val="both"/>
        <w:rPr>
          <w:rFonts w:ascii="Times New Roman" w:hAnsi="Times New Roman" w:cs="Times New Roman"/>
          <w:sz w:val="24"/>
          <w:szCs w:val="24"/>
        </w:rPr>
      </w:pPr>
    </w:p>
    <w:p w14:paraId="437F9808" w14:textId="77777777" w:rsidR="00D75BC6" w:rsidRDefault="00D75BC6">
      <w:pPr>
        <w:pStyle w:val="ListParagraph"/>
        <w:spacing w:line="240" w:lineRule="auto"/>
        <w:jc w:val="both"/>
        <w:rPr>
          <w:rFonts w:ascii="Times New Roman" w:hAnsi="Times New Roman" w:cs="Times New Roman"/>
          <w:sz w:val="24"/>
          <w:szCs w:val="24"/>
        </w:rPr>
      </w:pPr>
    </w:p>
    <w:p w14:paraId="10F83490" w14:textId="77777777" w:rsidR="00D75BC6" w:rsidRDefault="00D75BC6">
      <w:pPr>
        <w:pStyle w:val="ListParagraph"/>
        <w:spacing w:line="240" w:lineRule="auto"/>
        <w:jc w:val="both"/>
        <w:rPr>
          <w:rFonts w:ascii="Times New Roman" w:hAnsi="Times New Roman" w:cs="Times New Roman"/>
          <w:sz w:val="24"/>
          <w:szCs w:val="24"/>
        </w:rPr>
      </w:pPr>
    </w:p>
    <w:p w14:paraId="1D0540FF" w14:textId="77777777" w:rsidR="00D75BC6" w:rsidRDefault="00D75BC6">
      <w:pPr>
        <w:pStyle w:val="ListParagraph"/>
        <w:spacing w:line="240" w:lineRule="auto"/>
        <w:jc w:val="both"/>
        <w:rPr>
          <w:rFonts w:ascii="Times New Roman" w:hAnsi="Times New Roman" w:cs="Times New Roman"/>
          <w:sz w:val="24"/>
          <w:szCs w:val="24"/>
        </w:rPr>
      </w:pPr>
    </w:p>
    <w:p w14:paraId="6D9B3174" w14:textId="77777777" w:rsidR="00D75BC6" w:rsidRDefault="00D75BC6">
      <w:pPr>
        <w:pStyle w:val="ListParagraph"/>
        <w:spacing w:line="240" w:lineRule="auto"/>
        <w:jc w:val="both"/>
        <w:rPr>
          <w:rFonts w:ascii="Times New Roman" w:hAnsi="Times New Roman" w:cs="Times New Roman"/>
          <w:sz w:val="24"/>
          <w:szCs w:val="24"/>
        </w:rPr>
      </w:pPr>
    </w:p>
    <w:p w14:paraId="75C51F88" w14:textId="77777777" w:rsidR="00D75BC6" w:rsidRDefault="00D75BC6">
      <w:pPr>
        <w:pStyle w:val="ListParagraph"/>
        <w:spacing w:line="240" w:lineRule="auto"/>
        <w:jc w:val="both"/>
        <w:rPr>
          <w:rFonts w:ascii="Times New Roman" w:hAnsi="Times New Roman" w:cs="Times New Roman"/>
          <w:sz w:val="24"/>
          <w:szCs w:val="24"/>
        </w:rPr>
      </w:pPr>
    </w:p>
    <w:p w14:paraId="26578FEE" w14:textId="77777777" w:rsidR="00D75BC6" w:rsidRDefault="00D75BC6">
      <w:pPr>
        <w:pStyle w:val="ListParagraph"/>
        <w:spacing w:line="240" w:lineRule="auto"/>
        <w:jc w:val="both"/>
        <w:rPr>
          <w:rFonts w:ascii="Times New Roman" w:hAnsi="Times New Roman" w:cs="Times New Roman"/>
          <w:sz w:val="24"/>
          <w:szCs w:val="24"/>
        </w:rPr>
      </w:pPr>
    </w:p>
    <w:p w14:paraId="08396A1E" w14:textId="77777777" w:rsidR="00D75BC6" w:rsidRDefault="00D75BC6">
      <w:pPr>
        <w:pStyle w:val="ListParagraph"/>
        <w:spacing w:line="240" w:lineRule="auto"/>
        <w:jc w:val="both"/>
        <w:rPr>
          <w:rFonts w:ascii="Times New Roman" w:hAnsi="Times New Roman" w:cs="Times New Roman"/>
          <w:sz w:val="24"/>
          <w:szCs w:val="24"/>
        </w:rPr>
        <w:sectPr w:rsidR="00D75BC6">
          <w:headerReference w:type="default" r:id="rId14"/>
          <w:footerReference w:type="default" r:id="rId15"/>
          <w:pgSz w:w="16838" w:h="11906" w:orient="landscape"/>
          <w:pgMar w:top="1134" w:right="1276" w:bottom="851" w:left="1701" w:header="567" w:footer="567" w:gutter="0"/>
          <w:cols w:space="1296"/>
          <w:formProt w:val="0"/>
          <w:docGrid w:linePitch="360" w:charSpace="4096"/>
        </w:sectPr>
      </w:pPr>
    </w:p>
    <w:p w14:paraId="1DA8AD69" w14:textId="77777777" w:rsidR="00D75BC6" w:rsidRDefault="00C149F2">
      <w:pPr>
        <w:numPr>
          <w:ilvl w:val="0"/>
          <w:numId w:val="1"/>
        </w:numPr>
        <w:spacing w:before="240" w:after="240" w:line="240" w:lineRule="auto"/>
        <w:ind w:left="720"/>
        <w:contextualSpacing/>
        <w:jc w:val="center"/>
        <w:textAlignment w:val="baseline"/>
        <w:rPr>
          <w:rFonts w:ascii="Times New Roman" w:eastAsia="Calibri" w:hAnsi="Times New Roman" w:cs="Times New Roman"/>
          <w:b/>
          <w:caps/>
          <w:w w:val="102"/>
          <w:sz w:val="24"/>
          <w:szCs w:val="24"/>
        </w:rPr>
      </w:pPr>
      <w:r>
        <w:rPr>
          <w:rFonts w:ascii="Times New Roman" w:eastAsia="Calibri" w:hAnsi="Times New Roman" w:cs="Times New Roman"/>
          <w:b/>
          <w:caps/>
          <w:w w:val="102"/>
          <w:sz w:val="24"/>
          <w:szCs w:val="24"/>
        </w:rPr>
        <w:lastRenderedPageBreak/>
        <w:t>REIKALAVIMAI BENDRADARBIAVIMUI ir dokumentacijai</w:t>
      </w:r>
    </w:p>
    <w:p w14:paraId="6B114492" w14:textId="51506EF4" w:rsidR="00D75BC6" w:rsidRDefault="00C149F2">
      <w:pPr>
        <w:pStyle w:val="ListParagraph"/>
        <w:numPr>
          <w:ilvl w:val="1"/>
          <w:numId w:val="9"/>
        </w:numPr>
        <w:tabs>
          <w:tab w:val="left" w:pos="993"/>
        </w:tabs>
        <w:spacing w:after="0" w:line="240" w:lineRule="auto"/>
        <w:jc w:val="both"/>
        <w:textAlignment w:val="baseline"/>
        <w:rPr>
          <w:rFonts w:ascii="Times New Roman" w:eastAsia="Calibri" w:hAnsi="Times New Roman" w:cs="Times New Roman"/>
          <w:color w:val="000000" w:themeColor="text1"/>
          <w:sz w:val="24"/>
          <w:szCs w:val="24"/>
        </w:rPr>
      </w:pPr>
      <w:r>
        <w:rPr>
          <w:rFonts w:ascii="Times New Roman" w:eastAsia="Calibri" w:hAnsi="Times New Roman" w:cs="Times New Roman"/>
          <w:color w:val="000000"/>
          <w:sz w:val="24"/>
          <w:szCs w:val="24"/>
        </w:rPr>
        <w:t>Paslaugų teikėjas paslaugų teikimo tikslais neatlygintinai privalo bendradarbiauti (įskaitant dalyvavimą susitikimuose, darbo grupės posėdžiuose</w:t>
      </w:r>
      <w:r w:rsidR="00186DF5">
        <w:rPr>
          <w:rFonts w:ascii="Times New Roman" w:eastAsia="Calibri" w:hAnsi="Times New Roman" w:cs="Times New Roman"/>
          <w:color w:val="000000"/>
          <w:sz w:val="24"/>
          <w:szCs w:val="24"/>
        </w:rPr>
        <w:t xml:space="preserve"> (jei darbo grupė bus suformuota)</w:t>
      </w:r>
      <w:r>
        <w:rPr>
          <w:rFonts w:ascii="Times New Roman" w:eastAsia="Calibri" w:hAnsi="Times New Roman" w:cs="Times New Roman"/>
          <w:color w:val="000000"/>
          <w:sz w:val="24"/>
          <w:szCs w:val="24"/>
        </w:rPr>
        <w:t>, vaizdo konferencijose ir pan.) su Perkančiosios organizacijos, teismų atstovais</w:t>
      </w:r>
      <w:r w:rsidR="00402122">
        <w:rPr>
          <w:rFonts w:ascii="Times New Roman" w:eastAsia="Calibri" w:hAnsi="Times New Roman" w:cs="Times New Roman"/>
          <w:color w:val="000000"/>
          <w:sz w:val="24"/>
          <w:szCs w:val="24"/>
        </w:rPr>
        <w:t>, Kompetencijų studijos rengimo paslaugų teikėju</w:t>
      </w:r>
      <w:r>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themeColor="text1"/>
          <w:sz w:val="24"/>
          <w:szCs w:val="24"/>
        </w:rPr>
        <w:t>ir su Perkančiosios organizacijos nurodytu užsienio ekspertu, konsultuotis su juo rengiant teisėjų atrankos ir vertinimo modelį, prireikus rengti glaustą informaciją anglų kalba, teikti ją derinti užsienio ekspertui ir atsižvelgti į jo teikiamas pastabas bei įžvalgas teisėjų atrankos ir vertinimo modeliui.</w:t>
      </w:r>
    </w:p>
    <w:p w14:paraId="16943B5C" w14:textId="784D1749" w:rsidR="00402122" w:rsidRDefault="00402122" w:rsidP="00402122">
      <w:pPr>
        <w:pStyle w:val="ListParagraph"/>
        <w:numPr>
          <w:ilvl w:val="1"/>
          <w:numId w:val="9"/>
        </w:numPr>
        <w:tabs>
          <w:tab w:val="left" w:pos="993"/>
        </w:tabs>
        <w:spacing w:after="0" w:line="240" w:lineRule="auto"/>
        <w:jc w:val="both"/>
        <w:textAlignment w:val="baseline"/>
        <w:rPr>
          <w:rFonts w:ascii="Times New Roman" w:eastAsia="Calibri" w:hAnsi="Times New Roman" w:cs="Times New Roman"/>
          <w:color w:val="000000" w:themeColor="text1"/>
          <w:sz w:val="24"/>
          <w:szCs w:val="24"/>
        </w:rPr>
      </w:pPr>
      <w:r w:rsidRPr="00186DF5">
        <w:rPr>
          <w:rFonts w:ascii="Times New Roman" w:eastAsia="Calibri" w:hAnsi="Times New Roman" w:cs="Times New Roman"/>
          <w:color w:val="000000" w:themeColor="text1"/>
          <w:sz w:val="24"/>
          <w:szCs w:val="24"/>
        </w:rPr>
        <w:t xml:space="preserve">Paslaugų teikėjas turi tiesiogiai bendradarbiauti su </w:t>
      </w:r>
      <w:r>
        <w:rPr>
          <w:rFonts w:ascii="Times New Roman" w:eastAsia="Calibri" w:hAnsi="Times New Roman" w:cs="Times New Roman"/>
          <w:color w:val="000000" w:themeColor="text1"/>
          <w:sz w:val="24"/>
          <w:szCs w:val="24"/>
        </w:rPr>
        <w:t>Kompetencijų s</w:t>
      </w:r>
      <w:r w:rsidRPr="00186DF5">
        <w:rPr>
          <w:rFonts w:ascii="Times New Roman" w:eastAsia="Calibri" w:hAnsi="Times New Roman" w:cs="Times New Roman"/>
          <w:color w:val="000000" w:themeColor="text1"/>
          <w:sz w:val="24"/>
          <w:szCs w:val="24"/>
        </w:rPr>
        <w:t>tudijos rengimo paslaugų teikėjais vadovaujantis šiomis sąlygomis</w:t>
      </w:r>
      <w:r w:rsidRPr="004C2C60">
        <w:rPr>
          <w:rFonts w:ascii="Times New Roman" w:eastAsia="Calibri" w:hAnsi="Times New Roman" w:cs="Times New Roman"/>
          <w:color w:val="000000" w:themeColor="text1"/>
          <w:sz w:val="24"/>
          <w:szCs w:val="24"/>
        </w:rPr>
        <w:t xml:space="preserve">: </w:t>
      </w:r>
    </w:p>
    <w:p w14:paraId="339D723E" w14:textId="4F1B833F" w:rsidR="00402122" w:rsidRDefault="00402122" w:rsidP="003F7E19">
      <w:pPr>
        <w:pStyle w:val="ListParagraph"/>
        <w:numPr>
          <w:ilvl w:val="2"/>
          <w:numId w:val="9"/>
        </w:numPr>
        <w:tabs>
          <w:tab w:val="left" w:pos="993"/>
        </w:tabs>
        <w:spacing w:after="0" w:line="240" w:lineRule="auto"/>
        <w:ind w:left="0" w:firstLine="720"/>
        <w:jc w:val="both"/>
        <w:textAlignment w:val="baseline"/>
        <w:rPr>
          <w:rFonts w:ascii="Times New Roman" w:eastAsia="Calibri" w:hAnsi="Times New Roman" w:cs="Times New Roman"/>
          <w:color w:val="000000" w:themeColor="text1"/>
          <w:sz w:val="24"/>
          <w:szCs w:val="24"/>
        </w:rPr>
      </w:pPr>
      <w:r w:rsidRPr="00186DF5">
        <w:rPr>
          <w:rFonts w:ascii="Times New Roman" w:eastAsia="Calibri" w:hAnsi="Times New Roman" w:cs="Times New Roman"/>
          <w:color w:val="000000" w:themeColor="text1"/>
          <w:sz w:val="24"/>
          <w:szCs w:val="24"/>
        </w:rPr>
        <w:t xml:space="preserve">bendradarbiavimas turi būti vykdomas </w:t>
      </w:r>
      <w:r w:rsidRPr="003F7E19">
        <w:rPr>
          <w:rFonts w:ascii="Times New Roman" w:eastAsia="Calibri" w:hAnsi="Times New Roman" w:cs="Times New Roman"/>
          <w:color w:val="000000" w:themeColor="text1"/>
          <w:sz w:val="24"/>
          <w:szCs w:val="24"/>
          <w:lang w:val="fi-FI"/>
        </w:rPr>
        <w:t>6.</w:t>
      </w:r>
      <w:r>
        <w:rPr>
          <w:rFonts w:ascii="Times New Roman" w:eastAsia="Calibri" w:hAnsi="Times New Roman" w:cs="Times New Roman"/>
          <w:color w:val="000000" w:themeColor="text1"/>
          <w:sz w:val="24"/>
          <w:szCs w:val="24"/>
          <w:lang w:val="fi-FI"/>
        </w:rPr>
        <w:t>3</w:t>
      </w:r>
      <w:r w:rsidRPr="00186DF5">
        <w:rPr>
          <w:rFonts w:ascii="Times New Roman" w:eastAsia="Calibri" w:hAnsi="Times New Roman" w:cs="Times New Roman"/>
          <w:color w:val="000000" w:themeColor="text1"/>
          <w:sz w:val="24"/>
          <w:szCs w:val="24"/>
        </w:rPr>
        <w:t xml:space="preserve"> parengimo etape;</w:t>
      </w:r>
      <w:r>
        <w:rPr>
          <w:rFonts w:ascii="Times New Roman" w:eastAsia="Calibri" w:hAnsi="Times New Roman" w:cs="Times New Roman"/>
          <w:color w:val="000000" w:themeColor="text1"/>
          <w:sz w:val="24"/>
          <w:szCs w:val="24"/>
        </w:rPr>
        <w:t xml:space="preserve"> </w:t>
      </w:r>
    </w:p>
    <w:p w14:paraId="04B7F876" w14:textId="69D67684" w:rsidR="00402122" w:rsidRPr="004C2C60" w:rsidRDefault="00402122" w:rsidP="003F7E19">
      <w:pPr>
        <w:pStyle w:val="ListParagraph"/>
        <w:numPr>
          <w:ilvl w:val="2"/>
          <w:numId w:val="9"/>
        </w:numPr>
        <w:tabs>
          <w:tab w:val="left" w:pos="993"/>
        </w:tabs>
        <w:spacing w:after="0" w:line="240" w:lineRule="auto"/>
        <w:ind w:left="0" w:firstLine="720"/>
        <w:jc w:val="both"/>
        <w:textAlignment w:val="baseline"/>
        <w:rPr>
          <w:rFonts w:ascii="Times New Roman" w:eastAsia="Calibri" w:hAnsi="Times New Roman" w:cs="Times New Roman"/>
          <w:color w:val="000000" w:themeColor="text1"/>
          <w:sz w:val="24"/>
          <w:szCs w:val="24"/>
        </w:rPr>
      </w:pPr>
      <w:r w:rsidRPr="00186DF5">
        <w:rPr>
          <w:rFonts w:ascii="Times New Roman" w:eastAsia="Calibri" w:hAnsi="Times New Roman" w:cs="Times New Roman"/>
          <w:color w:val="000000" w:themeColor="text1"/>
          <w:sz w:val="24"/>
          <w:szCs w:val="24"/>
        </w:rPr>
        <w:t xml:space="preserve">Perkančioji organizacija iš anksto turi būti informuojama apie rengiamus susitikimus, kurių metu bus sprendžiami su </w:t>
      </w:r>
      <w:r>
        <w:rPr>
          <w:rFonts w:ascii="Times New Roman" w:eastAsia="Calibri" w:hAnsi="Times New Roman" w:cs="Times New Roman"/>
          <w:color w:val="000000" w:themeColor="text1"/>
          <w:sz w:val="24"/>
          <w:szCs w:val="24"/>
        </w:rPr>
        <w:t>t</w:t>
      </w:r>
      <w:r w:rsidRPr="00186DF5">
        <w:rPr>
          <w:rFonts w:ascii="Times New Roman" w:eastAsia="Calibri" w:hAnsi="Times New Roman" w:cs="Times New Roman"/>
          <w:color w:val="000000" w:themeColor="text1"/>
          <w:sz w:val="24"/>
          <w:szCs w:val="24"/>
        </w:rPr>
        <w:t xml:space="preserve">eisėjų atrankos ir vertinimo modeliu susiję klausimai, bei sudaroma galimybė tokiose susitikimuose dalyvauti Perkančiosios </w:t>
      </w:r>
      <w:r w:rsidRPr="004C2C60">
        <w:rPr>
          <w:rFonts w:ascii="Times New Roman" w:eastAsia="Calibri" w:hAnsi="Times New Roman" w:cs="Times New Roman"/>
          <w:color w:val="000000" w:themeColor="text1"/>
          <w:sz w:val="24"/>
          <w:szCs w:val="24"/>
        </w:rPr>
        <w:t>organizacijos atstovams;</w:t>
      </w:r>
    </w:p>
    <w:p w14:paraId="20C3758D" w14:textId="30EB42F0" w:rsidR="00402122" w:rsidRPr="00402122" w:rsidRDefault="00402122" w:rsidP="003F7E19">
      <w:pPr>
        <w:pStyle w:val="ListParagraph"/>
        <w:numPr>
          <w:ilvl w:val="2"/>
          <w:numId w:val="9"/>
        </w:numPr>
        <w:tabs>
          <w:tab w:val="left" w:pos="993"/>
        </w:tabs>
        <w:spacing w:after="0" w:line="240" w:lineRule="auto"/>
        <w:ind w:left="0" w:firstLine="720"/>
        <w:jc w:val="both"/>
        <w:textAlignment w:val="baseline"/>
        <w:rPr>
          <w:rFonts w:ascii="Times New Roman" w:eastAsia="Calibri" w:hAnsi="Times New Roman" w:cs="Times New Roman"/>
          <w:color w:val="000000" w:themeColor="text1"/>
          <w:sz w:val="24"/>
          <w:szCs w:val="24"/>
        </w:rPr>
      </w:pPr>
      <w:r w:rsidRPr="00402122">
        <w:rPr>
          <w:rFonts w:ascii="Times New Roman" w:eastAsia="Calibri" w:hAnsi="Times New Roman" w:cs="Times New Roman"/>
          <w:color w:val="000000" w:themeColor="text1"/>
          <w:sz w:val="24"/>
          <w:szCs w:val="24"/>
        </w:rPr>
        <w:t>iškilus konfliktinėms situacijoms, apie tai ne vėliau nei per 1 d. d. turi būti informuojama Perkančioji organizacija;</w:t>
      </w:r>
    </w:p>
    <w:p w14:paraId="05815BEC" w14:textId="5425F2BF" w:rsidR="00402122" w:rsidRPr="00402122" w:rsidRDefault="00402122" w:rsidP="003F7E19">
      <w:pPr>
        <w:pStyle w:val="ListParagraph"/>
        <w:numPr>
          <w:ilvl w:val="2"/>
          <w:numId w:val="9"/>
        </w:numPr>
        <w:tabs>
          <w:tab w:val="left" w:pos="993"/>
        </w:tabs>
        <w:spacing w:after="0" w:line="240" w:lineRule="auto"/>
        <w:ind w:left="0" w:firstLine="720"/>
        <w:jc w:val="both"/>
        <w:textAlignment w:val="baseline"/>
        <w:rPr>
          <w:rFonts w:ascii="Times New Roman" w:eastAsia="Calibri" w:hAnsi="Times New Roman" w:cs="Times New Roman"/>
          <w:color w:val="000000" w:themeColor="text1"/>
          <w:sz w:val="24"/>
          <w:szCs w:val="24"/>
        </w:rPr>
      </w:pPr>
      <w:r w:rsidRPr="00402122">
        <w:rPr>
          <w:rFonts w:ascii="Times New Roman" w:eastAsia="Calibri" w:hAnsi="Times New Roman" w:cs="Times New Roman"/>
          <w:color w:val="000000" w:themeColor="text1"/>
          <w:sz w:val="24"/>
          <w:szCs w:val="24"/>
        </w:rPr>
        <w:t xml:space="preserve">bendravimo su </w:t>
      </w:r>
      <w:r>
        <w:rPr>
          <w:rFonts w:ascii="Times New Roman" w:eastAsia="Calibri" w:hAnsi="Times New Roman" w:cs="Times New Roman"/>
          <w:color w:val="000000" w:themeColor="text1"/>
          <w:sz w:val="24"/>
          <w:szCs w:val="24"/>
        </w:rPr>
        <w:t>Kompetencijų s</w:t>
      </w:r>
      <w:r w:rsidRPr="00402122">
        <w:rPr>
          <w:rFonts w:ascii="Times New Roman" w:eastAsia="Calibri" w:hAnsi="Times New Roman" w:cs="Times New Roman"/>
          <w:color w:val="000000" w:themeColor="text1"/>
          <w:sz w:val="24"/>
          <w:szCs w:val="24"/>
        </w:rPr>
        <w:t>tudijos rengimo paslaugų teikėjais problemos neturi būti priežastis neįgyvendinti šioje techninėje specifikacijoje pateikiamų reikalavimų;</w:t>
      </w:r>
    </w:p>
    <w:p w14:paraId="77EB4129" w14:textId="1DB6500C" w:rsidR="00402122" w:rsidRPr="003F7E19" w:rsidRDefault="00402122" w:rsidP="003F7E19">
      <w:pPr>
        <w:pStyle w:val="ListParagraph"/>
        <w:numPr>
          <w:ilvl w:val="2"/>
          <w:numId w:val="9"/>
        </w:numPr>
        <w:tabs>
          <w:tab w:val="left" w:pos="993"/>
        </w:tabs>
        <w:spacing w:after="0" w:line="240" w:lineRule="auto"/>
        <w:ind w:left="0" w:firstLine="720"/>
        <w:jc w:val="both"/>
        <w:textAlignment w:val="baseline"/>
        <w:rPr>
          <w:rFonts w:ascii="Times New Roman" w:eastAsia="Calibri" w:hAnsi="Times New Roman" w:cs="Times New Roman"/>
          <w:color w:val="000000" w:themeColor="text1"/>
          <w:sz w:val="24"/>
          <w:szCs w:val="24"/>
        </w:rPr>
      </w:pPr>
      <w:r w:rsidRPr="00402122">
        <w:rPr>
          <w:rFonts w:ascii="Times New Roman" w:eastAsia="Calibri" w:hAnsi="Times New Roman" w:cs="Times New Roman"/>
          <w:color w:val="000000" w:themeColor="text1"/>
          <w:sz w:val="24"/>
          <w:szCs w:val="24"/>
        </w:rPr>
        <w:t xml:space="preserve">Paslaugų teikėjas bendradarbiaudamas su </w:t>
      </w:r>
      <w:r>
        <w:rPr>
          <w:rFonts w:ascii="Times New Roman" w:eastAsia="Calibri" w:hAnsi="Times New Roman" w:cs="Times New Roman"/>
          <w:color w:val="000000" w:themeColor="text1"/>
          <w:sz w:val="24"/>
          <w:szCs w:val="24"/>
        </w:rPr>
        <w:t>Kompetencijų s</w:t>
      </w:r>
      <w:r w:rsidRPr="00402122">
        <w:rPr>
          <w:rFonts w:ascii="Times New Roman" w:eastAsia="Calibri" w:hAnsi="Times New Roman" w:cs="Times New Roman"/>
          <w:color w:val="000000" w:themeColor="text1"/>
          <w:sz w:val="24"/>
          <w:szCs w:val="24"/>
        </w:rPr>
        <w:t>tudijos rengimo paslaugų teikėjais turi teisę neatskleisti komercinės ar konfidencialios informacijos tiesiogiai nesusijusios su paslaugomis</w:t>
      </w:r>
      <w:r w:rsidR="004C2C60">
        <w:rPr>
          <w:rFonts w:ascii="Times New Roman" w:eastAsia="Calibri" w:hAnsi="Times New Roman" w:cs="Times New Roman"/>
          <w:color w:val="000000" w:themeColor="text1"/>
          <w:sz w:val="24"/>
          <w:szCs w:val="24"/>
        </w:rPr>
        <w:t>.</w:t>
      </w:r>
    </w:p>
    <w:p w14:paraId="1080946C" w14:textId="77777777" w:rsidR="00D75BC6" w:rsidRDefault="00C149F2">
      <w:pPr>
        <w:numPr>
          <w:ilvl w:val="1"/>
          <w:numId w:val="9"/>
        </w:numPr>
        <w:spacing w:after="0" w:line="240" w:lineRule="auto"/>
        <w:contextualSpacing/>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Rengiamus dokumentus suderinti su Perkančiosios organizacijos įgaliotais atstovais.</w:t>
      </w:r>
    </w:p>
    <w:p w14:paraId="2FCA9E9F" w14:textId="6D5CA3DF" w:rsidR="00D75BC6" w:rsidRDefault="00C149F2">
      <w:pPr>
        <w:numPr>
          <w:ilvl w:val="1"/>
          <w:numId w:val="9"/>
        </w:numPr>
        <w:spacing w:after="0" w:line="240" w:lineRule="auto"/>
        <w:contextualSpacing/>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Paslaugų teikėjas privalo rengti dokumentus, vadovaudamasis bendrinės lietuvių kalbos taisyklėmis ir Lietuvos vyriausiojo archyvaro patvirtintomis paslaugų teikimo metu galiosiančiomis dokumentų rengimo taisyklėmis. Teisės aktų projektai turi būti rengiami, vadovaujantis įstatymų ir kitų teisės aktų rengimui taikomais teisės aktais. </w:t>
      </w:r>
    </w:p>
    <w:p w14:paraId="4A10C230" w14:textId="31B346BC" w:rsidR="00186DF5" w:rsidRDefault="00186DF5">
      <w:pPr>
        <w:numPr>
          <w:ilvl w:val="1"/>
          <w:numId w:val="9"/>
        </w:numPr>
        <w:spacing w:after="0" w:line="240" w:lineRule="auto"/>
        <w:contextualSpacing/>
        <w:jc w:val="both"/>
        <w:textAlignment w:val="baseline"/>
        <w:rPr>
          <w:rFonts w:ascii="Times New Roman" w:eastAsia="Calibri" w:hAnsi="Times New Roman" w:cs="Times New Roman"/>
          <w:color w:val="000000"/>
          <w:sz w:val="24"/>
          <w:szCs w:val="24"/>
        </w:rPr>
      </w:pPr>
      <w:r w:rsidRPr="00186DF5">
        <w:rPr>
          <w:rFonts w:ascii="Times New Roman" w:eastAsia="Calibri" w:hAnsi="Times New Roman" w:cs="Times New Roman"/>
          <w:color w:val="000000"/>
          <w:sz w:val="24"/>
          <w:szCs w:val="24"/>
        </w:rPr>
        <w:t xml:space="preserve">Paslaugų teikėjas turi pateikti </w:t>
      </w:r>
      <w:r w:rsidR="004C57C3" w:rsidRPr="00186DF5">
        <w:rPr>
          <w:rFonts w:ascii="Times New Roman" w:eastAsia="Calibri" w:hAnsi="Times New Roman" w:cs="Times New Roman"/>
          <w:color w:val="000000"/>
          <w:sz w:val="24"/>
          <w:szCs w:val="24"/>
        </w:rPr>
        <w:t>ne mažiau nei 10 (dešimties) puslapių</w:t>
      </w:r>
      <w:r w:rsidR="004C57C3">
        <w:rPr>
          <w:rFonts w:ascii="Times New Roman" w:eastAsia="Calibri" w:hAnsi="Times New Roman" w:cs="Times New Roman"/>
          <w:color w:val="000000"/>
          <w:sz w:val="24"/>
          <w:szCs w:val="24"/>
        </w:rPr>
        <w:t xml:space="preserve"> </w:t>
      </w:r>
      <w:r w:rsidRPr="00186DF5">
        <w:rPr>
          <w:rFonts w:ascii="Times New Roman" w:eastAsia="Calibri" w:hAnsi="Times New Roman" w:cs="Times New Roman"/>
          <w:color w:val="000000"/>
          <w:sz w:val="24"/>
          <w:szCs w:val="24"/>
        </w:rPr>
        <w:t>santrauką lietuvių ir anglų kalbomis elektroniniu formatu (MS Word ar kitu su Perkančiąja organizacija suderintu formatu) ir ne mažiau nei 15 (penkiolika) skaidrių lietuvių ir anglų kalbomis.</w:t>
      </w:r>
    </w:p>
    <w:p w14:paraId="0B33F3C3" w14:textId="77777777" w:rsidR="00D75BC6" w:rsidRDefault="00C149F2">
      <w:pPr>
        <w:numPr>
          <w:ilvl w:val="1"/>
          <w:numId w:val="9"/>
        </w:numPr>
        <w:spacing w:after="0" w:line="240" w:lineRule="auto"/>
        <w:contextualSpacing/>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Dokumentų galutinės versijos Perkančiajai organizacijai turi būti pateiktos dviem formatais: elektroniniu (MS Word arba kitu su Perkančiąja organizacija suderintu formatu) ir popieriniu (vieną įrištą egzempliorių). Dokumentų preliminarios (projektinės) versijos derinimui ir aptarimui darbo grupėje pateikiamos elektroniniu formatu.</w:t>
      </w:r>
    </w:p>
    <w:p w14:paraId="631B2394" w14:textId="77777777" w:rsidR="00D75BC6" w:rsidRDefault="00C149F2">
      <w:pPr>
        <w:numPr>
          <w:ilvl w:val="1"/>
          <w:numId w:val="9"/>
        </w:numPr>
        <w:spacing w:after="0" w:line="240" w:lineRule="auto"/>
        <w:contextualSpacing/>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Turi būti parengti ir pateikti visi šioje techninėje specifikacijoje numatyti dokumentai. </w:t>
      </w:r>
    </w:p>
    <w:p w14:paraId="2330D742" w14:textId="77777777" w:rsidR="00D75BC6" w:rsidRDefault="00C149F2">
      <w:pPr>
        <w:numPr>
          <w:ilvl w:val="1"/>
          <w:numId w:val="9"/>
        </w:numPr>
        <w:spacing w:after="0" w:line="240" w:lineRule="auto"/>
        <w:contextualSpacing/>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Paslaugų teikėjas šioje techninėje specifikacijoje numatytus dokumentus turi parengti naudodamas struktūrizuotas informacijos pateikimo priemones (sąrašus, lenteles, schemas, grafikus ir kt.).</w:t>
      </w:r>
    </w:p>
    <w:p w14:paraId="23BEC76F" w14:textId="79973164" w:rsidR="00D75BC6" w:rsidRDefault="00C149F2">
      <w:pPr>
        <w:numPr>
          <w:ilvl w:val="1"/>
          <w:numId w:val="9"/>
        </w:numPr>
        <w:spacing w:after="0" w:line="240" w:lineRule="auto"/>
        <w:contextualSpacing/>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Visus parengtus paslaugų rezultatus, prieš galutinį jų pateikimą paslaugų teikėjas privalo suderinti su Perkančiosios organizacijos </w:t>
      </w:r>
      <w:r w:rsidR="00A11233">
        <w:rPr>
          <w:rFonts w:ascii="Times New Roman" w:eastAsia="Calibri" w:hAnsi="Times New Roman" w:cs="Times New Roman"/>
          <w:sz w:val="24"/>
          <w:szCs w:val="24"/>
        </w:rPr>
        <w:t xml:space="preserve">įgaliotais </w:t>
      </w:r>
      <w:r>
        <w:rPr>
          <w:rFonts w:ascii="Times New Roman" w:eastAsia="Calibri" w:hAnsi="Times New Roman" w:cs="Times New Roman"/>
          <w:sz w:val="24"/>
          <w:szCs w:val="24"/>
        </w:rPr>
        <w:t>atstovais ir įsivertinti derinimui reikalingą laiką. Dėl derinamų paslaugų rezultatų Perkančioji organizacija gali teikti klausimus, pastabas, pasiūlymus, pareikalauti tobulinti.</w:t>
      </w:r>
    </w:p>
    <w:p w14:paraId="35DE1F57" w14:textId="77F3D39A" w:rsidR="00D75BC6" w:rsidRDefault="00C149F2">
      <w:pPr>
        <w:numPr>
          <w:ilvl w:val="1"/>
          <w:numId w:val="9"/>
        </w:numPr>
        <w:spacing w:after="0" w:line="240" w:lineRule="auto"/>
        <w:contextualSpacing/>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Perkančioji organizacija, Sutarties vykdymui paskirto kontaktinio asmens elektroniniu paštu gavusi pastaboms ir derinimui šioje techninėje specifikacijoje numatytus dokumentus, pastabas ir komentarus pateikia</w:t>
      </w:r>
      <w:r w:rsidR="00025742">
        <w:rPr>
          <w:rFonts w:ascii="Times New Roman" w:eastAsia="Calibri" w:hAnsi="Times New Roman" w:cs="Times New Roman"/>
          <w:color w:val="000000"/>
          <w:sz w:val="24"/>
          <w:szCs w:val="24"/>
        </w:rPr>
        <w:t>, o Paslaugų teikėjas jas įvertina ir patikslina –</w:t>
      </w:r>
      <w:r>
        <w:rPr>
          <w:rFonts w:ascii="Times New Roman" w:eastAsia="Calibri" w:hAnsi="Times New Roman" w:cs="Times New Roman"/>
          <w:color w:val="000000"/>
          <w:sz w:val="24"/>
          <w:szCs w:val="24"/>
        </w:rPr>
        <w:t xml:space="preserve"> per </w:t>
      </w:r>
      <w:r w:rsidR="00025742">
        <w:rPr>
          <w:rFonts w:ascii="Times New Roman" w:eastAsia="Calibri" w:hAnsi="Times New Roman" w:cs="Times New Roman"/>
          <w:color w:val="000000"/>
          <w:sz w:val="24"/>
          <w:szCs w:val="24"/>
        </w:rPr>
        <w:t>termin</w:t>
      </w:r>
      <w:r w:rsidR="00112819">
        <w:rPr>
          <w:rFonts w:ascii="Times New Roman" w:eastAsia="Calibri" w:hAnsi="Times New Roman" w:cs="Times New Roman"/>
          <w:color w:val="000000"/>
          <w:sz w:val="24"/>
          <w:szCs w:val="24"/>
        </w:rPr>
        <w:t>us</w:t>
      </w:r>
      <w:r w:rsidR="00025742">
        <w:rPr>
          <w:rFonts w:ascii="Times New Roman" w:eastAsia="Calibri" w:hAnsi="Times New Roman" w:cs="Times New Roman"/>
          <w:color w:val="000000"/>
          <w:sz w:val="24"/>
          <w:szCs w:val="24"/>
        </w:rPr>
        <w:t xml:space="preserve"> nustat</w:t>
      </w:r>
      <w:r w:rsidR="00112819">
        <w:rPr>
          <w:rFonts w:ascii="Times New Roman" w:eastAsia="Calibri" w:hAnsi="Times New Roman" w:cs="Times New Roman"/>
          <w:color w:val="000000"/>
          <w:sz w:val="24"/>
          <w:szCs w:val="24"/>
        </w:rPr>
        <w:t>ytus</w:t>
      </w:r>
      <w:r w:rsidR="00025742">
        <w:rPr>
          <w:rFonts w:ascii="Times New Roman" w:eastAsia="Calibri" w:hAnsi="Times New Roman" w:cs="Times New Roman"/>
          <w:color w:val="000000"/>
          <w:sz w:val="24"/>
          <w:szCs w:val="24"/>
        </w:rPr>
        <w:t xml:space="preserve"> 8.1. papunktyje nurodytame sutarties vykdymo reglamente. </w:t>
      </w:r>
      <w:r>
        <w:rPr>
          <w:rFonts w:ascii="Times New Roman" w:eastAsia="Calibri" w:hAnsi="Times New Roman" w:cs="Times New Roman"/>
          <w:color w:val="000000"/>
          <w:sz w:val="24"/>
          <w:szCs w:val="24"/>
        </w:rPr>
        <w:t>Siekiant optimizuoti laiko panaudojimą, dokumentai derinimui gali būti teikiami logiškai suskirstytomis dalimis.</w:t>
      </w:r>
    </w:p>
    <w:p w14:paraId="256510A4" w14:textId="7D5CA91A" w:rsidR="00D75BC6" w:rsidRPr="001A06C0" w:rsidRDefault="00CF175F">
      <w:pPr>
        <w:numPr>
          <w:ilvl w:val="1"/>
          <w:numId w:val="9"/>
        </w:numPr>
        <w:spacing w:after="0" w:line="240" w:lineRule="auto"/>
        <w:contextualSpacing/>
        <w:jc w:val="both"/>
        <w:textAlignment w:val="baseline"/>
        <w:rPr>
          <w:rFonts w:ascii="Times New Roman" w:eastAsia="Calibri" w:hAnsi="Times New Roman" w:cs="Times New Roman"/>
          <w:color w:val="000000"/>
          <w:sz w:val="24"/>
          <w:szCs w:val="24"/>
        </w:rPr>
      </w:pPr>
      <w:r w:rsidRPr="001A06C0">
        <w:rPr>
          <w:rFonts w:ascii="Times New Roman" w:eastAsia="Calibri" w:hAnsi="Times New Roman" w:cs="Times New Roman"/>
          <w:sz w:val="24"/>
          <w:szCs w:val="24"/>
        </w:rPr>
        <w:t xml:space="preserve">Tik suderinus paslaugų rezultatus paslaugų perdavimas ir priėmimas įforminamas tarpiniu ir galutiniu Paslaugų perdavimo – priėmimo aktais Sutartyje ir juos prieduose numatyta tvarka ir terminais. </w:t>
      </w:r>
    </w:p>
    <w:p w14:paraId="3A35765A" w14:textId="1FF43C6E" w:rsidR="00BD41D7" w:rsidRDefault="00BD41D7" w:rsidP="003F7E19">
      <w:pPr>
        <w:spacing w:after="0" w:line="240" w:lineRule="auto"/>
        <w:ind w:left="720"/>
        <w:contextualSpacing/>
        <w:jc w:val="both"/>
        <w:textAlignment w:val="baseline"/>
        <w:rPr>
          <w:rFonts w:ascii="Times New Roman" w:eastAsia="Calibri" w:hAnsi="Times New Roman" w:cs="Times New Roman"/>
          <w:color w:val="000000"/>
          <w:sz w:val="24"/>
          <w:szCs w:val="24"/>
        </w:rPr>
      </w:pPr>
    </w:p>
    <w:p w14:paraId="77BF027A" w14:textId="77777777" w:rsidR="00283721" w:rsidRDefault="00283721" w:rsidP="003F7E19">
      <w:pPr>
        <w:spacing w:after="0" w:line="240" w:lineRule="auto"/>
        <w:ind w:left="720"/>
        <w:contextualSpacing/>
        <w:jc w:val="both"/>
        <w:textAlignment w:val="baseline"/>
        <w:rPr>
          <w:rFonts w:ascii="Times New Roman" w:eastAsia="Calibri" w:hAnsi="Times New Roman" w:cs="Times New Roman"/>
          <w:color w:val="000000"/>
          <w:sz w:val="24"/>
          <w:szCs w:val="24"/>
        </w:rPr>
      </w:pPr>
    </w:p>
    <w:p w14:paraId="313C3AB9" w14:textId="300A2D1E" w:rsidR="00D75BC6" w:rsidRDefault="00C149F2">
      <w:pPr>
        <w:numPr>
          <w:ilvl w:val="0"/>
          <w:numId w:val="1"/>
        </w:numPr>
        <w:spacing w:before="240" w:after="240" w:line="240" w:lineRule="auto"/>
        <w:ind w:left="720"/>
        <w:contextualSpacing/>
        <w:jc w:val="center"/>
        <w:textAlignment w:val="baseline"/>
        <w:rPr>
          <w:rFonts w:ascii="Times New Roman" w:eastAsia="Calibri" w:hAnsi="Times New Roman" w:cs="Times New Roman"/>
          <w:b/>
          <w:caps/>
          <w:w w:val="102"/>
          <w:sz w:val="24"/>
          <w:szCs w:val="24"/>
        </w:rPr>
      </w:pPr>
      <w:r>
        <w:rPr>
          <w:rFonts w:ascii="Times New Roman" w:eastAsia="Calibri" w:hAnsi="Times New Roman" w:cs="Times New Roman"/>
          <w:b/>
          <w:caps/>
          <w:w w:val="102"/>
          <w:sz w:val="24"/>
          <w:szCs w:val="24"/>
        </w:rPr>
        <w:lastRenderedPageBreak/>
        <w:t>reikalavimai paslaugų teikimUI, sutarties įgyvendinimo valdymui, informacijos ir duomenų tvarkymui</w:t>
      </w:r>
    </w:p>
    <w:p w14:paraId="1171AA3F" w14:textId="77777777" w:rsidR="00BD41D7" w:rsidRDefault="00BD41D7" w:rsidP="003F7E19">
      <w:pPr>
        <w:spacing w:before="240" w:after="240" w:line="240" w:lineRule="auto"/>
        <w:ind w:left="720"/>
        <w:contextualSpacing/>
        <w:textAlignment w:val="baseline"/>
        <w:rPr>
          <w:rFonts w:ascii="Times New Roman" w:eastAsia="Calibri" w:hAnsi="Times New Roman" w:cs="Times New Roman"/>
          <w:b/>
          <w:caps/>
          <w:w w:val="102"/>
          <w:sz w:val="24"/>
          <w:szCs w:val="24"/>
        </w:rPr>
      </w:pPr>
    </w:p>
    <w:p w14:paraId="6EA58832" w14:textId="1D77BEEC" w:rsidR="00D75BC6" w:rsidRDefault="00C149F2">
      <w:pPr>
        <w:numPr>
          <w:ilvl w:val="1"/>
          <w:numId w:val="10"/>
        </w:numPr>
        <w:spacing w:after="0" w:line="240" w:lineRule="auto"/>
        <w:contextualSpacing/>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sz w:val="24"/>
          <w:szCs w:val="24"/>
        </w:rPr>
        <w:t>Paslaugų teikėjas privalo parengti sutarties vykdymo reglamentą, apimantį sutarties įgyvendinimo valdymą, grafiką, rizikų valdymą, kokybės valdymą, komunikavimo planą ir kt. ne vėliau kaip per 10 (dešimt) kalendorinių dienų nuo sutarties įsigaliojimo dienos ir pateikti derinti Perkančiajai organizacijai.</w:t>
      </w:r>
      <w:r w:rsidR="00F83D8A">
        <w:rPr>
          <w:rFonts w:ascii="Times New Roman" w:eastAsia="Calibri" w:hAnsi="Times New Roman" w:cs="Times New Roman"/>
          <w:sz w:val="24"/>
          <w:szCs w:val="24"/>
        </w:rPr>
        <w:t xml:space="preserve"> Vykdymo reglamente esančios dalys – rizikų valdymas ir kokybės valdymas – turi atitikti techninį pasiūlymą</w:t>
      </w:r>
      <w:r w:rsidR="00F83D8A">
        <w:rPr>
          <w:rStyle w:val="FootnoteReference"/>
          <w:rFonts w:ascii="Times New Roman" w:eastAsia="Calibri" w:hAnsi="Times New Roman" w:cs="Times New Roman"/>
          <w:sz w:val="24"/>
          <w:szCs w:val="24"/>
        </w:rPr>
        <w:footnoteReference w:id="2"/>
      </w:r>
      <w:r w:rsidR="00F83D8A">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186DF5" w:rsidRPr="00186DF5">
        <w:rPr>
          <w:rFonts w:ascii="Times New Roman" w:eastAsia="Calibri" w:hAnsi="Times New Roman" w:cs="Times New Roman"/>
          <w:sz w:val="24"/>
          <w:szCs w:val="24"/>
        </w:rPr>
        <w:t>Projekto vykdymo reglamentas esant poreikiui kiekvieno etapo pradžioje atnaujinimas.</w:t>
      </w:r>
    </w:p>
    <w:p w14:paraId="500C802F" w14:textId="1C87C4C9" w:rsidR="00025742" w:rsidRPr="003F7E19" w:rsidRDefault="00C149F2">
      <w:pPr>
        <w:numPr>
          <w:ilvl w:val="1"/>
          <w:numId w:val="10"/>
        </w:numPr>
        <w:spacing w:after="0" w:line="240" w:lineRule="auto"/>
        <w:contextualSpacing/>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spacing w:val="-2"/>
          <w:sz w:val="24"/>
          <w:szCs w:val="24"/>
        </w:rPr>
        <w:t xml:space="preserve">Paslaugų teikėjas paslaugas turi pradėti teikti iš karto po sutarties įsigaliojimo dienos ir </w:t>
      </w:r>
      <w:r>
        <w:rPr>
          <w:rFonts w:ascii="Times New Roman" w:eastAsia="Calibri" w:hAnsi="Times New Roman" w:cs="Times New Roman"/>
          <w:sz w:val="24"/>
          <w:szCs w:val="24"/>
        </w:rPr>
        <w:t xml:space="preserve">suteikti per </w:t>
      </w:r>
      <w:r w:rsidR="00025742">
        <w:rPr>
          <w:rFonts w:ascii="Times New Roman" w:eastAsia="Calibri" w:hAnsi="Times New Roman" w:cs="Times New Roman"/>
          <w:sz w:val="24"/>
          <w:szCs w:val="24"/>
        </w:rPr>
        <w:t>8</w:t>
      </w:r>
      <w:r>
        <w:rPr>
          <w:rFonts w:ascii="Times New Roman" w:eastAsia="Calibri" w:hAnsi="Times New Roman" w:cs="Times New Roman"/>
          <w:sz w:val="24"/>
          <w:szCs w:val="24"/>
        </w:rPr>
        <w:t xml:space="preserve"> (</w:t>
      </w:r>
      <w:r w:rsidR="00025742">
        <w:rPr>
          <w:rFonts w:ascii="Times New Roman" w:eastAsia="Calibri" w:hAnsi="Times New Roman" w:cs="Times New Roman"/>
          <w:sz w:val="24"/>
          <w:szCs w:val="24"/>
        </w:rPr>
        <w:t>aštuonis</w:t>
      </w:r>
      <w:r>
        <w:rPr>
          <w:rFonts w:ascii="Times New Roman" w:eastAsia="Calibri" w:hAnsi="Times New Roman" w:cs="Times New Roman"/>
          <w:sz w:val="24"/>
          <w:szCs w:val="24"/>
        </w:rPr>
        <w:t>) mėnesi</w:t>
      </w:r>
      <w:r w:rsidR="00025742">
        <w:rPr>
          <w:rFonts w:ascii="Times New Roman" w:eastAsia="Calibri" w:hAnsi="Times New Roman" w:cs="Times New Roman"/>
          <w:sz w:val="24"/>
          <w:szCs w:val="24"/>
        </w:rPr>
        <w:t>us</w:t>
      </w:r>
      <w:r>
        <w:rPr>
          <w:rFonts w:ascii="Times New Roman" w:eastAsia="Calibri" w:hAnsi="Times New Roman" w:cs="Times New Roman"/>
          <w:sz w:val="24"/>
          <w:szCs w:val="24"/>
        </w:rPr>
        <w:t xml:space="preserve"> nuo sutarties įsigaliojimo dienos. </w:t>
      </w:r>
    </w:p>
    <w:p w14:paraId="7CC291F3" w14:textId="59F0309E" w:rsidR="00025742" w:rsidRDefault="00025742">
      <w:pPr>
        <w:numPr>
          <w:ilvl w:val="1"/>
          <w:numId w:val="10"/>
        </w:numPr>
        <w:spacing w:after="0" w:line="240" w:lineRule="auto"/>
        <w:contextualSpacing/>
        <w:jc w:val="both"/>
        <w:textAlignment w:val="baseline"/>
        <w:rPr>
          <w:rFonts w:ascii="Times New Roman" w:eastAsia="Calibri" w:hAnsi="Times New Roman" w:cs="Times New Roman"/>
          <w:color w:val="000000"/>
          <w:sz w:val="24"/>
          <w:szCs w:val="24"/>
        </w:rPr>
      </w:pPr>
      <w:r w:rsidRPr="00025742">
        <w:rPr>
          <w:rFonts w:ascii="Times New Roman" w:eastAsia="Calibri" w:hAnsi="Times New Roman" w:cs="Times New Roman"/>
          <w:color w:val="000000"/>
          <w:sz w:val="24"/>
          <w:szCs w:val="24"/>
        </w:rPr>
        <w:t>Paslaugų teikėjas turi teisę kreiptis į Perkančiąją organizaciją dėl paslaugų suteikimo termino pratęsimo, jei paslaugų teikėjas nespėja įvykdyti paslaugų per nurodytą terminą dėl šių, nuo paslaugų teikėjo nepriklausančių aplinkybių, atsiradusių po Sutarties įsigaliojimo:</w:t>
      </w:r>
    </w:p>
    <w:p w14:paraId="6E860792" w14:textId="5759A5B0" w:rsidR="00025742" w:rsidRDefault="00025742" w:rsidP="003F7E19">
      <w:pPr>
        <w:spacing w:after="0" w:line="240" w:lineRule="auto"/>
        <w:ind w:firstLine="720"/>
        <w:contextualSpacing/>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8.3.1. </w:t>
      </w:r>
      <w:r w:rsidRPr="00025742">
        <w:rPr>
          <w:rFonts w:ascii="Times New Roman" w:eastAsia="Calibri" w:hAnsi="Times New Roman" w:cs="Times New Roman"/>
          <w:color w:val="000000"/>
          <w:sz w:val="24"/>
          <w:szCs w:val="24"/>
        </w:rPr>
        <w:t>Jei pasikeičia teisinis reglamentavimas ir tai turi įtakos Paslaugų teikėjo prievolių įvykdymo terminui ir/arba</w:t>
      </w:r>
    </w:p>
    <w:p w14:paraId="253626BB" w14:textId="627DF4D2" w:rsidR="00025742" w:rsidRDefault="00025742" w:rsidP="003F7E19">
      <w:pPr>
        <w:spacing w:after="0" w:line="240" w:lineRule="auto"/>
        <w:ind w:firstLine="720"/>
        <w:contextualSpacing/>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8.3.2. </w:t>
      </w:r>
      <w:r w:rsidRPr="00025742">
        <w:rPr>
          <w:rFonts w:ascii="Times New Roman" w:eastAsia="Calibri" w:hAnsi="Times New Roman" w:cs="Times New Roman"/>
          <w:color w:val="000000"/>
          <w:sz w:val="24"/>
          <w:szCs w:val="24"/>
        </w:rPr>
        <w:t>Jei perkančiosios organizacijos Paslaugų teikėjui pateikiami nurodymai turi įtakos Paslaugų teikėjo prievolių įvykdymo terminams ir/arba</w:t>
      </w:r>
    </w:p>
    <w:p w14:paraId="18BDFEDE" w14:textId="152618BF" w:rsidR="00025742" w:rsidRDefault="00025742" w:rsidP="003F7E19">
      <w:pPr>
        <w:spacing w:after="0" w:line="240" w:lineRule="auto"/>
        <w:ind w:firstLine="720"/>
        <w:contextualSpacing/>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8.3.3. </w:t>
      </w:r>
      <w:r w:rsidRPr="00025742">
        <w:rPr>
          <w:rFonts w:ascii="Times New Roman" w:eastAsia="Calibri" w:hAnsi="Times New Roman" w:cs="Times New Roman"/>
          <w:color w:val="000000"/>
          <w:sz w:val="24"/>
          <w:szCs w:val="24"/>
        </w:rPr>
        <w:t>Jei atsiranda uždelsimas, kliūčių ar trukdymų, kurių atsiradimui Paslaugų teikėjas neturi įtakos ir už kuriuos jis neatsako ir kurie sukelti ir priskirtini Perkančiajai organizacijai arba Perkančiosios organizacijos personalui, arba tretiesiems asmenims ir/arba</w:t>
      </w:r>
    </w:p>
    <w:p w14:paraId="719025E9" w14:textId="76EE02F8" w:rsidR="00025742" w:rsidRPr="003F7E19" w:rsidRDefault="00025742" w:rsidP="003F7E19">
      <w:pPr>
        <w:spacing w:after="0" w:line="240" w:lineRule="auto"/>
        <w:ind w:firstLine="720"/>
        <w:contextualSpacing/>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8.3.4. </w:t>
      </w:r>
      <w:r w:rsidRPr="00025742">
        <w:rPr>
          <w:rFonts w:ascii="Times New Roman" w:eastAsia="Calibri" w:hAnsi="Times New Roman" w:cs="Times New Roman"/>
          <w:color w:val="000000"/>
          <w:sz w:val="24"/>
          <w:szCs w:val="24"/>
        </w:rPr>
        <w:t>Dėl kitų  aplinkybių, kurių kiekviena Sutarties Šalis, būdama protinga ir apdairi negalėjo numatyti.</w:t>
      </w:r>
    </w:p>
    <w:p w14:paraId="5F66E0D2" w14:textId="661DBA0F" w:rsidR="00D75BC6" w:rsidRDefault="00C149F2">
      <w:pPr>
        <w:numPr>
          <w:ilvl w:val="1"/>
          <w:numId w:val="10"/>
        </w:numPr>
        <w:spacing w:after="0" w:line="240" w:lineRule="auto"/>
        <w:contextualSpacing/>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sz w:val="24"/>
          <w:szCs w:val="24"/>
        </w:rPr>
        <w:t>Abiejų šalių susitarimu paslaugų suteikimo terminas gali būti pratęstas vieną kartą ne daugiau kaip 6 (šeši</w:t>
      </w:r>
      <w:r w:rsidR="00F83D8A">
        <w:rPr>
          <w:rFonts w:ascii="Times New Roman" w:eastAsia="Calibri" w:hAnsi="Times New Roman" w:cs="Times New Roman"/>
          <w:sz w:val="24"/>
          <w:szCs w:val="24"/>
        </w:rPr>
        <w:t>ems</w:t>
      </w:r>
      <w:r>
        <w:rPr>
          <w:rFonts w:ascii="Times New Roman" w:eastAsia="Calibri" w:hAnsi="Times New Roman" w:cs="Times New Roman"/>
          <w:sz w:val="24"/>
          <w:szCs w:val="24"/>
        </w:rPr>
        <w:t>)</w:t>
      </w:r>
      <w:r w:rsidR="00C11AD3">
        <w:rPr>
          <w:rFonts w:ascii="Times New Roman" w:eastAsia="Calibri" w:hAnsi="Times New Roman" w:cs="Times New Roman"/>
          <w:sz w:val="24"/>
          <w:szCs w:val="24"/>
        </w:rPr>
        <w:t xml:space="preserve"> </w:t>
      </w:r>
      <w:r w:rsidR="00F83D8A">
        <w:rPr>
          <w:rFonts w:ascii="Times New Roman" w:eastAsia="Calibri" w:hAnsi="Times New Roman" w:cs="Times New Roman"/>
          <w:sz w:val="24"/>
          <w:szCs w:val="24"/>
        </w:rPr>
        <w:t>mėnesiams</w:t>
      </w:r>
      <w:r>
        <w:rPr>
          <w:rFonts w:ascii="Times New Roman" w:eastAsia="Calibri" w:hAnsi="Times New Roman" w:cs="Times New Roman"/>
          <w:sz w:val="24"/>
          <w:szCs w:val="24"/>
        </w:rPr>
        <w:t>. Pratęsiant paslaugų teikimo terminą, šios techninės specifikacijos 6 skyriuje apibrėžti atitinkamų rezultatų pateikimo terminai gali būti pratęsiami nevienodai, bendru paslaugų teikėjo ir Perkančiosios organizacijos sutarimu.</w:t>
      </w:r>
    </w:p>
    <w:p w14:paraId="08CBBF78" w14:textId="748D26FD" w:rsidR="00D75BC6" w:rsidRDefault="00C149F2">
      <w:pPr>
        <w:numPr>
          <w:ilvl w:val="1"/>
          <w:numId w:val="10"/>
        </w:numPr>
        <w:spacing w:after="0" w:line="240" w:lineRule="auto"/>
        <w:contextualSpacing/>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Paslaugų teikėjas, vykdydamas sutartį, privalo organizuoti darbo grupės </w:t>
      </w:r>
      <w:r w:rsidR="00A11233">
        <w:rPr>
          <w:rFonts w:ascii="Times New Roman" w:eastAsia="Calibri" w:hAnsi="Times New Roman" w:cs="Times New Roman"/>
          <w:sz w:val="24"/>
          <w:szCs w:val="24"/>
        </w:rPr>
        <w:t xml:space="preserve">(jei darbo grupė bus suformuota) arba įgaliotų atstovų </w:t>
      </w:r>
      <w:r>
        <w:rPr>
          <w:rFonts w:ascii="Times New Roman" w:eastAsia="Calibri" w:hAnsi="Times New Roman" w:cs="Times New Roman"/>
          <w:sz w:val="24"/>
          <w:szCs w:val="24"/>
        </w:rPr>
        <w:t xml:space="preserve">susitikimus, dokumentuoti susitikimuose priimtus sprendimus. Parengtos susitikimų darbotvarkės turi būti pateiktos ne vėliau kaip prieš 3 (tris) darbo dienas iki susitikimo. Parengti ir su Perkančiąja organizacija suderinti susitikimų protokolų projektai turi būti pateikti ne vėliau kaip per 3 (tris) darbo dienas po atitinkamo susitikimo. </w:t>
      </w:r>
    </w:p>
    <w:p w14:paraId="0B7D16A5" w14:textId="77777777" w:rsidR="00D75BC6" w:rsidRDefault="00C149F2">
      <w:pPr>
        <w:numPr>
          <w:ilvl w:val="1"/>
          <w:numId w:val="10"/>
        </w:numPr>
        <w:spacing w:after="0" w:line="240" w:lineRule="auto"/>
        <w:contextualSpacing/>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spacing w:val="-2"/>
          <w:sz w:val="24"/>
        </w:rPr>
        <w:t xml:space="preserve">Paslaugų teikėjas turi </w:t>
      </w:r>
      <w:r>
        <w:rPr>
          <w:rFonts w:ascii="Times New Roman" w:eastAsia="Calibri" w:hAnsi="Times New Roman" w:cs="Times New Roman"/>
          <w:sz w:val="24"/>
        </w:rPr>
        <w:t xml:space="preserve">užtikrinti paslaugų teikėjo specialistų/ekspertų realų darbą vykdant sutartį ir galimybę Perkančiajai organizacijai tiesiogiai bendrauti su specialistais/ ekspertais derinant paslaugų rezultatus. </w:t>
      </w:r>
      <w:r>
        <w:rPr>
          <w:rFonts w:ascii="Times New Roman" w:eastAsia="Calibri" w:hAnsi="Times New Roman" w:cs="Times New Roman"/>
          <w:sz w:val="24"/>
          <w:szCs w:val="24"/>
        </w:rPr>
        <w:t>Susitikimuose ir bendraujant elektroniniu paštu privalo tiesiogiai dalyvauti paslaugų teikėjo sutarčiai vykdyti paskirti specialistai/ekspertai, bendravimas per paslaugų teikėjo paskirtą papildomą personalą ar trečiuosius asmenis laikomas tinkamu tik organizaciniais klausimais, bet ne dėl paslaugų rezultatų turinio.</w:t>
      </w:r>
    </w:p>
    <w:p w14:paraId="58DA6652" w14:textId="77777777" w:rsidR="00D75BC6" w:rsidRDefault="00C149F2">
      <w:pPr>
        <w:numPr>
          <w:ilvl w:val="1"/>
          <w:numId w:val="10"/>
        </w:numPr>
        <w:spacing w:after="0" w:line="240" w:lineRule="auto"/>
        <w:contextualSpacing/>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sz w:val="24"/>
          <w:szCs w:val="24"/>
        </w:rPr>
        <w:t>Esant informacijos, suderinimo, konsultacijos ar panašiam poreikiui, paslaugų teikėjas gali kreiptis į Perkančiosios organizacijos kontaktinį asmenį bet kurią darbo dieną per visą sutarties vykdymo laikotarpį. Taip pat paslaugų teikėjas gali (ir siūloma) kreiptis dėl atskirų vykdant sutartį rengiamų dokumentų dalių tarpinio suderinimo, aptarimo.</w:t>
      </w:r>
    </w:p>
    <w:p w14:paraId="4D944256" w14:textId="77777777" w:rsidR="00D75BC6" w:rsidRDefault="00C149F2">
      <w:pPr>
        <w:numPr>
          <w:ilvl w:val="1"/>
          <w:numId w:val="10"/>
        </w:numPr>
        <w:spacing w:after="0" w:line="240" w:lineRule="auto"/>
        <w:contextualSpacing/>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Paslaugų teikėjas privalo užtikrinti konfidencialumą visą sutarties vykdymo laikotarpį bei neribotą laiką po jo. Paslaugų teikėjas neturi teisės viešinti ar kitokiu būdu atskleisti ar perduoti tretiesiems asmenims, išskyrus šiame punkte numatytą atvejį, jam sutarties vykdymo metu sužinotos ar perduotos informacijos ir (ar) duomenų, taip pat neturi teisės sutarties vykdymui gautą informaciją ir (ar) duomenis naudoti asmeniniams ar trečiųjų asmenų poreikiams. Visa Perkančiosios organizacijos paslaugų teikėjui suteikta informacija ir (ar) duomenys ar vykdant sutartį sužinota minėta informacija ir (ar) duomenys laikomi konfidencialiais. Šiame punkte numatyti </w:t>
      </w:r>
      <w:r>
        <w:rPr>
          <w:rFonts w:ascii="Times New Roman" w:eastAsia="Calibri" w:hAnsi="Times New Roman" w:cs="Times New Roman"/>
          <w:sz w:val="24"/>
          <w:szCs w:val="24"/>
        </w:rPr>
        <w:lastRenderedPageBreak/>
        <w:t>konfidencialumo įsipareigojimai netaikomi sutarties vykdymo metu sužinotą informaciją ir (ar) duomenis atskleidžiant, kai jos atskleidimo pareiga numatyta Lietuvos Respublikos teisės aktuose.</w:t>
      </w:r>
    </w:p>
    <w:p w14:paraId="4BC1C252" w14:textId="77777777" w:rsidR="00D75BC6" w:rsidRDefault="00C149F2">
      <w:pPr>
        <w:numPr>
          <w:ilvl w:val="1"/>
          <w:numId w:val="10"/>
        </w:numPr>
        <w:spacing w:after="0" w:line="240" w:lineRule="auto"/>
        <w:contextualSpacing/>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sz w:val="24"/>
          <w:szCs w:val="24"/>
        </w:rPr>
        <w:t>Įvykdžius sutartį nedelsiant, bet ne vėliau kaip per 3 (tris) darbo dienas, paslaugų teikėjas turi sunaikinti visus dokumentus, duomenis ir informaciją, gautą vykdant sutartį ar susijusią su jos vykdymu ir pateikti Perkančiajai organizacijai tai patvirtinančią deklaraciją ar lygiavertį dokumentą. Paslaugų teikėjas įsipareigoja atlyginti visus Perkančiosios organizacijos nuostolius, atsiradusius dėl šiame punkte numatytos pareigos nevykdymo ar netinkamo vykdymo.</w:t>
      </w:r>
    </w:p>
    <w:p w14:paraId="63489EE6" w14:textId="05D5C4BE" w:rsidR="00D75BC6" w:rsidRDefault="00C149F2" w:rsidP="003F7E19">
      <w:pPr>
        <w:pStyle w:val="ListParagraph"/>
        <w:numPr>
          <w:ilvl w:val="1"/>
          <w:numId w:val="10"/>
        </w:numPr>
        <w:spacing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Visoje studijos rengimo dokumentacijoje turi būti naudojamas Perkančiosios organizacijos EEE finansinio mechanizmo ženklas (</w:t>
      </w:r>
      <w:hyperlink r:id="rId16" w:history="1">
        <w:r w:rsidR="00607D42" w:rsidRPr="00E52D2F">
          <w:rPr>
            <w:rStyle w:val="Hyperlink"/>
            <w:rFonts w:ascii="Times New Roman" w:eastAsia="Calibri" w:hAnsi="Times New Roman" w:cs="Times New Roman"/>
            <w:sz w:val="24"/>
            <w:szCs w:val="24"/>
          </w:rPr>
          <w:t>https://eeagrants.org/resources/eea-grants-logo-package</w:t>
        </w:r>
      </w:hyperlink>
      <w:r>
        <w:rPr>
          <w:rFonts w:ascii="Times New Roman" w:eastAsia="Calibri" w:hAnsi="Times New Roman" w:cs="Times New Roman"/>
          <w:color w:val="000000"/>
          <w:sz w:val="24"/>
          <w:szCs w:val="24"/>
        </w:rPr>
        <w:t>).</w:t>
      </w:r>
    </w:p>
    <w:p w14:paraId="3D4D65A6" w14:textId="4C8D4436" w:rsidR="00607D42" w:rsidRDefault="00607D42" w:rsidP="00607D42">
      <w:pPr>
        <w:spacing w:line="240" w:lineRule="auto"/>
        <w:jc w:val="both"/>
        <w:rPr>
          <w:rFonts w:ascii="Times New Roman" w:eastAsia="Calibri" w:hAnsi="Times New Roman" w:cs="Times New Roman"/>
          <w:color w:val="000000"/>
          <w:sz w:val="24"/>
          <w:szCs w:val="24"/>
        </w:rPr>
      </w:pPr>
    </w:p>
    <w:tbl>
      <w:tblPr>
        <w:tblW w:w="9603" w:type="dxa"/>
        <w:tblInd w:w="-106" w:type="dxa"/>
        <w:tblLook w:val="0000" w:firstRow="0" w:lastRow="0" w:firstColumn="0" w:lastColumn="0" w:noHBand="0" w:noVBand="0"/>
      </w:tblPr>
      <w:tblGrid>
        <w:gridCol w:w="4937"/>
        <w:gridCol w:w="4666"/>
      </w:tblGrid>
      <w:tr w:rsidR="00607D42" w:rsidRPr="00607D42" w14:paraId="193A614D" w14:textId="77777777" w:rsidTr="00FE3F55">
        <w:trPr>
          <w:trHeight w:val="4917"/>
        </w:trPr>
        <w:tc>
          <w:tcPr>
            <w:tcW w:w="4937" w:type="dxa"/>
          </w:tcPr>
          <w:p w14:paraId="1C40F063" w14:textId="77777777" w:rsidR="00607D42" w:rsidRPr="00607D42" w:rsidRDefault="00607D42" w:rsidP="00FE3F55">
            <w:pPr>
              <w:spacing w:after="0" w:line="240" w:lineRule="auto"/>
              <w:rPr>
                <w:rFonts w:ascii="Times New Roman" w:hAnsi="Times New Roman" w:cs="Times New Roman"/>
                <w:b/>
                <w:sz w:val="24"/>
                <w:szCs w:val="24"/>
              </w:rPr>
            </w:pPr>
            <w:r w:rsidRPr="00607D42">
              <w:rPr>
                <w:rFonts w:ascii="Times New Roman" w:hAnsi="Times New Roman" w:cs="Times New Roman"/>
                <w:b/>
                <w:sz w:val="24"/>
                <w:szCs w:val="24"/>
              </w:rPr>
              <w:t>PASLAUGŲ GAVĖJAS</w:t>
            </w:r>
          </w:p>
          <w:p w14:paraId="0252D6BE" w14:textId="77777777" w:rsidR="00607D42" w:rsidRPr="00607D42" w:rsidRDefault="00607D42" w:rsidP="00FE3F55">
            <w:pPr>
              <w:spacing w:after="0" w:line="240" w:lineRule="auto"/>
              <w:rPr>
                <w:rFonts w:ascii="Times New Roman" w:hAnsi="Times New Roman" w:cs="Times New Roman"/>
                <w:sz w:val="24"/>
                <w:szCs w:val="24"/>
              </w:rPr>
            </w:pPr>
          </w:p>
          <w:p w14:paraId="3F04E328" w14:textId="77777777" w:rsidR="00607D42" w:rsidRPr="00607D42" w:rsidRDefault="00607D42" w:rsidP="00FE3F55">
            <w:pPr>
              <w:spacing w:after="0" w:line="240" w:lineRule="auto"/>
              <w:rPr>
                <w:rFonts w:ascii="Times New Roman" w:hAnsi="Times New Roman" w:cs="Times New Roman"/>
                <w:b/>
                <w:bCs/>
                <w:sz w:val="24"/>
                <w:szCs w:val="24"/>
              </w:rPr>
            </w:pPr>
            <w:r w:rsidRPr="00607D42">
              <w:rPr>
                <w:rFonts w:ascii="Times New Roman" w:hAnsi="Times New Roman" w:cs="Times New Roman"/>
                <w:b/>
                <w:bCs/>
                <w:sz w:val="24"/>
                <w:szCs w:val="24"/>
              </w:rPr>
              <w:t>Nacionalinė teismų administracija</w:t>
            </w:r>
          </w:p>
          <w:p w14:paraId="398B4ED9" w14:textId="77777777" w:rsidR="00607D42" w:rsidRPr="00607D42" w:rsidRDefault="00607D42" w:rsidP="00FE3F55">
            <w:pPr>
              <w:spacing w:after="0" w:line="240" w:lineRule="auto"/>
              <w:rPr>
                <w:rFonts w:ascii="Times New Roman" w:hAnsi="Times New Roman" w:cs="Times New Roman"/>
                <w:sz w:val="24"/>
                <w:szCs w:val="24"/>
              </w:rPr>
            </w:pPr>
          </w:p>
          <w:p w14:paraId="305CB918" w14:textId="77777777" w:rsidR="00607D42" w:rsidRPr="00607D42" w:rsidRDefault="00607D42" w:rsidP="00FE3F55">
            <w:pPr>
              <w:spacing w:after="0" w:line="240" w:lineRule="auto"/>
              <w:rPr>
                <w:rFonts w:ascii="Times New Roman" w:hAnsi="Times New Roman" w:cs="Times New Roman"/>
                <w:sz w:val="24"/>
                <w:szCs w:val="24"/>
              </w:rPr>
            </w:pPr>
            <w:r w:rsidRPr="00607D42">
              <w:rPr>
                <w:rFonts w:ascii="Times New Roman" w:hAnsi="Times New Roman" w:cs="Times New Roman"/>
                <w:sz w:val="24"/>
                <w:szCs w:val="24"/>
              </w:rPr>
              <w:t>Juridinio asmens kodas 188724424</w:t>
            </w:r>
          </w:p>
          <w:p w14:paraId="7B46A5E3" w14:textId="77777777" w:rsidR="00607D42" w:rsidRPr="00607D42" w:rsidRDefault="00607D42" w:rsidP="00FE3F55">
            <w:pPr>
              <w:spacing w:after="0" w:line="240" w:lineRule="auto"/>
              <w:rPr>
                <w:rFonts w:ascii="Times New Roman" w:hAnsi="Times New Roman" w:cs="Times New Roman"/>
                <w:sz w:val="24"/>
                <w:szCs w:val="24"/>
              </w:rPr>
            </w:pPr>
          </w:p>
          <w:p w14:paraId="6056F3DE" w14:textId="3665D58D" w:rsidR="00607D42" w:rsidRPr="00607D42" w:rsidRDefault="0018321E" w:rsidP="00FE3F55">
            <w:pPr>
              <w:spacing w:after="0" w:line="240" w:lineRule="auto"/>
              <w:rPr>
                <w:rFonts w:ascii="Times New Roman" w:hAnsi="Times New Roman" w:cs="Times New Roman"/>
                <w:sz w:val="24"/>
                <w:szCs w:val="24"/>
              </w:rPr>
            </w:pPr>
            <w:r>
              <w:rPr>
                <w:rFonts w:ascii="Times New Roman" w:hAnsi="Times New Roman" w:cs="Times New Roman"/>
                <w:sz w:val="24"/>
                <w:szCs w:val="24"/>
              </w:rPr>
              <w:t>Projekto vadovas</w:t>
            </w:r>
          </w:p>
          <w:p w14:paraId="02D675FA" w14:textId="77777777" w:rsidR="00607D42" w:rsidRPr="00607D42" w:rsidRDefault="00607D42" w:rsidP="00FE3F55">
            <w:pPr>
              <w:spacing w:after="0" w:line="240" w:lineRule="auto"/>
              <w:rPr>
                <w:rFonts w:ascii="Times New Roman" w:hAnsi="Times New Roman" w:cs="Times New Roman"/>
                <w:sz w:val="24"/>
                <w:szCs w:val="24"/>
              </w:rPr>
            </w:pPr>
            <w:r w:rsidRPr="00607D42">
              <w:rPr>
                <w:rFonts w:ascii="Times New Roman" w:hAnsi="Times New Roman" w:cs="Times New Roman"/>
                <w:sz w:val="24"/>
                <w:szCs w:val="24"/>
              </w:rPr>
              <w:t>__________________________</w:t>
            </w:r>
          </w:p>
          <w:p w14:paraId="7878A1A1" w14:textId="7CB2057E" w:rsidR="00607D42" w:rsidRPr="00607D42" w:rsidRDefault="0018321E" w:rsidP="00FE3F55">
            <w:pPr>
              <w:spacing w:after="0" w:line="240" w:lineRule="auto"/>
              <w:rPr>
                <w:rFonts w:ascii="Times New Roman" w:hAnsi="Times New Roman" w:cs="Times New Roman"/>
                <w:sz w:val="24"/>
                <w:szCs w:val="24"/>
              </w:rPr>
            </w:pPr>
            <w:r>
              <w:rPr>
                <w:rFonts w:ascii="Times New Roman" w:hAnsi="Times New Roman" w:cs="Times New Roman"/>
                <w:sz w:val="24"/>
                <w:szCs w:val="24"/>
              </w:rPr>
              <w:t>Petras Sakalauskas</w:t>
            </w:r>
          </w:p>
          <w:p w14:paraId="46DD84F7" w14:textId="77777777" w:rsidR="00607D42" w:rsidRPr="00607D42" w:rsidRDefault="00607D42" w:rsidP="00FE3F55">
            <w:pPr>
              <w:spacing w:after="0" w:line="240" w:lineRule="auto"/>
              <w:jc w:val="center"/>
              <w:rPr>
                <w:rFonts w:ascii="Times New Roman" w:hAnsi="Times New Roman" w:cs="Times New Roman"/>
                <w:sz w:val="24"/>
                <w:szCs w:val="24"/>
              </w:rPr>
            </w:pPr>
            <w:r w:rsidRPr="00607D42">
              <w:rPr>
                <w:rFonts w:ascii="Times New Roman" w:hAnsi="Times New Roman" w:cs="Times New Roman"/>
                <w:sz w:val="24"/>
                <w:szCs w:val="24"/>
              </w:rPr>
              <w:t xml:space="preserve">       A.V.</w:t>
            </w:r>
          </w:p>
        </w:tc>
        <w:tc>
          <w:tcPr>
            <w:tcW w:w="4666" w:type="dxa"/>
          </w:tcPr>
          <w:p w14:paraId="3B42E2A7" w14:textId="77777777" w:rsidR="00607D42" w:rsidRPr="00607D42" w:rsidRDefault="00607D42" w:rsidP="00FE3F55">
            <w:pPr>
              <w:spacing w:after="0" w:line="240" w:lineRule="auto"/>
              <w:rPr>
                <w:rFonts w:ascii="Times New Roman" w:hAnsi="Times New Roman" w:cs="Times New Roman"/>
                <w:b/>
                <w:sz w:val="24"/>
                <w:szCs w:val="24"/>
              </w:rPr>
            </w:pPr>
            <w:r w:rsidRPr="00607D42">
              <w:rPr>
                <w:rFonts w:ascii="Times New Roman" w:hAnsi="Times New Roman" w:cs="Times New Roman"/>
                <w:b/>
                <w:sz w:val="24"/>
                <w:szCs w:val="24"/>
              </w:rPr>
              <w:t>PASLAUGŲ TEIKĖJAS</w:t>
            </w:r>
          </w:p>
          <w:p w14:paraId="0FFE023A" w14:textId="77777777" w:rsidR="00607D42" w:rsidRPr="00607D42" w:rsidRDefault="00607D42" w:rsidP="00FE3F55">
            <w:pPr>
              <w:spacing w:after="0" w:line="240" w:lineRule="auto"/>
              <w:rPr>
                <w:rFonts w:ascii="Times New Roman" w:hAnsi="Times New Roman" w:cs="Times New Roman"/>
                <w:sz w:val="24"/>
                <w:szCs w:val="24"/>
              </w:rPr>
            </w:pPr>
          </w:p>
          <w:p w14:paraId="1EA83195" w14:textId="77777777" w:rsidR="00607D42" w:rsidRPr="00607D42" w:rsidRDefault="00607D42" w:rsidP="00FE3F55">
            <w:pPr>
              <w:spacing w:after="0" w:line="240" w:lineRule="auto"/>
              <w:rPr>
                <w:rFonts w:ascii="Times New Roman" w:hAnsi="Times New Roman" w:cs="Times New Roman"/>
                <w:b/>
                <w:bCs/>
                <w:sz w:val="24"/>
                <w:szCs w:val="24"/>
              </w:rPr>
            </w:pPr>
            <w:r w:rsidRPr="00607D42">
              <w:rPr>
                <w:rFonts w:ascii="Times New Roman" w:hAnsi="Times New Roman" w:cs="Times New Roman"/>
                <w:b/>
                <w:bCs/>
                <w:sz w:val="24"/>
                <w:szCs w:val="24"/>
              </w:rPr>
              <w:t>UAB „PricewaterhouseCoopers“</w:t>
            </w:r>
          </w:p>
          <w:p w14:paraId="3582D1AF" w14:textId="77777777" w:rsidR="00607D42" w:rsidRPr="00607D42" w:rsidRDefault="00607D42" w:rsidP="00FE3F55">
            <w:pPr>
              <w:spacing w:after="0" w:line="240" w:lineRule="auto"/>
              <w:rPr>
                <w:rFonts w:ascii="Times New Roman" w:hAnsi="Times New Roman" w:cs="Times New Roman"/>
                <w:sz w:val="24"/>
                <w:szCs w:val="24"/>
                <w:highlight w:val="yellow"/>
              </w:rPr>
            </w:pPr>
          </w:p>
          <w:p w14:paraId="76B2F505" w14:textId="77777777" w:rsidR="00607D42" w:rsidRPr="00607D42" w:rsidRDefault="00607D42" w:rsidP="00FE3F55">
            <w:pPr>
              <w:spacing w:after="0" w:line="240" w:lineRule="auto"/>
              <w:rPr>
                <w:rFonts w:ascii="Times New Roman" w:hAnsi="Times New Roman" w:cs="Times New Roman"/>
                <w:sz w:val="24"/>
                <w:szCs w:val="24"/>
              </w:rPr>
            </w:pPr>
            <w:r w:rsidRPr="00607D42">
              <w:rPr>
                <w:rFonts w:ascii="Times New Roman" w:hAnsi="Times New Roman" w:cs="Times New Roman"/>
                <w:sz w:val="24"/>
                <w:szCs w:val="24"/>
              </w:rPr>
              <w:t xml:space="preserve">Juridinio asmens kodas </w:t>
            </w:r>
            <w:r w:rsidRPr="00607D42">
              <w:rPr>
                <w:rFonts w:ascii="Times New Roman" w:hAnsi="Times New Roman" w:cs="Times New Roman"/>
                <w:bCs/>
                <w:sz w:val="24"/>
                <w:szCs w:val="24"/>
              </w:rPr>
              <w:t>111473315</w:t>
            </w:r>
          </w:p>
          <w:p w14:paraId="023DC5AE" w14:textId="77777777" w:rsidR="00607D42" w:rsidRPr="00607D42" w:rsidRDefault="00607D42" w:rsidP="00FE3F55">
            <w:pPr>
              <w:spacing w:after="0" w:line="240" w:lineRule="auto"/>
              <w:rPr>
                <w:rFonts w:ascii="Times New Roman" w:hAnsi="Times New Roman" w:cs="Times New Roman"/>
                <w:sz w:val="24"/>
                <w:szCs w:val="24"/>
                <w:highlight w:val="yellow"/>
              </w:rPr>
            </w:pPr>
          </w:p>
          <w:p w14:paraId="16D56600" w14:textId="0C4743E2" w:rsidR="00607D42" w:rsidRPr="00607D42" w:rsidRDefault="008E1579" w:rsidP="00FE3F55">
            <w:pPr>
              <w:spacing w:after="0" w:line="240" w:lineRule="auto"/>
              <w:rPr>
                <w:rFonts w:ascii="Times New Roman" w:hAnsi="Times New Roman" w:cs="Times New Roman"/>
                <w:sz w:val="24"/>
                <w:szCs w:val="24"/>
              </w:rPr>
            </w:pPr>
            <w:r w:rsidRPr="00DF387A">
              <w:rPr>
                <w:rFonts w:ascii="Times New Roman" w:hAnsi="Times New Roman" w:cs="Times New Roman"/>
                <w:sz w:val="24"/>
                <w:szCs w:val="24"/>
                <w:shd w:val="clear" w:color="auto" w:fill="FFFFFF"/>
              </w:rPr>
              <w:t>Konsultacijų skyriaus direktorė</w:t>
            </w:r>
          </w:p>
          <w:p w14:paraId="13B6D3EA" w14:textId="77777777" w:rsidR="00607D42" w:rsidRPr="00607D42" w:rsidRDefault="00607D42" w:rsidP="00FE3F55">
            <w:pPr>
              <w:spacing w:after="0" w:line="240" w:lineRule="auto"/>
              <w:rPr>
                <w:rFonts w:ascii="Times New Roman" w:hAnsi="Times New Roman" w:cs="Times New Roman"/>
                <w:sz w:val="24"/>
                <w:szCs w:val="24"/>
              </w:rPr>
            </w:pPr>
            <w:r w:rsidRPr="00607D42">
              <w:rPr>
                <w:rFonts w:ascii="Times New Roman" w:hAnsi="Times New Roman" w:cs="Times New Roman"/>
                <w:sz w:val="24"/>
                <w:szCs w:val="24"/>
              </w:rPr>
              <w:t>_____________________________</w:t>
            </w:r>
          </w:p>
          <w:p w14:paraId="67EC6E2E" w14:textId="205A1196" w:rsidR="00607D42" w:rsidRPr="00607D42" w:rsidRDefault="008E1579" w:rsidP="00FE3F55">
            <w:pPr>
              <w:spacing w:after="0" w:line="240" w:lineRule="auto"/>
              <w:rPr>
                <w:rFonts w:ascii="Times New Roman" w:hAnsi="Times New Roman" w:cs="Times New Roman"/>
                <w:sz w:val="24"/>
                <w:szCs w:val="24"/>
              </w:rPr>
            </w:pPr>
            <w:r>
              <w:rPr>
                <w:rFonts w:ascii="Times New Roman" w:hAnsi="Times New Roman" w:cs="Times New Roman"/>
                <w:sz w:val="24"/>
                <w:szCs w:val="24"/>
              </w:rPr>
              <w:t>Birutė Purvaneckaitė</w:t>
            </w:r>
          </w:p>
          <w:p w14:paraId="744BC10F" w14:textId="77777777" w:rsidR="00607D42" w:rsidRPr="00607D42" w:rsidRDefault="00607D42" w:rsidP="00FE3F55">
            <w:pPr>
              <w:spacing w:after="0" w:line="240" w:lineRule="auto"/>
              <w:jc w:val="center"/>
              <w:rPr>
                <w:rFonts w:ascii="Times New Roman" w:hAnsi="Times New Roman" w:cs="Times New Roman"/>
                <w:sz w:val="24"/>
                <w:szCs w:val="24"/>
              </w:rPr>
            </w:pPr>
            <w:r w:rsidRPr="00607D42">
              <w:rPr>
                <w:rFonts w:ascii="Times New Roman" w:hAnsi="Times New Roman" w:cs="Times New Roman"/>
                <w:sz w:val="24"/>
                <w:szCs w:val="24"/>
              </w:rPr>
              <w:t xml:space="preserve">    A.V.</w:t>
            </w:r>
          </w:p>
        </w:tc>
      </w:tr>
    </w:tbl>
    <w:p w14:paraId="627E969E" w14:textId="77777777" w:rsidR="00607D42" w:rsidRPr="00607D42" w:rsidRDefault="00607D42" w:rsidP="00607D42">
      <w:pPr>
        <w:spacing w:line="240" w:lineRule="auto"/>
        <w:jc w:val="both"/>
        <w:rPr>
          <w:rFonts w:ascii="Times New Roman" w:eastAsia="Calibri" w:hAnsi="Times New Roman" w:cs="Times New Roman"/>
          <w:color w:val="000000"/>
          <w:sz w:val="24"/>
          <w:szCs w:val="24"/>
        </w:rPr>
      </w:pPr>
    </w:p>
    <w:sectPr w:rsidR="00607D42" w:rsidRPr="00607D42">
      <w:headerReference w:type="default" r:id="rId17"/>
      <w:footerReference w:type="default" r:id="rId18"/>
      <w:pgSz w:w="11906" w:h="16838"/>
      <w:pgMar w:top="1134" w:right="567" w:bottom="851" w:left="1701" w:header="567" w:footer="567"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C69D6" w14:textId="77777777" w:rsidR="00212EC4" w:rsidRDefault="00212EC4">
      <w:pPr>
        <w:spacing w:after="0" w:line="240" w:lineRule="auto"/>
      </w:pPr>
      <w:r>
        <w:separator/>
      </w:r>
    </w:p>
  </w:endnote>
  <w:endnote w:type="continuationSeparator" w:id="0">
    <w:p w14:paraId="5B6F13CE" w14:textId="77777777" w:rsidR="00212EC4" w:rsidRDefault="00212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ohit Devanagari">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7D246" w14:textId="77777777" w:rsidR="00D75BC6" w:rsidRDefault="00D75B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1E54F" w14:textId="77777777" w:rsidR="00D75BC6" w:rsidRDefault="00D75B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EC56F" w14:textId="77777777" w:rsidR="00D75BC6" w:rsidRDefault="00D75B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BE012" w14:textId="77777777" w:rsidR="00D75BC6" w:rsidRDefault="00D75B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3F516" w14:textId="77777777" w:rsidR="00212EC4" w:rsidRDefault="00212EC4">
      <w:pPr>
        <w:spacing w:after="0" w:line="240" w:lineRule="auto"/>
      </w:pPr>
      <w:r>
        <w:separator/>
      </w:r>
    </w:p>
  </w:footnote>
  <w:footnote w:type="continuationSeparator" w:id="0">
    <w:p w14:paraId="04311E40" w14:textId="77777777" w:rsidR="00212EC4" w:rsidRDefault="00212EC4">
      <w:pPr>
        <w:spacing w:after="0" w:line="240" w:lineRule="auto"/>
      </w:pPr>
      <w:r>
        <w:continuationSeparator/>
      </w:r>
    </w:p>
  </w:footnote>
  <w:footnote w:id="1">
    <w:p w14:paraId="3DA84F72" w14:textId="788CEC07" w:rsidR="007F17A2" w:rsidRDefault="007F17A2" w:rsidP="001A06C0">
      <w:pPr>
        <w:pStyle w:val="FootnoteText"/>
        <w:jc w:val="both"/>
      </w:pPr>
      <w:r>
        <w:rPr>
          <w:rStyle w:val="FootnoteReference"/>
        </w:rPr>
        <w:footnoteRef/>
      </w:r>
      <w:r>
        <w:t xml:space="preserve"> </w:t>
      </w:r>
      <w:r w:rsidR="001A06C0">
        <w:t xml:space="preserve">Atkreiptinas dėmesys, kad </w:t>
      </w:r>
      <w:r w:rsidR="00ED69B2">
        <w:t>Kompetencijų stiprinimo efektyviam teismų išteklių valdymui studijos parengim</w:t>
      </w:r>
      <w:r w:rsidR="001A06C0">
        <w:t>o paslaugas</w:t>
      </w:r>
      <w:r w:rsidR="00ED69B2">
        <w:t xml:space="preserve"> </w:t>
      </w:r>
      <w:r w:rsidR="001A06C0">
        <w:t>Perkančioji organizacija įsigys atskiru viešuoju pirkimu.</w:t>
      </w:r>
    </w:p>
  </w:footnote>
  <w:footnote w:id="2">
    <w:p w14:paraId="3F86D1B4" w14:textId="45FDBCC1" w:rsidR="00F83D8A" w:rsidRDefault="00F83D8A" w:rsidP="003F7E19">
      <w:pPr>
        <w:pStyle w:val="FootnoteText"/>
        <w:jc w:val="both"/>
      </w:pPr>
      <w:r>
        <w:rPr>
          <w:rStyle w:val="FootnoteReference"/>
        </w:rPr>
        <w:footnoteRef/>
      </w:r>
      <w:r>
        <w:t xml:space="preserve"> Jei </w:t>
      </w:r>
      <w:r w:rsidRPr="00CE04CD">
        <w:t>vertinant 4 kriterijų ekonominio</w:t>
      </w:r>
      <w:r w:rsidRPr="00F83D8A">
        <w:t xml:space="preserve"> naudingume buvo nustatyti paslaugų teikėjo pasiūlymo trūkumai/netikslumai, su </w:t>
      </w:r>
      <w:r w:rsidRPr="001338FF">
        <w:t>4</w:t>
      </w:r>
      <w:r w:rsidRPr="00F83D8A">
        <w:t xml:space="preserve"> kriterijumi susijusi informacija gali būti tikslinama/koreguojama pirkimo sutarties vykdymo metu, siekiant pagerinti pasiūlymo rezultatus arba ištaisyti paslaugų teikėjo pasiūlymo rengimo metu padarytus trūkumus/paliktus netikslumus.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6694578"/>
      <w:docPartObj>
        <w:docPartGallery w:val="Page Numbers (Top of Page)"/>
        <w:docPartUnique/>
      </w:docPartObj>
    </w:sdtPr>
    <w:sdtEndPr/>
    <w:sdtContent>
      <w:p w14:paraId="2B0FF777" w14:textId="1F7BE538" w:rsidR="00D75BC6" w:rsidRDefault="00C149F2">
        <w:pPr>
          <w:pStyle w:val="Header"/>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PAGE</w:instrText>
        </w:r>
        <w:r>
          <w:rPr>
            <w:rFonts w:ascii="Times New Roman" w:hAnsi="Times New Roman" w:cs="Times New Roman"/>
            <w:sz w:val="20"/>
            <w:szCs w:val="20"/>
          </w:rPr>
          <w:fldChar w:fldCharType="separate"/>
        </w:r>
        <w:r w:rsidR="00B86692">
          <w:rPr>
            <w:rFonts w:ascii="Times New Roman" w:hAnsi="Times New Roman" w:cs="Times New Roman"/>
            <w:noProof/>
            <w:sz w:val="20"/>
            <w:szCs w:val="20"/>
          </w:rPr>
          <w:t>2</w:t>
        </w:r>
        <w:r>
          <w:rPr>
            <w:rFonts w:ascii="Times New Roman" w:hAnsi="Times New Roman" w:cs="Times New Roman"/>
            <w:sz w:val="20"/>
            <w:szCs w:val="20"/>
          </w:rPr>
          <w:fldChar w:fldCharType="end"/>
        </w:r>
      </w:p>
      <w:p w14:paraId="1E9554A4" w14:textId="77777777" w:rsidR="00D75BC6" w:rsidRDefault="00212EC4">
        <w:pPr>
          <w:pStyle w:val="Heade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323" w:type="dxa"/>
      <w:jc w:val="center"/>
      <w:tblLook w:val="04A0" w:firstRow="1" w:lastRow="0" w:firstColumn="1" w:lastColumn="0" w:noHBand="0" w:noVBand="1"/>
    </w:tblPr>
    <w:tblGrid>
      <w:gridCol w:w="4069"/>
      <w:gridCol w:w="4254"/>
    </w:tblGrid>
    <w:tr w:rsidR="00D75BC6" w14:paraId="5D512B9C" w14:textId="77777777">
      <w:trPr>
        <w:trHeight w:val="1242"/>
        <w:jc w:val="center"/>
      </w:trPr>
      <w:tc>
        <w:tcPr>
          <w:tcW w:w="4069" w:type="dxa"/>
          <w:tcBorders>
            <w:top w:val="nil"/>
            <w:left w:val="nil"/>
            <w:bottom w:val="nil"/>
            <w:right w:val="nil"/>
          </w:tcBorders>
          <w:shd w:val="clear" w:color="auto" w:fill="auto"/>
          <w:vAlign w:val="center"/>
        </w:tcPr>
        <w:p w14:paraId="498C8A03" w14:textId="77777777" w:rsidR="00D75BC6" w:rsidRDefault="00C149F2">
          <w:pPr>
            <w:spacing w:after="0" w:line="240" w:lineRule="auto"/>
            <w:rPr>
              <w:b/>
              <w:caps/>
              <w:w w:val="102"/>
              <w:szCs w:val="24"/>
            </w:rPr>
          </w:pPr>
          <w:r>
            <w:rPr>
              <w:noProof/>
              <w:lang w:eastAsia="lt-LT"/>
            </w:rPr>
            <w:drawing>
              <wp:inline distT="0" distB="0" distL="0" distR="0" wp14:anchorId="6DEFFCA1" wp14:editId="2ABB8B6D">
                <wp:extent cx="1371600" cy="96012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
                        <a:stretch>
                          <a:fillRect/>
                        </a:stretch>
                      </pic:blipFill>
                      <pic:spPr bwMode="auto">
                        <a:xfrm>
                          <a:off x="0" y="0"/>
                          <a:ext cx="1371600" cy="960120"/>
                        </a:xfrm>
                        <a:prstGeom prst="rect">
                          <a:avLst/>
                        </a:prstGeom>
                      </pic:spPr>
                    </pic:pic>
                  </a:graphicData>
                </a:graphic>
              </wp:inline>
            </w:drawing>
          </w:r>
        </w:p>
      </w:tc>
      <w:tc>
        <w:tcPr>
          <w:tcW w:w="4253" w:type="dxa"/>
          <w:tcBorders>
            <w:top w:val="nil"/>
            <w:left w:val="nil"/>
            <w:bottom w:val="nil"/>
            <w:right w:val="nil"/>
          </w:tcBorders>
          <w:shd w:val="clear" w:color="auto" w:fill="auto"/>
          <w:vAlign w:val="center"/>
        </w:tcPr>
        <w:p w14:paraId="2F97602B" w14:textId="77777777" w:rsidR="00D75BC6" w:rsidRDefault="00C149F2">
          <w:pPr>
            <w:spacing w:after="0" w:line="240" w:lineRule="auto"/>
            <w:jc w:val="right"/>
            <w:rPr>
              <w:b/>
              <w:caps/>
              <w:w w:val="102"/>
              <w:szCs w:val="24"/>
            </w:rPr>
          </w:pPr>
          <w:r>
            <w:rPr>
              <w:noProof/>
              <w:lang w:eastAsia="lt-LT"/>
            </w:rPr>
            <w:drawing>
              <wp:inline distT="0" distB="0" distL="0" distR="0" wp14:anchorId="77E08D77" wp14:editId="7CA00942">
                <wp:extent cx="1915795" cy="903605"/>
                <wp:effectExtent l="0" t="0" r="0" b="0"/>
                <wp:docPr id="2" name="Picture 2" descr="e-PARASAS-DARB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PARASAS-DARBINIS"/>
                        <pic:cNvPicPr>
                          <a:picLocks noChangeAspect="1" noChangeArrowheads="1"/>
                        </pic:cNvPicPr>
                      </pic:nvPicPr>
                      <pic:blipFill>
                        <a:blip r:embed="rId2"/>
                        <a:stretch>
                          <a:fillRect/>
                        </a:stretch>
                      </pic:blipFill>
                      <pic:spPr bwMode="auto">
                        <a:xfrm>
                          <a:off x="0" y="0"/>
                          <a:ext cx="1915795" cy="903605"/>
                        </a:xfrm>
                        <a:prstGeom prst="rect">
                          <a:avLst/>
                        </a:prstGeom>
                      </pic:spPr>
                    </pic:pic>
                  </a:graphicData>
                </a:graphic>
              </wp:inline>
            </w:drawing>
          </w:r>
        </w:p>
      </w:tc>
    </w:tr>
  </w:tbl>
  <w:p w14:paraId="0E02DF49" w14:textId="77777777" w:rsidR="00D75BC6" w:rsidRDefault="00D75B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8871777"/>
      <w:docPartObj>
        <w:docPartGallery w:val="Page Numbers (Top of Page)"/>
        <w:docPartUnique/>
      </w:docPartObj>
    </w:sdtPr>
    <w:sdtEndPr/>
    <w:sdtContent>
      <w:p w14:paraId="6E6C5F22" w14:textId="0556630A" w:rsidR="00D75BC6" w:rsidRDefault="00C149F2">
        <w:pPr>
          <w:pStyle w:val="Header"/>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PAGE</w:instrText>
        </w:r>
        <w:r>
          <w:rPr>
            <w:rFonts w:ascii="Times New Roman" w:hAnsi="Times New Roman" w:cs="Times New Roman"/>
            <w:sz w:val="20"/>
            <w:szCs w:val="20"/>
          </w:rPr>
          <w:fldChar w:fldCharType="separate"/>
        </w:r>
        <w:r w:rsidR="00B86692">
          <w:rPr>
            <w:rFonts w:ascii="Times New Roman" w:hAnsi="Times New Roman" w:cs="Times New Roman"/>
            <w:noProof/>
            <w:sz w:val="20"/>
            <w:szCs w:val="20"/>
          </w:rPr>
          <w:t>4</w:t>
        </w:r>
        <w:r>
          <w:rPr>
            <w:rFonts w:ascii="Times New Roman" w:hAnsi="Times New Roman" w:cs="Times New Roman"/>
            <w:sz w:val="20"/>
            <w:szCs w:val="20"/>
          </w:rPr>
          <w:fldChar w:fldCharType="end"/>
        </w:r>
      </w:p>
      <w:p w14:paraId="4E8A86F3" w14:textId="77777777" w:rsidR="00D75BC6" w:rsidRDefault="00212EC4">
        <w:pPr>
          <w:pStyle w:val="Header"/>
        </w:pP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610968"/>
      <w:docPartObj>
        <w:docPartGallery w:val="Page Numbers (Top of Page)"/>
        <w:docPartUnique/>
      </w:docPartObj>
    </w:sdtPr>
    <w:sdtEndPr/>
    <w:sdtContent>
      <w:p w14:paraId="6E0C1527" w14:textId="78F1D870" w:rsidR="00D75BC6" w:rsidRDefault="00C149F2">
        <w:pPr>
          <w:pStyle w:val="Header"/>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PAGE</w:instrText>
        </w:r>
        <w:r>
          <w:rPr>
            <w:rFonts w:ascii="Times New Roman" w:hAnsi="Times New Roman" w:cs="Times New Roman"/>
            <w:sz w:val="20"/>
            <w:szCs w:val="20"/>
          </w:rPr>
          <w:fldChar w:fldCharType="separate"/>
        </w:r>
        <w:r w:rsidR="00B86692">
          <w:rPr>
            <w:rFonts w:ascii="Times New Roman" w:hAnsi="Times New Roman" w:cs="Times New Roman"/>
            <w:noProof/>
            <w:sz w:val="20"/>
            <w:szCs w:val="20"/>
          </w:rPr>
          <w:t>9</w:t>
        </w:r>
        <w:r>
          <w:rPr>
            <w:rFonts w:ascii="Times New Roman" w:hAnsi="Times New Roman" w:cs="Times New Roman"/>
            <w:sz w:val="20"/>
            <w:szCs w:val="20"/>
          </w:rPr>
          <w:fldChar w:fldCharType="end"/>
        </w:r>
      </w:p>
    </w:sdtContent>
  </w:sdt>
  <w:p w14:paraId="60946031" w14:textId="77777777" w:rsidR="00D75BC6" w:rsidRDefault="00D75B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7F6B"/>
    <w:multiLevelType w:val="multilevel"/>
    <w:tmpl w:val="E152A3F6"/>
    <w:lvl w:ilvl="0">
      <w:start w:val="7"/>
      <w:numFmt w:val="decimal"/>
      <w:lvlText w:val="%1."/>
      <w:lvlJc w:val="left"/>
      <w:pPr>
        <w:tabs>
          <w:tab w:val="num" w:pos="0"/>
        </w:tabs>
        <w:ind w:left="360" w:hanging="360"/>
      </w:pPr>
    </w:lvl>
    <w:lvl w:ilvl="1">
      <w:start w:val="1"/>
      <w:numFmt w:val="decimal"/>
      <w:suff w:val="space"/>
      <w:lvlText w:val="%1.%2."/>
      <w:lvlJc w:val="left"/>
      <w:pPr>
        <w:tabs>
          <w:tab w:val="num" w:pos="0"/>
        </w:tabs>
        <w:ind w:left="0" w:firstLine="720"/>
      </w:pPr>
      <w:rPr>
        <w:color w:val="000000"/>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 w15:restartNumberingAfterBreak="0">
    <w:nsid w:val="036D18EB"/>
    <w:multiLevelType w:val="hybridMultilevel"/>
    <w:tmpl w:val="640EE2E8"/>
    <w:lvl w:ilvl="0" w:tplc="1CA650D4">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B23FD7"/>
    <w:multiLevelType w:val="multilevel"/>
    <w:tmpl w:val="AAAC0512"/>
    <w:lvl w:ilvl="0">
      <w:start w:val="1"/>
      <w:numFmt w:val="decimal"/>
      <w:suff w:val="space"/>
      <w:lvlText w:val="%1."/>
      <w:lvlJc w:val="left"/>
      <w:pPr>
        <w:tabs>
          <w:tab w:val="num" w:pos="0"/>
        </w:tabs>
        <w:ind w:left="0" w:firstLine="720"/>
      </w:pPr>
      <w:rPr>
        <w:color w:val="000000"/>
      </w:rPr>
    </w:lvl>
    <w:lvl w:ilvl="1">
      <w:start w:val="2"/>
      <w:numFmt w:val="decimal"/>
      <w:lvlText w:val="%1.%2."/>
      <w:lvlJc w:val="left"/>
      <w:pPr>
        <w:tabs>
          <w:tab w:val="num" w:pos="0"/>
        </w:tabs>
        <w:ind w:left="357" w:hanging="357"/>
      </w:pPr>
      <w:rPr>
        <w:color w:val="000000"/>
      </w:rPr>
    </w:lvl>
    <w:lvl w:ilvl="2">
      <w:start w:val="1"/>
      <w:numFmt w:val="decimal"/>
      <w:lvlText w:val="%1.%2.%3."/>
      <w:lvlJc w:val="left"/>
      <w:pPr>
        <w:tabs>
          <w:tab w:val="num" w:pos="0"/>
        </w:tabs>
        <w:ind w:left="720" w:hanging="720"/>
      </w:pPr>
      <w:rPr>
        <w:color w:val="000000"/>
      </w:rPr>
    </w:lvl>
    <w:lvl w:ilvl="3">
      <w:start w:val="1"/>
      <w:numFmt w:val="decimal"/>
      <w:lvlText w:val="%1.%2.%3.%4."/>
      <w:lvlJc w:val="left"/>
      <w:pPr>
        <w:tabs>
          <w:tab w:val="num" w:pos="0"/>
        </w:tabs>
        <w:ind w:left="357" w:hanging="357"/>
      </w:pPr>
      <w:rPr>
        <w:color w:val="000000"/>
      </w:rPr>
    </w:lvl>
    <w:lvl w:ilvl="4">
      <w:start w:val="1"/>
      <w:numFmt w:val="decimal"/>
      <w:lvlText w:val="%1.%2.%3.%4.%5."/>
      <w:lvlJc w:val="left"/>
      <w:pPr>
        <w:tabs>
          <w:tab w:val="num" w:pos="0"/>
        </w:tabs>
        <w:ind w:left="357" w:hanging="357"/>
      </w:pPr>
      <w:rPr>
        <w:color w:val="000000"/>
      </w:rPr>
    </w:lvl>
    <w:lvl w:ilvl="5">
      <w:start w:val="1"/>
      <w:numFmt w:val="decimal"/>
      <w:lvlText w:val="%1.%2.%3.%4.%5.%6."/>
      <w:lvlJc w:val="left"/>
      <w:pPr>
        <w:tabs>
          <w:tab w:val="num" w:pos="0"/>
        </w:tabs>
        <w:ind w:left="357" w:hanging="357"/>
      </w:pPr>
      <w:rPr>
        <w:color w:val="000000"/>
      </w:rPr>
    </w:lvl>
    <w:lvl w:ilvl="6">
      <w:start w:val="1"/>
      <w:numFmt w:val="decimal"/>
      <w:lvlText w:val="%1.%2.%3.%4.%5.%6.%7."/>
      <w:lvlJc w:val="left"/>
      <w:pPr>
        <w:tabs>
          <w:tab w:val="num" w:pos="0"/>
        </w:tabs>
        <w:ind w:left="357" w:hanging="357"/>
      </w:pPr>
      <w:rPr>
        <w:color w:val="000000"/>
      </w:rPr>
    </w:lvl>
    <w:lvl w:ilvl="7">
      <w:start w:val="1"/>
      <w:numFmt w:val="decimal"/>
      <w:lvlText w:val="%1.%2.%3.%4.%5.%6.%7.%8."/>
      <w:lvlJc w:val="left"/>
      <w:pPr>
        <w:tabs>
          <w:tab w:val="num" w:pos="0"/>
        </w:tabs>
        <w:ind w:left="357" w:hanging="357"/>
      </w:pPr>
      <w:rPr>
        <w:color w:val="000000"/>
      </w:rPr>
    </w:lvl>
    <w:lvl w:ilvl="8">
      <w:start w:val="1"/>
      <w:numFmt w:val="decimal"/>
      <w:lvlText w:val="%1.%2.%3.%4.%5.%6.%7.%8.%9."/>
      <w:lvlJc w:val="left"/>
      <w:pPr>
        <w:tabs>
          <w:tab w:val="num" w:pos="0"/>
        </w:tabs>
        <w:ind w:left="357" w:hanging="357"/>
      </w:pPr>
      <w:rPr>
        <w:color w:val="000000"/>
      </w:rPr>
    </w:lvl>
  </w:abstractNum>
  <w:abstractNum w:abstractNumId="3" w15:restartNumberingAfterBreak="0">
    <w:nsid w:val="109C5833"/>
    <w:multiLevelType w:val="multilevel"/>
    <w:tmpl w:val="EC2AA3D2"/>
    <w:lvl w:ilvl="0">
      <w:start w:val="6"/>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4" w15:restartNumberingAfterBreak="0">
    <w:nsid w:val="134149E4"/>
    <w:multiLevelType w:val="multilevel"/>
    <w:tmpl w:val="E5E62408"/>
    <w:lvl w:ilvl="0">
      <w:start w:val="2"/>
      <w:numFmt w:val="decimal"/>
      <w:lvlText w:val="%1."/>
      <w:lvlJc w:val="left"/>
      <w:pPr>
        <w:tabs>
          <w:tab w:val="num" w:pos="0"/>
        </w:tabs>
        <w:ind w:left="360" w:hanging="360"/>
      </w:pPr>
    </w:lvl>
    <w:lvl w:ilvl="1">
      <w:start w:val="1"/>
      <w:numFmt w:val="decimal"/>
      <w:suff w:val="space"/>
      <w:lvlText w:val="%1.%2."/>
      <w:lvlJc w:val="left"/>
      <w:pPr>
        <w:tabs>
          <w:tab w:val="num" w:pos="0"/>
        </w:tabs>
        <w:ind w:left="0" w:firstLine="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235A5D51"/>
    <w:multiLevelType w:val="multilevel"/>
    <w:tmpl w:val="EC2AA3D2"/>
    <w:lvl w:ilvl="0">
      <w:start w:val="6"/>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6" w15:restartNumberingAfterBreak="0">
    <w:nsid w:val="2EA53A16"/>
    <w:multiLevelType w:val="multilevel"/>
    <w:tmpl w:val="41BC2394"/>
    <w:lvl w:ilvl="0">
      <w:start w:val="5"/>
      <w:numFmt w:val="decimal"/>
      <w:lvlText w:val="%1."/>
      <w:lvlJc w:val="left"/>
      <w:pPr>
        <w:tabs>
          <w:tab w:val="num" w:pos="0"/>
        </w:tabs>
        <w:ind w:left="360" w:hanging="360"/>
      </w:pPr>
      <w:rPr>
        <w:b/>
      </w:rPr>
    </w:lvl>
    <w:lvl w:ilvl="1">
      <w:start w:val="1"/>
      <w:numFmt w:val="decimal"/>
      <w:suff w:val="space"/>
      <w:lvlText w:val="%1.%2."/>
      <w:lvlJc w:val="left"/>
      <w:pPr>
        <w:tabs>
          <w:tab w:val="num" w:pos="0"/>
        </w:tabs>
        <w:ind w:left="0" w:firstLine="720"/>
      </w:pPr>
      <w:rPr>
        <w:b w:val="0"/>
        <w:bCs/>
      </w:rPr>
    </w:lvl>
    <w:lvl w:ilvl="2">
      <w:start w:val="1"/>
      <w:numFmt w:val="decimal"/>
      <w:suff w:val="space"/>
      <w:lvlText w:val="%1.%2.%3."/>
      <w:lvlJc w:val="left"/>
      <w:pPr>
        <w:tabs>
          <w:tab w:val="num" w:pos="0"/>
        </w:tabs>
        <w:ind w:left="0" w:firstLine="720"/>
      </w:pPr>
      <w:rPr>
        <w:b w:val="0"/>
        <w:bCs/>
      </w:rPr>
    </w:lvl>
    <w:lvl w:ilvl="3">
      <w:start w:val="1"/>
      <w:numFmt w:val="decimal"/>
      <w:lvlText w:val="%1.%2.%3.%4."/>
      <w:lvlJc w:val="left"/>
      <w:pPr>
        <w:tabs>
          <w:tab w:val="num" w:pos="0"/>
        </w:tabs>
        <w:ind w:left="1429" w:hanging="720"/>
      </w:pPr>
      <w:rPr>
        <w:b w:val="0"/>
        <w:bCs/>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7" w15:restartNumberingAfterBreak="0">
    <w:nsid w:val="38374260"/>
    <w:multiLevelType w:val="multilevel"/>
    <w:tmpl w:val="EC2AA3D2"/>
    <w:lvl w:ilvl="0">
      <w:start w:val="6"/>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8" w15:restartNumberingAfterBreak="0">
    <w:nsid w:val="44EB2C3F"/>
    <w:multiLevelType w:val="multilevel"/>
    <w:tmpl w:val="4F4C994E"/>
    <w:lvl w:ilvl="0">
      <w:start w:val="3"/>
      <w:numFmt w:val="decimal"/>
      <w:lvlText w:val="%1."/>
      <w:lvlJc w:val="left"/>
      <w:pPr>
        <w:tabs>
          <w:tab w:val="num" w:pos="0"/>
        </w:tabs>
        <w:ind w:left="360" w:hanging="360"/>
      </w:pPr>
    </w:lvl>
    <w:lvl w:ilvl="1">
      <w:start w:val="1"/>
      <w:numFmt w:val="decimal"/>
      <w:suff w:val="space"/>
      <w:lvlText w:val="%1.%2."/>
      <w:lvlJc w:val="left"/>
      <w:pPr>
        <w:tabs>
          <w:tab w:val="num" w:pos="0"/>
        </w:tabs>
        <w:ind w:left="0" w:firstLine="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15:restartNumberingAfterBreak="0">
    <w:nsid w:val="46C36A1B"/>
    <w:multiLevelType w:val="multilevel"/>
    <w:tmpl w:val="A502ACC8"/>
    <w:lvl w:ilvl="0">
      <w:start w:val="9"/>
      <w:numFmt w:val="decimal"/>
      <w:lvlText w:val="%1."/>
      <w:lvlJc w:val="left"/>
      <w:pPr>
        <w:tabs>
          <w:tab w:val="num" w:pos="0"/>
        </w:tabs>
        <w:ind w:left="360" w:hanging="360"/>
      </w:pPr>
    </w:lvl>
    <w:lvl w:ilvl="1">
      <w:start w:val="1"/>
      <w:numFmt w:val="decimal"/>
      <w:suff w:val="space"/>
      <w:lvlText w:val="8.%2."/>
      <w:lvlJc w:val="left"/>
      <w:pPr>
        <w:tabs>
          <w:tab w:val="num" w:pos="0"/>
        </w:tabs>
        <w:ind w:left="0" w:firstLine="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15:restartNumberingAfterBreak="0">
    <w:nsid w:val="46DA5B13"/>
    <w:multiLevelType w:val="multilevel"/>
    <w:tmpl w:val="EC2AA3D2"/>
    <w:lvl w:ilvl="0">
      <w:start w:val="6"/>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1" w15:restartNumberingAfterBreak="0">
    <w:nsid w:val="568920F4"/>
    <w:multiLevelType w:val="multilevel"/>
    <w:tmpl w:val="D458EE6C"/>
    <w:lvl w:ilvl="0">
      <w:start w:val="1"/>
      <w:numFmt w:val="decimal"/>
      <w:lvlText w:val="%1."/>
      <w:lvlJc w:val="left"/>
      <w:pPr>
        <w:tabs>
          <w:tab w:val="num" w:pos="0"/>
        </w:tabs>
        <w:ind w:left="357" w:hanging="357"/>
      </w:pPr>
    </w:lvl>
    <w:lvl w:ilvl="1">
      <w:start w:val="1"/>
      <w:numFmt w:val="decimal"/>
      <w:suff w:val="space"/>
      <w:lvlText w:val="%1.%2."/>
      <w:lvlJc w:val="left"/>
      <w:pPr>
        <w:tabs>
          <w:tab w:val="num" w:pos="0"/>
        </w:tabs>
        <w:ind w:left="0" w:firstLine="720"/>
      </w:pPr>
    </w:lvl>
    <w:lvl w:ilvl="2">
      <w:start w:val="1"/>
      <w:numFmt w:val="decimal"/>
      <w:lvlText w:val="%1.%2.%3."/>
      <w:lvlJc w:val="left"/>
      <w:pPr>
        <w:tabs>
          <w:tab w:val="num" w:pos="0"/>
        </w:tabs>
        <w:ind w:left="4677" w:hanging="357"/>
      </w:pPr>
    </w:lvl>
    <w:lvl w:ilvl="3">
      <w:start w:val="1"/>
      <w:numFmt w:val="decimal"/>
      <w:lvlText w:val="%1.%2.%3.%4."/>
      <w:lvlJc w:val="left"/>
      <w:pPr>
        <w:tabs>
          <w:tab w:val="num" w:pos="0"/>
        </w:tabs>
        <w:ind w:left="6837" w:hanging="357"/>
      </w:pPr>
    </w:lvl>
    <w:lvl w:ilvl="4">
      <w:start w:val="1"/>
      <w:numFmt w:val="decimal"/>
      <w:lvlText w:val="%1.%2.%3.%4.%5."/>
      <w:lvlJc w:val="left"/>
      <w:pPr>
        <w:tabs>
          <w:tab w:val="num" w:pos="0"/>
        </w:tabs>
        <w:ind w:left="8997" w:hanging="357"/>
      </w:pPr>
    </w:lvl>
    <w:lvl w:ilvl="5">
      <w:start w:val="1"/>
      <w:numFmt w:val="decimal"/>
      <w:lvlText w:val="%1.%2.%3.%4.%5.%6."/>
      <w:lvlJc w:val="left"/>
      <w:pPr>
        <w:tabs>
          <w:tab w:val="num" w:pos="0"/>
        </w:tabs>
        <w:ind w:left="11157" w:hanging="357"/>
      </w:pPr>
    </w:lvl>
    <w:lvl w:ilvl="6">
      <w:start w:val="1"/>
      <w:numFmt w:val="decimal"/>
      <w:lvlText w:val="%1.%2.%3.%4.%5.%6.%7."/>
      <w:lvlJc w:val="left"/>
      <w:pPr>
        <w:tabs>
          <w:tab w:val="num" w:pos="0"/>
        </w:tabs>
        <w:ind w:left="13317" w:hanging="357"/>
      </w:pPr>
    </w:lvl>
    <w:lvl w:ilvl="7">
      <w:start w:val="1"/>
      <w:numFmt w:val="decimal"/>
      <w:lvlText w:val="%1.%2.%3.%4.%5.%6.%7.%8."/>
      <w:lvlJc w:val="left"/>
      <w:pPr>
        <w:tabs>
          <w:tab w:val="num" w:pos="0"/>
        </w:tabs>
        <w:ind w:left="15477" w:hanging="357"/>
      </w:pPr>
    </w:lvl>
    <w:lvl w:ilvl="8">
      <w:start w:val="1"/>
      <w:numFmt w:val="decimal"/>
      <w:lvlText w:val="%1.%2.%3.%4.%5.%6.%7.%8.%9."/>
      <w:lvlJc w:val="left"/>
      <w:pPr>
        <w:tabs>
          <w:tab w:val="num" w:pos="0"/>
        </w:tabs>
        <w:ind w:left="17637" w:hanging="357"/>
      </w:pPr>
    </w:lvl>
  </w:abstractNum>
  <w:abstractNum w:abstractNumId="12" w15:restartNumberingAfterBreak="0">
    <w:nsid w:val="57563971"/>
    <w:multiLevelType w:val="multilevel"/>
    <w:tmpl w:val="B66022F8"/>
    <w:lvl w:ilvl="0">
      <w:start w:val="1"/>
      <w:numFmt w:val="upperRoman"/>
      <w:lvlText w:val="%1."/>
      <w:lvlJc w:val="left"/>
      <w:pPr>
        <w:tabs>
          <w:tab w:val="num" w:pos="0"/>
        </w:tabs>
        <w:ind w:left="4264" w:hanging="720"/>
      </w:pPr>
      <w:rPr>
        <w:rFonts w:cs="Times New Roman"/>
        <w:b/>
        <w:sz w:val="24"/>
        <w:szCs w:val="24"/>
      </w:rPr>
    </w:lvl>
    <w:lvl w:ilvl="1">
      <w:start w:val="1"/>
      <w:numFmt w:val="decimal"/>
      <w:lvlText w:val="%2.1"/>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3" w15:restartNumberingAfterBreak="0">
    <w:nsid w:val="61E845BA"/>
    <w:multiLevelType w:val="multilevel"/>
    <w:tmpl w:val="777C2F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647367B5"/>
    <w:multiLevelType w:val="multilevel"/>
    <w:tmpl w:val="A250656A"/>
    <w:lvl w:ilvl="0">
      <w:start w:val="4"/>
      <w:numFmt w:val="decimal"/>
      <w:lvlText w:val="%1."/>
      <w:lvlJc w:val="left"/>
      <w:pPr>
        <w:tabs>
          <w:tab w:val="num" w:pos="0"/>
        </w:tabs>
        <w:ind w:left="360" w:hanging="360"/>
      </w:pPr>
    </w:lvl>
    <w:lvl w:ilvl="1">
      <w:start w:val="1"/>
      <w:numFmt w:val="decimal"/>
      <w:suff w:val="space"/>
      <w:lvlText w:val="%1.%2."/>
      <w:lvlJc w:val="left"/>
      <w:pPr>
        <w:tabs>
          <w:tab w:val="num" w:pos="0"/>
        </w:tabs>
        <w:ind w:left="0" w:firstLine="720"/>
      </w:pPr>
    </w:lvl>
    <w:lvl w:ilvl="2">
      <w:start w:val="1"/>
      <w:numFmt w:val="decimal"/>
      <w:suff w:val="space"/>
      <w:lvlText w:val="%1.%2.%3."/>
      <w:lvlJc w:val="left"/>
      <w:pPr>
        <w:tabs>
          <w:tab w:val="num" w:pos="0"/>
        </w:tabs>
        <w:ind w:left="0" w:firstLine="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5" w15:restartNumberingAfterBreak="0">
    <w:nsid w:val="6D8D0388"/>
    <w:multiLevelType w:val="multilevel"/>
    <w:tmpl w:val="EC2AA3D2"/>
    <w:lvl w:ilvl="0">
      <w:start w:val="6"/>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6" w15:restartNumberingAfterBreak="0">
    <w:nsid w:val="71F9398A"/>
    <w:multiLevelType w:val="multilevel"/>
    <w:tmpl w:val="67DE0848"/>
    <w:lvl w:ilvl="0">
      <w:start w:val="2"/>
      <w:numFmt w:val="decimal"/>
      <w:suff w:val="space"/>
      <w:lvlText w:val="%1."/>
      <w:lvlJc w:val="left"/>
      <w:pPr>
        <w:tabs>
          <w:tab w:val="num" w:pos="0"/>
        </w:tabs>
        <w:ind w:left="0" w:firstLine="709"/>
      </w:pPr>
      <w:rPr>
        <w:color w:val="000000"/>
      </w:rPr>
    </w:lvl>
    <w:lvl w:ilvl="1">
      <w:start w:val="2"/>
      <w:numFmt w:val="decimal"/>
      <w:lvlText w:val="%1.%2."/>
      <w:lvlJc w:val="left"/>
      <w:pPr>
        <w:tabs>
          <w:tab w:val="num" w:pos="0"/>
        </w:tabs>
        <w:ind w:left="357" w:hanging="357"/>
      </w:pPr>
      <w:rPr>
        <w:color w:val="000000"/>
      </w:rPr>
    </w:lvl>
    <w:lvl w:ilvl="2">
      <w:start w:val="1"/>
      <w:numFmt w:val="decimal"/>
      <w:lvlText w:val="%1.%2.%3."/>
      <w:lvlJc w:val="left"/>
      <w:pPr>
        <w:tabs>
          <w:tab w:val="num" w:pos="0"/>
        </w:tabs>
        <w:ind w:left="720" w:hanging="720"/>
      </w:pPr>
      <w:rPr>
        <w:color w:val="000000"/>
      </w:rPr>
    </w:lvl>
    <w:lvl w:ilvl="3">
      <w:start w:val="1"/>
      <w:numFmt w:val="decimal"/>
      <w:lvlText w:val="%1.%2.%3.%4."/>
      <w:lvlJc w:val="left"/>
      <w:pPr>
        <w:tabs>
          <w:tab w:val="num" w:pos="0"/>
        </w:tabs>
        <w:ind w:left="357" w:hanging="357"/>
      </w:pPr>
      <w:rPr>
        <w:color w:val="000000"/>
      </w:rPr>
    </w:lvl>
    <w:lvl w:ilvl="4">
      <w:start w:val="1"/>
      <w:numFmt w:val="decimal"/>
      <w:lvlText w:val="%1.%2.%3.%4.%5."/>
      <w:lvlJc w:val="left"/>
      <w:pPr>
        <w:tabs>
          <w:tab w:val="num" w:pos="0"/>
        </w:tabs>
        <w:ind w:left="357" w:hanging="357"/>
      </w:pPr>
      <w:rPr>
        <w:color w:val="000000"/>
      </w:rPr>
    </w:lvl>
    <w:lvl w:ilvl="5">
      <w:start w:val="1"/>
      <w:numFmt w:val="decimal"/>
      <w:lvlText w:val="%1.%2.%3.%4.%5.%6."/>
      <w:lvlJc w:val="left"/>
      <w:pPr>
        <w:tabs>
          <w:tab w:val="num" w:pos="0"/>
        </w:tabs>
        <w:ind w:left="357" w:hanging="357"/>
      </w:pPr>
      <w:rPr>
        <w:color w:val="000000"/>
      </w:rPr>
    </w:lvl>
    <w:lvl w:ilvl="6">
      <w:start w:val="1"/>
      <w:numFmt w:val="decimal"/>
      <w:lvlText w:val="%1.%2.%3.%4.%5.%6.%7."/>
      <w:lvlJc w:val="left"/>
      <w:pPr>
        <w:tabs>
          <w:tab w:val="num" w:pos="0"/>
        </w:tabs>
        <w:ind w:left="357" w:hanging="357"/>
      </w:pPr>
      <w:rPr>
        <w:color w:val="000000"/>
      </w:rPr>
    </w:lvl>
    <w:lvl w:ilvl="7">
      <w:start w:val="1"/>
      <w:numFmt w:val="decimal"/>
      <w:lvlText w:val="%1.%2.%3.%4.%5.%6.%7.%8."/>
      <w:lvlJc w:val="left"/>
      <w:pPr>
        <w:tabs>
          <w:tab w:val="num" w:pos="0"/>
        </w:tabs>
        <w:ind w:left="357" w:hanging="357"/>
      </w:pPr>
      <w:rPr>
        <w:color w:val="000000"/>
      </w:rPr>
    </w:lvl>
    <w:lvl w:ilvl="8">
      <w:start w:val="1"/>
      <w:numFmt w:val="decimal"/>
      <w:lvlText w:val="%1.%2.%3.%4.%5.%6.%7.%8.%9."/>
      <w:lvlJc w:val="left"/>
      <w:pPr>
        <w:tabs>
          <w:tab w:val="num" w:pos="0"/>
        </w:tabs>
        <w:ind w:left="357" w:hanging="357"/>
      </w:pPr>
      <w:rPr>
        <w:color w:val="000000"/>
      </w:rPr>
    </w:lvl>
  </w:abstractNum>
  <w:abstractNum w:abstractNumId="17" w15:restartNumberingAfterBreak="0">
    <w:nsid w:val="7FB345BC"/>
    <w:multiLevelType w:val="multilevel"/>
    <w:tmpl w:val="8E5C0CE4"/>
    <w:lvl w:ilvl="0">
      <w:start w:val="6"/>
      <w:numFmt w:val="decimal"/>
      <w:lvlText w:val="%1."/>
      <w:lvlJc w:val="left"/>
      <w:pPr>
        <w:tabs>
          <w:tab w:val="num" w:pos="0"/>
        </w:tabs>
        <w:ind w:left="1349" w:hanging="357"/>
      </w:pPr>
      <w:rPr>
        <w:rFonts w:hint="default"/>
        <w:color w:val="000000"/>
      </w:rPr>
    </w:lvl>
    <w:lvl w:ilvl="1">
      <w:start w:val="2"/>
      <w:numFmt w:val="decimal"/>
      <w:suff w:val="space"/>
      <w:lvlText w:val="%1.%2."/>
      <w:lvlJc w:val="left"/>
      <w:pPr>
        <w:ind w:left="357" w:hanging="357"/>
      </w:pPr>
      <w:rPr>
        <w:rFonts w:hint="default"/>
        <w:color w:val="000000"/>
      </w:rPr>
    </w:lvl>
    <w:lvl w:ilvl="2">
      <w:start w:val="1"/>
      <w:numFmt w:val="decimal"/>
      <w:suff w:val="space"/>
      <w:lvlText w:val="%1.%2.%3."/>
      <w:lvlJc w:val="left"/>
      <w:pPr>
        <w:ind w:left="0" w:firstLine="0"/>
      </w:pPr>
      <w:rPr>
        <w:rFonts w:hint="default"/>
        <w:color w:val="000000"/>
      </w:rPr>
    </w:lvl>
    <w:lvl w:ilvl="3">
      <w:start w:val="1"/>
      <w:numFmt w:val="decimal"/>
      <w:suff w:val="space"/>
      <w:lvlText w:val="%1.%2.%3.%4."/>
      <w:lvlJc w:val="left"/>
      <w:pPr>
        <w:ind w:left="0" w:firstLine="0"/>
      </w:pPr>
      <w:rPr>
        <w:rFonts w:hint="default"/>
        <w:color w:val="000000"/>
      </w:rPr>
    </w:lvl>
    <w:lvl w:ilvl="4">
      <w:start w:val="1"/>
      <w:numFmt w:val="decimal"/>
      <w:lvlText w:val="%1.%2.%3.%4.%5."/>
      <w:lvlJc w:val="left"/>
      <w:pPr>
        <w:tabs>
          <w:tab w:val="num" w:pos="0"/>
        </w:tabs>
        <w:ind w:left="357" w:hanging="357"/>
      </w:pPr>
      <w:rPr>
        <w:rFonts w:hint="default"/>
        <w:color w:val="000000"/>
      </w:rPr>
    </w:lvl>
    <w:lvl w:ilvl="5">
      <w:start w:val="1"/>
      <w:numFmt w:val="decimal"/>
      <w:lvlText w:val="%1.%2.%3.%4.%5.%6."/>
      <w:lvlJc w:val="left"/>
      <w:pPr>
        <w:tabs>
          <w:tab w:val="num" w:pos="0"/>
        </w:tabs>
        <w:ind w:left="357" w:hanging="357"/>
      </w:pPr>
      <w:rPr>
        <w:rFonts w:hint="default"/>
        <w:color w:val="000000"/>
      </w:rPr>
    </w:lvl>
    <w:lvl w:ilvl="6">
      <w:start w:val="1"/>
      <w:numFmt w:val="decimal"/>
      <w:lvlText w:val="%1.%2.%3.%4.%5.%6.%7."/>
      <w:lvlJc w:val="left"/>
      <w:pPr>
        <w:tabs>
          <w:tab w:val="num" w:pos="0"/>
        </w:tabs>
        <w:ind w:left="357" w:hanging="357"/>
      </w:pPr>
      <w:rPr>
        <w:rFonts w:hint="default"/>
        <w:color w:val="000000"/>
      </w:rPr>
    </w:lvl>
    <w:lvl w:ilvl="7">
      <w:start w:val="1"/>
      <w:numFmt w:val="decimal"/>
      <w:lvlText w:val="%1.%2.%3.%4.%5.%6.%7.%8."/>
      <w:lvlJc w:val="left"/>
      <w:pPr>
        <w:tabs>
          <w:tab w:val="num" w:pos="0"/>
        </w:tabs>
        <w:ind w:left="357" w:hanging="357"/>
      </w:pPr>
      <w:rPr>
        <w:rFonts w:hint="default"/>
        <w:color w:val="000000"/>
      </w:rPr>
    </w:lvl>
    <w:lvl w:ilvl="8">
      <w:start w:val="1"/>
      <w:numFmt w:val="decimal"/>
      <w:lvlText w:val="%1.%2.%3.%4.%5.%6.%7.%8.%9."/>
      <w:lvlJc w:val="left"/>
      <w:pPr>
        <w:tabs>
          <w:tab w:val="num" w:pos="0"/>
        </w:tabs>
        <w:ind w:left="357" w:hanging="357"/>
      </w:pPr>
      <w:rPr>
        <w:rFonts w:hint="default"/>
        <w:color w:val="000000"/>
      </w:rPr>
    </w:lvl>
  </w:abstractNum>
  <w:num w:numId="1">
    <w:abstractNumId w:val="12"/>
  </w:num>
  <w:num w:numId="2">
    <w:abstractNumId w:val="17"/>
  </w:num>
  <w:num w:numId="3">
    <w:abstractNumId w:val="3"/>
  </w:num>
  <w:num w:numId="4">
    <w:abstractNumId w:val="11"/>
  </w:num>
  <w:num w:numId="5">
    <w:abstractNumId w:val="6"/>
  </w:num>
  <w:num w:numId="6">
    <w:abstractNumId w:val="4"/>
  </w:num>
  <w:num w:numId="7">
    <w:abstractNumId w:val="8"/>
  </w:num>
  <w:num w:numId="8">
    <w:abstractNumId w:val="14"/>
  </w:num>
  <w:num w:numId="9">
    <w:abstractNumId w:val="0"/>
  </w:num>
  <w:num w:numId="10">
    <w:abstractNumId w:val="9"/>
  </w:num>
  <w:num w:numId="11">
    <w:abstractNumId w:val="16"/>
  </w:num>
  <w:num w:numId="12">
    <w:abstractNumId w:val="2"/>
  </w:num>
  <w:num w:numId="13">
    <w:abstractNumId w:val="13"/>
  </w:num>
  <w:num w:numId="14">
    <w:abstractNumId w:val="15"/>
  </w:num>
  <w:num w:numId="15">
    <w:abstractNumId w:val="10"/>
  </w:num>
  <w:num w:numId="16">
    <w:abstractNumId w:val="7"/>
  </w:num>
  <w:num w:numId="17">
    <w:abstractNumId w:val="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BC6"/>
    <w:rsid w:val="0001084A"/>
    <w:rsid w:val="00022C06"/>
    <w:rsid w:val="00025742"/>
    <w:rsid w:val="00094774"/>
    <w:rsid w:val="00102C58"/>
    <w:rsid w:val="00112819"/>
    <w:rsid w:val="00132CA0"/>
    <w:rsid w:val="001338FF"/>
    <w:rsid w:val="0018321E"/>
    <w:rsid w:val="00186DF5"/>
    <w:rsid w:val="001A06C0"/>
    <w:rsid w:val="001C06DD"/>
    <w:rsid w:val="001C20A0"/>
    <w:rsid w:val="001E17BB"/>
    <w:rsid w:val="001F0029"/>
    <w:rsid w:val="00212EC4"/>
    <w:rsid w:val="00283721"/>
    <w:rsid w:val="002B383F"/>
    <w:rsid w:val="002C4193"/>
    <w:rsid w:val="002D5729"/>
    <w:rsid w:val="00312B73"/>
    <w:rsid w:val="00315853"/>
    <w:rsid w:val="00321976"/>
    <w:rsid w:val="0033403D"/>
    <w:rsid w:val="00336CF8"/>
    <w:rsid w:val="00386825"/>
    <w:rsid w:val="003F7E19"/>
    <w:rsid w:val="00402122"/>
    <w:rsid w:val="00427437"/>
    <w:rsid w:val="00497CEA"/>
    <w:rsid w:val="004C2C60"/>
    <w:rsid w:val="004C57C3"/>
    <w:rsid w:val="004F2A90"/>
    <w:rsid w:val="004F4DA1"/>
    <w:rsid w:val="0053200A"/>
    <w:rsid w:val="005653A3"/>
    <w:rsid w:val="00577747"/>
    <w:rsid w:val="00596D39"/>
    <w:rsid w:val="005A2641"/>
    <w:rsid w:val="005C2467"/>
    <w:rsid w:val="005F165E"/>
    <w:rsid w:val="005F68E4"/>
    <w:rsid w:val="00607D42"/>
    <w:rsid w:val="006B15AC"/>
    <w:rsid w:val="006C22C8"/>
    <w:rsid w:val="006C5EAE"/>
    <w:rsid w:val="006D1F2F"/>
    <w:rsid w:val="0073309A"/>
    <w:rsid w:val="00745EE4"/>
    <w:rsid w:val="00782A41"/>
    <w:rsid w:val="007C3152"/>
    <w:rsid w:val="007F17A2"/>
    <w:rsid w:val="008228D0"/>
    <w:rsid w:val="008276FF"/>
    <w:rsid w:val="00852059"/>
    <w:rsid w:val="00893294"/>
    <w:rsid w:val="00893F32"/>
    <w:rsid w:val="008C3DC7"/>
    <w:rsid w:val="008E1579"/>
    <w:rsid w:val="008F7475"/>
    <w:rsid w:val="0095308B"/>
    <w:rsid w:val="0096112C"/>
    <w:rsid w:val="009947B0"/>
    <w:rsid w:val="009E5A2A"/>
    <w:rsid w:val="00A11233"/>
    <w:rsid w:val="00A37A83"/>
    <w:rsid w:val="00A435EF"/>
    <w:rsid w:val="00A61559"/>
    <w:rsid w:val="00AB38FF"/>
    <w:rsid w:val="00AE11D9"/>
    <w:rsid w:val="00B50803"/>
    <w:rsid w:val="00B633FC"/>
    <w:rsid w:val="00B8641F"/>
    <w:rsid w:val="00B86692"/>
    <w:rsid w:val="00BD41D7"/>
    <w:rsid w:val="00BE2EDC"/>
    <w:rsid w:val="00BF2B4F"/>
    <w:rsid w:val="00C11AD3"/>
    <w:rsid w:val="00C149F2"/>
    <w:rsid w:val="00C27FC3"/>
    <w:rsid w:val="00C31FDF"/>
    <w:rsid w:val="00C43A26"/>
    <w:rsid w:val="00C44662"/>
    <w:rsid w:val="00CC0B05"/>
    <w:rsid w:val="00CE04CD"/>
    <w:rsid w:val="00CF030A"/>
    <w:rsid w:val="00CF0E74"/>
    <w:rsid w:val="00CF175F"/>
    <w:rsid w:val="00D0317E"/>
    <w:rsid w:val="00D42CB3"/>
    <w:rsid w:val="00D75BC6"/>
    <w:rsid w:val="00D85886"/>
    <w:rsid w:val="00D85AFF"/>
    <w:rsid w:val="00D8657B"/>
    <w:rsid w:val="00DD56A9"/>
    <w:rsid w:val="00E028D9"/>
    <w:rsid w:val="00E95BA1"/>
    <w:rsid w:val="00EA4506"/>
    <w:rsid w:val="00EA6AB6"/>
    <w:rsid w:val="00EA77BC"/>
    <w:rsid w:val="00ED6616"/>
    <w:rsid w:val="00ED69B2"/>
    <w:rsid w:val="00F620CC"/>
    <w:rsid w:val="00F70453"/>
    <w:rsid w:val="00F72C53"/>
    <w:rsid w:val="00F83D8A"/>
    <w:rsid w:val="00F90528"/>
    <w:rsid w:val="00FE4E5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40A64"/>
  <w15:docId w15:val="{5E9B2254-83BC-47FD-96F2-AC6ED2E25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597171"/>
    <w:rPr>
      <w:rFonts w:ascii="Segoe UI" w:hAnsi="Segoe UI" w:cs="Segoe UI"/>
      <w:sz w:val="18"/>
      <w:szCs w:val="18"/>
    </w:rPr>
  </w:style>
  <w:style w:type="character" w:customStyle="1" w:styleId="ListParagraphChar">
    <w:name w:val="List Paragraph Char"/>
    <w:link w:val="ListParagraph"/>
    <w:uiPriority w:val="34"/>
    <w:qFormat/>
    <w:locked/>
    <w:rsid w:val="00597171"/>
  </w:style>
  <w:style w:type="character" w:styleId="CommentReference">
    <w:name w:val="annotation reference"/>
    <w:basedOn w:val="DefaultParagraphFont"/>
    <w:uiPriority w:val="99"/>
    <w:unhideWhenUsed/>
    <w:qFormat/>
    <w:rsid w:val="003264B9"/>
    <w:rPr>
      <w:sz w:val="16"/>
      <w:szCs w:val="16"/>
    </w:rPr>
  </w:style>
  <w:style w:type="character" w:customStyle="1" w:styleId="CommentTextChar">
    <w:name w:val="Comment Text Char"/>
    <w:basedOn w:val="DefaultParagraphFont"/>
    <w:link w:val="CommentText"/>
    <w:uiPriority w:val="99"/>
    <w:qFormat/>
    <w:rsid w:val="003264B9"/>
    <w:rPr>
      <w:rFonts w:ascii="Times New Roman" w:eastAsia="Calibri" w:hAnsi="Times New Roman" w:cs="Times New Roman"/>
      <w:sz w:val="20"/>
      <w:szCs w:val="20"/>
    </w:rPr>
  </w:style>
  <w:style w:type="character" w:customStyle="1" w:styleId="CommentSubjectChar">
    <w:name w:val="Comment Subject Char"/>
    <w:basedOn w:val="CommentTextChar"/>
    <w:link w:val="CommentSubject"/>
    <w:uiPriority w:val="99"/>
    <w:semiHidden/>
    <w:qFormat/>
    <w:rsid w:val="00325512"/>
    <w:rPr>
      <w:rFonts w:ascii="Times New Roman" w:eastAsia="Calibri" w:hAnsi="Times New Roman" w:cs="Times New Roman"/>
      <w:b/>
      <w:bCs/>
      <w:sz w:val="20"/>
      <w:szCs w:val="20"/>
    </w:rPr>
  </w:style>
  <w:style w:type="character" w:customStyle="1" w:styleId="Internetosaitas">
    <w:name w:val="Interneto saitas"/>
    <w:basedOn w:val="DefaultParagraphFont"/>
    <w:uiPriority w:val="99"/>
    <w:semiHidden/>
    <w:unhideWhenUsed/>
    <w:rsid w:val="00C94773"/>
    <w:rPr>
      <w:color w:val="0000FF"/>
      <w:u w:val="single"/>
    </w:rPr>
  </w:style>
  <w:style w:type="character" w:customStyle="1" w:styleId="Aplankytasinternetosaitas">
    <w:name w:val="Aplankytas interneto saitas"/>
    <w:basedOn w:val="DefaultParagraphFont"/>
    <w:uiPriority w:val="99"/>
    <w:semiHidden/>
    <w:unhideWhenUsed/>
    <w:rsid w:val="00A140D2"/>
    <w:rPr>
      <w:color w:val="954F72" w:themeColor="followedHyperlink"/>
      <w:u w:val="single"/>
    </w:rPr>
  </w:style>
  <w:style w:type="character" w:customStyle="1" w:styleId="HeaderChar">
    <w:name w:val="Header Char"/>
    <w:basedOn w:val="DefaultParagraphFont"/>
    <w:link w:val="Header"/>
    <w:uiPriority w:val="99"/>
    <w:qFormat/>
    <w:rsid w:val="00A90FE8"/>
  </w:style>
  <w:style w:type="character" w:customStyle="1" w:styleId="FooterChar">
    <w:name w:val="Footer Char"/>
    <w:basedOn w:val="DefaultParagraphFont"/>
    <w:link w:val="Footer"/>
    <w:uiPriority w:val="99"/>
    <w:qFormat/>
    <w:rsid w:val="00A90FE8"/>
  </w:style>
  <w:style w:type="paragraph" w:styleId="Caption">
    <w:name w:val="caption"/>
    <w:basedOn w:val="Normal"/>
    <w:next w:val="BodyText"/>
    <w:qFormat/>
    <w:pPr>
      <w:suppressLineNumbers/>
      <w:spacing w:before="120" w:after="120"/>
    </w:pPr>
    <w:rPr>
      <w:rFonts w:cs="Lohit Devanagari"/>
      <w:i/>
      <w:iCs/>
      <w:sz w:val="24"/>
      <w:szCs w:val="24"/>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customStyle="1" w:styleId="Rodykl">
    <w:name w:val="Rodyklė"/>
    <w:basedOn w:val="Normal"/>
    <w:qFormat/>
    <w:pPr>
      <w:suppressLineNumbers/>
    </w:pPr>
    <w:rPr>
      <w:rFonts w:cs="Lohit Devanagari"/>
    </w:rPr>
  </w:style>
  <w:style w:type="paragraph" w:styleId="ListParagraph">
    <w:name w:val="List Paragraph"/>
    <w:basedOn w:val="Normal"/>
    <w:link w:val="ListParagraphChar"/>
    <w:uiPriority w:val="34"/>
    <w:qFormat/>
    <w:rsid w:val="007E091F"/>
    <w:pPr>
      <w:ind w:left="720"/>
      <w:contextualSpacing/>
    </w:pPr>
  </w:style>
  <w:style w:type="paragraph" w:styleId="BalloonText">
    <w:name w:val="Balloon Text"/>
    <w:basedOn w:val="Normal"/>
    <w:link w:val="BalloonTextChar"/>
    <w:uiPriority w:val="99"/>
    <w:semiHidden/>
    <w:unhideWhenUsed/>
    <w:qFormat/>
    <w:rsid w:val="00597171"/>
    <w:pPr>
      <w:spacing w:after="0" w:line="240" w:lineRule="auto"/>
    </w:pPr>
    <w:rPr>
      <w:rFonts w:ascii="Segoe UI" w:hAnsi="Segoe UI" w:cs="Segoe UI"/>
      <w:sz w:val="18"/>
      <w:szCs w:val="18"/>
    </w:rPr>
  </w:style>
  <w:style w:type="paragraph" w:styleId="CommentText">
    <w:name w:val="annotation text"/>
    <w:basedOn w:val="Normal"/>
    <w:link w:val="CommentTextChar"/>
    <w:uiPriority w:val="99"/>
    <w:unhideWhenUsed/>
    <w:qFormat/>
    <w:rsid w:val="003264B9"/>
    <w:pPr>
      <w:spacing w:after="200" w:line="240" w:lineRule="auto"/>
      <w:textAlignment w:val="baseline"/>
    </w:pPr>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qFormat/>
    <w:rsid w:val="00325512"/>
    <w:pPr>
      <w:suppressAutoHyphens w:val="0"/>
      <w:spacing w:after="160"/>
      <w:textAlignment w:val="auto"/>
    </w:pPr>
    <w:rPr>
      <w:rFonts w:asciiTheme="minorHAnsi" w:eastAsiaTheme="minorHAnsi" w:hAnsiTheme="minorHAnsi" w:cstheme="minorBidi"/>
      <w:b/>
      <w:bCs/>
    </w:rPr>
  </w:style>
  <w:style w:type="paragraph" w:customStyle="1" w:styleId="Puslapinantratirporat">
    <w:name w:val="Puslapinė antraštė ir poraštė"/>
    <w:basedOn w:val="Normal"/>
    <w:qFormat/>
  </w:style>
  <w:style w:type="paragraph" w:styleId="Header">
    <w:name w:val="header"/>
    <w:basedOn w:val="Normal"/>
    <w:link w:val="HeaderChar"/>
    <w:uiPriority w:val="99"/>
    <w:unhideWhenUsed/>
    <w:rsid w:val="00A90FE8"/>
    <w:pPr>
      <w:tabs>
        <w:tab w:val="center" w:pos="4819"/>
        <w:tab w:val="right" w:pos="9638"/>
      </w:tabs>
      <w:spacing w:after="0" w:line="240" w:lineRule="auto"/>
    </w:pPr>
  </w:style>
  <w:style w:type="paragraph" w:styleId="Footer">
    <w:name w:val="footer"/>
    <w:basedOn w:val="Normal"/>
    <w:link w:val="FooterChar"/>
    <w:uiPriority w:val="99"/>
    <w:unhideWhenUsed/>
    <w:rsid w:val="00A90FE8"/>
    <w:pPr>
      <w:tabs>
        <w:tab w:val="center" w:pos="4819"/>
        <w:tab w:val="right" w:pos="9638"/>
      </w:tabs>
      <w:spacing w:after="0" w:line="240" w:lineRule="auto"/>
    </w:pPr>
  </w:style>
  <w:style w:type="table" w:styleId="TableGrid">
    <w:name w:val="Table Grid"/>
    <w:basedOn w:val="TableNormal"/>
    <w:uiPriority w:val="39"/>
    <w:rsid w:val="00661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83D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3D8A"/>
    <w:rPr>
      <w:szCs w:val="20"/>
    </w:rPr>
  </w:style>
  <w:style w:type="character" w:styleId="FootnoteReference">
    <w:name w:val="footnote reference"/>
    <w:basedOn w:val="DefaultParagraphFont"/>
    <w:uiPriority w:val="99"/>
    <w:semiHidden/>
    <w:unhideWhenUsed/>
    <w:rsid w:val="00F83D8A"/>
    <w:rPr>
      <w:vertAlign w:val="superscript"/>
    </w:rPr>
  </w:style>
  <w:style w:type="paragraph" w:styleId="Revision">
    <w:name w:val="Revision"/>
    <w:hidden/>
    <w:uiPriority w:val="99"/>
    <w:semiHidden/>
    <w:rsid w:val="00386825"/>
    <w:pPr>
      <w:suppressAutoHyphens w:val="0"/>
    </w:pPr>
    <w:rPr>
      <w:sz w:val="22"/>
    </w:rPr>
  </w:style>
  <w:style w:type="character" w:styleId="Hyperlink">
    <w:name w:val="Hyperlink"/>
    <w:basedOn w:val="DefaultParagraphFont"/>
    <w:uiPriority w:val="99"/>
    <w:unhideWhenUsed/>
    <w:rsid w:val="00607D42"/>
    <w:rPr>
      <w:color w:val="0563C1" w:themeColor="hyperlink"/>
      <w:u w:val="single"/>
    </w:rPr>
  </w:style>
  <w:style w:type="character" w:styleId="UnresolvedMention">
    <w:name w:val="Unresolved Mention"/>
    <w:basedOn w:val="DefaultParagraphFont"/>
    <w:uiPriority w:val="99"/>
    <w:semiHidden/>
    <w:unhideWhenUsed/>
    <w:rsid w:val="00607D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ismai.lt/lt/teismu-savivalda/pretendentu-i-teisejus-atrankos-komisija/apie-komisija/191"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eeagrants.org/resources/eea-grants-logo-packag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eismai.lt/lt/teismu-savivalda/nuolatine-teiseju-veiklos-vertinimo-komisija/apie-komisija/196"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E39F3-0618-4C93-9086-93363B8E8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15131</Words>
  <Characters>8625</Characters>
  <Application>Microsoft Office Word</Application>
  <DocSecurity>0</DocSecurity>
  <Lines>71</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Pažėraitė</dc:creator>
  <dc:description/>
  <cp:lastModifiedBy>Eglė Gaidelytė</cp:lastModifiedBy>
  <cp:revision>6</cp:revision>
  <cp:lastPrinted>2020-09-15T10:36:00Z</cp:lastPrinted>
  <dcterms:created xsi:type="dcterms:W3CDTF">2021-06-23T12:17:00Z</dcterms:created>
  <dcterms:modified xsi:type="dcterms:W3CDTF">2021-07-05T05:44:00Z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