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612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b/>
          <w:b/>
          <w:bCs/>
        </w:rPr>
      </w:pPr>
      <w:r>
        <w:rPr>
          <w:rFonts w:cs="Times New Roman" w:ascii="Times New Roman" w:hAnsi="Times New Roman"/>
          <w:b/>
          <w:bCs/>
        </w:rPr>
        <w:t>VIEŠOJO MAITINIMO PASLAUGŲ AREŠTINĖJE</w:t>
      </w:r>
    </w:p>
    <w:p>
      <w:pPr>
        <w:pStyle w:val="Normal"/>
        <w:spacing w:lineRule="auto" w:line="240" w:before="0" w:after="0"/>
        <w:ind w:firstLine="567"/>
        <w:jc w:val="center"/>
        <w:rPr/>
      </w:pPr>
      <w:r>
        <w:rPr>
          <w:rFonts w:cs="Times New Roman" w:ascii="Times New Roman" w:hAnsi="Times New Roman"/>
          <w:b/>
        </w:rPr>
        <w:t xml:space="preserve">PIRKIMO IR PARDAVIMO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SUTARTIS</w:t>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t>2021 m. __________________ d. Nr. _______</w:t>
      </w:r>
    </w:p>
    <w:p>
      <w:pPr>
        <w:pStyle w:val="Normal"/>
        <w:spacing w:lineRule="auto" w:line="240" w:before="0" w:after="0"/>
        <w:ind w:firstLine="567"/>
        <w:jc w:val="center"/>
        <w:rPr>
          <w:i w:val="false"/>
          <w:i w:val="false"/>
          <w:iCs w:val="false"/>
        </w:rPr>
      </w:pPr>
      <w:r>
        <w:rPr>
          <w:rFonts w:cs="Times New Roman" w:ascii="Times New Roman" w:hAnsi="Times New Roman"/>
          <w:i w:val="false"/>
          <w:iCs w:val="false"/>
          <w:sz w:val="24"/>
          <w:szCs w:val="24"/>
        </w:rPr>
        <w:t>Panevėžys</w:t>
      </w:r>
    </w:p>
    <w:p>
      <w:pPr>
        <w:pStyle w:val="Normal"/>
        <w:spacing w:lineRule="auto" w:line="240" w:before="0" w:after="0"/>
        <w:ind w:firstLine="567"/>
        <w:jc w:val="center"/>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Panevėžio apskrities vyriausiasis policijos komisariatas (toliau – Pirkėjas), atstovaujamas viršininko Rimanto Bobino, veikiančio pagal Pirkėjo nuostatus, ir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w:t>
      </w:r>
      <w:r>
        <w:rPr>
          <w:rFonts w:cs="Times New Roman" w:ascii="Times New Roman" w:hAnsi="Times New Roman"/>
        </w:rPr>
        <w:t>Saunetė“, MB (toliau – Tiekėjas), atstovaujama vadovės Aurelijos Skaudaitės, veikiančios pagal Tiekėjo nuostatus,</w:t>
      </w:r>
    </w:p>
    <w:p>
      <w:pPr>
        <w:pStyle w:val="Normal"/>
        <w:spacing w:lineRule="auto" w:line="240" w:before="0" w:after="0"/>
        <w:ind w:firstLine="567"/>
        <w:jc w:val="both"/>
        <w:rPr/>
      </w:pPr>
      <w:r>
        <w:rPr>
          <w:rFonts w:cs="Times New Roman" w:ascii="Times New Roman" w:hAnsi="Times New Roman"/>
        </w:rPr>
        <w:t>toliau kartu vadinami Šalimis, o kiekvienas atskirai – Šalimi, vadovaudamiesi atviro konkurso (supaprastinta pirkimo procedūra) būdu atlikto viešojo pirkimo „Maitinimo paslaugos areštinėje laikomiems asmenims“, pirkimo Nr. 555358 (toliau – Pirkimas), sąlygomis,</w:t>
      </w:r>
    </w:p>
    <w:p>
      <w:pPr>
        <w:pStyle w:val="Normal"/>
        <w:spacing w:lineRule="auto" w:line="240" w:before="0" w:after="0"/>
        <w:ind w:firstLine="567"/>
        <w:jc w:val="both"/>
        <w:rPr/>
      </w:pPr>
      <w:r>
        <w:rPr>
          <w:rFonts w:cs="Times New Roman" w:ascii="Times New Roman" w:hAnsi="Times New Roman"/>
        </w:rPr>
        <w:t>sudarė šią paslaugų viešojo pirkimo–pardavimo sutartį (toliau –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 SUTARTIES DALYKAS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 Sutarties dalykas yra Pirkėjo areštinėje laikomų asmenų maitinimo paslaugos (toliau – Paslaugos). Teikiamų paslaugų apimtis, kokybė bei kiti paslaugoms keliami reikalavimai apibrėžti techninėje specifikacijoje (Sutarties 1 priedas).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1.2. Paslaugų BVPŽ kodas – </w:t>
      </w:r>
      <w:r>
        <w:rPr>
          <w:rFonts w:cs="Times New Roman" w:ascii="Times New Roman" w:hAnsi="Times New Roman"/>
          <w:b w:val="false"/>
          <w:i w:val="false"/>
          <w:strike w:val="false"/>
          <w:dstrike w:val="false"/>
          <w:outline w:val="false"/>
          <w:shadow w:val="false"/>
          <w:color w:val="000000"/>
          <w:sz w:val="22"/>
          <w:szCs w:val="22"/>
          <w:u w:val="none"/>
          <w:em w:val="none"/>
        </w:rPr>
        <w:t>55500000-5</w:t>
      </w:r>
      <w:r>
        <w:rPr>
          <w:rFonts w:cs="Times New Roman" w:ascii="Times New Roman" w:hAnsi="Times New Roman"/>
          <w:sz w:val="22"/>
          <w:szCs w:val="22"/>
        </w:rPr>
        <w:t>.</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1.3. Paslaugų teikimo vieta – Pirkėjo areštinė. Areštinės adresas Tulpių g. 60, Panevėžys. Numatoma, kad areštinė 2022 m. antroje pusėje bus perkelta adresu Beržų g. 46, Panevėžys.</w:t>
      </w:r>
    </w:p>
    <w:p>
      <w:pPr>
        <w:pStyle w:val="Normal"/>
        <w:spacing w:lineRule="auto" w:line="240" w:before="0" w:after="0"/>
        <w:ind w:firstLine="567"/>
        <w:jc w:val="both"/>
        <w:rPr>
          <w:highlight w:val="yellow"/>
        </w:rPr>
      </w:pPr>
      <w:r>
        <w:rPr>
          <w:rFonts w:cs="Times New Roman" w:ascii="Times New Roman" w:hAnsi="Times New Roman"/>
        </w:rPr>
        <w:t>1.4. Perkamų Paslaugų sąrašas ir jų preliminarūs kiekiai yra nurodyti Sutarties 1 priede „Paslaugų techninė specifikacija“ ir 2 priede „Tiekėjo pasiūlymas“.</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rPr>
        <w:t>1.5. Sutarties galiojimo laikotarpiu Pirkėjas Paslaugas užsako teikdamas Tiekėjui užsakymus  (elektroniniu paštu, telefonu, žodžiu), kuriuose bus nurodytos konkrečios užsakomos paslaugos ir jų apimtys.</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rPr>
        <w:t>1.6. Sutartinių įsipareigojimų vykdymo maksimali trukmė – 36 mėnesiai nuo Sutarties įsigaliojimo dienos.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 SUTARTIES KAINODAROS TAISYKLĖS IR MOKĖJIMO SĄLYGOS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2.1. Ši Sutartis yra fiksuoto įkainio  sutartis.</w:t>
      </w:r>
    </w:p>
    <w:p>
      <w:pPr>
        <w:pStyle w:val="Normal"/>
        <w:spacing w:lineRule="auto" w:line="240" w:before="0" w:after="0"/>
        <w:ind w:firstLine="567"/>
        <w:jc w:val="both"/>
        <w:rPr/>
      </w:pPr>
      <w:r>
        <w:rPr>
          <w:rFonts w:cs="Times New Roman" w:ascii="Times New Roman" w:hAnsi="Times New Roman"/>
          <w:shd w:fill="auto" w:val="clear"/>
        </w:rPr>
        <w:t>2.2. Preliminari sutarties kaina sudaryta iš šių paslaugų įkainių: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W w:w="9540" w:type="dxa"/>
        <w:jc w:val="center"/>
        <w:tblInd w:w="0" w:type="dxa"/>
        <w:tblLayout w:type="fixed"/>
        <w:tblCellMar>
          <w:top w:w="0" w:type="dxa"/>
          <w:left w:w="108" w:type="dxa"/>
          <w:bottom w:w="0" w:type="dxa"/>
          <w:right w:w="108" w:type="dxa"/>
        </w:tblCellMar>
      </w:tblPr>
      <w:tblGrid>
        <w:gridCol w:w="658"/>
        <w:gridCol w:w="2453"/>
        <w:gridCol w:w="1280"/>
        <w:gridCol w:w="2265"/>
        <w:gridCol w:w="1"/>
        <w:gridCol w:w="2883"/>
      </w:tblGrid>
      <w:tr>
        <w:trPr>
          <w:tblHeader w:val="true"/>
          <w:trHeight w:val="1645" w:hRule="atLeast"/>
          <w:cantSplit w:val="true"/>
        </w:trPr>
        <w:tc>
          <w:tcPr>
            <w:tcW w:w="65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408"/>
                <w:tab w:val="left" w:pos="9720" w:leader="none"/>
              </w:tabs>
              <w:overflowPunct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Eil. Nr.</w:t>
            </w:r>
          </w:p>
        </w:tc>
        <w:tc>
          <w:tcPr>
            <w:tcW w:w="245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408"/>
                <w:tab w:val="left" w:pos="9720" w:leader="none"/>
              </w:tabs>
              <w:overflowPunct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Paslaugų pavadinimas</w:t>
            </w:r>
          </w:p>
        </w:tc>
        <w:tc>
          <w:tcPr>
            <w:tcW w:w="1280"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408"/>
                <w:tab w:val="left" w:pos="9720" w:leader="none"/>
              </w:tabs>
              <w:overflowPunct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Maitinimo laikas</w:t>
            </w:r>
          </w:p>
        </w:tc>
        <w:tc>
          <w:tcPr>
            <w:tcW w:w="22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408"/>
                <w:tab w:val="left" w:pos="9720" w:leader="none"/>
              </w:tabs>
              <w:overflowPunct w:val="false"/>
              <w:spacing w:lineRule="auto" w:line="240" w:before="0" w:after="0"/>
              <w:jc w:val="center"/>
              <w:rPr/>
            </w:pPr>
            <w:r>
              <w:rPr>
                <w:rFonts w:eastAsia="Times New Roman" w:ascii="Times New Roman" w:hAnsi="Times New Roman"/>
                <w:sz w:val="22"/>
              </w:rPr>
              <w:t>1 ir 2 eilutėse – vieno asmens maitinimo kaina (pagal nustatytas normas, kiekvieno maitinimo laiko), eurais be PVM</w:t>
            </w:r>
          </w:p>
        </w:tc>
        <w:tc>
          <w:tcPr>
            <w:tcW w:w="288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408"/>
                <w:tab w:val="left" w:pos="9720" w:leader="none"/>
              </w:tabs>
              <w:overflowPunct w:val="false"/>
              <w:spacing w:lineRule="auto" w:line="240" w:before="0" w:after="0"/>
              <w:jc w:val="center"/>
              <w:rPr/>
            </w:pPr>
            <w:r>
              <w:rPr>
                <w:rFonts w:eastAsia="Times New Roman" w:ascii="Times New Roman" w:hAnsi="Times New Roman"/>
                <w:sz w:val="22"/>
              </w:rPr>
              <w:t xml:space="preserve">1 ir 2 eilutėse – vieno asmens maitinimo kaina per parą (pagal nustatytas normas; visų </w:t>
            </w:r>
            <w:r>
              <w:rPr>
                <w:rFonts w:eastAsia="Times New Roman" w:ascii="Times New Roman" w:hAnsi="Times New Roman"/>
                <w:i/>
                <w:sz w:val="22"/>
              </w:rPr>
              <w:t>4</w:t>
            </w:r>
            <w:r>
              <w:rPr>
                <w:rFonts w:eastAsia="Times New Roman" w:ascii="Times New Roman" w:hAnsi="Times New Roman"/>
                <w:sz w:val="22"/>
              </w:rPr>
              <w:t xml:space="preserve"> stulpelyje nuodytų maitinimo laikų suma), eurais be PVM; 3 eilutėje – vieno sauso maisto davinio kaina, eurais be PVM</w:t>
            </w:r>
          </w:p>
        </w:tc>
      </w:tr>
      <w:tr>
        <w:trPr>
          <w:tblHeader w:val="true"/>
        </w:trPr>
        <w:tc>
          <w:tcPr>
            <w:tcW w:w="658"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pacing w:lineRule="auto" w:line="240" w:before="0" w:after="0"/>
              <w:jc w:val="center"/>
              <w:rPr>
                <w:rFonts w:ascii="Times New Roman" w:hAnsi="Times New Roman" w:eastAsia="Times New Roman"/>
                <w:i/>
                <w:i/>
                <w:sz w:val="22"/>
              </w:rPr>
            </w:pPr>
            <w:r>
              <w:rPr>
                <w:rFonts w:eastAsia="Times New Roman" w:ascii="Times New Roman" w:hAnsi="Times New Roman"/>
                <w:i/>
                <w:sz w:val="22"/>
              </w:rPr>
              <w:t>1</w:t>
            </w:r>
          </w:p>
        </w:tc>
        <w:tc>
          <w:tcPr>
            <w:tcW w:w="2453"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pacing w:lineRule="auto" w:line="240" w:before="0" w:after="0"/>
              <w:jc w:val="center"/>
              <w:rPr>
                <w:rFonts w:ascii="Times New Roman" w:hAnsi="Times New Roman" w:eastAsia="Times New Roman"/>
                <w:i/>
                <w:i/>
                <w:sz w:val="22"/>
              </w:rPr>
            </w:pPr>
            <w:r>
              <w:rPr>
                <w:rFonts w:eastAsia="Times New Roman" w:ascii="Times New Roman" w:hAnsi="Times New Roman"/>
                <w:i/>
                <w:sz w:val="22"/>
              </w:rPr>
              <w:t>2</w:t>
            </w:r>
          </w:p>
        </w:tc>
        <w:tc>
          <w:tcPr>
            <w:tcW w:w="1280"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pacing w:lineRule="auto" w:line="240" w:before="0" w:after="0"/>
              <w:jc w:val="center"/>
              <w:rPr>
                <w:rFonts w:ascii="Times New Roman" w:hAnsi="Times New Roman" w:eastAsia="Times New Roman"/>
                <w:i/>
                <w:i/>
                <w:sz w:val="22"/>
              </w:rPr>
            </w:pPr>
            <w:r>
              <w:rPr>
                <w:rFonts w:eastAsia="Times New Roman" w:ascii="Times New Roman" w:hAnsi="Times New Roman"/>
                <w:i/>
                <w:sz w:val="22"/>
              </w:rPr>
              <w:t>3</w:t>
            </w:r>
          </w:p>
        </w:tc>
        <w:tc>
          <w:tcPr>
            <w:tcW w:w="22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false"/>
              <w:spacing w:lineRule="auto" w:line="240" w:before="0" w:after="0"/>
              <w:jc w:val="center"/>
              <w:rPr>
                <w:rFonts w:ascii="Times New Roman" w:hAnsi="Times New Roman" w:eastAsia="Times New Roman"/>
                <w:i/>
                <w:i/>
                <w:sz w:val="22"/>
              </w:rPr>
            </w:pPr>
            <w:r>
              <w:rPr>
                <w:rFonts w:eastAsia="Times New Roman" w:ascii="Times New Roman" w:hAnsi="Times New Roman"/>
                <w:i/>
                <w:sz w:val="22"/>
              </w:rPr>
              <w:t>4</w:t>
            </w:r>
          </w:p>
        </w:tc>
        <w:tc>
          <w:tcPr>
            <w:tcW w:w="28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false"/>
              <w:spacing w:lineRule="auto" w:line="240" w:before="0" w:after="0"/>
              <w:jc w:val="center"/>
              <w:rPr>
                <w:rFonts w:ascii="Times New Roman" w:hAnsi="Times New Roman" w:eastAsia="Times New Roman"/>
                <w:i/>
                <w:i/>
                <w:sz w:val="22"/>
              </w:rPr>
            </w:pPr>
            <w:r>
              <w:rPr>
                <w:rFonts w:eastAsia="Times New Roman" w:ascii="Times New Roman" w:hAnsi="Times New Roman"/>
                <w:i/>
                <w:sz w:val="22"/>
              </w:rPr>
              <w:t>5</w:t>
            </w:r>
          </w:p>
        </w:tc>
      </w:tr>
      <w:tr>
        <w:trPr>
          <w:trHeight w:val="143" w:hRule="atLeast"/>
        </w:trPr>
        <w:tc>
          <w:tcPr>
            <w:tcW w:w="658" w:type="dxa"/>
            <w:vMerge w:val="restart"/>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pacing w:lineRule="auto" w:line="240" w:before="0" w:after="0"/>
              <w:rPr>
                <w:rFonts w:ascii="Times New Roman" w:hAnsi="Times New Roman" w:eastAsia="Times New Roman"/>
                <w:sz w:val="22"/>
              </w:rPr>
            </w:pPr>
            <w:r>
              <w:rPr>
                <w:rFonts w:eastAsia="Times New Roman" w:ascii="Times New Roman" w:hAnsi="Times New Roman"/>
                <w:sz w:val="22"/>
              </w:rPr>
              <w:t>1.</w:t>
            </w:r>
          </w:p>
        </w:tc>
        <w:tc>
          <w:tcPr>
            <w:tcW w:w="2453" w:type="dxa"/>
            <w:vMerge w:val="restart"/>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pacing w:lineRule="auto" w:line="240" w:before="0" w:after="0"/>
              <w:rPr>
                <w:rFonts w:ascii="Times New Roman" w:hAnsi="Times New Roman" w:eastAsia="Times New Roman"/>
                <w:sz w:val="22"/>
              </w:rPr>
            </w:pPr>
            <w:r>
              <w:rPr>
                <w:rFonts w:eastAsia="Times New Roman" w:ascii="Times New Roman" w:hAnsi="Times New Roman"/>
                <w:sz w:val="22"/>
              </w:rPr>
              <w:t>Suaugusiųjų maitinimas</w:t>
            </w:r>
          </w:p>
        </w:tc>
        <w:tc>
          <w:tcPr>
            <w:tcW w:w="1280"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Pusryčiai</w:t>
            </w:r>
          </w:p>
        </w:tc>
        <w:tc>
          <w:tcPr>
            <w:tcW w:w="22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1,930</w:t>
            </w:r>
          </w:p>
        </w:tc>
        <w:tc>
          <w:tcPr>
            <w:tcW w:w="2884" w:type="dxa"/>
            <w:gridSpan w:val="2"/>
            <w:vMerge w:val="restart"/>
            <w:tcBorders>
              <w:top w:val="single" w:sz="4" w:space="0" w:color="000000"/>
              <w:left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7,83</w:t>
            </w:r>
          </w:p>
        </w:tc>
      </w:tr>
      <w:tr>
        <w:trPr>
          <w:trHeight w:val="108" w:hRule="atLeast"/>
        </w:trPr>
        <w:tc>
          <w:tcPr>
            <w:tcW w:w="658" w:type="dxa"/>
            <w:vMerge w:val="continue"/>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rPr>
                <w:rFonts w:ascii="Times New Roman" w:hAnsi="Times New Roman" w:eastAsia="Times New Roman"/>
                <w:sz w:val="22"/>
              </w:rPr>
            </w:pPr>
            <w:r>
              <w:rPr>
                <w:rFonts w:eastAsia="Times New Roman" w:ascii="Times New Roman" w:hAnsi="Times New Roman"/>
                <w:sz w:val="22"/>
              </w:rPr>
            </w:r>
          </w:p>
        </w:tc>
        <w:tc>
          <w:tcPr>
            <w:tcW w:w="2453" w:type="dxa"/>
            <w:vMerge w:val="continue"/>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rPr>
                <w:rFonts w:ascii="Times New Roman" w:hAnsi="Times New Roman" w:eastAsia="Times New Roman"/>
                <w:sz w:val="22"/>
              </w:rPr>
            </w:pPr>
            <w:r>
              <w:rPr>
                <w:rFonts w:eastAsia="Times New Roman" w:ascii="Times New Roman" w:hAnsi="Times New Roman"/>
                <w:sz w:val="22"/>
              </w:rPr>
            </w:r>
          </w:p>
        </w:tc>
        <w:tc>
          <w:tcPr>
            <w:tcW w:w="1280"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Pietūs</w:t>
            </w:r>
          </w:p>
        </w:tc>
        <w:tc>
          <w:tcPr>
            <w:tcW w:w="22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3,050</w:t>
            </w:r>
          </w:p>
        </w:tc>
        <w:tc>
          <w:tcPr>
            <w:tcW w:w="2884" w:type="dxa"/>
            <w:gridSpan w:val="2"/>
            <w:vMerge w:val="continue"/>
            <w:tcBorders>
              <w:top w:val="single" w:sz="4" w:space="0" w:color="000000"/>
              <w:left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r>
          </w:p>
        </w:tc>
      </w:tr>
      <w:tr>
        <w:trPr/>
        <w:tc>
          <w:tcPr>
            <w:tcW w:w="658" w:type="dxa"/>
            <w:vMerge w:val="continue"/>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rPr>
                <w:rFonts w:ascii="Times New Roman" w:hAnsi="Times New Roman" w:eastAsia="Times New Roman"/>
                <w:sz w:val="22"/>
              </w:rPr>
            </w:pPr>
            <w:r>
              <w:rPr>
                <w:rFonts w:eastAsia="Times New Roman" w:ascii="Times New Roman" w:hAnsi="Times New Roman"/>
                <w:sz w:val="22"/>
              </w:rPr>
            </w:r>
          </w:p>
        </w:tc>
        <w:tc>
          <w:tcPr>
            <w:tcW w:w="2453" w:type="dxa"/>
            <w:vMerge w:val="continue"/>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rPr>
                <w:rFonts w:ascii="Times New Roman" w:hAnsi="Times New Roman" w:eastAsia="Times New Roman"/>
                <w:sz w:val="22"/>
              </w:rPr>
            </w:pPr>
            <w:r>
              <w:rPr>
                <w:rFonts w:eastAsia="Times New Roman" w:ascii="Times New Roman" w:hAnsi="Times New Roman"/>
                <w:sz w:val="22"/>
              </w:rPr>
            </w:r>
          </w:p>
        </w:tc>
        <w:tc>
          <w:tcPr>
            <w:tcW w:w="1280"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Vakarienė</w:t>
            </w:r>
          </w:p>
        </w:tc>
        <w:tc>
          <w:tcPr>
            <w:tcW w:w="22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2,850</w:t>
            </w:r>
          </w:p>
        </w:tc>
        <w:tc>
          <w:tcPr>
            <w:tcW w:w="2884" w:type="dxa"/>
            <w:gridSpan w:val="2"/>
            <w:vMerge w:val="continue"/>
            <w:tcBorders>
              <w:top w:val="single" w:sz="4" w:space="0" w:color="000000"/>
              <w:left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r>
          </w:p>
        </w:tc>
      </w:tr>
      <w:tr>
        <w:trPr>
          <w:trHeight w:val="100" w:hRule="atLeast"/>
        </w:trPr>
        <w:tc>
          <w:tcPr>
            <w:tcW w:w="658" w:type="dxa"/>
            <w:vMerge w:val="restart"/>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pacing w:lineRule="auto" w:line="240" w:before="0" w:after="0"/>
              <w:rPr>
                <w:rFonts w:ascii="Times New Roman" w:hAnsi="Times New Roman" w:eastAsia="Times New Roman"/>
                <w:sz w:val="22"/>
              </w:rPr>
            </w:pPr>
            <w:r>
              <w:rPr>
                <w:rFonts w:eastAsia="Times New Roman" w:ascii="Times New Roman" w:hAnsi="Times New Roman"/>
                <w:sz w:val="22"/>
              </w:rPr>
              <w:t>2.</w:t>
            </w:r>
          </w:p>
        </w:tc>
        <w:tc>
          <w:tcPr>
            <w:tcW w:w="2453" w:type="dxa"/>
            <w:vMerge w:val="restart"/>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pacing w:lineRule="auto" w:line="240" w:before="0" w:after="0"/>
              <w:rPr>
                <w:rFonts w:ascii="Times New Roman" w:hAnsi="Times New Roman" w:eastAsia="Times New Roman"/>
                <w:sz w:val="22"/>
              </w:rPr>
            </w:pPr>
            <w:r>
              <w:rPr>
                <w:rFonts w:eastAsia="Times New Roman" w:ascii="Times New Roman" w:hAnsi="Times New Roman"/>
                <w:sz w:val="22"/>
              </w:rPr>
              <w:t>Nepilnamečių maitinimas</w:t>
            </w:r>
          </w:p>
        </w:tc>
        <w:tc>
          <w:tcPr>
            <w:tcW w:w="1280"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Pusryčiai</w:t>
            </w:r>
          </w:p>
        </w:tc>
        <w:tc>
          <w:tcPr>
            <w:tcW w:w="22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1,860</w:t>
            </w:r>
          </w:p>
        </w:tc>
        <w:tc>
          <w:tcPr>
            <w:tcW w:w="2884" w:type="dxa"/>
            <w:gridSpan w:val="2"/>
            <w:vMerge w:val="restart"/>
            <w:tcBorders>
              <w:top w:val="single" w:sz="4" w:space="0" w:color="000000"/>
              <w:left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8,46</w:t>
            </w:r>
          </w:p>
        </w:tc>
      </w:tr>
      <w:tr>
        <w:trPr/>
        <w:tc>
          <w:tcPr>
            <w:tcW w:w="658" w:type="dxa"/>
            <w:vMerge w:val="continue"/>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rPr>
                <w:rFonts w:ascii="Times New Roman" w:hAnsi="Times New Roman" w:eastAsia="Times New Roman"/>
                <w:sz w:val="22"/>
              </w:rPr>
            </w:pPr>
            <w:r>
              <w:rPr>
                <w:rFonts w:eastAsia="Times New Roman" w:ascii="Times New Roman" w:hAnsi="Times New Roman"/>
                <w:sz w:val="22"/>
              </w:rPr>
            </w:r>
          </w:p>
        </w:tc>
        <w:tc>
          <w:tcPr>
            <w:tcW w:w="2453" w:type="dxa"/>
            <w:vMerge w:val="continue"/>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rPr>
                <w:rFonts w:ascii="Times New Roman" w:hAnsi="Times New Roman" w:eastAsia="Times New Roman"/>
                <w:sz w:val="22"/>
              </w:rPr>
            </w:pPr>
            <w:r>
              <w:rPr>
                <w:rFonts w:eastAsia="Times New Roman" w:ascii="Times New Roman" w:hAnsi="Times New Roman"/>
                <w:sz w:val="22"/>
              </w:rPr>
            </w:r>
          </w:p>
        </w:tc>
        <w:tc>
          <w:tcPr>
            <w:tcW w:w="1280"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Pietūs</w:t>
            </w:r>
          </w:p>
        </w:tc>
        <w:tc>
          <w:tcPr>
            <w:tcW w:w="22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2,800</w:t>
            </w:r>
          </w:p>
        </w:tc>
        <w:tc>
          <w:tcPr>
            <w:tcW w:w="2884" w:type="dxa"/>
            <w:gridSpan w:val="2"/>
            <w:vMerge w:val="continue"/>
            <w:tcBorders>
              <w:top w:val="single" w:sz="4" w:space="0" w:color="000000"/>
              <w:left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r>
          </w:p>
        </w:tc>
      </w:tr>
      <w:tr>
        <w:trPr/>
        <w:tc>
          <w:tcPr>
            <w:tcW w:w="658" w:type="dxa"/>
            <w:vMerge w:val="continue"/>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rPr>
                <w:rFonts w:ascii="Times New Roman" w:hAnsi="Times New Roman" w:eastAsia="Times New Roman"/>
                <w:sz w:val="22"/>
              </w:rPr>
            </w:pPr>
            <w:r>
              <w:rPr>
                <w:rFonts w:eastAsia="Times New Roman" w:ascii="Times New Roman" w:hAnsi="Times New Roman"/>
                <w:sz w:val="22"/>
              </w:rPr>
            </w:r>
          </w:p>
        </w:tc>
        <w:tc>
          <w:tcPr>
            <w:tcW w:w="2453" w:type="dxa"/>
            <w:vMerge w:val="continue"/>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rPr>
                <w:rFonts w:ascii="Times New Roman" w:hAnsi="Times New Roman" w:eastAsia="Times New Roman"/>
                <w:sz w:val="22"/>
              </w:rPr>
            </w:pPr>
            <w:r>
              <w:rPr>
                <w:rFonts w:eastAsia="Times New Roman" w:ascii="Times New Roman" w:hAnsi="Times New Roman"/>
                <w:sz w:val="22"/>
              </w:rPr>
            </w:r>
          </w:p>
        </w:tc>
        <w:tc>
          <w:tcPr>
            <w:tcW w:w="1280"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Pavakariai</w:t>
            </w:r>
          </w:p>
        </w:tc>
        <w:tc>
          <w:tcPr>
            <w:tcW w:w="22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1,200</w:t>
            </w:r>
          </w:p>
        </w:tc>
        <w:tc>
          <w:tcPr>
            <w:tcW w:w="2884" w:type="dxa"/>
            <w:gridSpan w:val="2"/>
            <w:vMerge w:val="continue"/>
            <w:tcBorders>
              <w:top w:val="single" w:sz="4" w:space="0" w:color="000000"/>
              <w:left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r>
          </w:p>
        </w:tc>
      </w:tr>
      <w:tr>
        <w:trPr/>
        <w:tc>
          <w:tcPr>
            <w:tcW w:w="658" w:type="dxa"/>
            <w:vMerge w:val="continue"/>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rPr>
                <w:rFonts w:ascii="Times New Roman" w:hAnsi="Times New Roman" w:eastAsia="Times New Roman"/>
                <w:sz w:val="22"/>
              </w:rPr>
            </w:pPr>
            <w:r>
              <w:rPr>
                <w:rFonts w:eastAsia="Times New Roman" w:ascii="Times New Roman" w:hAnsi="Times New Roman"/>
                <w:sz w:val="22"/>
              </w:rPr>
            </w:r>
          </w:p>
        </w:tc>
        <w:tc>
          <w:tcPr>
            <w:tcW w:w="2453" w:type="dxa"/>
            <w:vMerge w:val="continue"/>
            <w:tcBorders>
              <w:top w:val="single" w:sz="4" w:space="0" w:color="000000"/>
              <w:lef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rPr>
                <w:rFonts w:ascii="Times New Roman" w:hAnsi="Times New Roman" w:eastAsia="Times New Roman"/>
                <w:sz w:val="22"/>
              </w:rPr>
            </w:pPr>
            <w:r>
              <w:rPr>
                <w:rFonts w:eastAsia="Times New Roman" w:ascii="Times New Roman" w:hAnsi="Times New Roman"/>
                <w:sz w:val="22"/>
              </w:rPr>
            </w:r>
          </w:p>
        </w:tc>
        <w:tc>
          <w:tcPr>
            <w:tcW w:w="1280"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Vakarienė</w:t>
            </w:r>
          </w:p>
        </w:tc>
        <w:tc>
          <w:tcPr>
            <w:tcW w:w="22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2,600</w:t>
            </w:r>
          </w:p>
        </w:tc>
        <w:tc>
          <w:tcPr>
            <w:tcW w:w="2884" w:type="dxa"/>
            <w:gridSpan w:val="2"/>
            <w:vMerge w:val="continue"/>
            <w:tcBorders>
              <w:top w:val="single" w:sz="4" w:space="0" w:color="000000"/>
              <w:left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r>
          </w:p>
        </w:tc>
      </w:tr>
      <w:tr>
        <w:trPr/>
        <w:tc>
          <w:tcPr>
            <w:tcW w:w="658"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pacing w:lineRule="auto" w:line="240" w:before="0" w:after="0"/>
              <w:rPr>
                <w:rFonts w:ascii="Times New Roman" w:hAnsi="Times New Roman" w:eastAsia="Times New Roman"/>
                <w:sz w:val="22"/>
              </w:rPr>
            </w:pPr>
            <w:r>
              <w:rPr>
                <w:rFonts w:eastAsia="Times New Roman" w:ascii="Times New Roman" w:hAnsi="Times New Roman"/>
                <w:sz w:val="22"/>
              </w:rPr>
              <w:t>3.</w:t>
            </w:r>
          </w:p>
        </w:tc>
        <w:tc>
          <w:tcPr>
            <w:tcW w:w="5999" w:type="dxa"/>
            <w:gridSpan w:val="4"/>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both"/>
              <w:rPr>
                <w:rFonts w:ascii="Times New Roman" w:hAnsi="Times New Roman" w:eastAsia="Times New Roman"/>
                <w:sz w:val="22"/>
              </w:rPr>
            </w:pPr>
            <w:r>
              <w:rPr>
                <w:rFonts w:eastAsia="Times New Roman" w:ascii="Times New Roman" w:hAnsi="Times New Roman"/>
                <w:sz w:val="22"/>
              </w:rPr>
              <w:t>Maitinimo paslaugos konvojuojamiems asmenims, vežamiems iš areštinės į kitas sulaikymo įstaigas ar kitais tikslais (sauso maisto davinio tiekimas)</w:t>
            </w:r>
          </w:p>
        </w:tc>
        <w:tc>
          <w:tcPr>
            <w:tcW w:w="28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false"/>
              <w:snapToGrid w:val="false"/>
              <w:spacing w:lineRule="auto" w:line="240" w:before="0" w:after="0"/>
              <w:jc w:val="center"/>
              <w:rPr>
                <w:rFonts w:ascii="Times New Roman" w:hAnsi="Times New Roman" w:eastAsia="Times New Roman"/>
                <w:sz w:val="22"/>
              </w:rPr>
            </w:pPr>
            <w:r>
              <w:rPr>
                <w:rFonts w:eastAsia="Times New Roman" w:ascii="Times New Roman" w:hAnsi="Times New Roman"/>
                <w:sz w:val="22"/>
              </w:rPr>
              <w:t>2,31</w:t>
            </w:r>
          </w:p>
        </w:tc>
      </w:tr>
    </w:tbl>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i w:val="false"/>
          <w:iCs w:val="false"/>
        </w:rPr>
        <w:t>2.3. Maksimali Sutarties kaina (lygi pirkimo dokumentuose užfiksuotai maksimaliai sutarties kainai) 230000 Eur su PVM.</w:t>
      </w:r>
    </w:p>
    <w:p>
      <w:pPr>
        <w:pStyle w:val="Normal"/>
        <w:spacing w:lineRule="auto" w:line="240" w:before="0" w:after="0"/>
        <w:ind w:firstLine="567"/>
        <w:jc w:val="both"/>
        <w:rPr/>
      </w:pPr>
      <w:r>
        <w:rPr>
          <w:rFonts w:cs="Times New Roman" w:ascii="Times New Roman" w:hAnsi="Times New Roman"/>
        </w:rPr>
        <w:t xml:space="preserve">2.4. Pirkėjas sutarties galiojimo laikotarpiu užsakys Paslaugas pagal poreikį ir skiriamą finansavimą, neviršydamas maksimalios sutarties vertės. Pirkėjas neįsipareigoja nupirkti viso Paslaugų kiekio ir (arba) sumokėti visos Sutarties kainos, numatytos šios Sutarties </w:t>
      </w:r>
      <w:r>
        <w:rPr>
          <w:rFonts w:cs="Times New Roman" w:ascii="Times New Roman" w:hAnsi="Times New Roman"/>
          <w:lang w:val="en-US"/>
        </w:rPr>
        <w:t>2.3</w:t>
      </w:r>
      <w:r>
        <w:rPr>
          <w:rFonts w:cs="Times New Roman" w:ascii="Times New Roman" w:hAnsi="Times New Roman"/>
        </w:rPr>
        <w:t xml:space="preserve"> papunktyje.</w:t>
      </w:r>
    </w:p>
    <w:p>
      <w:pPr>
        <w:pStyle w:val="Normal"/>
        <w:spacing w:lineRule="auto" w:line="240" w:before="0" w:after="0"/>
        <w:ind w:firstLine="567"/>
        <w:jc w:val="both"/>
        <w:rPr/>
      </w:pPr>
      <w:r>
        <w:rPr>
          <w:rFonts w:cs="Times New Roman" w:ascii="Times New Roman" w:hAnsi="Times New Roman"/>
          <w:lang w:val="en-US"/>
        </w:rPr>
        <w:t xml:space="preserve">2.5. </w:t>
      </w:r>
      <w:r>
        <w:rPr>
          <w:rFonts w:cs="Times New Roman" w:ascii="Times New Roman" w:hAnsi="Times New Roman"/>
        </w:rPr>
        <w:t>Į Paslaugų įkainius yra įskaičiuotos visos Paslaugų įkainio sudedamosios dalys, visos Tiekėjo patiriamos išlaidos ir mokesčiai. Jokios papildomos Tiekėjo išlaidos nebus apmokamos ar kompensuojamos.</w:t>
      </w:r>
    </w:p>
    <w:p>
      <w:pPr>
        <w:pStyle w:val="Normal"/>
        <w:spacing w:lineRule="auto" w:line="240" w:before="0" w:after="0"/>
        <w:ind w:firstLine="567"/>
        <w:jc w:val="both"/>
        <w:rPr/>
      </w:pPr>
      <w:r>
        <w:rPr>
          <w:rFonts w:cs="Times New Roman" w:ascii="Times New Roman" w:hAnsi="Times New Roman"/>
          <w:i w:val="false"/>
          <w:iCs w:val="false"/>
          <w:lang w:val="en-US"/>
        </w:rPr>
        <w:t>2.6</w:t>
      </w:r>
      <w:r>
        <w:rPr>
          <w:rFonts w:cs="Times New Roman" w:ascii="Times New Roman" w:hAnsi="Times New Roman"/>
          <w:i w:val="false"/>
          <w:iCs w:val="false"/>
        </w:rPr>
        <w:t>. Nustatyti fiksuoti Paslaugų įkainiai dėl pasikeitusių mokesčių perskaičiuojama tokia tvarka:</w:t>
      </w:r>
    </w:p>
    <w:p>
      <w:pPr>
        <w:pStyle w:val="Normal"/>
        <w:spacing w:lineRule="auto" w:line="240" w:before="0" w:after="0"/>
        <w:ind w:firstLine="567"/>
        <w:jc w:val="both"/>
        <w:rPr/>
      </w:pPr>
      <w:r>
        <w:rPr>
          <w:rFonts w:cs="Times New Roman" w:ascii="Times New Roman" w:hAnsi="Times New Roman"/>
          <w:i w:val="false"/>
          <w:iCs w:val="false"/>
          <w:lang w:val="en-US"/>
        </w:rPr>
        <w:t>2.6.1</w:t>
      </w:r>
      <w:r>
        <w:rPr>
          <w:rFonts w:cs="Times New Roman" w:ascii="Times New Roman" w:hAnsi="Times New Roman"/>
          <w:i w:val="false"/>
          <w:iCs w:val="false"/>
        </w:rPr>
        <w:t>. perskaičiavimas atliekamas įsigaliojus Pridėtinės vertės mokesčio įstatymo pakeitimo įstatymui, kuriuo keičiamas mokesčio tarifas;</w:t>
      </w:r>
    </w:p>
    <w:p>
      <w:pPr>
        <w:pStyle w:val="Normal"/>
        <w:spacing w:lineRule="auto" w:line="240" w:before="0" w:after="0"/>
        <w:ind w:firstLine="567"/>
        <w:jc w:val="both"/>
        <w:rPr/>
      </w:pPr>
      <w:r>
        <w:rPr>
          <w:rFonts w:cs="Times New Roman" w:ascii="Times New Roman" w:hAnsi="Times New Roman"/>
          <w:i w:val="false"/>
          <w:iCs w:val="false"/>
          <w:lang w:val="en-US"/>
        </w:rPr>
        <w:t>2.6.2</w:t>
      </w:r>
      <w:r>
        <w:rPr>
          <w:rFonts w:cs="Times New Roman" w:ascii="Times New Roman" w:hAnsi="Times New Roman"/>
          <w:i w:val="false"/>
          <w:iCs w:val="false"/>
        </w:rPr>
        <w:t>. perskaičiavimo formulė: pasikeitus PVM tarifo dydžiui, prie Sutartyje nustatytų fiksuotų Paslaugų įkainių pridedamas atitinkamai pakeistas (sumažintas ar padidintas) PVM tarifas.</w:t>
      </w:r>
    </w:p>
    <w:p>
      <w:pPr>
        <w:pStyle w:val="Normal"/>
        <w:spacing w:lineRule="auto" w:line="240" w:before="0" w:after="0"/>
        <w:ind w:firstLine="567"/>
        <w:jc w:val="both"/>
        <w:rPr/>
      </w:pPr>
      <w:r>
        <w:rPr>
          <w:rFonts w:cs="Times New Roman" w:ascii="Times New Roman" w:hAnsi="Times New Roman"/>
          <w:i w:val="false"/>
          <w:iCs w:val="false"/>
        </w:rPr>
        <w:t>2.7. Jei Tiekėjui pasiūlymo Pirkimui metu nėra prievolės mokėti PVM, tačiau Sutarties vykdymo metu tokia prievolė atsiranda, nuo tokios prievolės atsiradimo dienos 2.2 papunktyje nustatyti įkainiai sumažinami dydžiu, skaitine reikšme lygiu PVM (pvz., 1,210 Eur dydžio įkainis, kai PVM yra 21 proc., sumažinamas iki 1,000 Eur dydžio įkainio).</w:t>
      </w:r>
    </w:p>
    <w:p>
      <w:pPr>
        <w:pStyle w:val="Normal"/>
        <w:spacing w:lineRule="auto" w:line="240" w:before="0" w:after="0"/>
        <w:ind w:firstLine="567"/>
        <w:jc w:val="both"/>
        <w:rPr/>
      </w:pPr>
      <w:r>
        <w:rPr>
          <w:rFonts w:cs="Times New Roman" w:ascii="Times New Roman" w:hAnsi="Times New Roman"/>
          <w:lang w:val="en-US"/>
        </w:rPr>
        <w:t>2.8</w:t>
      </w:r>
      <w:r>
        <w:rPr>
          <w:rFonts w:cs="Times New Roman" w:ascii="Times New Roman" w:hAnsi="Times New Roman"/>
        </w:rPr>
        <w:t xml:space="preserve">. Mokėjimai atliekami eurais tokia tvarka: </w:t>
      </w:r>
    </w:p>
    <w:p>
      <w:pPr>
        <w:pStyle w:val="Normal"/>
        <w:spacing w:lineRule="auto" w:line="240" w:before="0" w:after="0"/>
        <w:ind w:firstLine="567"/>
        <w:jc w:val="both"/>
        <w:rPr/>
      </w:pPr>
      <w:r>
        <w:rPr>
          <w:rFonts w:cs="Times New Roman" w:ascii="Times New Roman" w:hAnsi="Times New Roman"/>
          <w:lang w:val="en-US"/>
        </w:rPr>
        <w:t>2.8.1</w:t>
      </w:r>
      <w:r>
        <w:rPr>
          <w:rFonts w:cs="Times New Roman" w:ascii="Times New Roman" w:hAnsi="Times New Roman"/>
        </w:rPr>
        <w:t xml:space="preserve">. Su Tiekėju už laiku ir kokybiškai suteiktas paslaugas bus atsiskaitoma ne vėliau kaip per 30 (trisdešimt) kalendorinių dienų nuo PVM sąskaitos faktūros pateikimo dienos. </w:t>
      </w:r>
      <w:r>
        <w:rPr>
          <w:rFonts w:cs="Times New Roman" w:ascii="Times New Roman" w:hAnsi="Times New Roman"/>
          <w:sz w:val="22"/>
        </w:rPr>
        <w:t>Sąskaitos faktūros pagrindas – kiekvieną dieną išrašomas Šalių atsakingų už Sutarties vykdymą asmenų pasirašytas valgiaraštis (valgiaraštis-važtaraštis) apie išduotų ir gautų porcijų ir sausų maisto davinių kiekį. Sąskaitoje faktūroje šalia kitų duomenų privalo būti nurodyta pusryčių, pietų ir vakarienės (o jei reikia – ir pavakarių) kainos, taip pat sauso maisto davinio kaina.</w:t>
      </w:r>
    </w:p>
    <w:p>
      <w:pPr>
        <w:pStyle w:val="Normal"/>
        <w:spacing w:lineRule="auto" w:line="240" w:before="0" w:after="0"/>
        <w:ind w:firstLine="567"/>
        <w:jc w:val="both"/>
        <w:rPr/>
      </w:pPr>
      <w:r>
        <w:rPr>
          <w:rFonts w:cs="Times New Roman" w:ascii="Times New Roman" w:hAnsi="Times New Roman"/>
          <w:shd w:fill="auto" w:val="clear"/>
          <w:lang w:val="en-US"/>
        </w:rPr>
        <w:t>2.8.2</w:t>
      </w:r>
      <w:r>
        <w:rPr>
          <w:rFonts w:cs="Times New Roman" w:ascii="Times New Roman" w:hAnsi="Times New Roman"/>
          <w:shd w:fill="auto" w:val="clear"/>
        </w:rPr>
        <w:t xml:space="preserve">. </w:t>
      </w:r>
      <w:r>
        <w:rPr>
          <w:rFonts w:cs="Times New Roman" w:ascii="Times New Roman" w:hAnsi="Times New Roman"/>
        </w:rPr>
        <w:t>Sutarties vykdymo metu, sąskaitos faktūros teikiamos tik elektroniniu būdu. E</w:t>
      </w:r>
      <w:r>
        <w:rPr>
          <w:rFonts w:cs="Times New Roman" w:ascii="Times New Roman" w:hAnsi="Times New Roman"/>
          <w:shd w:fill="auto" w:val="clear"/>
        </w:rPr>
        <w:t xml:space="preserv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 Sąskaita – faktūra turi būti pateikiama ne anksčiau nei abiejų šalių suderintas ir pasirašytas </w:t>
      </w:r>
      <w:r>
        <w:rPr>
          <w:rFonts w:cs="Times New Roman" w:ascii="Times New Roman" w:hAnsi="Times New Roman"/>
          <w:sz w:val="22"/>
          <w:shd w:fill="auto" w:val="clear"/>
        </w:rPr>
        <w:t xml:space="preserve">kiekvieną dieną išrašomas Šalių atsakingų už Sutarties vykdymą asmenų pasirašytas valgiaraštis (valgiaraštis-važtaraštis) apie išduotų ir gautų porcijų ir sausų maisto davinių kiekį </w:t>
      </w:r>
      <w:r>
        <w:rPr>
          <w:rFonts w:cs="Times New Roman" w:ascii="Times New Roman" w:hAnsi="Times New Roman"/>
          <w:shd w:fill="auto" w:val="clear"/>
        </w:rPr>
        <w:t>be trūkumų ar pastabų (t. y. kai pašalinti visi trūkumai ar pastabos, jei tokių buvo).</w:t>
      </w:r>
    </w:p>
    <w:p>
      <w:pPr>
        <w:pStyle w:val="Normal"/>
        <w:spacing w:lineRule="auto" w:line="240" w:before="0" w:after="0"/>
        <w:ind w:firstLine="567"/>
        <w:jc w:val="both"/>
        <w:rPr/>
      </w:pPr>
      <w:r>
        <w:rPr>
          <w:rFonts w:cs="Times New Roman" w:ascii="Times New Roman" w:hAnsi="Times New Roman"/>
          <w:lang w:val="en-US"/>
        </w:rPr>
        <w:t>2.8.3</w:t>
      </w:r>
      <w:r>
        <w:rPr>
          <w:rFonts w:cs="Times New Roman" w:ascii="Times New Roman" w:hAnsi="Times New Roman"/>
        </w:rPr>
        <w:t>. Pirkėjas už suteiktas Paslaugas Tiekėjui atsiskaito mokėjimo pavedimu į Tiekėjo nurodytą banko sąskaitą.</w:t>
      </w:r>
    </w:p>
    <w:p>
      <w:pPr>
        <w:pStyle w:val="Normal"/>
        <w:spacing w:lineRule="auto" w:line="240" w:before="0" w:after="0"/>
        <w:ind w:firstLine="567"/>
        <w:jc w:val="both"/>
        <w:rPr/>
      </w:pPr>
      <w:r>
        <w:rPr>
          <w:rFonts w:cs="Times New Roman" w:ascii="Times New Roman" w:hAnsi="Times New Roman"/>
          <w:i w:val="false"/>
          <w:iCs w:val="false"/>
          <w:lang w:val="en-US"/>
        </w:rPr>
        <w:t>2.9</w:t>
      </w:r>
      <w:r>
        <w:rPr>
          <w:rFonts w:cs="Times New Roman" w:ascii="Times New Roman" w:hAnsi="Times New Roman"/>
          <w:i w:val="false"/>
          <w:iCs w:val="false"/>
        </w:rPr>
        <w:t>. Preliminariai numatoma atlikti tiek tarpinių mokėjimų, kiek kalendorinių mėnesių teikiamos paslaugos (t. y. už per kiekvieną kalendorinį mėnesį suteiktas paslaugas). Tarpiniai mokėjimai atliekami 2.8.1 ir 2.8.2 papunkčiuose nustatyta tvarka. Kiekvieno tarpinio mokėjimo suma nustatoma pagal faktiškai suteiktų Paslaugų kiekį ir jų vertę.</w:t>
      </w:r>
    </w:p>
    <w:p>
      <w:pPr>
        <w:pStyle w:val="Normal"/>
        <w:spacing w:lineRule="auto" w:line="240" w:before="0" w:after="0"/>
        <w:ind w:firstLine="567"/>
        <w:jc w:val="both"/>
        <w:rPr/>
      </w:pPr>
      <w:r>
        <w:rPr>
          <w:rFonts w:cs="Times New Roman" w:ascii="Times New Roman" w:hAnsi="Times New Roman"/>
          <w:sz w:val="22"/>
          <w:szCs w:val="22"/>
          <w:lang w:val="en-US"/>
        </w:rPr>
        <w:t>2.10</w:t>
      </w:r>
      <w:r>
        <w:rPr>
          <w:rFonts w:cs="Times New Roman" w:ascii="Times New Roman" w:hAnsi="Times New Roman"/>
          <w:sz w:val="22"/>
          <w:szCs w:val="22"/>
        </w:rPr>
        <w:t xml:space="preserve">. Pirkėjas numato tiesioginio atsiskaitymo su subtiekėjais galimybę, vadovaudamasis šiame papunktyje nustatyta tvarka. Subtiekėjas, norėdamas pasinaudoti tokia galimybe, raštu per </w:t>
      </w:r>
      <w:r>
        <w:rPr>
          <w:rFonts w:cs="Times New Roman" w:ascii="Times New Roman" w:hAnsi="Times New Roman"/>
          <w:sz w:val="22"/>
          <w:szCs w:val="22"/>
          <w:lang w:val="en-US"/>
        </w:rPr>
        <w:t>3 darbo dienas</w:t>
      </w:r>
      <w:r>
        <w:rPr>
          <w:rFonts w:cs="Times New Roman" w:ascii="Times New Roman" w:hAnsi="Times New Roman"/>
          <w:sz w:val="22"/>
          <w:szCs w:val="22"/>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III. PASLAUGŲ PRIĖMIMAS – PERDAVIMAS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shd w:fill="auto" w:val="clear"/>
        </w:rPr>
        <w:t xml:space="preserve">3.1. Suteiktų paslaugų kokybė patikrinama priėmimo-perdavimo metu, Šalims </w:t>
      </w:r>
      <w:r>
        <w:rPr>
          <w:rFonts w:cs="Times New Roman" w:ascii="Times New Roman" w:hAnsi="Times New Roman"/>
          <w:sz w:val="22"/>
          <w:shd w:fill="auto" w:val="clear"/>
        </w:rPr>
        <w:t>pasirašant valgiaraštį (valgiaraštį-važtaraštį) apie išduotų ir gautų porcijų ir sausų maisto davinių kiekį.</w:t>
      </w:r>
    </w:p>
    <w:p>
      <w:pPr>
        <w:pStyle w:val="Normal"/>
        <w:spacing w:lineRule="auto" w:line="240" w:before="0" w:after="0"/>
        <w:ind w:firstLine="567"/>
        <w:jc w:val="both"/>
        <w:rPr/>
      </w:pPr>
      <w:r>
        <w:rPr>
          <w:rFonts w:cs="Times New Roman" w:ascii="Times New Roman" w:hAnsi="Times New Roman"/>
          <w:shd w:fill="auto" w:val="clear"/>
        </w:rPr>
        <w:t xml:space="preserve">3.2. Jeigu Pirkėjas priėmimo perdavimo metu turi pastabų dėl suteiktų Paslaugų kiekio ir (arba) kokybės ir (arba) nustatomi suteiktų Paslaugų kokybės trūkumai ir (arba) neatitikimai techninės specifikacijos (Sutarties 1 priedo) reikalavimams, visi neatitikimai/trūkumai raštu nurodomi </w:t>
      </w:r>
      <w:r>
        <w:rPr>
          <w:rFonts w:cs="Times New Roman" w:ascii="Times New Roman" w:hAnsi="Times New Roman"/>
          <w:sz w:val="22"/>
          <w:shd w:fill="auto" w:val="clear"/>
        </w:rPr>
        <w:t>valgiaraštyje (valgiaraštyje-važtaraštyje) apie išduotų ir gautų porcijų ir sausų maisto davinių kiekį.</w:t>
      </w:r>
    </w:p>
    <w:p>
      <w:pPr>
        <w:pStyle w:val="Normal"/>
        <w:spacing w:lineRule="auto" w:line="240" w:before="0" w:after="0"/>
        <w:ind w:firstLine="567"/>
        <w:jc w:val="both"/>
        <w:rPr/>
      </w:pPr>
      <w:r>
        <w:rPr>
          <w:rFonts w:cs="Times New Roman" w:ascii="Times New Roman" w:hAnsi="Times New Roman"/>
          <w:shd w:fill="auto" w:val="clear"/>
        </w:rPr>
        <w:t>3.3. Pirkėjui pareikalavus, Tiekėjas pateikia visą informaciją apie teiktinų Paslaugų eigą ir apimtis.</w:t>
      </w:r>
    </w:p>
    <w:p>
      <w:pPr>
        <w:pStyle w:val="Normal"/>
        <w:spacing w:lineRule="auto" w:line="240" w:before="0" w:after="0"/>
        <w:ind w:firstLine="567"/>
        <w:jc w:val="both"/>
        <w:rPr/>
      </w:pPr>
      <w:r>
        <w:rPr>
          <w:rFonts w:cs="Times New Roman" w:ascii="Times New Roman" w:hAnsi="Times New Roman"/>
          <w:shd w:fill="auto" w:val="clear"/>
        </w:rPr>
        <w:t xml:space="preserve">3.4. Paslaugų priėmimo–perdavimo dokumentai pasirašomi 2 (dviem) vienodą teisinę galią turinčiais egzemplioriais.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IV. PIRKIMO SUTARTIES ŠALIŲ TEISĖS IR PAREIGOS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 Tiekėjas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w:t>
      </w:r>
      <w:r>
        <w:rPr>
          <w:rFonts w:cs="Times New Roman" w:ascii="Times New Roman" w:hAnsi="Times New Roman"/>
          <w:shd w:fill="auto" w:val="clear"/>
        </w:rPr>
        <w:t>1.2. bendradarbiauti su Pirkėju visos Sutarties vykdymo metu ir nedelsdamas raštu informuoti Pirkėją apie bet kokias aplinkybes, kurios trukdo a</w:t>
      </w:r>
      <w:r>
        <w:rPr>
          <w:rFonts w:cs="Times New Roman" w:ascii="Times New Roman" w:hAnsi="Times New Roman"/>
        </w:rPr>
        <w:t>r gali sutrukdyti Tiekėjui užbaigti Paslaugų teikimą nustatytais terminais arba gali turėti įtakos teikiamų Paslaugų apimčiai ir/ar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4.1.3. ne vėliau kaip likus 10 darbo dienų iki paslaugų suteikimo termino pabaigos, informuoti Pirkėją apie ketinimą baigti teikti visas sutartyje numatytas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4.1.4.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4.1.6. nenaudoti Pirkėjo Paslaugų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4.1.7. užtikrinti, kad Sutarties sudarymo momentu ir visą jos galiojimo laikotarpį Paslaugas teiktų reikiamas ir optimalus specialistų skaičius ir Tiekėjo specialistai turėtų reikiamą kvalifikaciją ir patirtį, nepr</w:t>
      </w:r>
      <w:r>
        <w:rPr>
          <w:rFonts w:cs="Times New Roman" w:ascii="Times New Roman" w:hAnsi="Times New Roman"/>
          <w:shd w:fill="auto" w:val="clear"/>
        </w:rPr>
        <w:t>iklausomai, ar buvo keliami kvalifikacijos reikalavimai pirkimo dokumentuose, reikalingas norint kokybiškai ir laiku teikti Paslaugas;</w:t>
      </w:r>
    </w:p>
    <w:p>
      <w:pPr>
        <w:pStyle w:val="Normal"/>
        <w:spacing w:lineRule="auto" w:line="240" w:before="0" w:after="0"/>
        <w:ind w:firstLine="567"/>
        <w:jc w:val="both"/>
        <w:rPr/>
      </w:pPr>
      <w:r>
        <w:rPr>
          <w:rFonts w:cs="Times New Roman" w:ascii="Times New Roman" w:hAnsi="Times New Roman"/>
          <w:shd w:fill="auto" w:val="clear"/>
        </w:rPr>
        <w:t>4.1.8. Pirkėjui raštu paprašius, grąžinti visus iš Pirkėjo gautus Sutarčiai vykdyti reikalingus dokumentus;</w:t>
      </w:r>
    </w:p>
    <w:p>
      <w:pPr>
        <w:pStyle w:val="Normal"/>
        <w:spacing w:lineRule="auto" w:line="240" w:before="0" w:after="0"/>
        <w:ind w:firstLine="567"/>
        <w:jc w:val="both"/>
        <w:rPr/>
      </w:pPr>
      <w:r>
        <w:rPr>
          <w:rFonts w:cs="Times New Roman" w:ascii="Times New Roman" w:hAnsi="Times New Roman"/>
          <w:shd w:fill="auto" w:val="clear"/>
        </w:rPr>
        <w:t>4.1.9. Pirkėjui nurodžius suteiktų Paslaugų trūkumus, neatitikimus, pastabas, ištaisyti juos savo sąskaita per Pirkėjo nurodytą protingą terminą;</w:t>
      </w:r>
    </w:p>
    <w:p>
      <w:pPr>
        <w:pStyle w:val="Normal"/>
        <w:spacing w:lineRule="auto" w:line="240" w:before="0" w:after="0"/>
        <w:ind w:firstLine="567"/>
        <w:jc w:val="both"/>
        <w:rPr>
          <w:lang w:val="lt-LT" w:eastAsia="en-US" w:bidi="ar-SA"/>
        </w:rPr>
      </w:pPr>
      <w:r>
        <w:rPr>
          <w:rFonts w:cs="Times New Roman" w:ascii="Times New Roman" w:hAnsi="Times New Roman"/>
          <w:shd w:fill="auto" w:val="clear"/>
          <w:lang w:val="lt-LT" w:eastAsia="en-US" w:bidi="ar-SA"/>
        </w:rPr>
        <w:t>4.1.10. vykdant Sutartį, pridėtinės vertės mokesčio sąskaitas faktūras, sąskaitas faktūras, kreditinius ir debetinius dokumentus bei avansines sąsk</w:t>
      </w:r>
      <w:r>
        <w:rPr>
          <w:rFonts w:cs="Times New Roman" w:ascii="Times New Roman" w:hAnsi="Times New Roman"/>
          <w:lang w:val="lt-LT" w:eastAsia="en-US" w:bidi="ar-SA"/>
        </w:rPr>
        <w:t>aitas (jei sutartyje  numatyti avansiniai mokėjimai)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pPr>
      <w:r>
        <w:rPr>
          <w:rFonts w:cs="Times New Roman" w:ascii="Times New Roman" w:hAnsi="Times New Roman"/>
        </w:rPr>
        <w:t>4.1.12. tinkamai vykdyti kitus įsipareigojimus, numatytus Sutartyje ir galiojančiuose Lietuvos Respublikos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 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4.2.1. gauti Paslaugų kainą su sąlyga, kad jis tinkamai ir laiku įvykdo visus šioje Sutartyje numatytus įsipareigojimus;</w:t>
      </w:r>
    </w:p>
    <w:p>
      <w:pPr>
        <w:pStyle w:val="Normal"/>
        <w:spacing w:lineRule="auto" w:line="240" w:before="0" w:after="0"/>
        <w:ind w:firstLine="567"/>
        <w:jc w:val="both"/>
        <w:rPr/>
      </w:pPr>
      <w:r>
        <w:rPr>
          <w:rFonts w:cs="Times New Roman" w:ascii="Times New Roman" w:hAnsi="Times New Roman"/>
        </w:rPr>
        <w:t>4.2.2. jei Pirkėjas naudojasi Sutarties</w:t>
      </w:r>
      <w:r>
        <w:rPr>
          <w:rFonts w:cs="Times New Roman" w:ascii="Times New Roman" w:hAnsi="Times New Roman"/>
          <w:shd w:fill="auto" w:val="clear"/>
        </w:rPr>
        <w:t xml:space="preserve"> </w:t>
      </w:r>
      <w:r>
        <w:rPr>
          <w:rFonts w:cs="Times New Roman" w:ascii="Times New Roman" w:hAnsi="Times New Roman"/>
          <w:shd w:fill="auto" w:val="clear"/>
          <w:lang w:val="en-US"/>
        </w:rPr>
        <w:t>2.10</w:t>
      </w:r>
      <w:r>
        <w:rPr>
          <w:rFonts w:cs="Times New Roman" w:ascii="Times New Roman" w:hAnsi="Times New Roman"/>
          <w:shd w:fill="auto" w:val="clear"/>
        </w:rPr>
        <w:t xml:space="preserve"> </w:t>
      </w:r>
      <w:r>
        <w:rPr>
          <w:rFonts w:cs="Times New Roman" w:ascii="Times New Roman" w:hAnsi="Times New Roman"/>
        </w:rPr>
        <w:t>papunktyje įtvirtinta tiesioginio atsiskaitymo su subteikėjais galimybe, Tiekėjas turi teisę prieštarauti nepagrįstiems mokėjimams subteikėjams;</w:t>
      </w:r>
    </w:p>
    <w:p>
      <w:pPr>
        <w:pStyle w:val="Normal"/>
        <w:spacing w:lineRule="auto" w:line="240" w:before="0" w:after="0"/>
        <w:ind w:firstLine="567"/>
        <w:jc w:val="both"/>
        <w:rPr/>
      </w:pPr>
      <w:r>
        <w:rPr>
          <w:rFonts w:cs="Times New Roman" w:ascii="Times New Roman" w:hAnsi="Times New Roman"/>
        </w:rPr>
        <w:t>4.2.3. Tiekėjas turi ir kitas šios Sutarties ir Lietuvos Respublikos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 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4.3.1. laiku priimti iš Tiekėjo tinkamai ir kokybiškai suteiktas Paslaugas ir laiku už jas atsiskaityti šioje Sutartyje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4.3.2. nedelsiant pranešti Tiekėjui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rPr>
        <w:t xml:space="preserve">4.3.3. patikrinti pašalinimo pagrindų nebuvimą ir atitikimą kvalifikacijos reikalavimams (jei tokie buvo keliami) šioje Sutartyje nustatyta tvarka keičiamų arba naujai pasitelkiamų subteikėjų;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4.3.4. Tiekėjui sudaryti visas sąlygas, suteikti informaciją ar dokumentus, būtinus Paslaugoms teikti;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pPr>
        <w:pStyle w:val="Normal"/>
        <w:spacing w:lineRule="auto" w:line="240" w:before="0" w:after="0"/>
        <w:ind w:firstLine="567"/>
        <w:jc w:val="both"/>
        <w:rPr/>
      </w:pPr>
      <w:r>
        <w:rPr>
          <w:rFonts w:cs="Times New Roman" w:ascii="Times New Roman" w:hAnsi="Times New Roman"/>
          <w:lang w:val="en-US"/>
        </w:rPr>
        <w:t>4.4.2</w:t>
      </w:r>
      <w:r>
        <w:rPr>
          <w:rFonts w:cs="Times New Roman" w:ascii="Times New Roman" w:hAnsi="Times New Roman"/>
        </w:rPr>
        <w:t>. Pirkėjas turi visas šios Sutarties bei Lietuvos Respublikos galiojančių teisės aktų numatytas teises.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 xml:space="preserve">V. SUTARTIES ĮVYKDYMO UŽTIKRINIMAS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highlight w:val="yellow"/>
        </w:rPr>
      </w:pPr>
      <w:r>
        <w:rPr>
          <w:rFonts w:cs="Times New Roman" w:ascii="Times New Roman" w:hAnsi="Times New Roman"/>
        </w:rPr>
        <w:t>5.1. Sutarties  tinkamas įvykdymas yra užtikrintas netesybomis – 9 277,41 Eur baud</w:t>
      </w:r>
      <w:r>
        <w:rPr>
          <w:rFonts w:cs="Times New Roman" w:ascii="Times New Roman" w:hAnsi="Times New Roman"/>
          <w:shd w:fill="auto" w:val="clear"/>
        </w:rPr>
        <w:t>a</w:t>
      </w:r>
      <w:r>
        <w:rPr>
          <w:rFonts w:cs="Times New Roman" w:ascii="Times New Roman" w:hAnsi="Times New Roman"/>
          <w:i/>
          <w:iCs/>
          <w:shd w:fill="auto" w:val="clear"/>
        </w:rPr>
        <w:t>.</w:t>
      </w:r>
    </w:p>
    <w:p>
      <w:pPr>
        <w:pStyle w:val="Normal"/>
        <w:spacing w:lineRule="auto" w:line="240" w:before="0" w:after="0"/>
        <w:ind w:firstLine="567"/>
        <w:jc w:val="both"/>
        <w:rPr/>
      </w:pPr>
      <w:r>
        <w:rPr>
          <w:rFonts w:cs="Times New Roman" w:ascii="Times New Roman" w:hAnsi="Times New Roman"/>
          <w:lang w:val="en-US"/>
        </w:rPr>
        <w:t>5.2.</w:t>
      </w:r>
      <w:r>
        <w:rPr>
          <w:rFonts w:cs="Times New Roman" w:ascii="Times New Roman" w:hAnsi="Times New Roman"/>
        </w:rPr>
        <w:t xml:space="preserve"> </w:t>
      </w:r>
      <w:r>
        <w:rPr>
          <w:rFonts w:cs="Times New Roman" w:ascii="Times New Roman" w:hAnsi="Times New Roman"/>
          <w:sz w:val="22"/>
          <w:szCs w:val="22"/>
        </w:rPr>
        <w:t>Sutarties įvykdymo užtikrinimu garantuojama, kad Pirkėjui bus atlyginti nuostoliai, atsiradę Tiekėjui dėl jo kaltės pažeidus Sutartį ir (ar) ją nutraukus.</w:t>
      </w:r>
    </w:p>
    <w:p>
      <w:pPr>
        <w:pStyle w:val="Normal"/>
        <w:spacing w:lineRule="auto" w:line="240" w:before="0" w:after="0"/>
        <w:ind w:firstLine="567"/>
        <w:jc w:val="both"/>
        <w:rPr/>
      </w:pPr>
      <w:r>
        <w:rPr>
          <w:rFonts w:cs="Times New Roman" w:ascii="Times New Roman" w:hAnsi="Times New Roman"/>
          <w:color w:val="000000"/>
          <w:shd w:fill="auto" w:val="clear"/>
          <w:lang w:val="lt-LT" w:eastAsia="en-US" w:bidi="ar-SA"/>
        </w:rPr>
        <w:t>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w:t>
      </w:r>
      <w:r>
        <w:rPr>
          <w:rFonts w:cs="Times New Roman" w:ascii="Times New Roman" w:hAnsi="Times New Roman"/>
          <w:color w:val="000000"/>
          <w:sz w:val="22"/>
          <w:szCs w:val="22"/>
          <w:shd w:fill="auto" w:val="clear"/>
          <w:lang w:val="lt-LT" w:eastAsia="en-US" w:bidi="ar-SA"/>
        </w:rPr>
        <w:t xml:space="preserve">ymo pateikia šį reikalavimą bei nurodo protingą terminą trūkumams pašalinti. </w:t>
      </w:r>
    </w:p>
    <w:p>
      <w:pPr>
        <w:pStyle w:val="Normal"/>
        <w:spacing w:lineRule="auto" w:line="240" w:before="0" w:after="0"/>
        <w:ind w:firstLine="567"/>
        <w:jc w:val="both"/>
        <w:rPr/>
      </w:pPr>
      <w:r>
        <w:rPr>
          <w:rFonts w:cs="Times New Roman" w:ascii="Times New Roman" w:hAnsi="Times New Roman"/>
          <w:color w:val="000000"/>
          <w:sz w:val="22"/>
          <w:szCs w:val="22"/>
          <w:shd w:fill="auto" w:val="clear"/>
          <w:lang w:val="lt-LT" w:eastAsia="en-US" w:bidi="ar-SA"/>
        </w:rPr>
        <w:t>5.4. Jei reikalavimas pateikiamas dėl Sutarties dalyko sudėtinės dalies, jame nurodoma konkreti Sutarties dalyko sudėtinė dalis pagal techninėje specifikacijoje (Sutarties 1 priedas) arba Tiekėjo Pasiūlyme (Sutarties 2 priedas) pateiktą paslaugų detalizavimą.</w:t>
      </w:r>
    </w:p>
    <w:p>
      <w:pPr>
        <w:pStyle w:val="Normal"/>
        <w:spacing w:lineRule="auto" w:line="240" w:before="0" w:after="0"/>
        <w:ind w:firstLine="567"/>
        <w:jc w:val="both"/>
        <w:rPr>
          <w:rFonts w:ascii="Times New Roman" w:hAnsi="Times New Roman"/>
          <w:color w:val="auto"/>
          <w:sz w:val="22"/>
          <w:szCs w:val="22"/>
        </w:rPr>
      </w:pPr>
      <w:bookmarkStart w:id="0" w:name="__DdeLink__8578_1766817876"/>
      <w:bookmarkStart w:id="1" w:name="__DdeLink__2926_6941793551"/>
      <w:bookmarkEnd w:id="0"/>
      <w:bookmarkEnd w:id="1"/>
      <w:r>
        <w:rPr>
          <w:rFonts w:cs="Times New Roman" w:ascii="Times New Roman" w:hAnsi="Times New Roman"/>
          <w:color w:val="000000"/>
          <w:sz w:val="22"/>
          <w:szCs w:val="22"/>
          <w:shd w:fill="auto" w:val="clear"/>
          <w:lang w:val="lt-LT" w:eastAsia="en-US" w:bidi="ar-SA"/>
        </w:rPr>
        <w:t xml:space="preserve">5.5. </w:t>
      </w:r>
      <w:r>
        <w:rPr>
          <w:rFonts w:eastAsia="Arial Unicode MS" w:cs="Calibri" w:ascii="Times New Roman" w:hAnsi="Times New Roman" w:cstheme="minorHAnsi"/>
          <w:color w:val="000000"/>
          <w:sz w:val="22"/>
          <w:szCs w:val="22"/>
          <w:shd w:fill="auto" w:val="clear"/>
          <w:lang w:val="lt-LT" w:eastAsia="en-US" w:bidi="ar-SA"/>
        </w:rPr>
        <w:t>Netesybų sumokėjimas nepanaikina Šalies</w:t>
      </w:r>
      <w:r>
        <w:rPr>
          <w:rFonts w:eastAsia="Arial Unicode MS" w:cs="Calibri" w:ascii="Times New Roman" w:hAnsi="Times New Roman" w:cstheme="minorHAnsi"/>
          <w:color w:val="auto"/>
          <w:sz w:val="22"/>
          <w:szCs w:val="22"/>
          <w:lang w:val="lt-LT" w:eastAsia="en-US" w:bidi="ar-SA"/>
        </w:rPr>
        <w:t xml:space="preserve"> teisės reikalauti, kad kita Šalis kompensuotų jos patirtus tiesioginius nuostolius. </w:t>
      </w:r>
      <w:r>
        <w:rPr>
          <w:rFonts w:cs="Calibri" w:ascii="Times New Roman" w:hAnsi="Times New Roman" w:cstheme="minorHAnsi"/>
          <w:color w:val="auto"/>
          <w:sz w:val="22"/>
          <w:szCs w:val="22"/>
          <w:lang w:val="lt-LT" w:eastAsia="en-US" w:bidi="ar-SA"/>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pPr>
        <w:pStyle w:val="Normal"/>
        <w:spacing w:lineRule="auto" w:line="240" w:before="0" w:after="0"/>
        <w:ind w:firstLine="567"/>
        <w:jc w:val="both"/>
        <w:rPr>
          <w:rFonts w:ascii="Times New Roman" w:hAnsi="Times New Roman"/>
          <w:color w:val="auto"/>
          <w:sz w:val="22"/>
          <w:szCs w:val="22"/>
        </w:rPr>
      </w:pPr>
      <w:r>
        <w:rPr>
          <w:rFonts w:cs="Calibri" w:ascii="Times New Roman" w:hAnsi="Times New Roman" w:cstheme="minorHAnsi"/>
          <w:color w:val="auto"/>
          <w:sz w:val="22"/>
          <w:szCs w:val="22"/>
          <w:lang w:val="lt-LT" w:eastAsia="en-US" w:bidi="ar-SA"/>
        </w:rPr>
        <w:t>5.5. Pirkėjas turi teisę netesybų</w:t>
      </w:r>
      <w:r>
        <w:rPr>
          <w:rFonts w:cs="Times New Roman" w:ascii="Times New Roman" w:hAnsi="Times New Roman"/>
          <w:b w:val="false"/>
          <w:i w:val="false"/>
          <w:caps w:val="false"/>
          <w:smallCaps w:val="false"/>
          <w:color w:val="auto"/>
          <w:spacing w:val="0"/>
          <w:sz w:val="22"/>
          <w:szCs w:val="22"/>
          <w:lang w:val="lt-LT" w:eastAsia="en-US" w:bidi="ar-SA"/>
        </w:rPr>
        <w:t xml:space="preserve"> sumą išskaičiuoti iš Tiekėjui pagal Sutartį mokėtinų sumų.</w:t>
      </w:r>
    </w:p>
    <w:p>
      <w:pPr>
        <w:pStyle w:val="Normal"/>
        <w:spacing w:lineRule="auto" w:line="240" w:before="0" w:after="0"/>
        <w:ind w:firstLine="567"/>
        <w:jc w:val="both"/>
        <w:rPr>
          <w:rFonts w:ascii="Times New Roman" w:hAnsi="Times New Roman"/>
          <w:color w:val="auto"/>
          <w:sz w:val="22"/>
          <w:szCs w:val="22"/>
        </w:rPr>
      </w:pPr>
      <w:r>
        <w:rPr>
          <w:rFonts w:cs="Times New Roman" w:ascii="Times New Roman" w:hAnsi="Times New Roman"/>
          <w:b w:val="false"/>
          <w:i w:val="false"/>
          <w:caps w:val="false"/>
          <w:smallCaps w:val="false"/>
          <w:color w:val="auto"/>
          <w:spacing w:val="0"/>
          <w:sz w:val="22"/>
          <w:szCs w:val="22"/>
          <w:lang w:val="lt-LT" w:eastAsia="en-US" w:bidi="ar-SA"/>
        </w:rPr>
        <w:t>5.6. kai Sutartis nutraukiama 13.4.2 papunktyje nustatyta tvarka, Tiekėjui netesybos netaikomos.</w:t>
      </w:r>
    </w:p>
    <w:p>
      <w:pPr>
        <w:pStyle w:val="Normal"/>
        <w:spacing w:lineRule="auto" w:line="240" w:before="0" w:after="0"/>
        <w:ind w:firstLine="567"/>
        <w:jc w:val="both"/>
        <w:rPr>
          <w:rFonts w:eastAsia="Times New Roman"/>
          <w:sz w:val="22"/>
        </w:rPr>
      </w:pPr>
      <w:r>
        <w:rPr>
          <w:rFonts w:eastAsia="Times New Roman"/>
          <w:sz w:val="22"/>
        </w:rPr>
      </w:r>
    </w:p>
    <w:p>
      <w:pPr>
        <w:pStyle w:val="Normal"/>
        <w:spacing w:lineRule="auto" w:line="240" w:before="0" w:after="0"/>
        <w:ind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 KONFIDENCIALUMO ĮSIPAREIGOJIMAI, DUOMENŲ APSAUGA IR INTELEKTINĖS NUOSAVYBĖS TEISĖS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pPr>
      <w:r>
        <w:rPr>
          <w:rFonts w:cs="Times New Roman" w:ascii="Times New Roman" w:hAnsi="Times New Roman"/>
        </w:rPr>
        <w:t>6.2. Konfidencialumo įsipareigojimai Sutarties Šalims nustatomi vadovaujantis Lietuvos Respublikos viešųjų pirkimų įstatymo 20 straipsniu.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VII.</w:t>
        <w:tab/>
        <w:t>SUBTEIKĖJŲ KEITIMO PAGRINDAI IR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pPr>
        <w:pStyle w:val="Normal"/>
        <w:spacing w:lineRule="auto" w:line="240" w:before="0" w:after="0"/>
        <w:ind w:firstLine="567"/>
        <w:jc w:val="both"/>
        <w:rPr>
          <w:lang w:val="lt-LT" w:eastAsia="en-US"/>
        </w:rPr>
      </w:pPr>
      <w:r>
        <w:rPr>
          <w:rFonts w:cs="Times New Roman" w:ascii="Times New Roman" w:hAnsi="Times New Roman"/>
          <w:lang w:val="lt-LT" w:eastAsia="en-US"/>
        </w:rPr>
        <w:t xml:space="preserve">7.2. Tiekėjas gali keisti Sutartyje nurodytus subtiekėjus tik prieš tai raštu pranešęs Pirkėjui apie tokio keitimo būtinybę ir gavęs jo rašytinį sutikimą. </w:t>
      </w:r>
      <w:r>
        <w:rPr>
          <w:rFonts w:cs="Times New Roman" w:ascii="Times New Roman" w:hAnsi="Times New Roman"/>
          <w:color w:val="000000"/>
          <w:lang w:val="lt-LT" w:eastAsia="en-US"/>
        </w:rPr>
        <w:t>Subteikėjas gali būti keičiamas tik šiais atvejais:</w:t>
      </w:r>
    </w:p>
    <w:p>
      <w:pPr>
        <w:pStyle w:val="Normal"/>
        <w:spacing w:lineRule="auto" w:line="240" w:before="0" w:after="0"/>
        <w:ind w:firstLine="567"/>
        <w:jc w:val="both"/>
        <w:rPr>
          <w:lang w:val="lt-LT" w:eastAsia="en-US"/>
        </w:rPr>
      </w:pPr>
      <w:r>
        <w:rPr>
          <w:rFonts w:cs="Times New Roman" w:ascii="Times New Roman" w:hAnsi="Times New Roman"/>
          <w:color w:val="000000"/>
          <w:lang w:val="lt-LT" w:eastAsia="en-US"/>
        </w:rPr>
        <w:t>7.2.1. kai subteikėjas bankrutuoja, yra likviduojamas ar susidaro analogiška situacija;</w:t>
      </w:r>
    </w:p>
    <w:p>
      <w:pPr>
        <w:pStyle w:val="Normal"/>
        <w:spacing w:lineRule="auto" w:line="240" w:before="0" w:after="0"/>
        <w:ind w:firstLine="567"/>
        <w:jc w:val="both"/>
        <w:rPr>
          <w:lang w:val="lt-LT" w:eastAsia="en-US"/>
        </w:rPr>
      </w:pPr>
      <w:r>
        <w:rPr>
          <w:rFonts w:cs="Times New Roman" w:ascii="Times New Roman" w:hAnsi="Times New Roman"/>
          <w:color w:val="000000"/>
          <w:lang w:val="lt-LT" w:eastAsia="en-US"/>
        </w:rPr>
        <w:t>7.2.1. kai subteikėjas dėl objektyvių priežasčių (nutrūkus teisiniams santykiams su tiekėju, subteikėjui  atsisakius teikti Paslaugas, išėjus atostogų, susirgus, susižeidus, mirus ir pan.) nebegali suteikti visų ar dalies Sutartyje nurodytų Paslaugų.</w:t>
      </w:r>
    </w:p>
    <w:p>
      <w:pPr>
        <w:pStyle w:val="Normal"/>
        <w:spacing w:lineRule="auto" w:line="240" w:before="0" w:after="0"/>
        <w:ind w:firstLine="567"/>
        <w:jc w:val="both"/>
        <w:rPr>
          <w:lang w:val="lt-LT" w:eastAsia="en-US"/>
        </w:rPr>
      </w:pPr>
      <w:r>
        <w:rPr>
          <w:rFonts w:cs="Times New Roman" w:ascii="Times New Roman" w:hAnsi="Times New Roman"/>
          <w:lang w:val="lt-LT" w:eastAsia="en-US"/>
        </w:rPr>
        <w:t>7.3. Tiekėjas Sutarties vykdymo metu gali inicijuoti subtiekėjo, numatyto Sutarties  priede, pakeitimą, prieš tai raštu informavus Pirkėją nurodydamas tokio keitimo motyvus.</w:t>
      </w:r>
    </w:p>
    <w:p>
      <w:pPr>
        <w:pStyle w:val="Normal"/>
        <w:spacing w:lineRule="auto" w:line="240" w:before="0" w:after="0"/>
        <w:ind w:firstLine="567"/>
        <w:jc w:val="both"/>
        <w:rPr>
          <w:lang w:val="lt-LT" w:eastAsia="en-US"/>
        </w:rPr>
      </w:pPr>
      <w:r>
        <w:rPr>
          <w:rFonts w:cs="Times New Roman" w:ascii="Times New Roman" w:hAnsi="Times New Roman"/>
          <w:lang w:val="lt-LT" w:eastAsia="en-US"/>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pPr>
        <w:pStyle w:val="Normal"/>
        <w:spacing w:lineRule="auto" w:line="240" w:before="0" w:after="0"/>
        <w:ind w:firstLine="567"/>
        <w:jc w:val="both"/>
        <w:rPr>
          <w:lang w:val="lt-LT" w:eastAsia="en-US"/>
        </w:rPr>
      </w:pPr>
      <w:r>
        <w:rPr>
          <w:rFonts w:cs="Times New Roman" w:ascii="Times New Roman" w:hAnsi="Times New Roman"/>
          <w:lang w:val="lt-LT" w:eastAsia="en-US"/>
        </w:rPr>
        <w:t xml:space="preserve">7.5. </w:t>
      </w:r>
      <w:r>
        <w:rPr>
          <w:rFonts w:eastAsia="Arial Unicode MS" w:cs="Calibri" w:ascii="Times New Roman" w:hAnsi="Times New Roman"/>
          <w:lang w:val="lt-LT" w:eastAsia="en-US"/>
        </w:rPr>
        <w:t xml:space="preserve">Tiekėjas </w:t>
      </w:r>
      <w:r>
        <w:rPr>
          <w:rFonts w:cs="Calibri" w:ascii="Times New Roman" w:hAnsi="Times New Roman"/>
          <w:szCs w:val="24"/>
          <w:lang w:val="lt-LT" w:eastAsia="en-US" w:bidi="lo-LA"/>
        </w:rPr>
        <w:t>atsako už visus pagal Sutartį prisiimtus įsipareigojimus, nepaisant to, ar jiems vykdyti bus pasitelkiami subtiekėjai</w:t>
      </w:r>
      <w:r>
        <w:rPr>
          <w:rFonts w:eastAsia="Arial Unicode MS" w:cs="Calibri" w:ascii="Times New Roman" w:hAnsi="Times New Roman"/>
          <w:lang w:val="lt-LT" w:eastAsia="en-US"/>
        </w:rPr>
        <w:t>.</w:t>
      </w:r>
    </w:p>
    <w:p>
      <w:pPr>
        <w:pStyle w:val="Normal"/>
        <w:spacing w:lineRule="auto" w:line="240" w:before="0" w:after="0"/>
        <w:ind w:firstLine="567"/>
        <w:jc w:val="both"/>
        <w:rPr>
          <w:lang w:val="lt-LT" w:eastAsia="en-US"/>
        </w:rPr>
      </w:pPr>
      <w:r>
        <w:rPr>
          <w:rFonts w:cs="Times New Roman" w:ascii="Times New Roman" w:hAnsi="Times New Roman"/>
          <w:lang w:val="lt-LT" w:eastAsia="en-US"/>
        </w:rPr>
        <w:t>7.6. Pirkėjui sutikus su subtiekėjo pakeitimu, Pirkėjas kartu su Tiekėju raštu sudaro susitarimą dėl subtiekėjo pakeitimo, šį susitarimą pasirašo Šalys. Susitarimas yra neatskiriama Sutarties dalis.</w:t>
      </w:r>
    </w:p>
    <w:p>
      <w:pPr>
        <w:pStyle w:val="Normal"/>
        <w:spacing w:lineRule="auto" w:line="240" w:before="0" w:after="0"/>
        <w:ind w:firstLine="567"/>
        <w:jc w:val="both"/>
        <w:rPr>
          <w:lang w:val="lt-LT" w:eastAsia="en-US"/>
        </w:rPr>
      </w:pPr>
      <w:r>
        <w:rPr>
          <w:rFonts w:cs="Times New Roman" w:ascii="Times New Roman" w:hAnsi="Times New Roman"/>
          <w:lang w:val="lt-LT" w:eastAsia="en-US"/>
        </w:rPr>
        <w:t>7.7. Subtiekėjo keitimo tvarkos, numatytos Sutarties 7.6. papunktyje, pažeidimas laikomas esminiu Sutarties pažeidimu.</w:t>
      </w:r>
    </w:p>
    <w:p>
      <w:pPr>
        <w:pStyle w:val="Normal"/>
        <w:spacing w:lineRule="auto" w:line="240" w:before="0" w:after="0"/>
        <w:jc w:val="center"/>
        <w:rPr>
          <w:lang w:val="lt-LT" w:eastAsia="en-US"/>
        </w:rPr>
      </w:pPr>
      <w:bookmarkStart w:id="2" w:name="__DdeLink__1252_1770242583"/>
      <w:r>
        <w:rPr>
          <w:rFonts w:cs="Times New Roman" w:ascii="Times New Roman" w:hAnsi="Times New Roman"/>
          <w:b/>
          <w:lang w:val="lt-LT" w:eastAsia="en-US"/>
        </w:rPr>
        <w:t>VIII. ŠALIŲ ATSAKOMYBĖ</w:t>
      </w:r>
    </w:p>
    <w:p>
      <w:pPr>
        <w:pStyle w:val="Normal"/>
        <w:spacing w:lineRule="auto" w:line="240" w:before="0" w:after="0"/>
        <w:ind w:firstLine="567"/>
        <w:jc w:val="both"/>
        <w:rPr>
          <w:rFonts w:ascii="Times New Roman" w:hAnsi="Times New Roman" w:cs="Times New Roman"/>
          <w:lang w:val="lt-LT" w:eastAsia="en-US"/>
        </w:rPr>
      </w:pPr>
      <w:r>
        <w:rPr>
          <w:rFonts w:cs="Times New Roman" w:ascii="Times New Roman" w:hAnsi="Times New Roman"/>
          <w:lang w:val="lt-LT" w:eastAsia="en-US"/>
        </w:rPr>
      </w:r>
    </w:p>
    <w:p>
      <w:pPr>
        <w:pStyle w:val="Normal"/>
        <w:spacing w:lineRule="auto" w:line="240" w:before="0" w:after="0"/>
        <w:ind w:firstLine="567"/>
        <w:jc w:val="both"/>
        <w:rPr>
          <w:lang w:val="lt-LT" w:eastAsia="en-US"/>
        </w:rPr>
      </w:pPr>
      <w:r>
        <w:rPr>
          <w:rFonts w:cs="Times New Roman" w:ascii="Times New Roman" w:hAnsi="Times New Roman"/>
          <w:lang w:val="lt-LT" w:eastAsia="en-US"/>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lang w:val="lt-LT" w:eastAsia="en-US"/>
        </w:rPr>
      </w:pPr>
      <w:r>
        <w:rPr>
          <w:rFonts w:cs="Times New Roman" w:ascii="Times New Roman" w:hAnsi="Times New Roman"/>
          <w:lang w:val="lt-LT" w:eastAsia="en-US"/>
        </w:rPr>
        <w:t>8.2.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lang w:val="lt-LT" w:eastAsia="en-US"/>
        </w:rPr>
      </w:pPr>
      <w:r>
        <w:rPr>
          <w:rFonts w:cs="Times New Roman" w:ascii="Times New Roman" w:hAnsi="Times New Roman"/>
          <w:lang w:val="lt-LT" w:eastAsia="en-US"/>
        </w:rPr>
        <w:t xml:space="preserve">8.3. Jei Tiekėjas vėluoja vykdyti savo įsipareigojimus šioje Sutartyje ir jos prieduose nustatytais terminais, Pirkėjas be oficialaus įspėjimo ir nesumažindamas kitų savo teisių gynimo būdų </w:t>
      </w:r>
      <w:r>
        <w:rPr>
          <w:rFonts w:eastAsia="Calibri" w:cs="Times New Roman" w:ascii="Times New Roman" w:hAnsi="Times New Roman"/>
          <w:color w:val="00000A"/>
          <w:kern w:val="0"/>
          <w:sz w:val="22"/>
          <w:szCs w:val="22"/>
          <w:lang w:val="lt-LT" w:eastAsia="en-US" w:bidi="ar-SA"/>
        </w:rPr>
        <w:t>gali pradėti</w:t>
      </w:r>
      <w:r>
        <w:rPr>
          <w:rFonts w:cs="Times New Roman" w:ascii="Times New Roman" w:hAnsi="Times New Roman"/>
          <w:lang w:val="lt-LT" w:eastAsia="en-US"/>
        </w:rPr>
        <w:t xml:space="preserve"> skaičiuoti 0,03 proc. dydžio delspinigius nuo Tiekėjo laiku neįvykdytų įsipareigojimų dalies už kiekvieną termino praleidimo dieną, neviršijant 180 kalendorinių dienų</w:t>
      </w:r>
      <w:bookmarkEnd w:id="2"/>
      <w:r>
        <w:rPr>
          <w:rFonts w:cs="Times New Roman" w:ascii="Times New Roman" w:hAnsi="Times New Roman"/>
          <w:lang w:val="lt-LT" w:eastAsia="en-US"/>
        </w:rPr>
        <w:t xml:space="preserve"> termino.</w:t>
      </w:r>
    </w:p>
    <w:p>
      <w:pPr>
        <w:pStyle w:val="Normal"/>
        <w:spacing w:lineRule="auto" w:line="240" w:before="0" w:after="0"/>
        <w:ind w:firstLine="567"/>
        <w:jc w:val="both"/>
        <w:rPr>
          <w:lang w:val="lt-LT" w:eastAsia="en-US"/>
        </w:rPr>
      </w:pPr>
      <w:r>
        <w:rPr>
          <w:rFonts w:cs="Times New Roman" w:ascii="Times New Roman" w:hAnsi="Times New Roman"/>
          <w:lang w:val="lt-LT" w:eastAsia="en-US"/>
        </w:rPr>
        <w:t>8.4. Jei Tiekėjas vėluoja vykdyti savo įsipareigojimus, Pirkėjas, prieš tai raštu įspėjęs Tiekėją:</w:t>
      </w:r>
    </w:p>
    <w:p>
      <w:pPr>
        <w:pStyle w:val="Normal"/>
        <w:spacing w:lineRule="auto" w:line="240" w:before="0" w:after="0"/>
        <w:ind w:firstLine="567"/>
        <w:jc w:val="both"/>
        <w:rPr>
          <w:lang w:val="lt-LT" w:eastAsia="en-US"/>
        </w:rPr>
      </w:pPr>
      <w:r>
        <w:rPr>
          <w:rFonts w:cs="Times New Roman" w:ascii="Times New Roman" w:hAnsi="Times New Roman"/>
          <w:lang w:val="lt-LT" w:eastAsia="en-US"/>
        </w:rPr>
        <w:t>8.4.1. išskaičiuoja delspinigių sumą iš Tiekėjui mokėtinų sumų arba;</w:t>
      </w:r>
    </w:p>
    <w:p>
      <w:pPr>
        <w:pStyle w:val="Normal"/>
        <w:spacing w:lineRule="auto" w:line="240" w:before="0" w:after="0"/>
        <w:ind w:firstLine="567"/>
        <w:jc w:val="both"/>
        <w:rPr>
          <w:lang w:val="lt-LT" w:eastAsia="en-US"/>
        </w:rPr>
      </w:pPr>
      <w:r>
        <w:rPr>
          <w:rFonts w:cs="Times New Roman" w:ascii="Times New Roman" w:hAnsi="Times New Roman"/>
          <w:lang w:val="lt-LT" w:eastAsia="en-US"/>
        </w:rPr>
        <w:t>8.4.2. reikalauja sumokėti baudą ir (arba);</w:t>
      </w:r>
    </w:p>
    <w:p>
      <w:pPr>
        <w:pStyle w:val="Normal"/>
        <w:spacing w:lineRule="auto" w:line="240" w:before="0" w:after="0"/>
        <w:ind w:firstLine="567"/>
        <w:jc w:val="both"/>
        <w:rPr>
          <w:lang w:val="lt-LT" w:eastAsia="en-US"/>
        </w:rPr>
      </w:pPr>
      <w:r>
        <w:rPr>
          <w:rFonts w:cs="Times New Roman" w:ascii="Times New Roman" w:hAnsi="Times New Roman"/>
          <w:lang w:val="lt-LT" w:eastAsia="en-US"/>
        </w:rPr>
        <w:t>8.4.3. nutraukia Sutartį.</w:t>
      </w:r>
    </w:p>
    <w:p>
      <w:pPr>
        <w:pStyle w:val="Normal"/>
        <w:spacing w:lineRule="auto" w:line="240" w:before="0" w:after="0"/>
        <w:ind w:firstLine="567"/>
        <w:jc w:val="both"/>
        <w:rPr>
          <w:lang w:val="lt-LT" w:eastAsia="en-US"/>
        </w:rPr>
      </w:pPr>
      <w:r>
        <w:rPr>
          <w:rFonts w:cs="Times New Roman" w:ascii="Times New Roman" w:hAnsi="Times New Roman"/>
          <w:lang w:val="lt-LT" w:eastAsia="en-US"/>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IX. NENUGALIMOS JĖGOS APLINKYBĖS (FORCE MAJEURE)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pPr>
      <w:r>
        <w:rPr>
          <w:rFonts w:cs="Times New Roman" w:ascii="Times New Roman" w:hAnsi="Times New Roman"/>
        </w:rPr>
        <w:t xml:space="preserve">9.2. Nenugalimos jėgos aplinkybėmis laikomos aplinkybės, nurodytos Lietuvos Respublikos civilinio kodekso 6.212 str. ir kituose </w:t>
      </w:r>
      <w:r>
        <w:rPr>
          <w:rFonts w:cs="Times New Roman" w:ascii="Times New Roman" w:hAnsi="Times New Roman"/>
          <w:lang w:val="lt-LT" w:eastAsia="en-US" w:bidi="ar-SA"/>
        </w:rPr>
        <w:t>Lietuvos Respublikos</w:t>
      </w:r>
      <w:r>
        <w:rPr>
          <w:rFonts w:cs="Times New Roman" w:ascii="Times New Roman" w:hAnsi="Times New Roman"/>
        </w:rPr>
        <w:t xml:space="preserve"> teisės aktuose. Esant nenugalimos jėgos aplinkybėms, Šalys </w:t>
      </w:r>
      <w:r>
        <w:rPr>
          <w:rFonts w:cs="Times New Roman" w:ascii="Times New Roman" w:hAnsi="Times New Roman"/>
          <w:lang w:val="lt-LT" w:eastAsia="en-US" w:bidi="ar-SA"/>
        </w:rPr>
        <w:t>Lietuvos Respublikos</w:t>
      </w:r>
      <w:r>
        <w:rPr>
          <w:rFonts w:cs="Times New Roman" w:ascii="Times New Roman" w:hAnsi="Times New Roman"/>
        </w:rPr>
        <w:t xml:space="preserve">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 SUTARTIES PAKEITIMAI, PERŽIŪROS SĄLYGOS, PASIRINKIMO GALIMYBĖS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10.1. Sutarties sąlygos Sutarties galiojimo laikotarpiu gali būti keičiamos Viešųjų pirkimų įstatymo 89 straipsnyje nustatyta tvarka.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10.2. Sudarytos Sutarties Šalis gali būti pakeista Viešųjų pirkimų įstatymo 89 straipsnio 1 dalies 4 punkte numatytais atvejais.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10.3.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10.4.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 SUTARTIES VYKDYMO SUSTABDYMAS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11.5. Tais atvejais, kai sutarties vykdymas sustabdomas likus iki sutarties termino pabaigos daugiau laiko, nei galimas sustabdymo terminas, Paslaugų ar jų dalies suteikimo terminas pratęsimas tokiam laikotarpiui, kuriam jis buvo sustabdytas.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11.7. Sutartinių įsipareigojimų vykdymo sustabdymas visais Sutartyje numatytais atvejais turi būti raštiškas, nurodant priežastis ir sustabdymo terminą, bei pridedant dokumentus, patvirtinančius sustabdymo pagrindą (jeigu tokie yra).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XII. SUTARTIES PAŽEIDIMAS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12.2.2. reikalauti atlyginti nuostolius;</w:t>
      </w:r>
    </w:p>
    <w:p>
      <w:pPr>
        <w:pStyle w:val="Normal"/>
        <w:spacing w:lineRule="auto" w:line="240" w:before="0" w:after="0"/>
        <w:ind w:firstLine="567"/>
        <w:jc w:val="both"/>
        <w:rPr/>
      </w:pPr>
      <w:r>
        <w:rPr>
          <w:rFonts w:cs="Times New Roman" w:ascii="Times New Roman" w:hAnsi="Times New Roman"/>
        </w:rPr>
        <w:t>12.2.3. reikalauti sumokėti S</w:t>
      </w:r>
      <w:r>
        <w:rPr>
          <w:rFonts w:cs="Times New Roman" w:ascii="Times New Roman" w:hAnsi="Times New Roman"/>
          <w:shd w:fill="auto" w:val="clear"/>
        </w:rPr>
        <w:t xml:space="preserve">utarties </w:t>
      </w:r>
      <w:r>
        <w:rPr>
          <w:rFonts w:cs="Times New Roman" w:ascii="Times New Roman" w:hAnsi="Times New Roman"/>
          <w:shd w:fill="auto" w:val="clear"/>
          <w:lang w:val="en-US"/>
        </w:rPr>
        <w:t>8</w:t>
      </w:r>
      <w:r>
        <w:rPr>
          <w:rFonts w:cs="Times New Roman" w:ascii="Times New Roman" w:hAnsi="Times New Roman"/>
          <w:shd w:fill="auto" w:val="clear"/>
        </w:rPr>
        <w:t xml:space="preserve">.2 ir </w:t>
      </w:r>
      <w:r>
        <w:rPr>
          <w:rFonts w:cs="Times New Roman" w:ascii="Times New Roman" w:hAnsi="Times New Roman"/>
          <w:shd w:fill="auto" w:val="clear"/>
          <w:lang w:val="en-US"/>
        </w:rPr>
        <w:t>8</w:t>
      </w:r>
      <w:r>
        <w:rPr>
          <w:rFonts w:cs="Times New Roman" w:ascii="Times New Roman" w:hAnsi="Times New Roman"/>
          <w:shd w:fill="auto" w:val="clear"/>
        </w:rPr>
        <w:t>.3 punktuose</w:t>
      </w:r>
      <w:r>
        <w:rPr>
          <w:rFonts w:cs="Times New Roman" w:ascii="Times New Roman" w:hAnsi="Times New Roman"/>
        </w:rPr>
        <w:t xml:space="preserve"> nustatytus delspinigius;</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12.2.4. reikalauti sumokėti Sutarties V skyriuje nustatytą baudą (šią teisę turi tik Pirkėjas);</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12.2.5. nutraukti Sutartį;</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12.2.6. taikyti kitus Lietuvos Respublikos teisės aktų nustatytus teisių gynimo būdus.</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12.3. Tiekėjas negali perleisti visų ar dalies savo įsipareigojimų pagal šią Sutartį be išankstinio raštiško Pirkėjo sutikimo.</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12.4. Tiekėjas turi nedelsdamas pranešti Pirkėjui apie bet kokius esminius Tiekėjo planuojamus teisinio statuso pasikeitimus, patvirtindamas, kad prielaidos, būtinos Sutarčiai vykdyti, nenustojo galioti.</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12.5. Šioje Sutartyje esminėmis sąlygomis laikoma:</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12.5.1. Sutarties dalykas;</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12.5.2. Sutarties įkainiai ir kainodaros taisyklės;</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12.5.3. apmokėjimo sąlygos ir tvarka;</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12.5.4. Paslaugų suteikimo terminas (-ai);</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12.5.5. subteikėjo (-ų),  keitimo tvarka;</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12.5.6. paslaugų kokybės atitikimas Sutartyje ir jos prieduose nustatytiems reikalavimams;</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12.5.7. kitos sąlygos, kurias Pirkėjas nusimato kaip esmines.</w:t>
      </w:r>
    </w:p>
    <w:p>
      <w:pPr>
        <w:pStyle w:val="Normal"/>
        <w:spacing w:lineRule="auto" w:line="240" w:before="0" w:after="0"/>
        <w:ind w:firstLine="567"/>
        <w:jc w:val="both"/>
        <w:rPr>
          <w:rFonts w:ascii="Times New Roman" w:hAnsi="Times New Roman" w:cs="Times New Roman"/>
          <w:b/>
          <w:b/>
          <w:lang w:val="lt-LT" w:eastAsia="en-US" w:bidi="ar-SA"/>
        </w:rPr>
      </w:pPr>
      <w:r>
        <w:rPr>
          <w:rFonts w:cs="Times New Roman" w:ascii="Times New Roman" w:hAnsi="Times New Roman"/>
          <w:b/>
          <w:lang w:val="lt-LT" w:eastAsia="en-US" w:bidi="ar-SA"/>
        </w:rPr>
      </w:r>
    </w:p>
    <w:p>
      <w:pPr>
        <w:pStyle w:val="Normal"/>
        <w:spacing w:lineRule="auto" w:line="240" w:before="0" w:after="0"/>
        <w:ind w:firstLine="567"/>
        <w:jc w:val="center"/>
        <w:rPr>
          <w:lang w:val="lt-LT" w:eastAsia="en-US" w:bidi="ar-SA"/>
        </w:rPr>
      </w:pPr>
      <w:r>
        <w:rPr>
          <w:rFonts w:cs="Times New Roman" w:ascii="Times New Roman" w:hAnsi="Times New Roman"/>
          <w:b/>
          <w:lang w:val="lt-LT" w:eastAsia="en-US" w:bidi="ar-SA"/>
        </w:rPr>
        <w:t>XIII. SUTARTIES GALIOJIMAS IR NUTRAUKIMAS</w:t>
      </w:r>
    </w:p>
    <w:p>
      <w:pPr>
        <w:pStyle w:val="Normal"/>
        <w:spacing w:lineRule="auto" w:line="240" w:before="0" w:after="0"/>
        <w:ind w:firstLine="567"/>
        <w:jc w:val="both"/>
        <w:rPr>
          <w:rFonts w:ascii="Times New Roman" w:hAnsi="Times New Roman" w:cs="Times New Roman"/>
          <w:b/>
          <w:b/>
          <w:lang w:val="lt-LT" w:eastAsia="en-US" w:bidi="ar-SA"/>
        </w:rPr>
      </w:pPr>
      <w:r>
        <w:rPr>
          <w:rFonts w:cs="Times New Roman" w:ascii="Times New Roman" w:hAnsi="Times New Roman"/>
          <w:b/>
          <w:lang w:val="lt-LT" w:eastAsia="en-US" w:bidi="ar-SA"/>
        </w:rPr>
      </w:r>
    </w:p>
    <w:p>
      <w:pPr>
        <w:pStyle w:val="Normal"/>
        <w:spacing w:lineRule="auto" w:line="240" w:before="0" w:after="0"/>
        <w:ind w:firstLine="567"/>
        <w:jc w:val="both"/>
        <w:rPr/>
      </w:pPr>
      <w:r>
        <w:rPr>
          <w:rFonts w:cs="Times New Roman" w:ascii="Times New Roman" w:hAnsi="Times New Roman"/>
          <w:lang w:val="lt-LT" w:eastAsia="en-US" w:bidi="ar-SA"/>
        </w:rPr>
        <w:t>13.1. Sutartis pradedama vykdyti 2021 m. rugpjūčio 16 d. ir galioja iki visiško Šalių įsipareigojimų įvykdymo, arba iki kol bus pasiekta maksimali sutarties kaina, tačiau ne ilgiau kaip 37 mėnesius įskaitant apmokėjimo terminą. Paslaugos pagal šią Sutartį teikiamos nuo 2021 m. rugpjūčio 16 d. iki 2024 m. rugpjūčio 15 d.</w:t>
      </w:r>
    </w:p>
    <w:p>
      <w:pPr>
        <w:pStyle w:val="Normal"/>
        <w:spacing w:lineRule="auto" w:line="240" w:before="0" w:after="0"/>
        <w:ind w:firstLine="567"/>
        <w:jc w:val="both"/>
        <w:rPr/>
      </w:pPr>
      <w:r>
        <w:rPr>
          <w:rFonts w:cs="Times New Roman" w:ascii="Times New Roman" w:hAnsi="Times New Roman"/>
          <w:lang w:val="lt-LT" w:eastAsia="en-US" w:bidi="ar-SA"/>
        </w:rPr>
        <w:t xml:space="preserve">13.2. Sutartis gali būti nutraukiama Viešųjų pirkimų įstatymo 90 straipsnyje numatytais atvejais arba </w:t>
      </w:r>
      <w:r>
        <w:rPr>
          <w:rFonts w:cs="Times New Roman" w:ascii="Times New Roman" w:hAnsi="Times New Roman"/>
        </w:rPr>
        <w:t xml:space="preserve">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 Pirkėjas, raštu įspėjęs Tiekėją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13.3.1. kai Tiekėjas nevykdo savo sutartinių įsipareigojimų;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13.3.2. kai Tiekėjas suteikia netinkamos kokybės Paslaugas ir per pagrįstai nustatytą laikotarpį neįvykdo Pirkėjo nurodymo ištaisyti netinkamai įvykdytus arba neįvykdytus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13.3.3. kai Tiekėjas perleidžia Sutartį be Pirkėjo žinios;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pPr>
      <w:r>
        <w:rPr>
          <w:rFonts w:cs="Times New Roman" w:ascii="Times New Roman" w:hAnsi="Times New Roman"/>
        </w:rPr>
        <w:t>13.3.6. kai Pirkėjas šios Sutarties vykdymui negauna finansavimo;</w:t>
      </w:r>
    </w:p>
    <w:p>
      <w:pPr>
        <w:pStyle w:val="Normal"/>
        <w:spacing w:lineRule="auto" w:line="240" w:before="0" w:after="0"/>
        <w:ind w:firstLine="567"/>
        <w:jc w:val="both"/>
        <w:rPr/>
      </w:pPr>
      <w:r>
        <w:rPr>
          <w:rFonts w:cs="Times New Roman" w:ascii="Times New Roman" w:hAnsi="Times New Roman"/>
          <w:lang w:val="en-US"/>
        </w:rPr>
        <w:t>13.3.7.</w:t>
      </w:r>
      <w:r>
        <w:rPr>
          <w:rFonts w:cs="Times New Roman" w:ascii="Times New Roman" w:hAnsi="Times New Roman"/>
        </w:rPr>
        <w:t xml:space="preserve"> kai Paslaugos tampa nebereikalingos.</w:t>
      </w:r>
    </w:p>
    <w:p>
      <w:pPr>
        <w:pStyle w:val="Normal"/>
        <w:spacing w:lineRule="auto" w:line="240" w:before="0" w:after="0"/>
        <w:ind w:firstLine="567"/>
        <w:jc w:val="both"/>
        <w:rPr/>
      </w:pPr>
      <w:r>
        <w:rPr>
          <w:rFonts w:cs="Times New Roman" w:ascii="Times New Roman" w:hAnsi="Times New Roman"/>
        </w:rPr>
        <w:t>13.4. Tiekėjas, prieš 60 (šešiasdešimt) kalendorinių dienų raštu įspėjęs Pirkėją, gali nutraukti Sutartį, jei:</w:t>
      </w:r>
    </w:p>
    <w:p>
      <w:pPr>
        <w:pStyle w:val="Normal"/>
        <w:spacing w:lineRule="auto" w:line="240" w:before="0" w:after="0"/>
        <w:ind w:firstLine="567"/>
        <w:jc w:val="both"/>
        <w:rPr/>
      </w:pPr>
      <w:r>
        <w:rPr>
          <w:rFonts w:cs="Times New Roman" w:ascii="Times New Roman" w:hAnsi="Times New Roman"/>
        </w:rPr>
        <w:t>13.4.1. Pirkėjas dėl savo kaltės nevykdo savo sutartinių įsipareigojimų;</w:t>
      </w:r>
    </w:p>
    <w:p>
      <w:pPr>
        <w:pStyle w:val="Normal"/>
        <w:spacing w:lineRule="auto" w:line="240" w:before="0" w:after="0"/>
        <w:ind w:firstLine="567"/>
        <w:jc w:val="both"/>
        <w:rPr/>
      </w:pPr>
      <w:r>
        <w:rPr>
          <w:rFonts w:cs="Times New Roman" w:ascii="Times New Roman" w:hAnsi="Times New Roman"/>
        </w:rPr>
        <w:t>13.4.2. nusprendžia praėjus lygiai 24 mėnesiams nuo Paslaugų teikimo pradžios daugiau Paslaugų nebeteikti ir nutraukti Sutartį.</w:t>
      </w:r>
    </w:p>
    <w:p>
      <w:pPr>
        <w:pStyle w:val="Normal"/>
        <w:spacing w:lineRule="auto" w:line="240" w:before="0" w:after="0"/>
        <w:ind w:firstLine="567"/>
        <w:jc w:val="both"/>
        <w:rPr/>
      </w:pPr>
      <w:r>
        <w:rPr>
          <w:rFonts w:cs="Times New Roman" w:ascii="Times New Roman" w:hAnsi="Times New Roman"/>
        </w:rPr>
        <w:t xml:space="preserve">13.5. </w:t>
      </w:r>
      <w:r>
        <w:rPr>
          <w:rFonts w:eastAsia="Times New Roman" w:cs="Times New Roman" w:ascii="Times New Roman" w:hAnsi="Times New Roman"/>
          <w:sz w:val="22"/>
        </w:rPr>
        <w:t>Nustatytas Sutarties 13.3 papunktyje 14 kalendorinių dienų terminas yra bendrasis. Jei Tiekėjas nustatytu laiku iš viso nesuteikia maitinimo paslaugų (nepristato tinkamai paruoštų pusryčių, arba pietų, arba vakarienės, arba sauso davinio), Pirkėjas šiuo išimtiniu atveju įgyja teisę vienašališkai nutraukti Sutartį nesilaikydamas Sutarties 13.3 papunktyje nustatyto bendrojo termino ir pasinaudoti sutarties įvykdymo užtikrinimu. Šiuo atveju Pirkėjas įgyja teisę nedelsdamas naudotis kitų tiekėjų paslaugomis.</w:t>
      </w:r>
    </w:p>
    <w:p>
      <w:pPr>
        <w:pStyle w:val="Normal"/>
        <w:spacing w:lineRule="auto" w:line="240" w:before="0" w:after="0"/>
        <w:ind w:firstLine="567"/>
        <w:jc w:val="both"/>
        <w:rPr/>
      </w:pPr>
      <w:r>
        <w:rPr>
          <w:rFonts w:cs="Times New Roman" w:ascii="Times New Roman" w:hAnsi="Times New Roman"/>
        </w:rPr>
        <w:t>13.6. Jei Sutartis nutraukiama ne dėl Tiekėjo kaltės, nutraukimo atveju Pirkėjas sumoka Tiekėjui suteiktų Paslaugų vertę iki Sutarties nutraukimo. Tiekėjas neturi teisės į kokios nors patirtos žalos kompensaciją.</w:t>
      </w:r>
    </w:p>
    <w:p>
      <w:pPr>
        <w:pStyle w:val="Normal"/>
        <w:spacing w:lineRule="auto" w:line="240" w:before="0" w:after="0"/>
        <w:ind w:firstLine="567"/>
        <w:jc w:val="both"/>
        <w:rPr/>
      </w:pPr>
      <w:r>
        <w:rPr>
          <w:rFonts w:cs="Times New Roman" w:ascii="Times New Roman" w:hAnsi="Times New Roman"/>
        </w:rPr>
        <w:t>13.7. Pirkėjas po Sutarties nutraukimo turi kiek galima greičiau patvirtinti suteiktų Paslaugų vertę. Taip pat parengiama ataskaita apie Sutarties nutraukimo dieną esančią Tiekėjo skolą Pirkėjui ir Pirkėjo skolą Tiekėjui.</w:t>
      </w:r>
    </w:p>
    <w:p>
      <w:pPr>
        <w:pStyle w:val="Normal"/>
        <w:spacing w:lineRule="auto" w:line="240" w:before="0" w:after="0"/>
        <w:ind w:firstLine="567"/>
        <w:jc w:val="both"/>
        <w:rPr/>
      </w:pPr>
      <w:r>
        <w:rPr>
          <w:rFonts w:cs="Times New Roman" w:ascii="Times New Roman" w:hAnsi="Times New Roman"/>
        </w:rPr>
        <w:t>13.8.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pPr>
      <w:r>
        <w:rPr>
          <w:rFonts w:cs="Times New Roman" w:ascii="Times New Roman" w:hAnsi="Times New Roman"/>
        </w:rPr>
        <w:t>13.9. Jei Sutartis nutraukiama Pirkėjo iniciatyva dėl Tiekėjo kaltės, Pirkėjo patirti nuostoliai ar išlaidos  išskaičiuoja</w:t>
      </w:r>
      <w:r>
        <w:rPr>
          <w:rFonts w:eastAsia="Calibri" w:cs="Times New Roman" w:ascii="Times New Roman" w:hAnsi="Times New Roman"/>
          <w:color w:val="00000A"/>
          <w:kern w:val="0"/>
          <w:sz w:val="22"/>
          <w:szCs w:val="22"/>
          <w:lang w:val="lt-LT" w:eastAsia="en-US" w:bidi="ar-SA"/>
        </w:rPr>
        <w:t>mi</w:t>
      </w:r>
      <w:r>
        <w:rPr>
          <w:rFonts w:cs="Times New Roman" w:ascii="Times New Roman" w:hAnsi="Times New Roman"/>
        </w:rPr>
        <w:t xml:space="preserve"> juos iš Tiekėjui mokėtinų sumų arba išieškomi teisės aktų nustatyta tvarka.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lang w:val="lt-LT" w:eastAsia="en-US" w:bidi="ar-SA"/>
        </w:rPr>
      </w:pPr>
      <w:r>
        <w:rPr>
          <w:rFonts w:cs="Times New Roman" w:ascii="Times New Roman" w:hAnsi="Times New Roman"/>
          <w:b/>
          <w:lang w:val="lt-LT" w:eastAsia="en-US" w:bidi="ar-SA"/>
        </w:rPr>
        <w:t xml:space="preserve">XIV. PASLAUGŲ TEIKIMO VIETOS PERKĖLIMAS </w:t>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b w:val="false"/>
          <w:bCs w:val="false"/>
          <w:lang w:val="lt-LT" w:eastAsia="en-US" w:bidi="ar-SA"/>
        </w:rPr>
        <w:t>14.1. Po Pirkėjo areštinės (P</w:t>
      </w:r>
      <w:r>
        <w:rPr>
          <w:rFonts w:cs="Times New Roman" w:ascii="Times New Roman" w:hAnsi="Times New Roman"/>
          <w:b w:val="false"/>
          <w:bCs w:val="false"/>
          <w:sz w:val="22"/>
          <w:szCs w:val="22"/>
          <w:lang w:val="lt-LT" w:eastAsia="en-US" w:bidi="ar-SA"/>
        </w:rPr>
        <w:t>aslaugų teikimo vietos) perkėlimo iš pastato adresu Tulpių g. 60, Panevėžys, į pastatą adresu Beržų g. 46, Panevėžys, visos Sutartyje nustatytos Šalių prievolės ir Sutartyje nustatyti Paslaugų įkainiai nekeičiami, Sutartis toliau vykdoma joje nustatyta tvarka.</w:t>
      </w:r>
    </w:p>
    <w:p>
      <w:pPr>
        <w:pStyle w:val="Normal"/>
        <w:spacing w:lineRule="auto" w:line="240" w:before="0" w:after="0"/>
        <w:ind w:firstLine="567"/>
        <w:jc w:val="both"/>
        <w:rPr/>
      </w:pPr>
      <w:r>
        <w:rPr>
          <w:rFonts w:cs="Times New Roman" w:ascii="Times New Roman" w:hAnsi="Times New Roman"/>
          <w:b w:val="false"/>
          <w:bCs w:val="false"/>
          <w:sz w:val="22"/>
          <w:szCs w:val="22"/>
          <w:lang w:val="lt-LT" w:eastAsia="en-US" w:bidi="ar-SA"/>
        </w:rPr>
        <w:t>14.2. Pirkėjas apie Paslaugų teikimo vietos perkėlimą privalo įspėti Tiekėją ne vėliau kaip prieš 3 (tris) darbo dienas.</w:t>
      </w:r>
    </w:p>
    <w:p>
      <w:pPr>
        <w:pStyle w:val="Normal"/>
        <w:spacing w:lineRule="auto" w:line="240" w:before="0" w:after="0"/>
        <w:ind w:firstLine="567"/>
        <w:jc w:val="both"/>
        <w:rPr/>
      </w:pPr>
      <w:r>
        <w:rPr>
          <w:rFonts w:cs="Times New Roman" w:ascii="Times New Roman" w:hAnsi="Times New Roman"/>
          <w:b w:val="false"/>
          <w:bCs w:val="false"/>
          <w:sz w:val="22"/>
          <w:szCs w:val="22"/>
          <w:lang w:val="lt-LT" w:eastAsia="en-US" w:bidi="ar-SA"/>
        </w:rPr>
        <w:t>14.3. Asmenys, Šalių paskirti atsakingais už Sutarties vykdymą, Paslaugų perkėlimo metu privalo glaudžiai bendradarbiauti ir perduoti kitos Šalies atsakingiems asmenims visą reikalingą informaciją nedelsdami.</w:t>
      </w:r>
    </w:p>
    <w:p>
      <w:pPr>
        <w:pStyle w:val="Normal"/>
        <w:spacing w:lineRule="auto" w:line="240" w:before="0" w:after="0"/>
        <w:ind w:firstLine="567"/>
        <w:jc w:val="both"/>
        <w:rPr>
          <w:rFonts w:ascii="Times New Roman" w:hAnsi="Times New Roman" w:cs="Times New Roman"/>
          <w:b w:val="false"/>
          <w:b w:val="false"/>
          <w:bCs w:val="false"/>
          <w:lang w:val="lt-LT" w:eastAsia="en-US" w:bidi="ar-SA"/>
        </w:rPr>
      </w:pPr>
      <w:r>
        <w:rPr>
          <w:rFonts w:cs="Times New Roman" w:ascii="Times New Roman" w:hAnsi="Times New Roman"/>
          <w:b w:val="false"/>
          <w:bCs w:val="false"/>
          <w:lang w:val="lt-LT" w:eastAsia="en-US" w:bidi="ar-SA"/>
        </w:rPr>
      </w:r>
    </w:p>
    <w:p>
      <w:pPr>
        <w:pStyle w:val="Normal"/>
        <w:spacing w:lineRule="auto" w:line="240" w:before="0" w:after="0"/>
        <w:ind w:firstLine="567"/>
        <w:jc w:val="center"/>
        <w:rPr>
          <w:lang w:val="lt-LT" w:eastAsia="en-US" w:bidi="ar-SA"/>
        </w:rPr>
      </w:pPr>
      <w:r>
        <w:rPr>
          <w:rFonts w:cs="Times New Roman" w:ascii="Times New Roman" w:hAnsi="Times New Roman"/>
          <w:b/>
          <w:lang w:val="lt-LT" w:eastAsia="en-US" w:bidi="ar-SA"/>
        </w:rPr>
        <w:t>XV. GINČŲ NAGRINĖJIMO TVARKA</w:t>
      </w:r>
    </w:p>
    <w:p>
      <w:pPr>
        <w:pStyle w:val="Normal"/>
        <w:spacing w:lineRule="auto" w:line="240" w:before="0" w:after="0"/>
        <w:ind w:firstLine="567"/>
        <w:jc w:val="both"/>
        <w:rPr>
          <w:rFonts w:ascii="Times New Roman" w:hAnsi="Times New Roman" w:cs="Times New Roman"/>
          <w:b/>
          <w:b/>
          <w:lang w:val="lt-LT" w:eastAsia="en-US" w:bidi="ar-SA"/>
        </w:rPr>
      </w:pPr>
      <w:r>
        <w:rPr>
          <w:rFonts w:cs="Times New Roman" w:ascii="Times New Roman" w:hAnsi="Times New Roman"/>
          <w:b/>
          <w:lang w:val="lt-LT" w:eastAsia="en-US" w:bidi="ar-SA"/>
        </w:rPr>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15.1. Šiai Sutarčiai ir visoms iš šios Sutarties atsirandančioms teisėms ir pareigoms taikomi Lietuvos Respublikos įstatymai bei kiti norminiai teisės aktai. Sutartis sudaryta ir turi būti aiškinama pagal Lietuvos Respublikos teisę.</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vietą.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XVI. ASMENYS, ATSAKINGI UŽ SUTARTIES VYKDYMĄ, IR KITOS BAIGIAMOSIOS NUOSTATOS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16.1. Asmenys, atsakingi už Sutarties 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16.1.1. Pirkėjo atstovas –</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16.1.2. Tiekėjo atstovė –</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16.2. Asmuo, atsakingas už Sutarties ir pakeitimų paskelbimą –</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16.4.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16.5. Sutartis yra Sutarties Šalių perskaityta, jų suprasta ir jos autentiškumas patvirtintas Šalių tinkamus įgaliojimus turinčių asmenų parašais.</w:t>
      </w:r>
    </w:p>
    <w:p>
      <w:pPr>
        <w:pStyle w:val="Normal"/>
        <w:spacing w:lineRule="auto" w:line="240" w:before="0" w:after="0"/>
        <w:ind w:firstLine="567"/>
        <w:jc w:val="both"/>
        <w:rPr/>
      </w:pPr>
      <w:r>
        <w:rPr>
          <w:rFonts w:cs="Times New Roman" w:ascii="Times New Roman" w:hAnsi="Times New Roman"/>
        </w:rPr>
        <w:t>16.6.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16.7.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16.7.1. Sutarties 1 priedas – Paslaugų techninė specifikacija;</w:t>
      </w:r>
    </w:p>
    <w:p>
      <w:pPr>
        <w:pStyle w:val="Normal"/>
        <w:spacing w:lineRule="auto" w:line="240" w:before="0" w:after="0"/>
        <w:ind w:firstLine="567"/>
        <w:jc w:val="both"/>
        <w:rPr/>
      </w:pPr>
      <w:r>
        <w:rPr>
          <w:rFonts w:cs="Times New Roman" w:ascii="Times New Roman" w:hAnsi="Times New Roman"/>
        </w:rPr>
        <w:t xml:space="preserve">16.7.2. Sutarties 2 priedas – </w:t>
      </w:r>
      <w:r>
        <w:rPr>
          <w:rFonts w:cs="Times New Roman" w:ascii="Times New Roman" w:hAnsi="Times New Roman"/>
          <w:shd w:fill="auto" w:val="clear"/>
        </w:rPr>
        <w:t>Tiekėjo pasiūlymas (pasiūlymo forma) Pirkimui.</w:t>
      </w:r>
    </w:p>
    <w:p>
      <w:pPr>
        <w:pStyle w:val="Normal"/>
        <w:spacing w:lineRule="auto" w:line="240" w:before="0" w:after="0"/>
        <w:ind w:firstLine="567"/>
        <w:jc w:val="both"/>
        <w:rPr/>
      </w:pPr>
      <w:r>
        <w:rPr>
          <w:rFonts w:cs="Times New Roman" w:ascii="Times New Roman" w:hAnsi="Times New Roman"/>
        </w:rPr>
        <w:t xml:space="preserve">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Style w:val="TableGrid"/>
        <w:tblW w:w="9157" w:type="dxa"/>
        <w:jc w:val="left"/>
        <w:tblInd w:w="193" w:type="dxa"/>
        <w:tblLayout w:type="fixed"/>
        <w:tblCellMar>
          <w:top w:w="0" w:type="dxa"/>
          <w:left w:w="193" w:type="dxa"/>
          <w:bottom w:w="0" w:type="dxa"/>
          <w:right w:w="108" w:type="dxa"/>
        </w:tblCellMar>
        <w:tblLook w:firstRow="1" w:noVBand="1" w:lastRow="0" w:firstColumn="1" w:lastColumn="0" w:noHBand="0" w:val="04a0"/>
      </w:tblPr>
      <w:tblGrid>
        <w:gridCol w:w="4578"/>
        <w:gridCol w:w="4578"/>
      </w:tblGrid>
      <w:tr>
        <w:trPr/>
        <w:tc>
          <w:tcPr>
            <w:tcW w:w="4578" w:type="dxa"/>
            <w:tcBorders>
              <w:top w:val="nil"/>
              <w:left w:val="nil"/>
              <w:bottom w:val="nil"/>
              <w:right w:val="nil"/>
            </w:tcBorders>
            <w:shd w:fill="auto" w:val="clear"/>
          </w:tcPr>
          <w:p>
            <w:pPr>
              <w:pStyle w:val="BodyText1"/>
              <w:widowControl w:val="false"/>
              <w:tabs>
                <w:tab w:val="clear" w:pos="408"/>
                <w:tab w:val="left" w:pos="0" w:leader="none"/>
                <w:tab w:val="left" w:pos="567" w:leader="none"/>
                <w:tab w:val="left" w:pos="1201" w:leader="none"/>
              </w:tabs>
              <w:ind w:hanging="0"/>
              <w:rPr>
                <w:rFonts w:ascii="Times New Roman" w:hAnsi="Times New Roman"/>
                <w:b/>
                <w:b/>
                <w:sz w:val="22"/>
                <w:szCs w:val="22"/>
              </w:rPr>
            </w:pPr>
            <w:r>
              <w:rPr>
                <w:rFonts w:ascii="Times New Roman" w:hAnsi="Times New Roman"/>
                <w:b/>
                <w:sz w:val="22"/>
                <w:szCs w:val="22"/>
              </w:rPr>
              <w:t>PIRKĖJAS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Panevėžio apskrities vyriausiasis policijos komisariatas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J. a. kodas 291008610</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 xml:space="preserve">PVM mokėtojo kodas – </w:t>
            </w:r>
            <w:r>
              <w:rPr>
                <w:rFonts w:ascii="Times New Roman" w:hAnsi="Times New Roman"/>
                <w:sz w:val="22"/>
                <w:szCs w:val="22"/>
                <w:lang w:val="lt-LT"/>
              </w:rPr>
              <w:t>nėra PVM mokėtojas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Adresas: Tulpių g. 60, 35501 Panevėžys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 xml:space="preserve">Telefonas, el. </w:t>
            </w:r>
            <w:r>
              <w:rPr>
                <w:rFonts w:ascii="Times New Roman" w:hAnsi="Times New Roman"/>
                <w:sz w:val="22"/>
                <w:szCs w:val="22"/>
                <w:lang w:val="lt-LT"/>
              </w:rPr>
              <w:t>p</w:t>
            </w:r>
            <w:r>
              <w:rPr>
                <w:rFonts w:ascii="Times New Roman" w:hAnsi="Times New Roman"/>
                <w:sz w:val="22"/>
                <w:szCs w:val="22"/>
              </w:rPr>
              <w:t xml:space="preserve">aštas: </w:t>
            </w:r>
            <w:r>
              <w:rPr>
                <w:rFonts w:ascii="Times New Roman" w:hAnsi="Times New Roman"/>
                <w:sz w:val="22"/>
                <w:szCs w:val="22"/>
                <w:lang w:val="lt-LT"/>
              </w:rPr>
              <w:t xml:space="preserve">8 700 62477, </w:t>
            </w:r>
            <w:hyperlink r:id="rId2">
              <w:r>
                <w:rPr>
                  <w:rStyle w:val="InternetLink"/>
                  <w:rFonts w:ascii="Times New Roman" w:hAnsi="Times New Roman"/>
                  <w:sz w:val="22"/>
                  <w:szCs w:val="22"/>
                  <w:lang w:val="en-US"/>
                </w:rPr>
                <w:t>paneveziovpk@</w:t>
              </w:r>
              <w:r>
                <w:rPr>
                  <w:rStyle w:val="InternetLink"/>
                  <w:rFonts w:ascii="Times New Roman" w:hAnsi="Times New Roman"/>
                  <w:sz w:val="22"/>
                  <w:szCs w:val="22"/>
                  <w:lang w:val="lt-LT"/>
                </w:rPr>
                <w:t>policija.lt</w:t>
              </w:r>
            </w:hyperlink>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 xml:space="preserve">Sąskaitos Nr. </w:t>
            </w:r>
            <w:r>
              <w:rPr>
                <w:rFonts w:ascii="Times New Roman" w:hAnsi="Times New Roman"/>
                <w:sz w:val="22"/>
                <w:szCs w:val="22"/>
                <w:lang w:val="lt-LT"/>
              </w:rPr>
              <w:t>LT19 7044 0600 0782 8723</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AB SEB bankas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Viršininkas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_______________________ Rimantas Bobinas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r>
          </w:p>
        </w:tc>
        <w:tc>
          <w:tcPr>
            <w:tcW w:w="4578" w:type="dxa"/>
            <w:tcBorders>
              <w:top w:val="nil"/>
              <w:left w:val="nil"/>
              <w:bottom w:val="nil"/>
              <w:right w:val="nil"/>
            </w:tcBorders>
            <w:shd w:fill="auto" w:val="clear"/>
          </w:tcPr>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b/>
                <w:sz w:val="22"/>
                <w:szCs w:val="22"/>
              </w:rPr>
              <w:t>TIEKĖJAS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w:t>
            </w:r>
            <w:r>
              <w:rPr>
                <w:rFonts w:ascii="Times New Roman" w:hAnsi="Times New Roman"/>
                <w:sz w:val="22"/>
                <w:szCs w:val="22"/>
                <w:lang w:val="lt-LT"/>
              </w:rPr>
              <w:t>Saunetė“, MB</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 xml:space="preserve">J. a. </w:t>
            </w:r>
            <w:r>
              <w:rPr>
                <w:rFonts w:ascii="Times New Roman" w:hAnsi="Times New Roman"/>
                <w:sz w:val="22"/>
                <w:szCs w:val="22"/>
              </w:rPr>
              <w:t xml:space="preserve">kodas </w:t>
            </w:r>
            <w:r>
              <w:rPr>
                <w:rFonts w:ascii="Times New Roman" w:hAnsi="Times New Roman"/>
                <w:sz w:val="22"/>
                <w:szCs w:val="22"/>
                <w:lang w:val="lt-LT"/>
              </w:rPr>
              <w:t>303131716</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 xml:space="preserve">PVM mokėtojo kodas </w:t>
            </w:r>
            <w:r>
              <w:rPr>
                <w:rFonts w:ascii="Times New Roman" w:hAnsi="Times New Roman"/>
                <w:sz w:val="22"/>
                <w:szCs w:val="22"/>
                <w:lang w:val="lt-LT"/>
              </w:rPr>
              <w:t>LT100012170914</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Adresas:</w:t>
            </w:r>
            <w:r>
              <w:rPr>
                <w:rFonts w:ascii="Times New Roman" w:hAnsi="Times New Roman"/>
                <w:sz w:val="22"/>
                <w:szCs w:val="22"/>
                <w:lang w:val="lt-LT"/>
              </w:rPr>
              <w:t xml:space="preserve"> Staniūnų g. 81-48, Panevėžys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Veiklos vykdymo adresas: K. Binkio g. 14, Panevėžys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 xml:space="preserve">Telefonas, el. paštas: </w:t>
            </w:r>
            <w:r>
              <w:rPr>
                <w:rFonts w:ascii="Times New Roman" w:hAnsi="Times New Roman"/>
                <w:sz w:val="22"/>
                <w:szCs w:val="22"/>
                <w:lang w:val="lt-LT"/>
              </w:rPr>
              <w:t xml:space="preserve">8 699 46535, </w:t>
            </w:r>
            <w:hyperlink r:id="rId3">
              <w:r>
                <w:rPr>
                  <w:rStyle w:val="InternetLink"/>
                  <w:rFonts w:ascii="Times New Roman" w:hAnsi="Times New Roman"/>
                  <w:sz w:val="22"/>
                  <w:szCs w:val="22"/>
                  <w:lang w:val="en-US"/>
                </w:rPr>
                <w:t>saunetemb@</w:t>
              </w:r>
              <w:r>
                <w:rPr>
                  <w:rStyle w:val="InternetLink"/>
                  <w:rFonts w:ascii="Times New Roman" w:hAnsi="Times New Roman"/>
                  <w:sz w:val="22"/>
                  <w:szCs w:val="22"/>
                  <w:lang w:val="lt-LT"/>
                </w:rPr>
                <w:t>gmail.com</w:t>
              </w:r>
            </w:hyperlink>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 xml:space="preserve">Sąskaitos Nr. </w:t>
            </w:r>
            <w:r>
              <w:rPr>
                <w:rFonts w:ascii="Times New Roman" w:hAnsi="Times New Roman"/>
                <w:sz w:val="22"/>
                <w:szCs w:val="22"/>
                <w:lang w:val="lt-LT"/>
              </w:rPr>
              <w:t>LT47 7290 0000 0440 2686</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AB „Citadele“ bankas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Vadovė</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_______________________ Aurelija Skaudaitė</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r>
          </w:p>
        </w:tc>
      </w:tr>
    </w:tbl>
    <w:p>
      <w:pPr>
        <w:pStyle w:val="Normal"/>
        <w:pageBreakBefore w:val="false"/>
        <w:spacing w:lineRule="auto" w:line="240" w:before="0" w:after="0"/>
        <w:jc w:val="right"/>
        <w:rPr/>
      </w:pPr>
      <w:r>
        <w:rPr/>
      </w:r>
    </w:p>
    <w:sectPr>
      <w:headerReference w:type="default" r:id="rId4"/>
      <w:type w:val="nextPage"/>
      <w:pgSz w:w="11906" w:h="16838"/>
      <w:pgMar w:left="1418" w:right="567" w:header="567" w:top="1134" w:footer="0" w:bottom="567" w:gutter="0"/>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14770495"/>
    </w:sdtPr>
    <w:sdtContent>
      <w:p>
        <w:pPr>
          <w:pStyle w:val="Header"/>
          <w:jc w:val="center"/>
          <w:rPr/>
        </w:pPr>
        <w:r>
          <w:rPr/>
          <w:fldChar w:fldCharType="begin"/>
        </w:r>
        <w:r>
          <w:rPr/>
          <w:instrText> PAGE </w:instrText>
        </w:r>
        <w:r>
          <w:rPr/>
          <w:fldChar w:fldCharType="separate"/>
        </w:r>
        <w:r>
          <w:rPr/>
          <w:t>8</w:t>
        </w:r>
        <w:r>
          <w:rPr/>
          <w:fldChar w:fldCharType="end"/>
        </w:r>
      </w:p>
      <w:p>
        <w:pPr>
          <w:pStyle w:val="Header"/>
          <w:rPr/>
        </w:pPr>
        <w:r>
          <w:rPr/>
        </w:r>
      </w:p>
    </w:sdtContent>
  </w:sdt>
</w:hdr>
</file>

<file path=word/settings.xml><?xml version="1.0" encoding="utf-8"?>
<w:settings xmlns:w="http://schemas.openxmlformats.org/wordprocessingml/2006/main">
  <w:zoom w:percent="12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CommentTextChar" w:customStyle="1">
    <w:name w:val="Comment Text Char"/>
    <w:basedOn w:val="DefaultParagraphFont"/>
    <w:link w:val="CommentText"/>
    <w:uiPriority w:val="99"/>
    <w:qFormat/>
    <w:rsid w:val="003246d1"/>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3246d1"/>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e3734e"/>
    <w:rPr>
      <w:rFonts w:ascii="Times New Roman" w:hAnsi="Times New Roman" w:eastAsia="Times New Roman" w:cs="Times New Roman"/>
      <w:b/>
      <w:bCs/>
      <w:sz w:val="20"/>
      <w:szCs w:val="20"/>
    </w:rPr>
  </w:style>
  <w:style w:type="character" w:styleId="HeaderChar" w:customStyle="1">
    <w:name w:val="Header Char"/>
    <w:basedOn w:val="DefaultParagraphFont"/>
    <w:link w:val="Header"/>
    <w:uiPriority w:val="99"/>
    <w:qFormat/>
    <w:rsid w:val="00f83fb5"/>
    <w:rPr/>
  </w:style>
  <w:style w:type="character" w:styleId="FooterChar" w:customStyle="1">
    <w:name w:val="Footer Char"/>
    <w:basedOn w:val="DefaultParagraphFont"/>
    <w:link w:val="Footer"/>
    <w:uiPriority w:val="99"/>
    <w:qFormat/>
    <w:rsid w:val="00f83fb5"/>
    <w:rPr/>
  </w:style>
  <w:style w:type="character" w:styleId="LineNumbering">
    <w:name w:val="Line Numbering"/>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ntrat" w:customStyle="1">
    <w:name w:val="Antraštė"/>
    <w:basedOn w:val="Normal"/>
    <w:qFormat/>
    <w:pPr>
      <w:keepNext w:val="true"/>
      <w:spacing w:before="240" w:after="120"/>
    </w:pPr>
    <w:rPr>
      <w:rFonts w:ascii="Liberation Sans" w:hAnsi="Liberation Sans" w:eastAsia="Microsoft YaHei" w:cs="Lucida Sans"/>
      <w:sz w:val="28"/>
      <w:szCs w:val="28"/>
    </w:rPr>
  </w:style>
  <w:style w:type="paragraph" w:styleId="Rodykl" w:customStyle="1">
    <w:name w:val="Rodyklė"/>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CommentTextChar"/>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Annotationsubject">
    <w:name w:val="annotation subject"/>
    <w:basedOn w:val="Annotationtext"/>
    <w:link w:val="CommentSubjectChar"/>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Puslapinantratirporat">
    <w:name w:val="Puslapinė antraštė ir poraštė"/>
    <w:basedOn w:val="Normal"/>
    <w:qFormat/>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83fb5"/>
    <w:pPr>
      <w:tabs>
        <w:tab w:val="clear" w:pos="408"/>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f83fb5"/>
    <w:pPr>
      <w:tabs>
        <w:tab w:val="clear" w:pos="408"/>
        <w:tab w:val="center" w:pos="4819" w:leader="none"/>
        <w:tab w:val="right" w:pos="9638" w:leader="none"/>
      </w:tabs>
      <w:spacing w:lineRule="auto" w:line="240" w:before="0" w:after="0"/>
    </w:pPr>
    <w:rPr/>
  </w:style>
  <w:style w:type="paragraph" w:styleId="LONormal" w:customStyle="1">
    <w:name w:val="LO-Normal"/>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LONormal1" w:customStyle="1">
    <w:name w:val="LO-Normal1"/>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246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neveziovpk@policija.lt" TargetMode="External"/><Relationship Id="rId3" Type="http://schemas.openxmlformats.org/officeDocument/2006/relationships/hyperlink" Target="mailto:saunetemb@gmail.com"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893</TotalTime>
  <Application>LibreOffice/7.1.2.2$Windows_X86_64 LibreOffice_project/8a45595d069ef5570103caea1b71cc9d82b2aae4</Application>
  <AppVersion>15.0000</AppVersion>
  <Pages>8</Pages>
  <Words>3958</Words>
  <Characters>28215</Characters>
  <CharactersWithSpaces>32025</CharactersWithSpaces>
  <Paragraphs>210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2020-06-10T10:11:00Z</dcterms:created>
  <dc:creator>Ona Mišeikienė</dc:creator>
  <dc:description/>
  <dc:language>lt-LT</dc:language>
  <cp:lastModifiedBy>K. Cibulskis</cp:lastModifiedBy>
  <dcterms:modified xsi:type="dcterms:W3CDTF">2021-07-30T13:16:43Z</dcterms:modified>
  <cp:revision>114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