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3571F58C"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w:t>
          </w:r>
          <w:r w:rsidR="00E83675">
            <w:rPr>
              <w:rFonts w:eastAsia="Lucida Sans Unicode"/>
              <w:b/>
              <w:bCs/>
              <w:caps/>
              <w:szCs w:val="24"/>
              <w:lang w:eastAsia="ar-SA"/>
            </w:rPr>
            <w:t>PIR21-791</w:t>
          </w:r>
          <w:r w:rsidRPr="002527A0">
            <w:rPr>
              <w:rFonts w:eastAsia="Lucida Sans Unicode"/>
              <w:b/>
              <w:bCs/>
              <w:caps/>
              <w:szCs w:val="24"/>
              <w:lang w:eastAsia="ar-SA"/>
            </w:rPr>
            <w:t>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15C5A69B"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DF36EE">
            <w:rPr>
              <w:rFonts w:eastAsia="Calibri"/>
              <w:b/>
              <w:szCs w:val="24"/>
            </w:rPr>
            <w:t xml:space="preserve"> </w:t>
          </w:r>
          <w:r w:rsidR="0045189B">
            <w:rPr>
              <w:rFonts w:eastAsia="Calibri"/>
              <w:b/>
              <w:szCs w:val="24"/>
            </w:rPr>
            <w:t>Klaipėdos</w:t>
          </w:r>
          <w:r w:rsidR="00FF6CCA">
            <w:rPr>
              <w:rFonts w:eastAsia="Calibri"/>
              <w:b/>
              <w:szCs w:val="24"/>
            </w:rPr>
            <w:t xml:space="preserve"> meistrijai</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75FFFA1A"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 xml:space="preserve">rugpjūčio </w:t>
                  </w:r>
                  <w:r w:rsidR="00E83675">
                    <w:rPr>
                      <w:rFonts w:eastAsia="Calibri"/>
                      <w:szCs w:val="24"/>
                    </w:rPr>
                    <w:t>31</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559A7DFD" w:rsidR="002527A0" w:rsidRPr="009100AE"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w:t>
      </w:r>
      <w:r w:rsidRPr="009100AE">
        <w:rPr>
          <w:rFonts w:eastAsia="Calibri"/>
          <w:szCs w:val="24"/>
        </w:rPr>
        <w:t xml:space="preserve">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sdt>
                <w:sdtPr>
                  <w:rPr>
                    <w:rStyle w:val="Akeliuprieziura"/>
                    <w:szCs w:val="24"/>
                  </w:rPr>
                  <w:alias w:val="Vardas, pavardė, pareigos"/>
                  <w:tag w:val="Vardas, pavardė, pareigos"/>
                  <w:id w:val="-567885792"/>
                  <w:placeholder>
                    <w:docPart w:val="77887D7B361F40E5AFB6F1F6D9699D72"/>
                  </w:placeholder>
                </w:sdtPr>
                <w:sdtEndPr>
                  <w:rPr>
                    <w:rStyle w:val="Numatytasispastraiposriftas"/>
                    <w:shd w:val="clear" w:color="auto" w:fill="auto"/>
                  </w:rPr>
                </w:sdtEndPr>
                <w:sdtContent>
                  <w:sdt>
                    <w:sdtPr>
                      <w:rPr>
                        <w:rStyle w:val="1TEKSTAS"/>
                      </w:rPr>
                      <w:alias w:val="pareigos, vardas, pavardė"/>
                      <w:tag w:val="pareigos, vardas, pavardė"/>
                      <w:id w:val="-282739624"/>
                      <w:placeholder>
                        <w:docPart w:val="B79D3D86E5FD4DDA936ECE31D8A6F9C8"/>
                      </w:placeholder>
                    </w:sdtPr>
                    <w:sdtEndPr>
                      <w:rPr>
                        <w:rStyle w:val="Numatytasispastraiposriftas"/>
                        <w:szCs w:val="24"/>
                      </w:rPr>
                    </w:sdtEndPr>
                    <w:sdtContent>
                      <w:r w:rsidR="00701ADE">
                        <w:rPr>
                          <w:rStyle w:val="1TEKSTAS"/>
                        </w:rPr>
                        <w:t>l.e.p. Kelių priežiūros ir statybos departamento direktoriaus Algmino Šmito</w:t>
                      </w:r>
                    </w:sdtContent>
                  </w:sdt>
                </w:sdtContent>
              </w:sdt>
            </w:sdtContent>
          </w:sdt>
        </w:sdtContent>
      </w:sdt>
      <w:r w:rsidRPr="009100AE">
        <w:rPr>
          <w:rFonts w:eastAsia="Calibri"/>
          <w:szCs w:val="24"/>
        </w:rPr>
        <w:t>, veikiančio</w:t>
      </w:r>
      <w:r w:rsidR="00681D60" w:rsidRPr="009100AE">
        <w:rPr>
          <w:rFonts w:eastAsia="Calibri"/>
          <w:szCs w:val="24"/>
        </w:rPr>
        <w:t xml:space="preserve"> (-ios)</w:t>
      </w:r>
      <w:r w:rsidRPr="009100AE">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53231" w:rsidRPr="009100AE">
            <w:rPr>
              <w:rFonts w:eastAsia="Arial Unicode MS"/>
              <w:szCs w:val="24"/>
            </w:rPr>
            <w:t xml:space="preserve">generalinio direktoriaus </w:t>
          </w:r>
          <w:r w:rsidR="00701ADE">
            <w:rPr>
              <w:rFonts w:eastAsia="Arial Unicode MS"/>
              <w:szCs w:val="24"/>
            </w:rPr>
            <w:t>2021 m. rugpjūčio 05 d. įgaliojimą Nr. GG-194</w:t>
          </w:r>
        </w:sdtContent>
      </w:sdt>
      <w:r w:rsidRPr="009100AE">
        <w:rPr>
          <w:rFonts w:eastAsia="Calibri"/>
          <w:szCs w:val="24"/>
        </w:rPr>
        <w:t xml:space="preserve"> </w:t>
      </w:r>
      <w:r w:rsidRPr="009100AE">
        <w:rPr>
          <w:rFonts w:eastAsia="Arial Unicode MS"/>
          <w:spacing w:val="1"/>
          <w:szCs w:val="24"/>
        </w:rPr>
        <w:t xml:space="preserve">(toliau – </w:t>
      </w:r>
      <w:r w:rsidRPr="009100AE">
        <w:rPr>
          <w:rFonts w:eastAsia="Arial Unicode MS"/>
          <w:b/>
          <w:bCs/>
          <w:spacing w:val="1"/>
          <w:szCs w:val="24"/>
        </w:rPr>
        <w:t>Užsakovas</w:t>
      </w:r>
      <w:r w:rsidRPr="009100AE">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6CB353FB" w:rsidR="002527A0" w:rsidRPr="00A71017" w:rsidRDefault="00477E8F"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36EE" w:rsidRPr="003A1B89">
            <w:rPr>
              <w:rFonts w:eastAsia="Arial Unicode MS"/>
              <w:b/>
              <w:szCs w:val="20"/>
              <w:lang w:eastAsia="lt-LT"/>
            </w:rPr>
            <w:t>UAB „</w:t>
          </w:r>
          <w:r w:rsidR="00D63DA8">
            <w:rPr>
              <w:rFonts w:eastAsia="Arial Unicode MS"/>
              <w:b/>
              <w:szCs w:val="20"/>
              <w:lang w:eastAsia="lt-LT"/>
            </w:rPr>
            <w:t>V</w:t>
          </w:r>
          <w:r w:rsidR="00C8596F">
            <w:rPr>
              <w:rFonts w:eastAsia="Arial Unicode MS"/>
              <w:b/>
              <w:szCs w:val="20"/>
              <w:lang w:eastAsia="lt-LT"/>
            </w:rPr>
            <w:t>airas</w:t>
          </w:r>
          <w:r w:rsidR="00DF36EE" w:rsidRPr="003A1B89">
            <w:rPr>
              <w:rFonts w:eastAsia="Arial Unicode MS"/>
              <w:b/>
              <w:szCs w:val="20"/>
              <w:lang w:eastAsia="lt-LT"/>
            </w:rPr>
            <w:t>“</w:t>
          </w:r>
        </w:sdtContent>
      </w:sdt>
      <w:bookmarkEnd w:id="3"/>
      <w:r w:rsidR="002527A0" w:rsidRPr="003A1B89">
        <w:rPr>
          <w:rFonts w:eastAsia="Arial Unicode MS"/>
          <w:szCs w:val="24"/>
        </w:rPr>
        <w:t xml:space="preserve">, </w:t>
      </w:r>
      <w:r w:rsidR="002527A0" w:rsidRPr="00934F51">
        <w:rPr>
          <w:rFonts w:eastAsia="Arial Unicode MS"/>
          <w:szCs w:val="24"/>
        </w:rPr>
        <w:t>buveinės adresas</w:t>
      </w:r>
      <w:bookmarkStart w:id="4" w:name="_Hlk31958351"/>
      <w:r w:rsidR="00641468" w:rsidRPr="00934F51">
        <w:rPr>
          <w:rFonts w:eastAsia="Arial Unicode MS"/>
          <w:szCs w:val="24"/>
        </w:rPr>
        <w:t xml:space="preserve"> </w:t>
      </w:r>
      <w:bookmarkEnd w:id="4"/>
      <w:r w:rsidR="00DB7397">
        <w:rPr>
          <w:rFonts w:eastAsia="Arial Unicode MS"/>
          <w:szCs w:val="24"/>
        </w:rPr>
        <w:t>Butkų Juzės g. 11, Klaipėda</w:t>
      </w:r>
      <w:r w:rsidR="002527A0" w:rsidRPr="00934F51">
        <w:rPr>
          <w:rFonts w:eastAsia="Calibri"/>
          <w:szCs w:val="24"/>
        </w:rPr>
        <w:t xml:space="preserve">, </w:t>
      </w:r>
      <w:r w:rsidR="002527A0" w:rsidRPr="00934F51">
        <w:rPr>
          <w:rFonts w:eastAsia="Arial Unicode MS"/>
          <w:szCs w:val="24"/>
        </w:rPr>
        <w:t>juridinio asmens kodas</w:t>
      </w:r>
      <w:r w:rsidR="002527A0" w:rsidRPr="00934F51">
        <w:rPr>
          <w:szCs w:val="24"/>
        </w:rPr>
        <w:t xml:space="preserve"> </w:t>
      </w:r>
      <w:r w:rsidR="00DB7397">
        <w:rPr>
          <w:rFonts w:eastAsia="Arial Unicode MS"/>
          <w:szCs w:val="24"/>
        </w:rPr>
        <w:t>140469227</w:t>
      </w:r>
      <w:r w:rsidR="00C8596F">
        <w:rPr>
          <w:rFonts w:eastAsia="Arial Unicode MS"/>
          <w:szCs w:val="24"/>
        </w:rPr>
        <w:t>,</w:t>
      </w:r>
      <w:r w:rsidR="002527A0" w:rsidRPr="00934F51">
        <w:rPr>
          <w:rFonts w:eastAsia="Arial Unicode MS"/>
          <w:szCs w:val="24"/>
        </w:rPr>
        <w:t xml:space="preserve"> atstovaujama</w:t>
      </w:r>
      <w:r w:rsidR="005F2E25" w:rsidRPr="00934F51">
        <w:rPr>
          <w:rFonts w:eastAsia="Arial Unicode MS"/>
          <w:szCs w:val="24"/>
        </w:rPr>
        <w:t>s (-a)</w:t>
      </w:r>
      <w:r w:rsidR="002527A0" w:rsidRPr="00934F51">
        <w:rPr>
          <w:rFonts w:eastAsia="Calibri"/>
          <w:szCs w:val="24"/>
        </w:rPr>
        <w:t xml:space="preserve"> </w:t>
      </w:r>
      <w:r w:rsidR="00DB7397">
        <w:rPr>
          <w:rFonts w:eastAsia="Calibri"/>
          <w:szCs w:val="24"/>
        </w:rPr>
        <w:t>direktoriaus Vytauto Kinderio</w:t>
      </w:r>
      <w:r w:rsidR="002527A0" w:rsidRPr="00934F51">
        <w:rPr>
          <w:rFonts w:eastAsia="Arial Unicode MS"/>
          <w:szCs w:val="24"/>
        </w:rPr>
        <w:t xml:space="preserve">, veikiančio </w:t>
      </w:r>
      <w:r w:rsidR="002527A0" w:rsidRPr="003A1B89">
        <w:rPr>
          <w:rFonts w:eastAsia="Arial Unicode MS"/>
          <w:szCs w:val="24"/>
        </w:rPr>
        <w:t xml:space="preserve">(-ios) </w:t>
      </w:r>
      <w:r w:rsidR="002527A0" w:rsidRPr="003A1B89">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sidRPr="003A1B89">
            <w:rPr>
              <w:rFonts w:eastAsia="Arial Unicode MS"/>
              <w:szCs w:val="24"/>
            </w:rPr>
            <w:t xml:space="preserve">bendrovės </w:t>
          </w:r>
          <w:r w:rsidR="00A903AC">
            <w:rPr>
              <w:rFonts w:eastAsia="Arial Unicode MS"/>
              <w:szCs w:val="24"/>
            </w:rPr>
            <w:t>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7ED06B3"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r w:rsidR="00707820" w:rsidRPr="00CF2609">
            <w:rPr>
              <w:rStyle w:val="1TEKSTAS"/>
              <w:highlight w:val="lightGray"/>
            </w:rPr>
            <w:t>)</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5DA0DB02"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204536">
            <w:rPr>
              <w:szCs w:val="24"/>
            </w:rPr>
            <w:t>1</w:t>
          </w:r>
          <w:r w:rsidR="009565AC">
            <w:rPr>
              <w:szCs w:val="24"/>
            </w:rPr>
            <w:t>9</w:t>
          </w:r>
          <w:r w:rsidR="002B207E">
            <w:rPr>
              <w:szCs w:val="24"/>
            </w:rPr>
            <w:t xml:space="preserve"> 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F15C26">
            <w:rPr>
              <w:szCs w:val="24"/>
            </w:rPr>
            <w:t>d</w:t>
          </w:r>
          <w:r w:rsidR="009565AC">
            <w:rPr>
              <w:szCs w:val="24"/>
            </w:rPr>
            <w:t>evynio</w:t>
          </w:r>
          <w:r w:rsidR="00934F51">
            <w:rPr>
              <w:szCs w:val="24"/>
            </w:rPr>
            <w:t>lika</w:t>
          </w:r>
          <w:r w:rsidR="002B207E">
            <w:rPr>
              <w:szCs w:val="24"/>
            </w:rPr>
            <w:t xml:space="preserve"> tūkstanč</w:t>
          </w:r>
          <w:r w:rsidR="00204536">
            <w:rPr>
              <w:szCs w:val="24"/>
            </w:rPr>
            <w:t>ių</w:t>
          </w:r>
          <w:r w:rsidR="002B207E">
            <w:rPr>
              <w:szCs w:val="24"/>
            </w:rPr>
            <w:t xml:space="preserve">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9565AC">
            <w:rPr>
              <w:szCs w:val="24"/>
            </w:rPr>
            <w:t>3 990</w:t>
          </w:r>
          <w:r w:rsidR="002B207E">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9565AC">
                <w:rPr>
                  <w:szCs w:val="24"/>
                </w:rPr>
                <w:t>trys</w:t>
              </w:r>
              <w:r w:rsidR="006D2FCE">
                <w:rPr>
                  <w:szCs w:val="24"/>
                </w:rPr>
                <w:t xml:space="preserve"> tūkstan</w:t>
              </w:r>
              <w:r w:rsidR="00204536">
                <w:rPr>
                  <w:szCs w:val="24"/>
                </w:rPr>
                <w:t xml:space="preserve">čiai </w:t>
              </w:r>
              <w:r w:rsidR="009565AC">
                <w:rPr>
                  <w:szCs w:val="24"/>
                </w:rPr>
                <w:t>devyni</w:t>
              </w:r>
              <w:r w:rsidR="00934F51">
                <w:rPr>
                  <w:szCs w:val="24"/>
                </w:rPr>
                <w:t xml:space="preserve"> šimta</w:t>
              </w:r>
              <w:r w:rsidR="00F15C26">
                <w:rPr>
                  <w:szCs w:val="24"/>
                </w:rPr>
                <w:t>i d</w:t>
              </w:r>
              <w:r w:rsidR="009565AC">
                <w:rPr>
                  <w:szCs w:val="24"/>
                </w:rPr>
                <w:t>evyniasdešimt</w:t>
              </w:r>
              <w:r w:rsidR="006D2FCE">
                <w:rPr>
                  <w:szCs w:val="24"/>
                </w:rPr>
                <w:t xml:space="preserve"> </w:t>
              </w:r>
              <w:r w:rsidR="002B207E">
                <w:rPr>
                  <w:szCs w:val="24"/>
                </w:rPr>
                <w:t xml:space="preserve"> eurų 00 ct</w:t>
              </w:r>
            </w:sdtContent>
          </w:sdt>
        </w:sdtContent>
      </w:sdt>
      <w:r w:rsidRPr="00CF2609">
        <w:rPr>
          <w:szCs w:val="24"/>
        </w:rPr>
        <w:t>). Sutarties vertė su PVM –</w:t>
      </w:r>
      <w:r w:rsidR="006D2FCE">
        <w:rPr>
          <w:color w:val="000000"/>
          <w:szCs w:val="24"/>
          <w:shd w:val="solid" w:color="FFFFFF" w:fill="auto"/>
        </w:rPr>
        <w:t xml:space="preserve"> </w:t>
      </w:r>
      <w:r w:rsidR="009565AC">
        <w:rPr>
          <w:color w:val="000000"/>
          <w:szCs w:val="24"/>
          <w:shd w:val="solid" w:color="FFFFFF" w:fill="auto"/>
        </w:rPr>
        <w:t>22 99</w:t>
      </w:r>
      <w:r w:rsidR="00F15C26">
        <w:rPr>
          <w:color w:val="000000"/>
          <w:szCs w:val="24"/>
          <w:shd w:val="solid" w:color="FFFFFF" w:fill="auto"/>
        </w:rPr>
        <w:t>0</w:t>
      </w:r>
      <w:r w:rsidR="006D2FCE">
        <w:rPr>
          <w:color w:val="000000"/>
          <w:szCs w:val="24"/>
          <w:shd w:val="solid" w:color="FFFFFF" w:fill="auto"/>
        </w:rPr>
        <w:t xml:space="preserve">,00 </w:t>
      </w:r>
      <w:r w:rsidRPr="00CF2609">
        <w:rPr>
          <w:szCs w:val="24"/>
        </w:rPr>
        <w:t>EUR (</w:t>
      </w:r>
      <w:sdt>
        <w:sdtPr>
          <w:rPr>
            <w:szCs w:val="24"/>
          </w:rPr>
          <w:alias w:val="vertė žodžiais"/>
          <w:tag w:val="vertė žodžiais"/>
          <w:id w:val="300509357"/>
          <w:placeholder>
            <w:docPart w:val="482B0ABF8FFC48E09998EEE91E75949B"/>
          </w:placeholder>
        </w:sdtPr>
        <w:sdtEndPr/>
        <w:sdtContent>
          <w:r w:rsidR="002B207E">
            <w:rPr>
              <w:szCs w:val="24"/>
            </w:rPr>
            <w:t xml:space="preserve"> </w:t>
          </w:r>
          <w:r w:rsidR="009565AC">
            <w:rPr>
              <w:szCs w:val="24"/>
            </w:rPr>
            <w:t>dvidešimt du tūkstančiai devyni</w:t>
          </w:r>
          <w:r w:rsidR="00F15C26">
            <w:rPr>
              <w:szCs w:val="24"/>
            </w:rPr>
            <w:t xml:space="preserve"> šimtai d</w:t>
          </w:r>
          <w:r w:rsidR="009565AC">
            <w:rPr>
              <w:szCs w:val="24"/>
            </w:rPr>
            <w:t>evynias</w:t>
          </w:r>
          <w:r w:rsidR="002B207E">
            <w:rPr>
              <w:szCs w:val="24"/>
            </w:rPr>
            <w:t>dešimt eurų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t.y.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A1F9A34" w:rsidR="002527A0" w:rsidRPr="00CF2609" w:rsidRDefault="001F3F7F"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59251876" w:rsidR="002527A0" w:rsidRPr="00CF2609" w:rsidRDefault="001F3F7F"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w:t>
      </w:r>
      <w:r w:rsidR="002527A0" w:rsidRPr="00CF2609">
        <w:rPr>
          <w:bCs/>
          <w:szCs w:val="24"/>
          <w:lang w:eastAsia="lt-LT"/>
        </w:rPr>
        <w:lastRenderedPageBreak/>
        <w:t>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477E8F"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mėnesius/-ių</w:t>
              </w:r>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69E33AC" w:rsidR="002527A0" w:rsidRPr="00E83675" w:rsidRDefault="002527A0" w:rsidP="00CF2609">
      <w:pPr>
        <w:numPr>
          <w:ilvl w:val="2"/>
          <w:numId w:val="1"/>
        </w:numPr>
        <w:tabs>
          <w:tab w:val="clear" w:pos="720"/>
          <w:tab w:val="num" w:pos="993"/>
        </w:tabs>
        <w:spacing w:after="0"/>
        <w:ind w:left="567" w:firstLine="0"/>
        <w:jc w:val="both"/>
        <w:rPr>
          <w:rFonts w:eastAsia="Calibri"/>
          <w:szCs w:val="24"/>
          <w:highlight w:val="black"/>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r w:rsidR="00147652">
            <w:rPr>
              <w:rFonts w:eastAsia="Calibri"/>
              <w:szCs w:val="24"/>
            </w:rPr>
            <w:t>...................</w:t>
          </w:r>
        </w:sdtContent>
      </w:sdt>
    </w:p>
    <w:p w14:paraId="5F14E068" w14:textId="7ADF820E" w:rsidR="002527A0" w:rsidRPr="009801A1"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Užsakovo atstovas, atsakingas už Sutarties ir pakeitimų paskelbimą Lietuvos Respublikos viešųjų p</w:t>
      </w:r>
      <w:r w:rsidRPr="00147652">
        <w:rPr>
          <w:rFonts w:eastAsia="Calibri"/>
          <w:szCs w:val="24"/>
        </w:rPr>
        <w:t xml:space="preserve">irkimų įstatyme nustatyta tvarka </w:t>
      </w:r>
      <w:r w:rsidR="00FF526F" w:rsidRPr="00147652">
        <w:rPr>
          <w:rFonts w:eastAsia="Calibri"/>
          <w:szCs w:val="24"/>
        </w:rPr>
        <w:t>–</w:t>
      </w:r>
      <w:r w:rsidRPr="00147652">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182E02" w:rsidRPr="00147652">
            <w:rPr>
              <w:rFonts w:eastAsia="Calibri"/>
              <w:szCs w:val="24"/>
            </w:rPr>
            <w:t>viešųjų pirkimų specialistė Marija Mažol</w:t>
          </w:r>
        </w:sdtContent>
      </w:sdt>
      <w:r w:rsidRPr="00147652">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rPr>
            <w:highlight w:val="black"/>
          </w:rPr>
        </w:sdtEndPr>
        <w:sdtContent>
          <w:r w:rsidR="00182E02" w:rsidRPr="00147652">
            <w:rPr>
              <w:rFonts w:eastAsia="Calibri"/>
              <w:szCs w:val="24"/>
            </w:rPr>
            <w:t>+370 69436794, el. p.: marija.mazol@</w:t>
          </w:r>
          <w:r w:rsidR="00AD2CCD" w:rsidRPr="00147652">
            <w:rPr>
              <w:rFonts w:eastAsia="Calibri"/>
              <w:szCs w:val="24"/>
            </w:rPr>
            <w:t>keliuprieziura.lt</w:t>
          </w:r>
        </w:sdtContent>
      </w:sdt>
      <w:r w:rsidRPr="009801A1">
        <w:rPr>
          <w:rFonts w:eastAsia="Calibri"/>
          <w:szCs w:val="24"/>
        </w:rPr>
        <w:t>;</w:t>
      </w:r>
    </w:p>
    <w:p w14:paraId="3EF1DA69" w14:textId="3BD492B3" w:rsidR="002527A0" w:rsidRPr="00147652" w:rsidRDefault="00054263" w:rsidP="00CF2609">
      <w:pPr>
        <w:numPr>
          <w:ilvl w:val="2"/>
          <w:numId w:val="1"/>
        </w:numPr>
        <w:tabs>
          <w:tab w:val="clear" w:pos="720"/>
          <w:tab w:val="num" w:pos="993"/>
        </w:tabs>
        <w:spacing w:after="0"/>
        <w:ind w:left="567" w:firstLine="0"/>
        <w:jc w:val="both"/>
        <w:rPr>
          <w:rFonts w:eastAsia="Calibri"/>
          <w:szCs w:val="24"/>
        </w:rPr>
      </w:pPr>
      <w:r w:rsidRPr="00147652">
        <w:rPr>
          <w:rFonts w:eastAsia="Calibri"/>
          <w:szCs w:val="24"/>
        </w:rPr>
        <w:t>T</w:t>
      </w:r>
      <w:r w:rsidRPr="009801A1">
        <w:rPr>
          <w:rFonts w:eastAsia="Calibri"/>
          <w:szCs w:val="24"/>
        </w:rPr>
        <w:t>iekėjo</w:t>
      </w:r>
      <w:r w:rsidR="002527A0" w:rsidRPr="009801A1">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r w:rsidR="00147652">
            <w:rPr>
              <w:szCs w:val="24"/>
            </w:rPr>
            <w:t>.................</w:t>
          </w:r>
        </w:sdtContent>
      </w:sdt>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w:t>
          </w:r>
          <w:proofErr w:type="gramStart"/>
          <w:r w:rsidRPr="002527A0">
            <w:rPr>
              <w:szCs w:val="24"/>
              <w:lang w:val="en-US"/>
            </w:rPr>
            <w:t xml:space="preserve">–  </w:t>
          </w:r>
          <w:r w:rsidR="00C40C64">
            <w:rPr>
              <w:szCs w:val="24"/>
              <w:lang w:val="en-US"/>
            </w:rPr>
            <w:t>Techninė</w:t>
          </w:r>
          <w:proofErr w:type="gramEnd"/>
          <w:r w:rsidR="00C40C64">
            <w:rPr>
              <w:szCs w:val="24"/>
              <w:lang w:val="en-US"/>
            </w:rPr>
            <w:t xml:space="preserve"> specifikacija</w:t>
          </w:r>
          <w:r w:rsidR="009A74CD">
            <w:rPr>
              <w:szCs w:val="24"/>
              <w:lang w:val="en-US"/>
            </w:rPr>
            <w:t>.</w:t>
          </w:r>
        </w:p>
        <w:p w14:paraId="1F1C879A" w14:textId="161ED97C"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r>
            <w:rPr>
              <w:szCs w:val="24"/>
              <w:lang w:val="en-US"/>
            </w:rPr>
            <w:t xml:space="preserve">Priedas Nr. 2 </w:t>
          </w:r>
          <w:proofErr w:type="gramStart"/>
          <w:r>
            <w:rPr>
              <w:szCs w:val="24"/>
              <w:lang w:val="en-US"/>
            </w:rPr>
            <w:t>-  Pasiūlymas</w:t>
          </w:r>
          <w:proofErr w:type="gramEnd"/>
          <w:r>
            <w:rPr>
              <w:szCs w:val="24"/>
              <w:lang w:val="en-US"/>
            </w:rPr>
            <w:t>.</w:t>
          </w:r>
        </w:p>
        <w:p w14:paraId="17689504" w14:textId="77777777" w:rsidR="002527A0" w:rsidRPr="002527A0" w:rsidRDefault="00477E8F"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8555465" w:displacedByCustomXml="next"/>
    <w:bookmarkStart w:id="30"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9801A1"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0E35BCB9" w:rsidR="002527A0" w:rsidRPr="009801A1" w:rsidRDefault="009A74CD" w:rsidP="002527A0">
                <w:pPr>
                  <w:spacing w:after="0"/>
                  <w:rPr>
                    <w:b/>
                    <w:szCs w:val="24"/>
                  </w:rPr>
                </w:pPr>
                <w:r w:rsidRPr="009801A1">
                  <w:rPr>
                    <w:b/>
                    <w:szCs w:val="24"/>
                  </w:rPr>
                  <w:t xml:space="preserve">UAB </w:t>
                </w:r>
                <w:r w:rsidR="004B7BFF" w:rsidRPr="009801A1">
                  <w:rPr>
                    <w:b/>
                    <w:szCs w:val="24"/>
                  </w:rPr>
                  <w:t>„V</w:t>
                </w:r>
                <w:r w:rsidR="00891215" w:rsidRPr="009801A1">
                  <w:rPr>
                    <w:b/>
                    <w:szCs w:val="24"/>
                  </w:rPr>
                  <w:t>airas</w:t>
                </w:r>
                <w:r w:rsidRPr="009801A1">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77FCB920" w:rsidR="002527A0" w:rsidRPr="009801A1" w:rsidRDefault="002527A0" w:rsidP="002527A0">
                <w:pPr>
                  <w:spacing w:after="0"/>
                  <w:rPr>
                    <w:noProof/>
                    <w:szCs w:val="24"/>
                  </w:rPr>
                </w:pPr>
                <w:r w:rsidRPr="009801A1">
                  <w:rPr>
                    <w:noProof/>
                    <w:szCs w:val="24"/>
                  </w:rPr>
                  <w:t xml:space="preserve">Juridinio/fizinio asmens kodas </w:t>
                </w:r>
                <w:r w:rsidR="00011BB5" w:rsidRPr="009801A1">
                  <w:rPr>
                    <w:noProof/>
                    <w:szCs w:val="24"/>
                  </w:rPr>
                  <w:t>140469227</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602C0C6C" w:rsidR="002527A0" w:rsidRPr="009801A1" w:rsidRDefault="002527A0" w:rsidP="002527A0">
                <w:pPr>
                  <w:spacing w:after="0"/>
                  <w:rPr>
                    <w:noProof/>
                    <w:szCs w:val="24"/>
                  </w:rPr>
                </w:pPr>
                <w:r w:rsidRPr="009801A1">
                  <w:rPr>
                    <w:noProof/>
                    <w:szCs w:val="24"/>
                  </w:rPr>
                  <w:t xml:space="preserve">PVM mokėtojo kodas </w:t>
                </w:r>
                <w:r w:rsidR="00D20B64" w:rsidRPr="009801A1">
                  <w:rPr>
                    <w:noProof/>
                    <w:szCs w:val="24"/>
                  </w:rPr>
                  <w:t>LT</w:t>
                </w:r>
                <w:r w:rsidR="00011BB5" w:rsidRPr="009801A1">
                  <w:rPr>
                    <w:noProof/>
                    <w:szCs w:val="24"/>
                  </w:rPr>
                  <w:t>404692219</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01A6426A" w:rsidR="002527A0" w:rsidRPr="009801A1" w:rsidRDefault="00011BB5" w:rsidP="002527A0">
                <w:pPr>
                  <w:spacing w:after="0"/>
                  <w:rPr>
                    <w:noProof/>
                    <w:szCs w:val="24"/>
                  </w:rPr>
                </w:pPr>
                <w:r w:rsidRPr="009801A1">
                  <w:rPr>
                    <w:noProof/>
                    <w:szCs w:val="24"/>
                  </w:rPr>
                  <w:t>Butkų Juzės g. 11, Klaipėda</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0F107DE0" w:rsidR="002527A0" w:rsidRPr="009801A1" w:rsidRDefault="002527A0" w:rsidP="002527A0">
                <w:pPr>
                  <w:spacing w:after="0"/>
                  <w:rPr>
                    <w:noProof/>
                    <w:szCs w:val="24"/>
                  </w:rPr>
                </w:pPr>
                <w:r w:rsidRPr="009801A1">
                  <w:rPr>
                    <w:noProof/>
                    <w:szCs w:val="24"/>
                  </w:rPr>
                  <w:t>Tel.</w:t>
                </w:r>
                <w:r w:rsidR="00054263" w:rsidRPr="009801A1">
                  <w:rPr>
                    <w:noProof/>
                    <w:szCs w:val="24"/>
                  </w:rPr>
                  <w:t>:</w:t>
                </w:r>
                <w:r w:rsidR="008009AB" w:rsidRPr="009801A1">
                  <w:rPr>
                    <w:noProof/>
                    <w:szCs w:val="24"/>
                  </w:rPr>
                  <w:t xml:space="preserve"> </w:t>
                </w:r>
                <w:r w:rsidR="00835868" w:rsidRPr="009801A1">
                  <w:rPr>
                    <w:noProof/>
                    <w:szCs w:val="24"/>
                  </w:rPr>
                  <w:t xml:space="preserve">+370 </w:t>
                </w:r>
                <w:r w:rsidR="00011BB5" w:rsidRPr="009801A1">
                  <w:rPr>
                    <w:noProof/>
                    <w:szCs w:val="24"/>
                  </w:rPr>
                  <w:t>69845777</w:t>
                </w:r>
              </w:p>
            </w:tc>
          </w:tr>
          <w:tr w:rsidR="002527A0" w:rsidRPr="002527A0" w14:paraId="4CD47291" w14:textId="77777777" w:rsidTr="00356458">
            <w:trPr>
              <w:gridAfter w:val="1"/>
              <w:wAfter w:w="9" w:type="pct"/>
              <w:jc w:val="center"/>
            </w:trPr>
            <w:tc>
              <w:tcPr>
                <w:tcW w:w="2281" w:type="pct"/>
              </w:tcPr>
              <w:p w14:paraId="6B9E0A51" w14:textId="77777777" w:rsidR="002527A0" w:rsidRPr="003A1B89" w:rsidRDefault="002527A0" w:rsidP="002527A0">
                <w:pPr>
                  <w:spacing w:after="0"/>
                  <w:rPr>
                    <w:noProof/>
                    <w:szCs w:val="24"/>
                  </w:rPr>
                </w:pPr>
                <w:r w:rsidRPr="003A1B89">
                  <w:rPr>
                    <w:noProof/>
                    <w:szCs w:val="24"/>
                  </w:rPr>
                  <w:t>El. paštas: info@keliuprieziura.lt</w:t>
                </w:r>
              </w:p>
            </w:tc>
            <w:tc>
              <w:tcPr>
                <w:tcW w:w="2710" w:type="pct"/>
              </w:tcPr>
              <w:p w14:paraId="28FEAA35" w14:textId="4D70DE13" w:rsidR="002527A0" w:rsidRPr="009801A1" w:rsidRDefault="002527A0" w:rsidP="002527A0">
                <w:pPr>
                  <w:spacing w:after="0"/>
                  <w:rPr>
                    <w:noProof/>
                    <w:szCs w:val="24"/>
                  </w:rPr>
                </w:pPr>
                <w:r w:rsidRPr="009801A1">
                  <w:rPr>
                    <w:noProof/>
                    <w:szCs w:val="24"/>
                  </w:rPr>
                  <w:t xml:space="preserve">El. Paštas: </w:t>
                </w:r>
                <w:r w:rsidR="00011BB5" w:rsidRPr="009801A1">
                  <w:rPr>
                    <w:noProof/>
                    <w:szCs w:val="24"/>
                  </w:rPr>
                  <w:t>info</w:t>
                </w:r>
                <w:r w:rsidR="008E0E5E" w:rsidRPr="009801A1">
                  <w:rPr>
                    <w:noProof/>
                    <w:szCs w:val="24"/>
                  </w:rPr>
                  <w:t>@</w:t>
                </w:r>
                <w:r w:rsidR="00011BB5" w:rsidRPr="009801A1">
                  <w:rPr>
                    <w:noProof/>
                    <w:szCs w:val="24"/>
                  </w:rPr>
                  <w:t>vairas.lt</w:t>
                </w:r>
              </w:p>
            </w:tc>
          </w:tr>
          <w:tr w:rsidR="002527A0" w:rsidRPr="002527A0" w14:paraId="3FCFD54A" w14:textId="77777777" w:rsidTr="00356458">
            <w:trPr>
              <w:gridAfter w:val="1"/>
              <w:wAfter w:w="9" w:type="pct"/>
              <w:jc w:val="center"/>
            </w:trPr>
            <w:tc>
              <w:tcPr>
                <w:tcW w:w="2281" w:type="pct"/>
              </w:tcPr>
              <w:p w14:paraId="0D3C112D" w14:textId="77777777" w:rsidR="002527A0" w:rsidRPr="00E83675" w:rsidRDefault="002527A0" w:rsidP="002527A0">
                <w:pPr>
                  <w:spacing w:after="0"/>
                  <w:rPr>
                    <w:noProof/>
                    <w:szCs w:val="24"/>
                    <w:highlight w:val="black"/>
                  </w:rPr>
                </w:pPr>
                <w:r w:rsidRPr="00E83675">
                  <w:rPr>
                    <w:noProof/>
                    <w:szCs w:val="24"/>
                    <w:highlight w:val="black"/>
                  </w:rPr>
                  <w:t xml:space="preserve">A.s. </w:t>
                </w:r>
                <w:r w:rsidRPr="00E83675">
                  <w:rPr>
                    <w:bCs/>
                    <w:noProof/>
                    <w:szCs w:val="24"/>
                    <w:highlight w:val="black"/>
                  </w:rPr>
                  <w:t>LT617044060003560452</w:t>
                </w:r>
              </w:p>
            </w:tc>
            <w:tc>
              <w:tcPr>
                <w:tcW w:w="2710" w:type="pct"/>
              </w:tcPr>
              <w:p w14:paraId="546B9F6C" w14:textId="33F7F722" w:rsidR="002527A0" w:rsidRPr="00E83675" w:rsidRDefault="002527A0" w:rsidP="002527A0">
                <w:pPr>
                  <w:spacing w:after="0"/>
                  <w:rPr>
                    <w:noProof/>
                    <w:szCs w:val="24"/>
                    <w:highlight w:val="black"/>
                  </w:rPr>
                </w:pPr>
                <w:r w:rsidRPr="00E83675">
                  <w:rPr>
                    <w:noProof/>
                    <w:szCs w:val="24"/>
                    <w:highlight w:val="black"/>
                  </w:rPr>
                  <w:t xml:space="preserve">A.s. </w:t>
                </w:r>
                <w:r w:rsidR="00835868" w:rsidRPr="00E83675">
                  <w:rPr>
                    <w:noProof/>
                    <w:szCs w:val="24"/>
                    <w:highlight w:val="black"/>
                  </w:rPr>
                  <w:t>LT</w:t>
                </w:r>
                <w:r w:rsidR="00011BB5" w:rsidRPr="00E83675">
                  <w:rPr>
                    <w:noProof/>
                    <w:szCs w:val="24"/>
                    <w:highlight w:val="black"/>
                  </w:rPr>
                  <w:t>887044060000536476</w:t>
                </w:r>
              </w:p>
            </w:tc>
          </w:tr>
          <w:tr w:rsidR="002527A0" w:rsidRPr="002527A0" w14:paraId="573D09AB" w14:textId="77777777" w:rsidTr="00356458">
            <w:trPr>
              <w:gridAfter w:val="1"/>
              <w:wAfter w:w="9" w:type="pct"/>
              <w:jc w:val="center"/>
            </w:trPr>
            <w:tc>
              <w:tcPr>
                <w:tcW w:w="2281" w:type="pct"/>
              </w:tcPr>
              <w:p w14:paraId="233656AB" w14:textId="77777777" w:rsidR="002527A0" w:rsidRPr="00E83675" w:rsidRDefault="002527A0" w:rsidP="002527A0">
                <w:pPr>
                  <w:spacing w:after="0"/>
                  <w:rPr>
                    <w:noProof/>
                    <w:szCs w:val="24"/>
                    <w:highlight w:val="black"/>
                  </w:rPr>
                </w:pPr>
                <w:r w:rsidRPr="00E83675">
                  <w:rPr>
                    <w:noProof/>
                    <w:szCs w:val="24"/>
                    <w:highlight w:val="black"/>
                  </w:rPr>
                  <w:t>AB SEB bankas, b.k. 70440</w:t>
                </w:r>
              </w:p>
            </w:tc>
            <w:tc>
              <w:tcPr>
                <w:tcW w:w="2710" w:type="pct"/>
              </w:tcPr>
              <w:p w14:paraId="76A7AF57" w14:textId="29A58EFA" w:rsidR="002527A0" w:rsidRPr="00E83675" w:rsidRDefault="006835BC" w:rsidP="002527A0">
                <w:pPr>
                  <w:spacing w:after="0"/>
                  <w:rPr>
                    <w:noProof/>
                    <w:szCs w:val="24"/>
                    <w:highlight w:val="black"/>
                  </w:rPr>
                </w:pPr>
                <w:r w:rsidRPr="00E83675">
                  <w:rPr>
                    <w:noProof/>
                    <w:szCs w:val="24"/>
                    <w:highlight w:val="black"/>
                  </w:rPr>
                  <w:t>AB SEB bankas</w:t>
                </w:r>
                <w:r w:rsidR="00E8425F" w:rsidRPr="00E83675">
                  <w:rPr>
                    <w:noProof/>
                    <w:szCs w:val="24"/>
                    <w:highlight w:val="black"/>
                  </w:rPr>
                  <w:t xml:space="preserve">, banko kodas </w:t>
                </w:r>
                <w:r w:rsidRPr="00E83675">
                  <w:rPr>
                    <w:noProof/>
                    <w:szCs w:val="24"/>
                    <w:highlight w:val="black"/>
                  </w:rPr>
                  <w:t>70440</w:t>
                </w:r>
              </w:p>
              <w:p w14:paraId="19FE98EA" w14:textId="77777777" w:rsidR="002527A0" w:rsidRPr="00E83675" w:rsidRDefault="002527A0" w:rsidP="002527A0">
                <w:pPr>
                  <w:spacing w:after="0"/>
                  <w:rPr>
                    <w:noProof/>
                    <w:szCs w:val="24"/>
                    <w:highlight w:val="black"/>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9801A1" w:rsidRDefault="00054263" w:rsidP="002527A0">
                <w:pPr>
                  <w:tabs>
                    <w:tab w:val="left" w:pos="672"/>
                    <w:tab w:val="left" w:pos="1592"/>
                  </w:tabs>
                  <w:spacing w:after="0"/>
                  <w:rPr>
                    <w:szCs w:val="24"/>
                  </w:rPr>
                </w:pPr>
                <w:r w:rsidRPr="009801A1">
                  <w:rPr>
                    <w:b/>
                    <w:szCs w:val="24"/>
                  </w:rPr>
                  <w:t>Tiekėjo</w:t>
                </w:r>
                <w:r w:rsidR="002527A0" w:rsidRPr="009801A1">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22E94F37" w:rsidR="002527A0" w:rsidRPr="0063368F" w:rsidRDefault="002527A0" w:rsidP="002527A0">
                <w:pPr>
                  <w:rPr>
                    <w:b/>
                    <w:bCs/>
                    <w:szCs w:val="24"/>
                  </w:rPr>
                </w:pPr>
                <w:r w:rsidRPr="0063368F">
                  <w:rPr>
                    <w:b/>
                    <w:bCs/>
                    <w:szCs w:val="24"/>
                  </w:rPr>
                  <w:t>_________</w:t>
                </w:r>
                <w:r w:rsidR="008E0E5E">
                  <w:rPr>
                    <w:b/>
                    <w:bCs/>
                    <w:szCs w:val="24"/>
                  </w:rPr>
                  <w:t>Algminas Šmitas</w:t>
                </w:r>
              </w:p>
            </w:tc>
            <w:tc>
              <w:tcPr>
                <w:tcW w:w="2710" w:type="pct"/>
              </w:tcPr>
              <w:p w14:paraId="4B682AD3" w14:textId="20B57FD0" w:rsidR="002527A0" w:rsidRPr="0063368F" w:rsidRDefault="002527A0" w:rsidP="002527A0">
                <w:pPr>
                  <w:rPr>
                    <w:b/>
                    <w:bCs/>
                    <w:szCs w:val="24"/>
                  </w:rPr>
                </w:pPr>
                <w:r w:rsidRPr="0063368F">
                  <w:rPr>
                    <w:b/>
                    <w:bCs/>
                    <w:szCs w:val="24"/>
                  </w:rPr>
                  <w:t>__________</w:t>
                </w:r>
                <w:r w:rsidR="00011BB5">
                  <w:rPr>
                    <w:b/>
                    <w:bCs/>
                    <w:szCs w:val="24"/>
                  </w:rPr>
                  <w:t>Vytautas Kinderis</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1D4B" w14:textId="77777777" w:rsidR="00477E8F" w:rsidRDefault="00477E8F" w:rsidP="00F40B85">
      <w:pPr>
        <w:spacing w:after="0" w:line="240" w:lineRule="auto"/>
      </w:pPr>
      <w:r>
        <w:separator/>
      </w:r>
    </w:p>
  </w:endnote>
  <w:endnote w:type="continuationSeparator" w:id="0">
    <w:p w14:paraId="129A23B0" w14:textId="77777777" w:rsidR="00477E8F" w:rsidRDefault="00477E8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4BB95AAC" w:rsidR="002D5718" w:rsidRDefault="002D5718">
        <w:pPr>
          <w:pStyle w:val="Porat"/>
          <w:jc w:val="right"/>
        </w:pPr>
        <w:r>
          <w:fldChar w:fldCharType="begin"/>
        </w:r>
        <w:r>
          <w:instrText>PAGE   \* MERGEFORMAT</w:instrText>
        </w:r>
        <w:r>
          <w:fldChar w:fldCharType="separate"/>
        </w:r>
        <w:r w:rsidR="00346E0A">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6E50" w14:textId="77777777" w:rsidR="00477E8F" w:rsidRDefault="00477E8F" w:rsidP="00F40B85">
      <w:pPr>
        <w:spacing w:after="0" w:line="240" w:lineRule="auto"/>
      </w:pPr>
      <w:r>
        <w:separator/>
      </w:r>
    </w:p>
  </w:footnote>
  <w:footnote w:type="continuationSeparator" w:id="0">
    <w:p w14:paraId="1E271761" w14:textId="77777777" w:rsidR="00477E8F" w:rsidRDefault="00477E8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1BB5"/>
    <w:rsid w:val="00015397"/>
    <w:rsid w:val="00020ABB"/>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58BB"/>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50E1"/>
    <w:rsid w:val="00125C2C"/>
    <w:rsid w:val="00126034"/>
    <w:rsid w:val="00130EB2"/>
    <w:rsid w:val="00135B0F"/>
    <w:rsid w:val="00147652"/>
    <w:rsid w:val="00153533"/>
    <w:rsid w:val="00157673"/>
    <w:rsid w:val="00162F77"/>
    <w:rsid w:val="001645C4"/>
    <w:rsid w:val="00170658"/>
    <w:rsid w:val="00173378"/>
    <w:rsid w:val="00182E02"/>
    <w:rsid w:val="0018536A"/>
    <w:rsid w:val="00191F2C"/>
    <w:rsid w:val="00193817"/>
    <w:rsid w:val="001A2126"/>
    <w:rsid w:val="001A2BAB"/>
    <w:rsid w:val="001A5615"/>
    <w:rsid w:val="001A70D6"/>
    <w:rsid w:val="001A7799"/>
    <w:rsid w:val="001A7A75"/>
    <w:rsid w:val="001A7BA6"/>
    <w:rsid w:val="001C1AF9"/>
    <w:rsid w:val="001C56B8"/>
    <w:rsid w:val="001E02B8"/>
    <w:rsid w:val="001E1675"/>
    <w:rsid w:val="001E27AF"/>
    <w:rsid w:val="001E44BE"/>
    <w:rsid w:val="001E6E32"/>
    <w:rsid w:val="001F0D1E"/>
    <w:rsid w:val="001F3F7F"/>
    <w:rsid w:val="001F626C"/>
    <w:rsid w:val="00202C69"/>
    <w:rsid w:val="00204536"/>
    <w:rsid w:val="002045CD"/>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F07"/>
    <w:rsid w:val="00271DB6"/>
    <w:rsid w:val="0027434B"/>
    <w:rsid w:val="00282FF3"/>
    <w:rsid w:val="002849AA"/>
    <w:rsid w:val="00287E6C"/>
    <w:rsid w:val="0029349F"/>
    <w:rsid w:val="00294BEB"/>
    <w:rsid w:val="0029509A"/>
    <w:rsid w:val="002950D1"/>
    <w:rsid w:val="00295892"/>
    <w:rsid w:val="00296B40"/>
    <w:rsid w:val="002A0123"/>
    <w:rsid w:val="002B025B"/>
    <w:rsid w:val="002B207E"/>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46E0A"/>
    <w:rsid w:val="00352164"/>
    <w:rsid w:val="00353918"/>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54EC"/>
    <w:rsid w:val="003967DB"/>
    <w:rsid w:val="00396BE2"/>
    <w:rsid w:val="00396F0B"/>
    <w:rsid w:val="003A08DF"/>
    <w:rsid w:val="003A0A2D"/>
    <w:rsid w:val="003A1B89"/>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189B"/>
    <w:rsid w:val="00454D2B"/>
    <w:rsid w:val="00462417"/>
    <w:rsid w:val="00465C15"/>
    <w:rsid w:val="00471BCD"/>
    <w:rsid w:val="0047210D"/>
    <w:rsid w:val="00477E8F"/>
    <w:rsid w:val="00481882"/>
    <w:rsid w:val="00486533"/>
    <w:rsid w:val="0049169D"/>
    <w:rsid w:val="0049382A"/>
    <w:rsid w:val="00494EB8"/>
    <w:rsid w:val="0049752F"/>
    <w:rsid w:val="004B0203"/>
    <w:rsid w:val="004B0F01"/>
    <w:rsid w:val="004B51BE"/>
    <w:rsid w:val="004B5F58"/>
    <w:rsid w:val="004B7BFF"/>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5BC"/>
    <w:rsid w:val="00683D7C"/>
    <w:rsid w:val="00686448"/>
    <w:rsid w:val="006870CC"/>
    <w:rsid w:val="006928B2"/>
    <w:rsid w:val="00694E9D"/>
    <w:rsid w:val="006B2A01"/>
    <w:rsid w:val="006B3C9D"/>
    <w:rsid w:val="006B4DC2"/>
    <w:rsid w:val="006B58A0"/>
    <w:rsid w:val="006C3751"/>
    <w:rsid w:val="006C5E2A"/>
    <w:rsid w:val="006C63B8"/>
    <w:rsid w:val="006C71F2"/>
    <w:rsid w:val="006D2FCE"/>
    <w:rsid w:val="006D5E52"/>
    <w:rsid w:val="006D5F1C"/>
    <w:rsid w:val="006D7659"/>
    <w:rsid w:val="006E12F5"/>
    <w:rsid w:val="006E437F"/>
    <w:rsid w:val="006E4830"/>
    <w:rsid w:val="006E65D2"/>
    <w:rsid w:val="006E6ADD"/>
    <w:rsid w:val="006F036F"/>
    <w:rsid w:val="006F37EE"/>
    <w:rsid w:val="006F4333"/>
    <w:rsid w:val="006F66A9"/>
    <w:rsid w:val="006F7E8B"/>
    <w:rsid w:val="00701ADE"/>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651F"/>
    <w:rsid w:val="00760008"/>
    <w:rsid w:val="00762936"/>
    <w:rsid w:val="00766A7A"/>
    <w:rsid w:val="00767177"/>
    <w:rsid w:val="00771967"/>
    <w:rsid w:val="0079017F"/>
    <w:rsid w:val="007905C5"/>
    <w:rsid w:val="0079190E"/>
    <w:rsid w:val="0079255D"/>
    <w:rsid w:val="0079714E"/>
    <w:rsid w:val="007972A5"/>
    <w:rsid w:val="00797BAA"/>
    <w:rsid w:val="007A0A65"/>
    <w:rsid w:val="007A2369"/>
    <w:rsid w:val="007A35E0"/>
    <w:rsid w:val="007A35FE"/>
    <w:rsid w:val="007A3630"/>
    <w:rsid w:val="007A7333"/>
    <w:rsid w:val="007A7C81"/>
    <w:rsid w:val="007B1FA7"/>
    <w:rsid w:val="007B41BE"/>
    <w:rsid w:val="007C309F"/>
    <w:rsid w:val="007C47BF"/>
    <w:rsid w:val="007C5201"/>
    <w:rsid w:val="007C5AE6"/>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5868"/>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87BD8"/>
    <w:rsid w:val="00891215"/>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0E5E"/>
    <w:rsid w:val="008E2B93"/>
    <w:rsid w:val="008E4A52"/>
    <w:rsid w:val="008E4CDF"/>
    <w:rsid w:val="008E5F63"/>
    <w:rsid w:val="008E619F"/>
    <w:rsid w:val="008E7080"/>
    <w:rsid w:val="008E78CA"/>
    <w:rsid w:val="008E7957"/>
    <w:rsid w:val="008F1C5A"/>
    <w:rsid w:val="008F410F"/>
    <w:rsid w:val="009002EA"/>
    <w:rsid w:val="00902066"/>
    <w:rsid w:val="00902426"/>
    <w:rsid w:val="009100AE"/>
    <w:rsid w:val="00910B7B"/>
    <w:rsid w:val="00910D49"/>
    <w:rsid w:val="00914350"/>
    <w:rsid w:val="0091594B"/>
    <w:rsid w:val="009267E4"/>
    <w:rsid w:val="0092692C"/>
    <w:rsid w:val="00926B3D"/>
    <w:rsid w:val="00927753"/>
    <w:rsid w:val="00927C1A"/>
    <w:rsid w:val="00927CBF"/>
    <w:rsid w:val="009339F8"/>
    <w:rsid w:val="00934E67"/>
    <w:rsid w:val="00934F51"/>
    <w:rsid w:val="00935190"/>
    <w:rsid w:val="0093725F"/>
    <w:rsid w:val="009403F8"/>
    <w:rsid w:val="0094083E"/>
    <w:rsid w:val="0094138D"/>
    <w:rsid w:val="00952811"/>
    <w:rsid w:val="009531BF"/>
    <w:rsid w:val="00953663"/>
    <w:rsid w:val="0095577D"/>
    <w:rsid w:val="009565AC"/>
    <w:rsid w:val="0096295F"/>
    <w:rsid w:val="00963210"/>
    <w:rsid w:val="0096518B"/>
    <w:rsid w:val="009672C4"/>
    <w:rsid w:val="00973E13"/>
    <w:rsid w:val="009777AF"/>
    <w:rsid w:val="009801A1"/>
    <w:rsid w:val="00982AB9"/>
    <w:rsid w:val="00985F39"/>
    <w:rsid w:val="00990C25"/>
    <w:rsid w:val="00992B35"/>
    <w:rsid w:val="00993056"/>
    <w:rsid w:val="009A2CE6"/>
    <w:rsid w:val="009A3321"/>
    <w:rsid w:val="009A3550"/>
    <w:rsid w:val="009A3E40"/>
    <w:rsid w:val="009A74CD"/>
    <w:rsid w:val="009B516B"/>
    <w:rsid w:val="009B51E0"/>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58A5"/>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1017"/>
    <w:rsid w:val="00A74EF6"/>
    <w:rsid w:val="00A778C9"/>
    <w:rsid w:val="00A82D0E"/>
    <w:rsid w:val="00A903AC"/>
    <w:rsid w:val="00A91439"/>
    <w:rsid w:val="00A94975"/>
    <w:rsid w:val="00A976F3"/>
    <w:rsid w:val="00A97981"/>
    <w:rsid w:val="00AA50D6"/>
    <w:rsid w:val="00AA5E9F"/>
    <w:rsid w:val="00AA63F0"/>
    <w:rsid w:val="00AB1966"/>
    <w:rsid w:val="00AB4ADE"/>
    <w:rsid w:val="00AB7591"/>
    <w:rsid w:val="00AB79D5"/>
    <w:rsid w:val="00AD2CCD"/>
    <w:rsid w:val="00AE2743"/>
    <w:rsid w:val="00AE4195"/>
    <w:rsid w:val="00AE4F89"/>
    <w:rsid w:val="00AF1B3C"/>
    <w:rsid w:val="00AF2D4C"/>
    <w:rsid w:val="00AF2E8E"/>
    <w:rsid w:val="00AF3195"/>
    <w:rsid w:val="00AF72EA"/>
    <w:rsid w:val="00AF7B6B"/>
    <w:rsid w:val="00AF7F32"/>
    <w:rsid w:val="00B023EF"/>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057E"/>
    <w:rsid w:val="00B6275B"/>
    <w:rsid w:val="00B72FE8"/>
    <w:rsid w:val="00B74CB2"/>
    <w:rsid w:val="00B74ED9"/>
    <w:rsid w:val="00B7502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43C1"/>
    <w:rsid w:val="00BD5C23"/>
    <w:rsid w:val="00BE0CE7"/>
    <w:rsid w:val="00BE578F"/>
    <w:rsid w:val="00BE67CE"/>
    <w:rsid w:val="00BF4296"/>
    <w:rsid w:val="00BF5940"/>
    <w:rsid w:val="00C0325F"/>
    <w:rsid w:val="00C067B9"/>
    <w:rsid w:val="00C10738"/>
    <w:rsid w:val="00C1090A"/>
    <w:rsid w:val="00C11067"/>
    <w:rsid w:val="00C140DC"/>
    <w:rsid w:val="00C14C16"/>
    <w:rsid w:val="00C15394"/>
    <w:rsid w:val="00C216CE"/>
    <w:rsid w:val="00C26CC5"/>
    <w:rsid w:val="00C3256E"/>
    <w:rsid w:val="00C34235"/>
    <w:rsid w:val="00C34EBB"/>
    <w:rsid w:val="00C35985"/>
    <w:rsid w:val="00C40C64"/>
    <w:rsid w:val="00C4115F"/>
    <w:rsid w:val="00C43D4A"/>
    <w:rsid w:val="00C44856"/>
    <w:rsid w:val="00C450AA"/>
    <w:rsid w:val="00C45A08"/>
    <w:rsid w:val="00C47553"/>
    <w:rsid w:val="00C50C03"/>
    <w:rsid w:val="00C5689B"/>
    <w:rsid w:val="00C62290"/>
    <w:rsid w:val="00C73BF7"/>
    <w:rsid w:val="00C82C43"/>
    <w:rsid w:val="00C83494"/>
    <w:rsid w:val="00C8596F"/>
    <w:rsid w:val="00C90FFC"/>
    <w:rsid w:val="00C9165B"/>
    <w:rsid w:val="00CA6DEB"/>
    <w:rsid w:val="00CA7064"/>
    <w:rsid w:val="00CB05D6"/>
    <w:rsid w:val="00CB1BD7"/>
    <w:rsid w:val="00CB68B9"/>
    <w:rsid w:val="00CC1954"/>
    <w:rsid w:val="00CC2D26"/>
    <w:rsid w:val="00CC4243"/>
    <w:rsid w:val="00CC52F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8DA"/>
    <w:rsid w:val="00D1057F"/>
    <w:rsid w:val="00D11648"/>
    <w:rsid w:val="00D119C3"/>
    <w:rsid w:val="00D12C9E"/>
    <w:rsid w:val="00D1472B"/>
    <w:rsid w:val="00D16A2C"/>
    <w:rsid w:val="00D20B64"/>
    <w:rsid w:val="00D21946"/>
    <w:rsid w:val="00D30631"/>
    <w:rsid w:val="00D32080"/>
    <w:rsid w:val="00D322F0"/>
    <w:rsid w:val="00D334B7"/>
    <w:rsid w:val="00D3715D"/>
    <w:rsid w:val="00D4270B"/>
    <w:rsid w:val="00D43CA4"/>
    <w:rsid w:val="00D51B7E"/>
    <w:rsid w:val="00D53ECD"/>
    <w:rsid w:val="00D56973"/>
    <w:rsid w:val="00D57BCC"/>
    <w:rsid w:val="00D61C3F"/>
    <w:rsid w:val="00D62049"/>
    <w:rsid w:val="00D63DA8"/>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B739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61D3"/>
    <w:rsid w:val="00E11767"/>
    <w:rsid w:val="00E122D5"/>
    <w:rsid w:val="00E1386B"/>
    <w:rsid w:val="00E1466B"/>
    <w:rsid w:val="00E14BDE"/>
    <w:rsid w:val="00E154E1"/>
    <w:rsid w:val="00E16502"/>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3675"/>
    <w:rsid w:val="00E8425F"/>
    <w:rsid w:val="00E86754"/>
    <w:rsid w:val="00EA0B5A"/>
    <w:rsid w:val="00EA3392"/>
    <w:rsid w:val="00EA75D5"/>
    <w:rsid w:val="00EA7796"/>
    <w:rsid w:val="00EB2CCC"/>
    <w:rsid w:val="00EB2F74"/>
    <w:rsid w:val="00EB5257"/>
    <w:rsid w:val="00EB6B26"/>
    <w:rsid w:val="00EC3995"/>
    <w:rsid w:val="00EC4C70"/>
    <w:rsid w:val="00EC5007"/>
    <w:rsid w:val="00EC6D30"/>
    <w:rsid w:val="00ED15D0"/>
    <w:rsid w:val="00ED3070"/>
    <w:rsid w:val="00ED5EE0"/>
    <w:rsid w:val="00ED6227"/>
    <w:rsid w:val="00EE0B94"/>
    <w:rsid w:val="00EE2464"/>
    <w:rsid w:val="00EE5044"/>
    <w:rsid w:val="00EE7DDF"/>
    <w:rsid w:val="00EF433F"/>
    <w:rsid w:val="00EF5648"/>
    <w:rsid w:val="00EF5C29"/>
    <w:rsid w:val="00F067A3"/>
    <w:rsid w:val="00F07102"/>
    <w:rsid w:val="00F13281"/>
    <w:rsid w:val="00F136BC"/>
    <w:rsid w:val="00F13CE0"/>
    <w:rsid w:val="00F14E47"/>
    <w:rsid w:val="00F1518F"/>
    <w:rsid w:val="00F15C26"/>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D79A6"/>
    <w:rsid w:val="00FE1BE8"/>
    <w:rsid w:val="00FE37CD"/>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 w:type="character" w:customStyle="1" w:styleId="Akeliuprieziura">
    <w:name w:val="Akeliuprieziura"/>
    <w:basedOn w:val="Numatytasispastraiposriftas"/>
    <w:uiPriority w:val="1"/>
    <w:qFormat/>
    <w:rsid w:val="00701ADE"/>
    <w:rPr>
      <w:rFonts w:ascii="Times New Roman" w:hAnsi="Times New Roman"/>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9371">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
      <w:docPartPr>
        <w:name w:val="77887D7B361F40E5AFB6F1F6D9699D72"/>
        <w:category>
          <w:name w:val="Bendrosios nuostatos"/>
          <w:gallery w:val="placeholder"/>
        </w:category>
        <w:types>
          <w:type w:val="bbPlcHdr"/>
        </w:types>
        <w:behaviors>
          <w:behavior w:val="content"/>
        </w:behaviors>
        <w:guid w:val="{BA3D41E9-BC7F-4D63-A28D-1D4ABA5EF8E1}"/>
      </w:docPartPr>
      <w:docPartBody>
        <w:p w:rsidR="00D41B74" w:rsidRDefault="006E0B8E" w:rsidP="006E0B8E">
          <w:pPr>
            <w:pStyle w:val="77887D7B361F40E5AFB6F1F6D9699D72"/>
          </w:pPr>
          <w:r w:rsidRPr="00CC3409">
            <w:rPr>
              <w:rStyle w:val="Vietosrezervavimoenklotekstas"/>
            </w:rPr>
            <w:t>Click or tap here to enter text.</w:t>
          </w:r>
        </w:p>
      </w:docPartBody>
    </w:docPart>
    <w:docPart>
      <w:docPartPr>
        <w:name w:val="B79D3D86E5FD4DDA936ECE31D8A6F9C8"/>
        <w:category>
          <w:name w:val="Bendrosios nuostatos"/>
          <w:gallery w:val="placeholder"/>
        </w:category>
        <w:types>
          <w:type w:val="bbPlcHdr"/>
        </w:types>
        <w:behaviors>
          <w:behavior w:val="content"/>
        </w:behaviors>
        <w:guid w:val="{46F495E4-6508-4010-B05C-5D5CD37465F2}"/>
      </w:docPartPr>
      <w:docPartBody>
        <w:p w:rsidR="00D41B74" w:rsidRDefault="006E0B8E" w:rsidP="006E0B8E">
          <w:pPr>
            <w:pStyle w:val="B79D3D86E5FD4DDA936ECE31D8A6F9C8"/>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6241F"/>
    <w:rsid w:val="000C007A"/>
    <w:rsid w:val="001018CE"/>
    <w:rsid w:val="00101A91"/>
    <w:rsid w:val="00126ABD"/>
    <w:rsid w:val="001372A9"/>
    <w:rsid w:val="00144DEC"/>
    <w:rsid w:val="00152008"/>
    <w:rsid w:val="00192850"/>
    <w:rsid w:val="001A4661"/>
    <w:rsid w:val="001D006D"/>
    <w:rsid w:val="001F7804"/>
    <w:rsid w:val="00226F30"/>
    <w:rsid w:val="0023656F"/>
    <w:rsid w:val="00272B68"/>
    <w:rsid w:val="00280B20"/>
    <w:rsid w:val="00287774"/>
    <w:rsid w:val="00292DD6"/>
    <w:rsid w:val="002930F7"/>
    <w:rsid w:val="00296BE7"/>
    <w:rsid w:val="002B4685"/>
    <w:rsid w:val="002C56F9"/>
    <w:rsid w:val="002C5F2A"/>
    <w:rsid w:val="002F24F0"/>
    <w:rsid w:val="00313D83"/>
    <w:rsid w:val="0032163A"/>
    <w:rsid w:val="00342F85"/>
    <w:rsid w:val="0035628C"/>
    <w:rsid w:val="00364736"/>
    <w:rsid w:val="004034B6"/>
    <w:rsid w:val="0041594A"/>
    <w:rsid w:val="00424DD2"/>
    <w:rsid w:val="00437705"/>
    <w:rsid w:val="004512D4"/>
    <w:rsid w:val="004568FC"/>
    <w:rsid w:val="004657A4"/>
    <w:rsid w:val="004C4D33"/>
    <w:rsid w:val="004E0809"/>
    <w:rsid w:val="004F0E3C"/>
    <w:rsid w:val="0050798F"/>
    <w:rsid w:val="0054732D"/>
    <w:rsid w:val="00574C43"/>
    <w:rsid w:val="00587D87"/>
    <w:rsid w:val="005C169E"/>
    <w:rsid w:val="005C52B2"/>
    <w:rsid w:val="00614DD7"/>
    <w:rsid w:val="0063420F"/>
    <w:rsid w:val="00656071"/>
    <w:rsid w:val="00696B0E"/>
    <w:rsid w:val="00697945"/>
    <w:rsid w:val="006B2D60"/>
    <w:rsid w:val="006B5395"/>
    <w:rsid w:val="006B7D00"/>
    <w:rsid w:val="006D29ED"/>
    <w:rsid w:val="006E0B8E"/>
    <w:rsid w:val="00703D3A"/>
    <w:rsid w:val="00737DC6"/>
    <w:rsid w:val="00741A7A"/>
    <w:rsid w:val="00753C32"/>
    <w:rsid w:val="0077750B"/>
    <w:rsid w:val="007C165B"/>
    <w:rsid w:val="007E196F"/>
    <w:rsid w:val="008123A5"/>
    <w:rsid w:val="0081385F"/>
    <w:rsid w:val="00814264"/>
    <w:rsid w:val="0086692A"/>
    <w:rsid w:val="008C6195"/>
    <w:rsid w:val="008E040E"/>
    <w:rsid w:val="008E0531"/>
    <w:rsid w:val="009343FE"/>
    <w:rsid w:val="00935C2B"/>
    <w:rsid w:val="0098085D"/>
    <w:rsid w:val="0099128A"/>
    <w:rsid w:val="009A15C4"/>
    <w:rsid w:val="009C2BCD"/>
    <w:rsid w:val="00A10796"/>
    <w:rsid w:val="00A27531"/>
    <w:rsid w:val="00A5170B"/>
    <w:rsid w:val="00A52396"/>
    <w:rsid w:val="00A62E90"/>
    <w:rsid w:val="00A739FD"/>
    <w:rsid w:val="00A84DFC"/>
    <w:rsid w:val="00A84FC1"/>
    <w:rsid w:val="00A863F0"/>
    <w:rsid w:val="00A92FD5"/>
    <w:rsid w:val="00B1667A"/>
    <w:rsid w:val="00B2259F"/>
    <w:rsid w:val="00B23B95"/>
    <w:rsid w:val="00B40652"/>
    <w:rsid w:val="00B407C1"/>
    <w:rsid w:val="00B50E7E"/>
    <w:rsid w:val="00B71DBA"/>
    <w:rsid w:val="00B72ACB"/>
    <w:rsid w:val="00BA14D7"/>
    <w:rsid w:val="00BB190A"/>
    <w:rsid w:val="00BB2356"/>
    <w:rsid w:val="00C43C35"/>
    <w:rsid w:val="00C74208"/>
    <w:rsid w:val="00C75C18"/>
    <w:rsid w:val="00C85B7F"/>
    <w:rsid w:val="00C9248E"/>
    <w:rsid w:val="00CA4773"/>
    <w:rsid w:val="00CB50CD"/>
    <w:rsid w:val="00CF2DC9"/>
    <w:rsid w:val="00D3109E"/>
    <w:rsid w:val="00D41B74"/>
    <w:rsid w:val="00D526A8"/>
    <w:rsid w:val="00DA74B1"/>
    <w:rsid w:val="00DC6C2F"/>
    <w:rsid w:val="00E2117F"/>
    <w:rsid w:val="00E21665"/>
    <w:rsid w:val="00E457C4"/>
    <w:rsid w:val="00E506E5"/>
    <w:rsid w:val="00E740A6"/>
    <w:rsid w:val="00E854C8"/>
    <w:rsid w:val="00EA2F04"/>
    <w:rsid w:val="00F2209B"/>
    <w:rsid w:val="00F229F9"/>
    <w:rsid w:val="00F260CA"/>
    <w:rsid w:val="00F76A37"/>
    <w:rsid w:val="00F83C20"/>
    <w:rsid w:val="00F8759E"/>
    <w:rsid w:val="00F918DE"/>
    <w:rsid w:val="00FB3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E0B8E"/>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77887D7B361F40E5AFB6F1F6D9699D72">
    <w:name w:val="77887D7B361F40E5AFB6F1F6D9699D72"/>
    <w:rsid w:val="006E0B8E"/>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 w:type="paragraph" w:customStyle="1" w:styleId="B79D3D86E5FD4DDA936ECE31D8A6F9C8">
    <w:name w:val="B79D3D86E5FD4DDA936ECE31D8A6F9C8"/>
    <w:rsid w:val="006E0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8D629-4074-4C2A-8D7A-58C53C3F161E}">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19646</Words>
  <Characters>11199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2021-09-07T11:54:00Z</dcterms:created>
  <dcterms:modified xsi:type="dcterms:W3CDTF">2021-09-07T12:02:00Z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