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lastRenderedPageBreak/>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lastRenderedPageBreak/>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lastRenderedPageBreak/>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lastRenderedPageBreak/>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w:t>
      </w:r>
      <w:r w:rsidR="00D12BD5">
        <w:rPr>
          <w:rFonts w:ascii="Trebuchet MS" w:eastAsia="Trebuchet MS" w:hAnsi="Trebuchet MS" w:cs="Trebuchet MS"/>
        </w:rPr>
        <w:lastRenderedPageBreak/>
        <w:t xml:space="preserve">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lastRenderedPageBreak/>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lastRenderedPageBreak/>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 xml:space="preserve">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w:t>
      </w:r>
      <w:r>
        <w:rPr>
          <w:rStyle w:val="normaltextrun"/>
        </w:rPr>
        <w:lastRenderedPageBreak/>
        <w:t>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lastRenderedPageBreak/>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lastRenderedPageBreak/>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lastRenderedPageBreak/>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lastRenderedPageBreak/>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9D66A" w14:textId="77777777" w:rsidR="00CF1F51" w:rsidRDefault="00CF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0982E" w14:textId="77777777" w:rsidR="00CF1F51" w:rsidRDefault="00CF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A9E8D" w14:textId="77777777" w:rsidR="00CF1F51" w:rsidRDefault="00CF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46015" w14:textId="77777777" w:rsidR="00CF1F51" w:rsidRDefault="00CF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5E4E7" w14:textId="77777777" w:rsidR="00CF1F51" w:rsidRDefault="00CF1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14EB" w14:textId="51DF0788" w:rsidR="00C0346F" w:rsidRDefault="00C0346F" w:rsidP="00C0346F">
    <w:pPr>
      <w:spacing w:before="240"/>
      <w:jc w:val="right"/>
      <w:rPr>
        <w:rFonts w:ascii="Trebuchet MS" w:hAnsi="Trebuchet MS" w:cs="Arial"/>
        <w:b/>
      </w:rPr>
    </w:pPr>
    <w:r>
      <w:rPr>
        <w:rFonts w:ascii="Trebuchet MS" w:hAnsi="Trebuchet MS" w:cs="Arial"/>
        <w:b/>
      </w:rPr>
      <w:t xml:space="preserve">Sutarties projekto </w:t>
    </w:r>
    <w:r w:rsidR="008728D6">
      <w:rPr>
        <w:rFonts w:ascii="Trebuchet MS" w:hAnsi="Trebuchet MS" w:cs="Arial"/>
        <w:b/>
      </w:rPr>
      <w:t>14</w:t>
    </w:r>
    <w:r>
      <w:rPr>
        <w:rFonts w:ascii="Trebuchet MS" w:hAnsi="Trebuchet MS" w:cs="Arial"/>
        <w:b/>
      </w:rPr>
      <w:t xml:space="preserve"> priedas </w:t>
    </w:r>
  </w:p>
  <w:p w14:paraId="42477486" w14:textId="77777777" w:rsidR="00C0346F" w:rsidRDefault="00C0346F" w:rsidP="00082A93">
    <w:pPr>
      <w:pStyle w:val="Header"/>
      <w:jc w:val="right"/>
      <w:rPr>
        <w:rFonts w:ascii="Trebuchet MS" w:hAnsi="Trebuchet MS" w:cs="Arial"/>
      </w:rPr>
    </w:pPr>
  </w:p>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3.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4.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Sandra Kuzminskaitė</cp:lastModifiedBy>
  <cp:revision>5</cp:revision>
  <cp:lastPrinted>2013-09-18T12:51:00Z</cp:lastPrinted>
  <dcterms:created xsi:type="dcterms:W3CDTF">2020-06-17T04:49:00Z</dcterms:created>
  <dcterms:modified xsi:type="dcterms:W3CDTF">2020-07-28T05:12:00Z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