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59F93D9A" w14:textId="77777777" w:rsidR="0006249B" w:rsidRPr="00394861" w:rsidRDefault="0006249B" w:rsidP="00E83987">
      <w:pPr>
        <w:pStyle w:val="Heading2"/>
        <w:spacing w:line="360" w:lineRule="auto"/>
        <w:jc w:val="center"/>
        <w:rPr>
          <w:rFonts w:ascii="Trebuchet MS" w:hAnsi="Trebuchet MS" w:cs="Tahoma"/>
          <w:sz w:val="22"/>
          <w:szCs w:val="22"/>
        </w:rPr>
      </w:pP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mikroprocesorini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r w:rsidR="008746EC" w:rsidRPr="00394861">
        <w:rPr>
          <w:rFonts w:ascii="Trebuchet MS" w:eastAsia="TrebuchetMS" w:hAnsi="Trebuchet MS" w:cs="TrebuchetMS"/>
        </w:rPr>
        <w:t xml:space="preserve">teleinformacijos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defence in depth)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angl. vulnerabilities)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Jeigu nenurodyta kitaip, tuomet prieš pradedant eksploataciją, Įrenginių operacinėje sistemoje, mikrokode (angl. firmware),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teleinformacijos surinkimo ir perdavimo įrenginio (TSPĮ), pastotės laiko sinchronizavimo įrenginio (PLSĮ), operacinėje sistemoje, mikrokode (angl. </w:t>
      </w:r>
      <w:r w:rsidRPr="00E83987">
        <w:rPr>
          <w:rFonts w:ascii="Trebuchet MS" w:hAnsi="Trebuchet MS"/>
          <w:i/>
          <w:iCs/>
        </w:rPr>
        <w:t>firmware</w:t>
      </w:r>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relinės apsaugos ir automatikos įrenginių (RAA), teleinformacijos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operacinėje sistemoje, mikrokode (angl. firmware),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 ir Įranga turi būti suprojektuota ir sukonfigūruota vadovaujantis gerosiomis saugos praktikomis numatytomis CIS Security bechmarks, Security baseline  for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Prieigos saugumas informacinėse sistemose ir Įrangoje turi būti užtikrinamas taikant vaidmenimis pagrįstą teisių sistemą (angl. Role Based Access Control)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žsakovui saugiu būdu turi būti perduoti Informacinių sistemų ir Įrangos konfigūraciniai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(Trojans, backdoors, easter eggs).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r w:rsidRPr="00E83987">
        <w:rPr>
          <w:rStyle w:val="AAAAAChar"/>
        </w:rPr>
        <w:t>This document sets out the minimum requirements and principles applicable to the design of Information Systems and / or projects related to Information Technology and Telecommunications (ITT) equipment, microprocessor equipment, such as: telecommunication data acquisition and transmission equipment (RTU), substation time synchronization equipment, relay protection terminals (IED), control panels (HMI), metering data controllers, general</w:t>
      </w:r>
      <w:r w:rsidRPr="00E83987">
        <w:rPr>
          <w:rStyle w:val="normaltextrun"/>
        </w:rPr>
        <w:t xml:space="preserve"> purpose controllers, telecommunication collection and transmission system, commercial data controllers, Supervisory control and data acquisition system (SCADA) etc. (hereinafter referred to as the Equipment) and for the technical execution and implementation of these projects.</w:t>
      </w:r>
      <w:r w:rsidRPr="00E83987">
        <w:rPr>
          <w:rStyle w:val="eop"/>
        </w:rPr>
        <w:t> </w:t>
      </w:r>
    </w:p>
    <w:p w14:paraId="2E7EC81C" w14:textId="77777777" w:rsidR="00F82FAB" w:rsidRPr="00E83987" w:rsidRDefault="001C3EA0" w:rsidP="00E83987">
      <w:pPr>
        <w:pStyle w:val="AAAAA"/>
      </w:pPr>
      <w:r w:rsidRPr="00E83987">
        <w:rPr>
          <w:rStyle w:val="normaltextrun"/>
        </w:rPr>
        <w:t>The following security principles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Technical and organizational security decisions must be based on a risk assessment and taken in the presence of the Customer and the Supplier. During the project, based on the identified risks, the Supplier together with the Customer will detail the security requirements and include them in the project.</w:t>
      </w:r>
      <w:r w:rsidRPr="00E83987">
        <w:rPr>
          <w:rStyle w:val="eop"/>
        </w:rPr>
        <w:t> </w:t>
      </w:r>
    </w:p>
    <w:p w14:paraId="3854778C" w14:textId="77777777" w:rsidR="00F82FAB" w:rsidRPr="00E83987" w:rsidRDefault="001C3EA0" w:rsidP="00E83987">
      <w:pPr>
        <w:pStyle w:val="AAAAA"/>
      </w:pPr>
      <w:r w:rsidRPr="00E83987">
        <w:rPr>
          <w:rStyle w:val="normaltextrun"/>
        </w:rPr>
        <w:t>Manufacturer support period for the information system and Equipment, including operating system, shall be at least 5 years.</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startup;</w:t>
      </w:r>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integrity;</w:t>
      </w:r>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monitoring;</w:t>
      </w:r>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user;</w:t>
      </w:r>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them;</w:t>
      </w:r>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month;</w:t>
      </w:r>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file;</w:t>
      </w:r>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file;</w:t>
      </w:r>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message;</w:t>
      </w:r>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hour;</w:t>
      </w:r>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(eg computer workstations) - at least once in 4 hours;</w:t>
      </w:r>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configuration;</w:t>
      </w:r>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bechmarks,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connecting;</w:t>
      </w:r>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systems;</w:t>
      </w:r>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D0344" w14:textId="77777777" w:rsidR="00665567" w:rsidRDefault="00665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1364F" w14:textId="77777777" w:rsidR="00665567" w:rsidRDefault="00665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9DD0C" w14:textId="77777777" w:rsidR="00665567" w:rsidRDefault="00665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2E1F" w14:textId="77777777" w:rsidR="00665567" w:rsidRDefault="006655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5037F" w14:textId="77777777" w:rsidR="00665567" w:rsidRDefault="006655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ADD5" w14:textId="77777777"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38A9D7E3" w:rsidR="004B1A20" w:rsidRDefault="004B1A20" w:rsidP="004B1A20">
    <w:pPr>
      <w:pStyle w:val="Header"/>
      <w:jc w:val="right"/>
      <w:rPr>
        <w:rFonts w:ascii="Trebuchet MS" w:hAnsi="Trebuchet MS" w:cs="Arial"/>
      </w:rPr>
    </w:pPr>
    <w:r>
      <w:rPr>
        <w:rFonts w:ascii="Trebuchet MS" w:hAnsi="Trebuchet MS" w:cs="Arial"/>
      </w:rPr>
      <w:t>Generalinio direktoriaus 2020-0</w:t>
    </w:r>
    <w:r w:rsidR="003B3D73">
      <w:rPr>
        <w:rFonts w:ascii="Trebuchet MS" w:hAnsi="Trebuchet MS" w:cs="Arial"/>
      </w:rPr>
      <w:t>4</w:t>
    </w:r>
    <w:r>
      <w:rPr>
        <w:rFonts w:ascii="Trebuchet MS" w:hAnsi="Trebuchet MS" w:cs="Arial"/>
      </w:rPr>
      <w:t>-__ įsakymu Nr.__</w:t>
    </w:r>
  </w:p>
  <w:p w14:paraId="44DB9E68" w14:textId="6AA1007B" w:rsidR="00087591" w:rsidRPr="004E78DE" w:rsidRDefault="00513D31" w:rsidP="004E78DE">
    <w:pPr>
      <w:pStyle w:val="Header"/>
    </w:pPr>
    <w:r>
      <w:rPr>
        <w:rFonts w:ascii="Trebuchet MS" w:hAnsi="Trebuchet MS"/>
      </w:rPr>
      <w:tab/>
    </w:r>
    <w:r>
      <w:rPr>
        <w:rFonts w:ascii="Trebuchet MS" w:hAnsi="Trebuchet MS"/>
      </w:rPr>
      <w:tab/>
    </w:r>
    <w:r w:rsidR="00957294">
      <w:rPr>
        <w:rFonts w:ascii="Trebuchet MS" w:hAnsi="Trebuchet MS"/>
      </w:rPr>
      <w:t>SS 2</w:t>
    </w:r>
    <w:r w:rsidR="00665567">
      <w:rPr>
        <w:rFonts w:ascii="Trebuchet MS" w:hAnsi="Trebuchet MS"/>
      </w:rPr>
      <w:t>1</w:t>
    </w:r>
    <w:r w:rsidR="00957294">
      <w:rPr>
        <w:rFonts w:ascii="Trebuchet MS" w:hAnsi="Trebuchet MS"/>
      </w:rPr>
      <w:t xml:space="preserve"> </w:t>
    </w:r>
    <w:r>
      <w:rPr>
        <w:rFonts w:ascii="Trebuchet MS" w:hAnsi="Trebuchet MS"/>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85"/>
  </w:num>
  <w:num w:numId="4">
    <w:abstractNumId w:val="27"/>
  </w:num>
  <w:num w:numId="5">
    <w:abstractNumId w:val="38"/>
  </w:num>
  <w:num w:numId="6">
    <w:abstractNumId w:val="57"/>
  </w:num>
  <w:num w:numId="7">
    <w:abstractNumId w:val="47"/>
  </w:num>
  <w:num w:numId="8">
    <w:abstractNumId w:val="45"/>
  </w:num>
  <w:num w:numId="9">
    <w:abstractNumId w:val="53"/>
  </w:num>
  <w:num w:numId="10">
    <w:abstractNumId w:val="2"/>
  </w:num>
  <w:num w:numId="11">
    <w:abstractNumId w:val="49"/>
  </w:num>
  <w:num w:numId="12">
    <w:abstractNumId w:val="64"/>
  </w:num>
  <w:num w:numId="13">
    <w:abstractNumId w:val="32"/>
  </w:num>
  <w:num w:numId="14">
    <w:abstractNumId w:val="20"/>
  </w:num>
  <w:num w:numId="15">
    <w:abstractNumId w:val="79"/>
  </w:num>
  <w:num w:numId="16">
    <w:abstractNumId w:val="51"/>
  </w:num>
  <w:num w:numId="17">
    <w:abstractNumId w:val="76"/>
  </w:num>
  <w:num w:numId="18">
    <w:abstractNumId w:val="12"/>
  </w:num>
  <w:num w:numId="19">
    <w:abstractNumId w:val="86"/>
  </w:num>
  <w:num w:numId="20">
    <w:abstractNumId w:val="14"/>
  </w:num>
  <w:num w:numId="21">
    <w:abstractNumId w:val="54"/>
  </w:num>
  <w:num w:numId="22">
    <w:abstractNumId w:val="88"/>
  </w:num>
  <w:num w:numId="23">
    <w:abstractNumId w:val="46"/>
  </w:num>
  <w:num w:numId="24">
    <w:abstractNumId w:val="70"/>
  </w:num>
  <w:num w:numId="25">
    <w:abstractNumId w:val="66"/>
  </w:num>
  <w:num w:numId="26">
    <w:abstractNumId w:val="63"/>
  </w:num>
  <w:num w:numId="27">
    <w:abstractNumId w:val="78"/>
  </w:num>
  <w:num w:numId="28">
    <w:abstractNumId w:val="5"/>
  </w:num>
  <w:num w:numId="29">
    <w:abstractNumId w:val="13"/>
  </w:num>
  <w:num w:numId="30">
    <w:abstractNumId w:val="74"/>
  </w:num>
  <w:num w:numId="31">
    <w:abstractNumId w:val="31"/>
  </w:num>
  <w:num w:numId="32">
    <w:abstractNumId w:val="10"/>
  </w:num>
  <w:num w:numId="33">
    <w:abstractNumId w:val="36"/>
  </w:num>
  <w:num w:numId="34">
    <w:abstractNumId w:val="83"/>
  </w:num>
  <w:num w:numId="35">
    <w:abstractNumId w:val="30"/>
  </w:num>
  <w:num w:numId="36">
    <w:abstractNumId w:val="22"/>
  </w:num>
  <w:num w:numId="37">
    <w:abstractNumId w:val="43"/>
  </w:num>
  <w:num w:numId="38">
    <w:abstractNumId w:val="29"/>
  </w:num>
  <w:num w:numId="39">
    <w:abstractNumId w:val="16"/>
  </w:num>
  <w:num w:numId="40">
    <w:abstractNumId w:val="58"/>
  </w:num>
  <w:num w:numId="41">
    <w:abstractNumId w:val="0"/>
  </w:num>
  <w:num w:numId="42">
    <w:abstractNumId w:val="35"/>
  </w:num>
  <w:num w:numId="43">
    <w:abstractNumId w:val="7"/>
  </w:num>
  <w:num w:numId="44">
    <w:abstractNumId w:val="1"/>
  </w:num>
  <w:num w:numId="45">
    <w:abstractNumId w:val="39"/>
  </w:num>
  <w:num w:numId="46">
    <w:abstractNumId w:val="87"/>
  </w:num>
  <w:num w:numId="47">
    <w:abstractNumId w:val="67"/>
  </w:num>
  <w:num w:numId="48">
    <w:abstractNumId w:val="37"/>
  </w:num>
  <w:num w:numId="49">
    <w:abstractNumId w:val="62"/>
  </w:num>
  <w:num w:numId="50">
    <w:abstractNumId w:val="72"/>
  </w:num>
  <w:num w:numId="51">
    <w:abstractNumId w:val="75"/>
  </w:num>
  <w:num w:numId="52">
    <w:abstractNumId w:val="81"/>
  </w:num>
  <w:num w:numId="53">
    <w:abstractNumId w:val="60"/>
  </w:num>
  <w:num w:numId="54">
    <w:abstractNumId w:val="69"/>
  </w:num>
  <w:num w:numId="55">
    <w:abstractNumId w:val="52"/>
  </w:num>
  <w:num w:numId="56">
    <w:abstractNumId w:val="65"/>
  </w:num>
  <w:num w:numId="57">
    <w:abstractNumId w:val="40"/>
  </w:num>
  <w:num w:numId="58">
    <w:abstractNumId w:val="15"/>
  </w:num>
  <w:num w:numId="59">
    <w:abstractNumId w:val="61"/>
  </w:num>
  <w:num w:numId="60">
    <w:abstractNumId w:val="8"/>
  </w:num>
  <w:num w:numId="61">
    <w:abstractNumId w:val="23"/>
  </w:num>
  <w:num w:numId="62">
    <w:abstractNumId w:val="77"/>
  </w:num>
  <w:num w:numId="63">
    <w:abstractNumId w:val="73"/>
  </w:num>
  <w:num w:numId="64">
    <w:abstractNumId w:val="50"/>
  </w:num>
  <w:num w:numId="65">
    <w:abstractNumId w:val="17"/>
  </w:num>
  <w:num w:numId="66">
    <w:abstractNumId w:val="19"/>
  </w:num>
  <w:num w:numId="67">
    <w:abstractNumId w:val="48"/>
  </w:num>
  <w:num w:numId="68">
    <w:abstractNumId w:val="82"/>
  </w:num>
  <w:num w:numId="69">
    <w:abstractNumId w:val="34"/>
  </w:num>
  <w:num w:numId="70">
    <w:abstractNumId w:val="42"/>
  </w:num>
  <w:num w:numId="71">
    <w:abstractNumId w:val="6"/>
  </w:num>
  <w:num w:numId="72">
    <w:abstractNumId w:val="55"/>
  </w:num>
  <w:num w:numId="73">
    <w:abstractNumId w:val="33"/>
  </w:num>
  <w:num w:numId="74">
    <w:abstractNumId w:val="41"/>
  </w:num>
  <w:num w:numId="75">
    <w:abstractNumId w:val="18"/>
  </w:num>
  <w:num w:numId="76">
    <w:abstractNumId w:val="59"/>
  </w:num>
  <w:num w:numId="77">
    <w:abstractNumId w:val="44"/>
  </w:num>
  <w:num w:numId="78">
    <w:abstractNumId w:val="3"/>
  </w:num>
  <w:num w:numId="79">
    <w:abstractNumId w:val="84"/>
  </w:num>
  <w:num w:numId="80">
    <w:abstractNumId w:val="89"/>
  </w:num>
  <w:num w:numId="81">
    <w:abstractNumId w:val="68"/>
  </w:num>
  <w:num w:numId="82">
    <w:abstractNumId w:val="56"/>
  </w:num>
  <w:num w:numId="83">
    <w:abstractNumId w:val="80"/>
  </w:num>
  <w:num w:numId="84">
    <w:abstractNumId w:val="4"/>
  </w:num>
  <w:num w:numId="85">
    <w:abstractNumId w:val="9"/>
  </w:num>
  <w:num w:numId="86">
    <w:abstractNumId w:val="24"/>
  </w:num>
  <w:num w:numId="87">
    <w:abstractNumId w:val="21"/>
  </w:num>
  <w:num w:numId="88">
    <w:abstractNumId w:val="26"/>
  </w:num>
  <w:num w:numId="89">
    <w:abstractNumId w:val="11"/>
  </w:num>
  <w:num w:numId="90">
    <w:abstractNumId w:val="7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6249B"/>
    <w:rsid w:val="00067776"/>
    <w:rsid w:val="00074E53"/>
    <w:rsid w:val="00087591"/>
    <w:rsid w:val="000A5196"/>
    <w:rsid w:val="000D1BAB"/>
    <w:rsid w:val="000E3AF7"/>
    <w:rsid w:val="000F1CF7"/>
    <w:rsid w:val="000F2230"/>
    <w:rsid w:val="000F69BE"/>
    <w:rsid w:val="00101363"/>
    <w:rsid w:val="00104E0E"/>
    <w:rsid w:val="001472E8"/>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5618B"/>
    <w:rsid w:val="00556DF9"/>
    <w:rsid w:val="005874D4"/>
    <w:rsid w:val="0059071C"/>
    <w:rsid w:val="005B3E13"/>
    <w:rsid w:val="005C512A"/>
    <w:rsid w:val="005E6D8B"/>
    <w:rsid w:val="006223F7"/>
    <w:rsid w:val="00636C57"/>
    <w:rsid w:val="00652B6A"/>
    <w:rsid w:val="00660F50"/>
    <w:rsid w:val="00663D82"/>
    <w:rsid w:val="00665567"/>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06A22"/>
    <w:rsid w:val="008316B6"/>
    <w:rsid w:val="008735FE"/>
    <w:rsid w:val="008746EC"/>
    <w:rsid w:val="00875599"/>
    <w:rsid w:val="00883B99"/>
    <w:rsid w:val="008D03E2"/>
    <w:rsid w:val="008F404B"/>
    <w:rsid w:val="00900425"/>
    <w:rsid w:val="00907D31"/>
    <w:rsid w:val="00942FE1"/>
    <w:rsid w:val="00957294"/>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6560"/>
    <w:rsid w:val="00E0104E"/>
    <w:rsid w:val="00E10EE4"/>
    <w:rsid w:val="00E23765"/>
    <w:rsid w:val="00E23E7F"/>
    <w:rsid w:val="00E341CE"/>
    <w:rsid w:val="00E42F77"/>
    <w:rsid w:val="00E7062B"/>
    <w:rsid w:val="00E71DBE"/>
    <w:rsid w:val="00E83987"/>
    <w:rsid w:val="00E97DBB"/>
    <w:rsid w:val="00EA745C"/>
    <w:rsid w:val="00EC06F4"/>
    <w:rsid w:val="00EC36F1"/>
    <w:rsid w:val="00EC73CE"/>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B7FE9-BCA8-43BB-A73B-6086B341FE70}">
  <ds:schemaRefs>
    <ds:schemaRef ds:uri="http://schemas.openxmlformats.org/officeDocument/2006/bibliography"/>
  </ds:schemaRefs>
</ds:datastoreItem>
</file>

<file path=customXml/itemProps2.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3.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10</Pages>
  <Words>14301</Words>
  <Characters>8152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Sandra Kuzminskaitė</cp:lastModifiedBy>
  <cp:revision>44</cp:revision>
  <dcterms:created xsi:type="dcterms:W3CDTF">2019-12-12T16:17:00Z</dcterms:created>
  <dcterms:modified xsi:type="dcterms:W3CDTF">2020-11-17T10:23:00Z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ies>
</file>