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61723" w14:textId="735DA81A" w:rsidR="00BC10EE" w:rsidRPr="0066056E" w:rsidRDefault="00BC10EE" w:rsidP="00BC10EE">
      <w:pPr>
        <w:jc w:val="center"/>
        <w:rPr>
          <w:b/>
        </w:rPr>
      </w:pPr>
      <w:r w:rsidRPr="0066056E">
        <w:rPr>
          <w:b/>
          <w:szCs w:val="24"/>
        </w:rPr>
        <w:t xml:space="preserve">NAUDOTŲ PADANGŲ </w:t>
      </w:r>
      <w:r w:rsidR="006B7BE2">
        <w:rPr>
          <w:b/>
          <w:szCs w:val="24"/>
        </w:rPr>
        <w:t xml:space="preserve">TVARKYMO </w:t>
      </w:r>
      <w:r w:rsidRPr="0066056E">
        <w:rPr>
          <w:b/>
          <w:szCs w:val="24"/>
        </w:rPr>
        <w:t xml:space="preserve">PASLAUGŲ PIRKIMO </w:t>
      </w:r>
      <w:r w:rsidRPr="0066056E">
        <w:rPr>
          <w:b/>
        </w:rPr>
        <w:t>TECHNINĖ SPECIFIKACIJA</w:t>
      </w:r>
    </w:p>
    <w:p w14:paraId="168FB81C" w14:textId="77777777" w:rsidR="00916460" w:rsidRPr="001F49C6" w:rsidRDefault="00916460" w:rsidP="001F49C6">
      <w:pPr>
        <w:suppressAutoHyphens/>
        <w:jc w:val="center"/>
        <w:textAlignment w:val="baseline"/>
        <w:rPr>
          <w:b/>
          <w:szCs w:val="22"/>
          <w:lang w:eastAsia="fi-FI"/>
        </w:rPr>
      </w:pPr>
    </w:p>
    <w:p w14:paraId="2296D819" w14:textId="10A9E858" w:rsidR="00916460" w:rsidRPr="00E77268" w:rsidRDefault="00916460" w:rsidP="000277C5">
      <w:pPr>
        <w:pStyle w:val="ListParagraph"/>
        <w:numPr>
          <w:ilvl w:val="0"/>
          <w:numId w:val="3"/>
        </w:numPr>
        <w:tabs>
          <w:tab w:val="left" w:pos="2520"/>
        </w:tabs>
        <w:suppressAutoHyphens/>
        <w:ind w:right="-705"/>
        <w:jc w:val="both"/>
        <w:textAlignment w:val="baseline"/>
        <w:rPr>
          <w:rFonts w:asciiTheme="majorBidi" w:eastAsia="Calibri" w:hAnsiTheme="majorBidi" w:cstheme="majorBidi"/>
          <w:szCs w:val="24"/>
          <w:lang w:eastAsia="en-US"/>
        </w:rPr>
      </w:pPr>
      <w:r w:rsidRPr="00E77268">
        <w:rPr>
          <w:rFonts w:asciiTheme="majorBidi" w:eastAsia="Calibri" w:hAnsiTheme="majorBidi" w:cstheme="majorBidi"/>
          <w:szCs w:val="24"/>
          <w:lang w:eastAsia="en-US"/>
        </w:rPr>
        <w:t xml:space="preserve">UAB „VAATC“ (toliau – </w:t>
      </w:r>
      <w:r w:rsidR="001B6A78" w:rsidRPr="00E77268">
        <w:rPr>
          <w:rFonts w:asciiTheme="majorBidi" w:eastAsia="Calibri" w:hAnsiTheme="majorBidi" w:cstheme="majorBidi"/>
          <w:bCs/>
          <w:szCs w:val="24"/>
          <w:lang w:eastAsia="en-US"/>
        </w:rPr>
        <w:t>Paslaugų gavėjas</w:t>
      </w:r>
      <w:r w:rsidRPr="00E77268">
        <w:rPr>
          <w:rFonts w:asciiTheme="majorBidi" w:eastAsia="Calibri" w:hAnsiTheme="majorBidi" w:cstheme="majorBidi"/>
          <w:bCs/>
          <w:szCs w:val="24"/>
          <w:lang w:eastAsia="en-US"/>
        </w:rPr>
        <w:t>) numato</w:t>
      </w:r>
      <w:r w:rsidRPr="00E77268">
        <w:rPr>
          <w:rFonts w:asciiTheme="majorBidi" w:eastAsia="Calibri" w:hAnsiTheme="majorBidi" w:cstheme="majorBidi"/>
          <w:szCs w:val="24"/>
          <w:lang w:eastAsia="en-US"/>
        </w:rPr>
        <w:t xml:space="preserve"> įsigyti </w:t>
      </w:r>
      <w:r w:rsidR="00917243" w:rsidRPr="00E77268">
        <w:rPr>
          <w:rFonts w:asciiTheme="majorBidi" w:eastAsia="Calibri" w:hAnsiTheme="majorBidi" w:cstheme="majorBidi"/>
          <w:szCs w:val="24"/>
          <w:lang w:eastAsia="en-US"/>
        </w:rPr>
        <w:t>n</w:t>
      </w:r>
      <w:r w:rsidR="00BC10EE" w:rsidRPr="00E77268">
        <w:rPr>
          <w:rFonts w:asciiTheme="majorBidi" w:eastAsia="Calibri" w:hAnsiTheme="majorBidi" w:cstheme="majorBidi"/>
          <w:szCs w:val="24"/>
          <w:lang w:eastAsia="en-US"/>
        </w:rPr>
        <w:t>audotų padangų</w:t>
      </w:r>
      <w:r w:rsidRPr="00E77268">
        <w:rPr>
          <w:rFonts w:asciiTheme="majorBidi" w:eastAsia="Calibri" w:hAnsiTheme="majorBidi" w:cstheme="majorBidi"/>
          <w:szCs w:val="24"/>
          <w:lang w:eastAsia="en-US"/>
        </w:rPr>
        <w:t xml:space="preserve"> </w:t>
      </w:r>
      <w:r w:rsidR="001B6A78" w:rsidRPr="00E77268">
        <w:rPr>
          <w:rFonts w:asciiTheme="majorBidi" w:eastAsia="Calibri" w:hAnsiTheme="majorBidi" w:cstheme="majorBidi"/>
          <w:szCs w:val="24"/>
          <w:lang w:eastAsia="en-US"/>
        </w:rPr>
        <w:t>(toliau –</w:t>
      </w:r>
      <w:r w:rsidR="00120402" w:rsidRPr="00E77268">
        <w:rPr>
          <w:rFonts w:asciiTheme="majorBidi" w:eastAsia="Calibri" w:hAnsiTheme="majorBidi" w:cstheme="majorBidi"/>
          <w:szCs w:val="24"/>
          <w:lang w:eastAsia="en-US"/>
        </w:rPr>
        <w:t xml:space="preserve"> padangų </w:t>
      </w:r>
      <w:r w:rsidR="00DB2A4B" w:rsidRPr="00E77268">
        <w:rPr>
          <w:rFonts w:asciiTheme="majorBidi" w:eastAsia="Calibri" w:hAnsiTheme="majorBidi" w:cstheme="majorBidi"/>
          <w:szCs w:val="24"/>
          <w:lang w:eastAsia="en-US"/>
        </w:rPr>
        <w:t>atliekos</w:t>
      </w:r>
      <w:r w:rsidR="001B6A78" w:rsidRPr="00E77268">
        <w:rPr>
          <w:rFonts w:asciiTheme="majorBidi" w:eastAsia="Calibri" w:hAnsiTheme="majorBidi" w:cstheme="majorBidi"/>
          <w:szCs w:val="24"/>
          <w:lang w:eastAsia="en-US"/>
        </w:rPr>
        <w:t>)</w:t>
      </w:r>
      <w:r w:rsidRPr="00E77268">
        <w:rPr>
          <w:rFonts w:asciiTheme="majorBidi" w:eastAsia="Calibri" w:hAnsiTheme="majorBidi" w:cstheme="majorBidi"/>
          <w:szCs w:val="24"/>
          <w:lang w:eastAsia="en-US"/>
        </w:rPr>
        <w:t xml:space="preserve"> </w:t>
      </w:r>
      <w:r w:rsidR="006B7BE2" w:rsidRPr="00E77268">
        <w:rPr>
          <w:rFonts w:asciiTheme="majorBidi" w:eastAsia="Calibri" w:hAnsiTheme="majorBidi" w:cstheme="majorBidi"/>
          <w:szCs w:val="24"/>
          <w:lang w:eastAsia="en-US"/>
        </w:rPr>
        <w:t xml:space="preserve">tvarkymo paslaugas, kurias sudaro </w:t>
      </w:r>
      <w:r w:rsidR="006B7BE2" w:rsidRPr="00E77268">
        <w:rPr>
          <w:rFonts w:asciiTheme="majorBidi" w:eastAsia="Calibri" w:hAnsiTheme="majorBidi" w:cstheme="majorBidi"/>
          <w:szCs w:val="24"/>
        </w:rPr>
        <w:t>visas reikiamas ir susijusias paslaugas, įskaitant, bet neapsiribojant, surinkimą, pakrovimą į Paslaugų teikėjo transportą, transportavimą iki jų apdorojimo vietos, iškrovimą, apdorojimą</w:t>
      </w:r>
      <w:r w:rsidR="00D81FF7" w:rsidRPr="00E77268">
        <w:rPr>
          <w:rFonts w:asciiTheme="majorBidi" w:eastAsia="Calibri" w:hAnsiTheme="majorBidi" w:cstheme="majorBidi"/>
          <w:szCs w:val="24"/>
          <w:lang w:eastAsia="en-US"/>
        </w:rPr>
        <w:t xml:space="preserve"> (toliau – paslaugos)</w:t>
      </w:r>
      <w:r w:rsidR="005B5367" w:rsidRPr="00E77268">
        <w:rPr>
          <w:rFonts w:asciiTheme="majorBidi" w:eastAsia="Calibri" w:hAnsiTheme="majorBidi" w:cstheme="majorBidi"/>
          <w:szCs w:val="24"/>
          <w:lang w:eastAsia="en-US"/>
        </w:rPr>
        <w:t xml:space="preserve">. </w:t>
      </w:r>
    </w:p>
    <w:p w14:paraId="55AB7C7E" w14:textId="6846DBD7" w:rsidR="007A2221" w:rsidRPr="00EC6B2D" w:rsidRDefault="004A747F" w:rsidP="00EC6B2D">
      <w:pPr>
        <w:pStyle w:val="ListParagraph"/>
        <w:numPr>
          <w:ilvl w:val="0"/>
          <w:numId w:val="3"/>
        </w:numPr>
        <w:suppressAutoHyphens/>
        <w:ind w:right="-705"/>
        <w:jc w:val="both"/>
        <w:textAlignment w:val="baseline"/>
        <w:rPr>
          <w:rFonts w:eastAsia="Calibri"/>
          <w:szCs w:val="24"/>
          <w:lang w:eastAsia="en-US"/>
        </w:rPr>
      </w:pPr>
      <w:r w:rsidRPr="00EC6B2D">
        <w:rPr>
          <w:rFonts w:eastAsia="Calibri"/>
          <w:szCs w:val="24"/>
          <w:lang w:eastAsia="en-US"/>
        </w:rPr>
        <w:t>DGASA</w:t>
      </w:r>
      <w:r w:rsidR="00D81FF7">
        <w:rPr>
          <w:rFonts w:eastAsia="Calibri"/>
          <w:szCs w:val="24"/>
          <w:lang w:eastAsia="en-US"/>
        </w:rPr>
        <w:t>, iš kurių tiekėjas turės surinkti ir išvežti atliekas:</w:t>
      </w:r>
    </w:p>
    <w:p w14:paraId="34F1F1FD" w14:textId="77777777" w:rsidR="00C969CA" w:rsidRPr="001F49C6" w:rsidRDefault="00C969CA" w:rsidP="00C969CA">
      <w:pPr>
        <w:suppressAutoHyphens/>
        <w:ind w:right="-705"/>
        <w:jc w:val="both"/>
        <w:textAlignment w:val="baseline"/>
        <w:rPr>
          <w:rFonts w:eastAsia="Calibri"/>
          <w:szCs w:val="22"/>
          <w:lang w:eastAsia="en-US"/>
        </w:rPr>
      </w:pPr>
    </w:p>
    <w:tbl>
      <w:tblPr>
        <w:tblW w:w="120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7552"/>
        <w:gridCol w:w="3969"/>
      </w:tblGrid>
      <w:tr w:rsidR="00BC10EE" w:rsidRPr="00BC729A" w14:paraId="57E6DCAD" w14:textId="77777777" w:rsidTr="0066056E">
        <w:trPr>
          <w:trHeight w:val="45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07F" w14:textId="5B8BEC40" w:rsidR="00BC10EE" w:rsidRPr="00BC729A" w:rsidRDefault="00BC10EE" w:rsidP="00BC10EE">
            <w:pPr>
              <w:autoSpaceDN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N</w:t>
            </w:r>
            <w:r w:rsidRPr="00BC729A">
              <w:rPr>
                <w:rFonts w:eastAsia="Calibri"/>
                <w:b/>
                <w:bCs/>
                <w:color w:val="000000"/>
                <w:sz w:val="22"/>
                <w:szCs w:val="22"/>
              </w:rPr>
              <w:t>r.</w:t>
            </w:r>
          </w:p>
        </w:tc>
        <w:tc>
          <w:tcPr>
            <w:tcW w:w="7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DF62" w14:textId="78DEF2F4" w:rsidR="00BC10EE" w:rsidRPr="00BC729A" w:rsidRDefault="00BC10EE" w:rsidP="00BC729A">
            <w:pPr>
              <w:jc w:val="both"/>
              <w:rPr>
                <w:color w:val="000000"/>
                <w:sz w:val="22"/>
                <w:szCs w:val="22"/>
              </w:rPr>
            </w:pPr>
            <w:r w:rsidRPr="00BC729A">
              <w:rPr>
                <w:rFonts w:eastAsia="Calibri"/>
                <w:b/>
                <w:bCs/>
                <w:color w:val="000000"/>
                <w:sz w:val="22"/>
                <w:szCs w:val="22"/>
              </w:rPr>
              <w:t>ADRESAS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E58" w14:textId="1F9D8047" w:rsidR="00BC10EE" w:rsidRPr="00BC729A" w:rsidRDefault="00BC10EE" w:rsidP="00BC10EE">
            <w:pPr>
              <w:autoSpaceDN/>
              <w:rPr>
                <w:color w:val="000000"/>
                <w:sz w:val="22"/>
                <w:szCs w:val="22"/>
              </w:rPr>
            </w:pPr>
            <w:r w:rsidRPr="00BC729A">
              <w:rPr>
                <w:rFonts w:eastAsia="Calibri"/>
                <w:b/>
                <w:bCs/>
                <w:color w:val="000000"/>
                <w:sz w:val="22"/>
                <w:szCs w:val="22"/>
              </w:rPr>
              <w:t>Miestas, rajonas</w:t>
            </w:r>
          </w:p>
        </w:tc>
      </w:tr>
      <w:tr w:rsidR="00BC10EE" w:rsidRPr="00BC729A" w14:paraId="46C9A71F" w14:textId="77777777" w:rsidTr="0066056E">
        <w:trPr>
          <w:trHeight w:val="458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B921" w14:textId="512C6FC6" w:rsidR="00BC10EE" w:rsidRPr="00BC729A" w:rsidRDefault="00BC10EE" w:rsidP="00BC729A">
            <w:pPr>
              <w:autoSpaceDN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107D" w14:textId="40C34EDA" w:rsidR="00BC10EE" w:rsidRPr="00BC729A" w:rsidRDefault="00BC10EE" w:rsidP="00BC729A">
            <w:pPr>
              <w:autoSpaceDN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5BA8" w14:textId="20B7D913" w:rsidR="00BC10EE" w:rsidRPr="00BC729A" w:rsidRDefault="00BC10EE" w:rsidP="00BC729A">
            <w:pPr>
              <w:autoSpaceDN/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10EE" w:rsidRPr="00BC729A" w14:paraId="591ECADC" w14:textId="77777777" w:rsidTr="0066056E">
        <w:trPr>
          <w:trHeight w:val="315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27EE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9CDF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Pilaitės pr. 50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CE75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Vilniaus m.</w:t>
            </w:r>
          </w:p>
        </w:tc>
      </w:tr>
      <w:tr w:rsidR="00BC10EE" w:rsidRPr="00BC729A" w14:paraId="16580B43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0D594E37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361A43DC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Graičiūno g. 36c</w:t>
            </w:r>
          </w:p>
        </w:tc>
        <w:tc>
          <w:tcPr>
            <w:tcW w:w="3969" w:type="dxa"/>
            <w:vMerge/>
            <w:vAlign w:val="center"/>
            <w:hideMark/>
          </w:tcPr>
          <w:p w14:paraId="28AA2B63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4D39AFB4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4AB4B8C5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sz w:val="22"/>
                <w:szCs w:val="22"/>
              </w:rPr>
              <w:t>3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12213696" w14:textId="1B00AF89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sz w:val="22"/>
                <w:szCs w:val="22"/>
              </w:rPr>
              <w:t>Graičiūno g. 36</w:t>
            </w:r>
            <w:r w:rsidRPr="00F30878">
              <w:rPr>
                <w:sz w:val="22"/>
                <w:szCs w:val="22"/>
              </w:rPr>
              <w:t>d</w:t>
            </w:r>
          </w:p>
        </w:tc>
        <w:tc>
          <w:tcPr>
            <w:tcW w:w="3969" w:type="dxa"/>
            <w:vMerge/>
            <w:vAlign w:val="center"/>
            <w:hideMark/>
          </w:tcPr>
          <w:p w14:paraId="1F37C3E1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1C210CA2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391662EF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2ADE3CCC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Liepkalnio g. 113b</w:t>
            </w:r>
          </w:p>
        </w:tc>
        <w:tc>
          <w:tcPr>
            <w:tcW w:w="3969" w:type="dxa"/>
            <w:vMerge/>
            <w:vAlign w:val="center"/>
            <w:hideMark/>
          </w:tcPr>
          <w:p w14:paraId="2ACF2D03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0FD81826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3AEE586D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64C32290" w14:textId="045AD3F2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Pramonės g. 209s</w:t>
            </w:r>
          </w:p>
        </w:tc>
        <w:tc>
          <w:tcPr>
            <w:tcW w:w="3969" w:type="dxa"/>
            <w:vMerge/>
            <w:vAlign w:val="center"/>
            <w:hideMark/>
          </w:tcPr>
          <w:p w14:paraId="2D11EDC4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50605C03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70231197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0C66B902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Pumpėnų g. 10</w:t>
            </w:r>
          </w:p>
        </w:tc>
        <w:tc>
          <w:tcPr>
            <w:tcW w:w="3969" w:type="dxa"/>
            <w:vMerge/>
            <w:vAlign w:val="center"/>
            <w:hideMark/>
          </w:tcPr>
          <w:p w14:paraId="5BD42B9C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17383429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1BB6B6C2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4B8DF7E2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Grikienių km.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206B76EA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Vilniaus raj.</w:t>
            </w:r>
          </w:p>
        </w:tc>
      </w:tr>
      <w:tr w:rsidR="00BC10EE" w:rsidRPr="00BC729A" w14:paraId="3529C2D3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6235D9F7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46F7C71A" w14:textId="7ACA9768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F30878">
              <w:rPr>
                <w:rFonts w:eastAsia="Calibri"/>
                <w:sz w:val="22"/>
                <w:szCs w:val="22"/>
              </w:rPr>
              <w:t>Veliučionių</w:t>
            </w:r>
            <w:r w:rsidRPr="00BC729A">
              <w:rPr>
                <w:rFonts w:eastAsia="Calibri"/>
                <w:sz w:val="22"/>
                <w:szCs w:val="22"/>
              </w:rPr>
              <w:t xml:space="preserve"> km.</w:t>
            </w:r>
          </w:p>
        </w:tc>
        <w:tc>
          <w:tcPr>
            <w:tcW w:w="3969" w:type="dxa"/>
            <w:vMerge/>
            <w:vAlign w:val="center"/>
            <w:hideMark/>
          </w:tcPr>
          <w:p w14:paraId="2A9DF947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28643A9A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1E23F651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64AD36D9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Pakryžės km.</w:t>
            </w:r>
          </w:p>
        </w:tc>
        <w:tc>
          <w:tcPr>
            <w:tcW w:w="3969" w:type="dxa"/>
            <w:vMerge/>
            <w:vAlign w:val="center"/>
            <w:hideMark/>
          </w:tcPr>
          <w:p w14:paraId="641E103A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7717D2D7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2828FDC3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479BF72F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Vilniaus g. 3G, Šalčininkai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45669BA4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Šalčininkų raj.</w:t>
            </w:r>
          </w:p>
        </w:tc>
      </w:tr>
      <w:tr w:rsidR="00BC10EE" w:rsidRPr="00BC729A" w14:paraId="52FC8176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68006755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72891100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Jašiūnai</w:t>
            </w:r>
          </w:p>
        </w:tc>
        <w:tc>
          <w:tcPr>
            <w:tcW w:w="3969" w:type="dxa"/>
            <w:vMerge/>
            <w:vAlign w:val="center"/>
            <w:hideMark/>
          </w:tcPr>
          <w:p w14:paraId="0F5E2723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1AEECD20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3BFF6BA0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50D0B835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sz w:val="22"/>
                <w:szCs w:val="22"/>
              </w:rPr>
              <w:t>Malūno g. 20, Eišiškės</w:t>
            </w:r>
          </w:p>
        </w:tc>
        <w:tc>
          <w:tcPr>
            <w:tcW w:w="3969" w:type="dxa"/>
            <w:vMerge/>
            <w:vAlign w:val="center"/>
            <w:hideMark/>
          </w:tcPr>
          <w:p w14:paraId="7237B659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53BC8604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5640086F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719072EC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Elektrinės g. 14a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D95B774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Elektrėnų sav.</w:t>
            </w:r>
          </w:p>
        </w:tc>
      </w:tr>
      <w:tr w:rsidR="00BC10EE" w:rsidRPr="00BC729A" w14:paraId="79BD0CB0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026E3081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584763A8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Trakų g. 1a, Lentvaris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5C716F9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Trakų raj.</w:t>
            </w:r>
          </w:p>
        </w:tc>
      </w:tr>
      <w:tr w:rsidR="00BC10EE" w:rsidRPr="00BC729A" w14:paraId="37ADF089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649CAF7A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6A04B8C1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Šniponių km.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5230B15C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Širvintų raj.</w:t>
            </w:r>
          </w:p>
        </w:tc>
      </w:tr>
      <w:tr w:rsidR="00BC10EE" w:rsidRPr="00BC729A" w14:paraId="3EFE581F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26F186F8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1AD3B1B6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Pliauškių km.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14:paraId="46554FE2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Švenčionių raj.</w:t>
            </w:r>
          </w:p>
        </w:tc>
      </w:tr>
      <w:tr w:rsidR="00BC10EE" w:rsidRPr="00BC729A" w14:paraId="6206925F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3E878064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17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6F556214" w14:textId="25DDDED6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proofErr w:type="spellStart"/>
            <w:r w:rsidRPr="00BC729A">
              <w:rPr>
                <w:rFonts w:eastAsia="Calibri"/>
                <w:sz w:val="22"/>
                <w:szCs w:val="22"/>
              </w:rPr>
              <w:t>Maleikėnų</w:t>
            </w:r>
            <w:proofErr w:type="spellEnd"/>
            <w:r w:rsidRPr="00BC729A">
              <w:rPr>
                <w:rFonts w:eastAsia="Calibri"/>
                <w:sz w:val="22"/>
                <w:szCs w:val="22"/>
              </w:rPr>
              <w:t xml:space="preserve"> km., </w:t>
            </w:r>
          </w:p>
        </w:tc>
        <w:tc>
          <w:tcPr>
            <w:tcW w:w="3969" w:type="dxa"/>
            <w:vMerge/>
            <w:vAlign w:val="center"/>
            <w:hideMark/>
          </w:tcPr>
          <w:p w14:paraId="39A08CBB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</w:p>
        </w:tc>
      </w:tr>
      <w:tr w:rsidR="00BC10EE" w:rsidRPr="00BC729A" w14:paraId="5F3A0A0C" w14:textId="77777777" w:rsidTr="0066056E">
        <w:trPr>
          <w:trHeight w:val="315"/>
        </w:trPr>
        <w:tc>
          <w:tcPr>
            <w:tcW w:w="528" w:type="dxa"/>
            <w:shd w:val="clear" w:color="auto" w:fill="auto"/>
            <w:noWrap/>
            <w:vAlign w:val="center"/>
            <w:hideMark/>
          </w:tcPr>
          <w:p w14:paraId="312A2D9D" w14:textId="77777777" w:rsidR="00BC10EE" w:rsidRPr="00BC729A" w:rsidRDefault="00BC10EE" w:rsidP="00436562">
            <w:pPr>
              <w:autoSpaceDN/>
              <w:jc w:val="both"/>
              <w:rPr>
                <w:sz w:val="22"/>
                <w:szCs w:val="22"/>
              </w:rPr>
            </w:pPr>
            <w:r w:rsidRPr="00BC729A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552" w:type="dxa"/>
            <w:shd w:val="clear" w:color="auto" w:fill="auto"/>
            <w:noWrap/>
            <w:vAlign w:val="center"/>
            <w:hideMark/>
          </w:tcPr>
          <w:p w14:paraId="3A24B77A" w14:textId="2BAA24D5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proofErr w:type="spellStart"/>
            <w:r w:rsidRPr="00BC729A">
              <w:rPr>
                <w:rFonts w:eastAsia="Calibri"/>
                <w:sz w:val="22"/>
                <w:szCs w:val="22"/>
              </w:rPr>
              <w:t>G</w:t>
            </w:r>
            <w:r w:rsidR="004A5E3D">
              <w:rPr>
                <w:rFonts w:eastAsia="Calibri"/>
                <w:sz w:val="22"/>
                <w:szCs w:val="22"/>
              </w:rPr>
              <w:t>e</w:t>
            </w:r>
            <w:r w:rsidRPr="00BC729A">
              <w:rPr>
                <w:rFonts w:eastAsia="Calibri"/>
                <w:sz w:val="22"/>
                <w:szCs w:val="22"/>
              </w:rPr>
              <w:t>rseniškių</w:t>
            </w:r>
            <w:proofErr w:type="spellEnd"/>
            <w:r w:rsidRPr="00BC729A">
              <w:rPr>
                <w:rFonts w:eastAsia="Calibri"/>
                <w:sz w:val="22"/>
                <w:szCs w:val="22"/>
              </w:rPr>
              <w:t xml:space="preserve"> g. 5, Ukmergė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D9F9C30" w14:textId="77777777" w:rsidR="00BC10EE" w:rsidRPr="00BC729A" w:rsidRDefault="00BC10EE" w:rsidP="00436562">
            <w:pPr>
              <w:autoSpaceDN/>
              <w:rPr>
                <w:sz w:val="22"/>
                <w:szCs w:val="22"/>
              </w:rPr>
            </w:pPr>
            <w:r w:rsidRPr="00BC729A">
              <w:rPr>
                <w:sz w:val="22"/>
                <w:szCs w:val="22"/>
              </w:rPr>
              <w:t>Ukmergės raj.</w:t>
            </w:r>
          </w:p>
        </w:tc>
      </w:tr>
    </w:tbl>
    <w:p w14:paraId="3BADD6F4" w14:textId="68B2A42F" w:rsidR="00C92BA8" w:rsidRPr="00322027" w:rsidRDefault="00C92BA8" w:rsidP="00C969CA">
      <w:pPr>
        <w:tabs>
          <w:tab w:val="left" w:pos="-4253"/>
          <w:tab w:val="left" w:pos="-2552"/>
          <w:tab w:val="left" w:pos="567"/>
          <w:tab w:val="left" w:pos="1134"/>
        </w:tabs>
        <w:suppressAutoHyphens/>
        <w:ind w:right="-705"/>
        <w:jc w:val="both"/>
        <w:textAlignment w:val="baseline"/>
        <w:rPr>
          <w:rFonts w:eastAsia="Calibri"/>
          <w:szCs w:val="24"/>
          <w:lang w:eastAsia="en-US"/>
        </w:rPr>
      </w:pPr>
    </w:p>
    <w:p w14:paraId="76B79945" w14:textId="77777777" w:rsidR="00EC6B2D" w:rsidRDefault="00EC6B2D" w:rsidP="00BC10EE">
      <w:pPr>
        <w:ind w:firstLine="851"/>
        <w:jc w:val="both"/>
        <w:rPr>
          <w:szCs w:val="24"/>
          <w:highlight w:val="yellow"/>
        </w:rPr>
      </w:pPr>
    </w:p>
    <w:p w14:paraId="63B5BA20" w14:textId="4B4A3803" w:rsidR="00BC10EE" w:rsidRPr="00EC6B2D" w:rsidRDefault="00BC10EE" w:rsidP="00B57C65">
      <w:pPr>
        <w:pStyle w:val="ListParagraph"/>
        <w:numPr>
          <w:ilvl w:val="0"/>
          <w:numId w:val="3"/>
        </w:numPr>
        <w:suppressAutoHyphens/>
        <w:ind w:right="-705"/>
        <w:jc w:val="both"/>
        <w:textAlignment w:val="baseline"/>
        <w:rPr>
          <w:rFonts w:eastAsia="Calibri"/>
          <w:szCs w:val="24"/>
          <w:lang w:eastAsia="en-US"/>
        </w:rPr>
      </w:pPr>
      <w:r w:rsidRPr="00EC6B2D">
        <w:rPr>
          <w:rFonts w:eastAsia="Calibri"/>
          <w:szCs w:val="24"/>
          <w:lang w:eastAsia="en-US"/>
        </w:rPr>
        <w:lastRenderedPageBreak/>
        <w:t>Paslaugų teikėjas paslaug</w:t>
      </w:r>
      <w:r w:rsidR="00D81FF7">
        <w:rPr>
          <w:rFonts w:eastAsia="Calibri"/>
          <w:szCs w:val="24"/>
          <w:lang w:eastAsia="en-US"/>
        </w:rPr>
        <w:t>as</w:t>
      </w:r>
      <w:r w:rsidRPr="00EC6B2D">
        <w:rPr>
          <w:rFonts w:eastAsia="Calibri"/>
          <w:szCs w:val="24"/>
          <w:lang w:eastAsia="en-US"/>
        </w:rPr>
        <w:t xml:space="preserve"> </w:t>
      </w:r>
      <w:r w:rsidR="00D81FF7" w:rsidRPr="00EC6B2D">
        <w:rPr>
          <w:rFonts w:eastAsia="Calibri"/>
          <w:szCs w:val="24"/>
          <w:lang w:eastAsia="en-US"/>
        </w:rPr>
        <w:t xml:space="preserve">turės teikti </w:t>
      </w:r>
      <w:r w:rsidRPr="00EC6B2D">
        <w:rPr>
          <w:rFonts w:eastAsia="Calibri"/>
          <w:szCs w:val="24"/>
          <w:lang w:eastAsia="en-US"/>
        </w:rPr>
        <w:t>naudodamasis savo darbo jėga</w:t>
      </w:r>
      <w:r w:rsidR="00C05E5B">
        <w:rPr>
          <w:rFonts w:eastAsia="Calibri"/>
          <w:szCs w:val="24"/>
          <w:lang w:eastAsia="en-US"/>
        </w:rPr>
        <w:t>, technika</w:t>
      </w:r>
      <w:r w:rsidRPr="00EC6B2D">
        <w:rPr>
          <w:rFonts w:eastAsia="Calibri"/>
          <w:szCs w:val="24"/>
          <w:lang w:eastAsia="en-US"/>
        </w:rPr>
        <w:t xml:space="preserve"> ir </w:t>
      </w:r>
      <w:r w:rsidR="00C05E5B">
        <w:rPr>
          <w:rFonts w:eastAsia="Calibri"/>
          <w:szCs w:val="24"/>
          <w:lang w:eastAsia="en-US"/>
        </w:rPr>
        <w:t>darbo priemonėmis, reikalingomis suteikti paslaugas.</w:t>
      </w:r>
    </w:p>
    <w:p w14:paraId="4A5F9262" w14:textId="483A2EC1" w:rsidR="00BC10EE" w:rsidRPr="00EC6B2D" w:rsidRDefault="00BC10EE" w:rsidP="00B57C65">
      <w:pPr>
        <w:pStyle w:val="ListParagraph"/>
        <w:numPr>
          <w:ilvl w:val="0"/>
          <w:numId w:val="3"/>
        </w:numPr>
        <w:suppressAutoHyphens/>
        <w:ind w:right="-705"/>
        <w:jc w:val="both"/>
        <w:textAlignment w:val="baseline"/>
        <w:rPr>
          <w:rFonts w:eastAsia="Calibri"/>
          <w:szCs w:val="24"/>
          <w:lang w:eastAsia="en-US"/>
        </w:rPr>
      </w:pPr>
      <w:r w:rsidRPr="00EC6B2D">
        <w:rPr>
          <w:rFonts w:eastAsia="Calibri"/>
          <w:szCs w:val="24"/>
          <w:lang w:eastAsia="en-US"/>
        </w:rPr>
        <w:t>Paslaug</w:t>
      </w:r>
      <w:r w:rsidR="004A5E3D">
        <w:rPr>
          <w:rFonts w:eastAsia="Calibri"/>
          <w:szCs w:val="24"/>
          <w:lang w:eastAsia="en-US"/>
        </w:rPr>
        <w:t>ų</w:t>
      </w:r>
      <w:r w:rsidRPr="00EC6B2D">
        <w:rPr>
          <w:rFonts w:eastAsia="Calibri"/>
          <w:szCs w:val="24"/>
          <w:lang w:eastAsia="en-US"/>
        </w:rPr>
        <w:t xml:space="preserve"> t</w:t>
      </w:r>
      <w:r w:rsidR="004A5E3D">
        <w:rPr>
          <w:rFonts w:eastAsia="Calibri"/>
          <w:szCs w:val="24"/>
          <w:lang w:eastAsia="en-US"/>
        </w:rPr>
        <w:t>ei</w:t>
      </w:r>
      <w:r w:rsidRPr="00EC6B2D">
        <w:rPr>
          <w:rFonts w:eastAsia="Calibri"/>
          <w:szCs w:val="24"/>
          <w:lang w:eastAsia="en-US"/>
        </w:rPr>
        <w:t xml:space="preserve">kėjas privalo priimti dviračių, motorolerių, motociklų, automobilių, sudilusias, susprogusias ar supjaustytas padangas. Paslaugos teikėjas padangų atliekas turės pasikrauti neskirstydamas jų pagal rūšį, dydį, būklę, užterštumą </w:t>
      </w:r>
      <w:r w:rsidR="00C05E5B">
        <w:rPr>
          <w:rFonts w:eastAsia="Calibri"/>
          <w:szCs w:val="24"/>
          <w:lang w:eastAsia="en-US"/>
        </w:rPr>
        <w:t>a</w:t>
      </w:r>
      <w:r w:rsidRPr="00EC6B2D">
        <w:rPr>
          <w:rFonts w:eastAsia="Calibri"/>
          <w:szCs w:val="24"/>
          <w:lang w:eastAsia="en-US"/>
        </w:rPr>
        <w:t>r kitus parametrus.</w:t>
      </w:r>
    </w:p>
    <w:p w14:paraId="6CD7E141" w14:textId="5F0B1AFD" w:rsidR="00BC10EE" w:rsidRPr="00EC6B2D" w:rsidRDefault="00120402" w:rsidP="00B57C65">
      <w:pPr>
        <w:pStyle w:val="ListParagraph"/>
        <w:numPr>
          <w:ilvl w:val="0"/>
          <w:numId w:val="3"/>
        </w:numPr>
        <w:suppressAutoHyphens/>
        <w:ind w:right="-705"/>
        <w:jc w:val="both"/>
        <w:textAlignment w:val="baseline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Paslaugų teikėjui perduodamos padangų a</w:t>
      </w:r>
      <w:r w:rsidR="00917243">
        <w:rPr>
          <w:rFonts w:eastAsia="Calibri"/>
          <w:szCs w:val="24"/>
          <w:lang w:eastAsia="en-US"/>
        </w:rPr>
        <w:t>tliekos</w:t>
      </w:r>
      <w:r w:rsidR="00BC10EE" w:rsidRPr="00EC6B2D">
        <w:rPr>
          <w:rFonts w:eastAsia="Calibri"/>
          <w:szCs w:val="24"/>
          <w:lang w:eastAsia="en-US"/>
        </w:rPr>
        <w:t xml:space="preserve"> turi būti pasvertos </w:t>
      </w:r>
      <w:r w:rsidR="00917243">
        <w:rPr>
          <w:rFonts w:eastAsia="Calibri"/>
          <w:szCs w:val="24"/>
          <w:lang w:eastAsia="en-US"/>
        </w:rPr>
        <w:t xml:space="preserve">jų pakrovimo vietoje </w:t>
      </w:r>
      <w:r w:rsidR="00BC10EE" w:rsidRPr="00EC6B2D">
        <w:rPr>
          <w:rFonts w:eastAsia="Calibri"/>
          <w:szCs w:val="24"/>
          <w:lang w:eastAsia="en-US"/>
        </w:rPr>
        <w:t xml:space="preserve">ir jų kiekis turi būti nurodytas </w:t>
      </w:r>
      <w:r w:rsidR="00917243">
        <w:rPr>
          <w:rFonts w:eastAsia="Calibri"/>
          <w:szCs w:val="24"/>
          <w:lang w:eastAsia="en-US"/>
        </w:rPr>
        <w:t xml:space="preserve">Paslaugų teikėjo </w:t>
      </w:r>
      <w:r w:rsidR="00BC10EE" w:rsidRPr="00EC6B2D">
        <w:rPr>
          <w:rFonts w:eastAsia="Calibri"/>
          <w:szCs w:val="24"/>
          <w:lang w:eastAsia="en-US"/>
        </w:rPr>
        <w:t xml:space="preserve">išrašytame išvežamų </w:t>
      </w:r>
      <w:r>
        <w:rPr>
          <w:rFonts w:eastAsia="Calibri"/>
          <w:szCs w:val="24"/>
          <w:lang w:eastAsia="en-US"/>
        </w:rPr>
        <w:t xml:space="preserve">padangų atliekų </w:t>
      </w:r>
      <w:r w:rsidR="00BC10EE" w:rsidRPr="00EC6B2D">
        <w:rPr>
          <w:rFonts w:eastAsia="Calibri"/>
          <w:szCs w:val="24"/>
          <w:lang w:eastAsia="en-US"/>
        </w:rPr>
        <w:t xml:space="preserve">važtaraštyje. Jei nėra galimybės </w:t>
      </w:r>
      <w:r w:rsidR="00C05E5B">
        <w:rPr>
          <w:rFonts w:eastAsia="Calibri"/>
          <w:szCs w:val="24"/>
          <w:lang w:eastAsia="en-US"/>
        </w:rPr>
        <w:t>šių atliekų</w:t>
      </w:r>
      <w:r>
        <w:rPr>
          <w:rFonts w:eastAsia="Calibri"/>
          <w:szCs w:val="24"/>
          <w:lang w:eastAsia="en-US"/>
        </w:rPr>
        <w:t xml:space="preserve"> </w:t>
      </w:r>
      <w:r w:rsidR="00BC10EE" w:rsidRPr="00EC6B2D">
        <w:rPr>
          <w:rFonts w:eastAsia="Calibri"/>
          <w:szCs w:val="24"/>
          <w:lang w:eastAsia="en-US"/>
        </w:rPr>
        <w:t>pasverti, įrašomas orientacinis</w:t>
      </w:r>
      <w:r w:rsidR="00917243">
        <w:rPr>
          <w:rFonts w:eastAsia="Calibri"/>
          <w:szCs w:val="24"/>
          <w:lang w:eastAsia="en-US"/>
        </w:rPr>
        <w:t xml:space="preserve"> </w:t>
      </w:r>
      <w:r w:rsidR="00BC10EE" w:rsidRPr="00EC6B2D">
        <w:rPr>
          <w:rFonts w:eastAsia="Calibri"/>
          <w:szCs w:val="24"/>
          <w:lang w:eastAsia="en-US"/>
        </w:rPr>
        <w:t xml:space="preserve">kiekis, kuris </w:t>
      </w:r>
      <w:r>
        <w:rPr>
          <w:rFonts w:eastAsia="Calibri"/>
          <w:szCs w:val="24"/>
          <w:lang w:eastAsia="en-US"/>
        </w:rPr>
        <w:t xml:space="preserve">jų </w:t>
      </w:r>
      <w:r w:rsidR="00BC10EE" w:rsidRPr="00EC6B2D">
        <w:rPr>
          <w:rFonts w:eastAsia="Calibri"/>
          <w:szCs w:val="24"/>
          <w:lang w:eastAsia="en-US"/>
        </w:rPr>
        <w:t xml:space="preserve">priėmimo </w:t>
      </w:r>
      <w:r w:rsidR="0001661C">
        <w:rPr>
          <w:rFonts w:eastAsia="Calibri"/>
          <w:szCs w:val="24"/>
          <w:lang w:eastAsia="en-US"/>
        </w:rPr>
        <w:t>tvarkymo vietoje</w:t>
      </w:r>
      <w:r>
        <w:rPr>
          <w:rFonts w:eastAsia="Calibri"/>
          <w:szCs w:val="24"/>
          <w:lang w:eastAsia="en-US"/>
        </w:rPr>
        <w:t xml:space="preserve"> metu</w:t>
      </w:r>
      <w:r w:rsidR="00A05F48">
        <w:rPr>
          <w:rFonts w:eastAsia="Calibri"/>
          <w:szCs w:val="24"/>
          <w:lang w:eastAsia="en-US"/>
        </w:rPr>
        <w:t xml:space="preserve"> </w:t>
      </w:r>
      <w:r w:rsidR="00BC10EE" w:rsidRPr="00EC6B2D">
        <w:rPr>
          <w:rFonts w:eastAsia="Calibri"/>
          <w:szCs w:val="24"/>
          <w:lang w:eastAsia="en-US"/>
        </w:rPr>
        <w:t xml:space="preserve">yra </w:t>
      </w:r>
      <w:r w:rsidR="0001661C">
        <w:rPr>
          <w:rFonts w:eastAsia="Calibri"/>
          <w:szCs w:val="24"/>
          <w:lang w:eastAsia="en-US"/>
        </w:rPr>
        <w:t>patikslinamas</w:t>
      </w:r>
      <w:r>
        <w:rPr>
          <w:rFonts w:eastAsia="Calibri"/>
          <w:szCs w:val="24"/>
          <w:lang w:eastAsia="en-US"/>
        </w:rPr>
        <w:t xml:space="preserve"> pasveriant</w:t>
      </w:r>
      <w:r w:rsidR="00BC10EE" w:rsidRPr="00EC6B2D">
        <w:rPr>
          <w:rFonts w:eastAsia="Calibri"/>
          <w:szCs w:val="24"/>
          <w:lang w:eastAsia="en-US"/>
        </w:rPr>
        <w:t>.</w:t>
      </w:r>
    </w:p>
    <w:p w14:paraId="65DB1545" w14:textId="614342D2" w:rsidR="00BC10EE" w:rsidRPr="00EC6B2D" w:rsidRDefault="00BC10EE" w:rsidP="00B57C65">
      <w:pPr>
        <w:pStyle w:val="ListParagraph"/>
        <w:numPr>
          <w:ilvl w:val="0"/>
          <w:numId w:val="3"/>
        </w:numPr>
        <w:suppressAutoHyphens/>
        <w:ind w:right="-705"/>
        <w:jc w:val="both"/>
        <w:textAlignment w:val="baseline"/>
        <w:rPr>
          <w:rFonts w:eastAsia="Calibri"/>
          <w:szCs w:val="24"/>
          <w:lang w:eastAsia="en-US"/>
        </w:rPr>
      </w:pPr>
      <w:r w:rsidRPr="00EC6B2D">
        <w:rPr>
          <w:rFonts w:eastAsia="Calibri"/>
          <w:szCs w:val="24"/>
          <w:lang w:eastAsia="en-US"/>
        </w:rPr>
        <w:t>Paslaug</w:t>
      </w:r>
      <w:r w:rsidR="00917243">
        <w:rPr>
          <w:rFonts w:eastAsia="Calibri"/>
          <w:szCs w:val="24"/>
          <w:lang w:eastAsia="en-US"/>
        </w:rPr>
        <w:t xml:space="preserve">ų įkainis </w:t>
      </w:r>
      <w:r w:rsidRPr="00EC6B2D">
        <w:rPr>
          <w:rFonts w:eastAsia="Calibri"/>
          <w:szCs w:val="24"/>
          <w:lang w:eastAsia="en-US"/>
        </w:rPr>
        <w:t>turi apimti visas su</w:t>
      </w:r>
      <w:r w:rsidR="00917243">
        <w:rPr>
          <w:rFonts w:eastAsia="Calibri"/>
          <w:szCs w:val="24"/>
          <w:lang w:eastAsia="en-US"/>
        </w:rPr>
        <w:t xml:space="preserve"> </w:t>
      </w:r>
      <w:r w:rsidR="00120402">
        <w:rPr>
          <w:rFonts w:eastAsia="Calibri"/>
          <w:szCs w:val="24"/>
          <w:lang w:eastAsia="en-US"/>
        </w:rPr>
        <w:t xml:space="preserve">padangų </w:t>
      </w:r>
      <w:r w:rsidR="00917243">
        <w:rPr>
          <w:rFonts w:eastAsia="Calibri"/>
          <w:szCs w:val="24"/>
          <w:lang w:eastAsia="en-US"/>
        </w:rPr>
        <w:t>atliekų</w:t>
      </w:r>
      <w:r w:rsidRPr="00EC6B2D">
        <w:rPr>
          <w:rFonts w:eastAsia="Calibri"/>
          <w:szCs w:val="24"/>
          <w:lang w:eastAsia="en-US"/>
        </w:rPr>
        <w:t xml:space="preserve"> surinkimu</w:t>
      </w:r>
      <w:r w:rsidR="00B57C65">
        <w:rPr>
          <w:rFonts w:eastAsia="Calibri"/>
          <w:szCs w:val="24"/>
          <w:lang w:eastAsia="en-US"/>
        </w:rPr>
        <w:t>,</w:t>
      </w:r>
      <w:r w:rsidRPr="00EC6B2D">
        <w:rPr>
          <w:rFonts w:eastAsia="Calibri"/>
          <w:szCs w:val="24"/>
          <w:lang w:eastAsia="en-US"/>
        </w:rPr>
        <w:t xml:space="preserve"> vežimu</w:t>
      </w:r>
      <w:r w:rsidR="00B57C65">
        <w:rPr>
          <w:rFonts w:eastAsia="Calibri"/>
          <w:szCs w:val="24"/>
          <w:lang w:eastAsia="en-US"/>
        </w:rPr>
        <w:t xml:space="preserve"> ir </w:t>
      </w:r>
      <w:r w:rsidR="006B7BE2">
        <w:rPr>
          <w:rFonts w:eastAsia="Calibri"/>
          <w:szCs w:val="24"/>
          <w:lang w:eastAsia="en-US"/>
        </w:rPr>
        <w:t xml:space="preserve">galutiniu </w:t>
      </w:r>
      <w:r w:rsidR="00B57C65">
        <w:rPr>
          <w:rFonts w:eastAsia="Calibri"/>
          <w:szCs w:val="24"/>
          <w:lang w:eastAsia="en-US"/>
        </w:rPr>
        <w:t>sutvarkymu</w:t>
      </w:r>
      <w:r w:rsidRPr="00EC6B2D">
        <w:rPr>
          <w:rFonts w:eastAsia="Calibri"/>
          <w:szCs w:val="24"/>
          <w:lang w:eastAsia="en-US"/>
        </w:rPr>
        <w:t xml:space="preserve"> susijusias išlaidas – darbo užmokesčio, transportavimo, pakrovimo</w:t>
      </w:r>
      <w:r w:rsidR="00917243">
        <w:rPr>
          <w:rFonts w:eastAsia="Calibri"/>
          <w:szCs w:val="24"/>
          <w:lang w:eastAsia="en-US"/>
        </w:rPr>
        <w:t xml:space="preserve"> kaštus, </w:t>
      </w:r>
      <w:r w:rsidRPr="00EC6B2D">
        <w:rPr>
          <w:rFonts w:eastAsia="Calibri"/>
          <w:szCs w:val="24"/>
          <w:lang w:eastAsia="en-US"/>
        </w:rPr>
        <w:t>mokesčius, kitų reikalingų priemonių eksploatavimo sąnaudas</w:t>
      </w:r>
      <w:r w:rsidR="006B7BE2">
        <w:rPr>
          <w:rFonts w:eastAsia="Calibri"/>
          <w:szCs w:val="24"/>
          <w:lang w:eastAsia="en-US"/>
        </w:rPr>
        <w:t xml:space="preserve"> ir kt.</w:t>
      </w:r>
      <w:r w:rsidRPr="00EC6B2D">
        <w:rPr>
          <w:rFonts w:eastAsia="Calibri"/>
          <w:szCs w:val="24"/>
          <w:lang w:eastAsia="en-US"/>
        </w:rPr>
        <w:t xml:space="preserve"> </w:t>
      </w:r>
    </w:p>
    <w:p w14:paraId="77EECB84" w14:textId="77777777" w:rsidR="00C969CA" w:rsidRDefault="00C969CA" w:rsidP="005F1D31">
      <w:pPr>
        <w:ind w:right="-705"/>
        <w:jc w:val="both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4912"/>
        <w:gridCol w:w="6162"/>
      </w:tblGrid>
      <w:tr w:rsidR="00C92BA8" w14:paraId="1E193F48" w14:textId="77777777" w:rsidTr="00C81129">
        <w:trPr>
          <w:trHeight w:val="55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0CBE" w14:textId="77777777" w:rsidR="00C92BA8" w:rsidRDefault="00C92BA8" w:rsidP="00C81129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Eil.</w:t>
            </w:r>
          </w:p>
          <w:p w14:paraId="49F19DA1" w14:textId="77777777" w:rsidR="00C92BA8" w:rsidRDefault="00C92BA8" w:rsidP="00C81129">
            <w:pPr>
              <w:spacing w:line="254" w:lineRule="auto"/>
              <w:jc w:val="both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03B3" w14:textId="77777777" w:rsidR="00C92BA8" w:rsidRDefault="00C92BA8" w:rsidP="00C81129">
            <w:pPr>
              <w:spacing w:before="120" w:line="254" w:lineRule="auto"/>
              <w:jc w:val="center"/>
            </w:pPr>
            <w:r>
              <w:rPr>
                <w:b/>
              </w:rPr>
              <w:t>Kvalifikacijos reikalavimai tiekėjui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DE8B" w14:textId="77777777" w:rsidR="00C92BA8" w:rsidRDefault="00C92BA8" w:rsidP="00C81129">
            <w:pPr>
              <w:spacing w:before="120" w:line="254" w:lineRule="auto"/>
              <w:jc w:val="center"/>
            </w:pPr>
            <w:r>
              <w:rPr>
                <w:b/>
              </w:rPr>
              <w:t>Dokumentai ir informacija, kuriuos turi pateikti  tiekėjas, siekiantis įrodyti, kad jo kvalifikacija atitinka keliamus reikalavimus</w:t>
            </w:r>
          </w:p>
        </w:tc>
      </w:tr>
      <w:tr w:rsidR="00C92BA8" w14:paraId="340E3B47" w14:textId="77777777" w:rsidTr="00C81129">
        <w:trPr>
          <w:trHeight w:val="555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393D" w14:textId="1466C538" w:rsidR="00C92BA8" w:rsidRDefault="00120402" w:rsidP="00C81129">
            <w:pPr>
              <w:spacing w:before="120" w:line="254" w:lineRule="auto"/>
            </w:pPr>
            <w:r>
              <w:t>1</w:t>
            </w:r>
            <w:r w:rsidR="00C92BA8">
              <w:t>.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4611" w14:textId="77777777" w:rsidR="00C92BA8" w:rsidRDefault="00C92BA8" w:rsidP="00C81129">
            <w:pPr>
              <w:spacing w:line="254" w:lineRule="auto"/>
              <w:jc w:val="both"/>
            </w:pPr>
            <w:r>
              <w:t>Tiekėjas turi būti registruotas Atliekų tvarkytojų valstybės registre</w:t>
            </w:r>
            <w:r w:rsidR="00263A88">
              <w:t>, kaip NPA</w:t>
            </w:r>
            <w:r w:rsidR="004A5E3D">
              <w:t xml:space="preserve"> (atliekos kodas 16 01 03 (naudotos padangos))</w:t>
            </w:r>
            <w:r w:rsidR="00263A88">
              <w:t xml:space="preserve"> surinkėjas, vežėjas ir tvarkytojas arba eksportuotojas</w:t>
            </w:r>
            <w:r>
              <w:t xml:space="preserve">. </w:t>
            </w:r>
          </w:p>
          <w:p w14:paraId="65FAAE67" w14:textId="77777777" w:rsidR="004A5E3D" w:rsidRDefault="004A5E3D" w:rsidP="00C81129">
            <w:pPr>
              <w:spacing w:line="254" w:lineRule="auto"/>
              <w:jc w:val="both"/>
            </w:pPr>
          </w:p>
          <w:p w14:paraId="42DC19E9" w14:textId="77777777" w:rsidR="004A5E3D" w:rsidRDefault="004A5E3D" w:rsidP="004A5E3D">
            <w:pPr>
              <w:ind w:left="1" w:firstLine="416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Teisinis pagrindas – atliekų tvarkymo taisyklių, patvirtintų Lietuvos Respublikos aplinkos ministro</w:t>
            </w:r>
          </w:p>
          <w:p w14:paraId="10DAD870" w14:textId="77777777" w:rsidR="004A5E3D" w:rsidRDefault="004A5E3D" w:rsidP="004A5E3D">
            <w:pPr>
              <w:spacing w:line="252" w:lineRule="auto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1999 m. liepos 14 d. įsakymu Nr. 217 (aktuali redakcija) 7 punktas.</w:t>
            </w:r>
          </w:p>
          <w:p w14:paraId="36ADFD88" w14:textId="77777777" w:rsidR="004A5E3D" w:rsidRDefault="004A5E3D" w:rsidP="004A5E3D">
            <w:pPr>
              <w:spacing w:line="252" w:lineRule="auto"/>
              <w:jc w:val="both"/>
              <w:rPr>
                <w:szCs w:val="22"/>
              </w:rPr>
            </w:pPr>
          </w:p>
          <w:p w14:paraId="4BE410C3" w14:textId="77777777" w:rsidR="004A5E3D" w:rsidRDefault="004A5E3D" w:rsidP="004A5E3D">
            <w:pPr>
              <w:spacing w:line="252" w:lineRule="auto"/>
              <w:jc w:val="both"/>
              <w:rPr>
                <w:szCs w:val="22"/>
              </w:rPr>
            </w:pPr>
            <w:r>
              <w:rPr>
                <w:szCs w:val="22"/>
              </w:rPr>
              <w:t>Pastabos:</w:t>
            </w:r>
          </w:p>
          <w:p w14:paraId="0763F830" w14:textId="77777777" w:rsidR="004A5E3D" w:rsidRDefault="004A5E3D" w:rsidP="004A5E3D">
            <w:pPr>
              <w:ind w:firstLine="589"/>
              <w:jc w:val="both"/>
              <w:rPr>
                <w:szCs w:val="22"/>
              </w:rPr>
            </w:pPr>
            <w:r>
              <w:rPr>
                <w:szCs w:val="22"/>
              </w:rPr>
              <w:t>· jeigu pasiūlymą teikia ūkio subjektų grupė – reikalavimą turi atitikti kiekvienas ūkio subjektų grupės narys (-</w:t>
            </w:r>
            <w:proofErr w:type="spellStart"/>
            <w:r>
              <w:rPr>
                <w:szCs w:val="22"/>
              </w:rPr>
              <w:t>iai</w:t>
            </w:r>
            <w:proofErr w:type="spellEnd"/>
            <w:r>
              <w:rPr>
                <w:szCs w:val="22"/>
              </w:rPr>
              <w:t>), pagal jų prisiimamus įsipareigojimus pirkimo sutarčiai vykdyti;</w:t>
            </w:r>
          </w:p>
          <w:p w14:paraId="2FD5D312" w14:textId="085EB41D" w:rsidR="004A5E3D" w:rsidRPr="004A5E3D" w:rsidRDefault="004A5E3D" w:rsidP="00B57C65">
            <w:pPr>
              <w:ind w:firstLine="589"/>
              <w:jc w:val="both"/>
              <w:rPr>
                <w:szCs w:val="22"/>
              </w:rPr>
            </w:pPr>
            <w:r>
              <w:rPr>
                <w:szCs w:val="22"/>
              </w:rPr>
              <w:t>· tiekėjas gali remtis kitų ūkio subjektų pajėgumais tik tuomet, kai tie subjektai, kurių pajėgumais buvo pasiremta, patys teiks paslaugas, kurioms reikia jų pajėgumų.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2165" w14:textId="77777777" w:rsidR="00C92BA8" w:rsidRDefault="00C92BA8" w:rsidP="00C81129">
            <w:pPr>
              <w:widowControl w:val="0"/>
              <w:spacing w:line="254" w:lineRule="auto"/>
              <w:jc w:val="both"/>
            </w:pPr>
            <w:r>
              <w:t xml:space="preserve">Iš tiekėjo nereikalaujama pateikti jokių atitiktį reikalavimui įrodančių dokumentų. Perkančioji organizacija tikrina paskutinės pasiūlymų pateikimo termino dienos, nurodytos skelbime apie pirkimą, duomenis Atliekų tvarkytojų valstybės registre. </w:t>
            </w:r>
          </w:p>
          <w:p w14:paraId="148100F4" w14:textId="77777777" w:rsidR="00C92BA8" w:rsidRDefault="00C92BA8" w:rsidP="00C81129">
            <w:pPr>
              <w:widowControl w:val="0"/>
              <w:spacing w:line="254" w:lineRule="auto"/>
              <w:jc w:val="both"/>
              <w:rPr>
                <w:i/>
              </w:rPr>
            </w:pPr>
          </w:p>
        </w:tc>
      </w:tr>
    </w:tbl>
    <w:p w14:paraId="2601411F" w14:textId="77777777" w:rsidR="00C92BA8" w:rsidRPr="001F49C6" w:rsidRDefault="00C92BA8" w:rsidP="005F1D31">
      <w:pPr>
        <w:ind w:right="-705"/>
        <w:jc w:val="both"/>
      </w:pPr>
    </w:p>
    <w:sectPr w:rsidR="00C92BA8" w:rsidRPr="001F49C6" w:rsidSect="00F30878">
      <w:pgSz w:w="15840" w:h="12240" w:orient="landscape"/>
      <w:pgMar w:top="1440" w:right="20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1CF1"/>
    <w:multiLevelType w:val="hybridMultilevel"/>
    <w:tmpl w:val="61EC3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60EF7"/>
    <w:multiLevelType w:val="hybridMultilevel"/>
    <w:tmpl w:val="5DD8878A"/>
    <w:lvl w:ilvl="0" w:tplc="710683B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C6168EE"/>
    <w:multiLevelType w:val="hybridMultilevel"/>
    <w:tmpl w:val="3454CB92"/>
    <w:lvl w:ilvl="0" w:tplc="4B7656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B2318D"/>
    <w:multiLevelType w:val="hybridMultilevel"/>
    <w:tmpl w:val="61EC34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60"/>
    <w:rsid w:val="00002A97"/>
    <w:rsid w:val="0001661C"/>
    <w:rsid w:val="00024BDF"/>
    <w:rsid w:val="000277C5"/>
    <w:rsid w:val="00043FE3"/>
    <w:rsid w:val="000E1ACC"/>
    <w:rsid w:val="000E2F2B"/>
    <w:rsid w:val="00120402"/>
    <w:rsid w:val="001A7E0D"/>
    <w:rsid w:val="001B6A78"/>
    <w:rsid w:val="001D3DF1"/>
    <w:rsid w:val="001F21C5"/>
    <w:rsid w:val="001F49C6"/>
    <w:rsid w:val="0024005D"/>
    <w:rsid w:val="00263A88"/>
    <w:rsid w:val="002727EB"/>
    <w:rsid w:val="002E0B70"/>
    <w:rsid w:val="00322027"/>
    <w:rsid w:val="00327E77"/>
    <w:rsid w:val="00436562"/>
    <w:rsid w:val="004721ED"/>
    <w:rsid w:val="004A5E3D"/>
    <w:rsid w:val="004A747F"/>
    <w:rsid w:val="00542741"/>
    <w:rsid w:val="005B5367"/>
    <w:rsid w:val="005D484B"/>
    <w:rsid w:val="005F1D31"/>
    <w:rsid w:val="006034E0"/>
    <w:rsid w:val="0066056E"/>
    <w:rsid w:val="006B7BE2"/>
    <w:rsid w:val="007001B6"/>
    <w:rsid w:val="00755968"/>
    <w:rsid w:val="007902BC"/>
    <w:rsid w:val="00790A74"/>
    <w:rsid w:val="007A2221"/>
    <w:rsid w:val="00916460"/>
    <w:rsid w:val="00917243"/>
    <w:rsid w:val="009B2CAD"/>
    <w:rsid w:val="00A05F48"/>
    <w:rsid w:val="00A81C31"/>
    <w:rsid w:val="00AA25DF"/>
    <w:rsid w:val="00AB29C0"/>
    <w:rsid w:val="00AC0B62"/>
    <w:rsid w:val="00B14240"/>
    <w:rsid w:val="00B26EC3"/>
    <w:rsid w:val="00B57C65"/>
    <w:rsid w:val="00B954E7"/>
    <w:rsid w:val="00BC10EE"/>
    <w:rsid w:val="00BC729A"/>
    <w:rsid w:val="00C05E5B"/>
    <w:rsid w:val="00C146BD"/>
    <w:rsid w:val="00C272A3"/>
    <w:rsid w:val="00C306B2"/>
    <w:rsid w:val="00C92BA8"/>
    <w:rsid w:val="00C969CA"/>
    <w:rsid w:val="00CD37F9"/>
    <w:rsid w:val="00D77ED0"/>
    <w:rsid w:val="00D81FF7"/>
    <w:rsid w:val="00DB2A4B"/>
    <w:rsid w:val="00E77268"/>
    <w:rsid w:val="00EB6E23"/>
    <w:rsid w:val="00EC6B2D"/>
    <w:rsid w:val="00EC7176"/>
    <w:rsid w:val="00F30878"/>
    <w:rsid w:val="00F33B87"/>
    <w:rsid w:val="00F427BF"/>
    <w:rsid w:val="00F55E6E"/>
    <w:rsid w:val="00F75FA5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977B"/>
  <w15:chartTrackingRefBased/>
  <w15:docId w15:val="{2A68B2AB-B702-415E-880E-29CC9509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460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C6"/>
    <w:rPr>
      <w:rFonts w:ascii="Segoe UI" w:eastAsia="Times New Roman" w:hAnsi="Segoe UI" w:cs="Segoe UI"/>
      <w:sz w:val="18"/>
      <w:szCs w:val="18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F2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1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1C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1C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DB2A4B"/>
    <w:pPr>
      <w:ind w:left="720"/>
      <w:contextualSpacing/>
    </w:pPr>
  </w:style>
  <w:style w:type="paragraph" w:styleId="Revision">
    <w:name w:val="Revision"/>
    <w:hidden/>
    <w:uiPriority w:val="99"/>
    <w:semiHidden/>
    <w:rsid w:val="005F1D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Hyperlink">
    <w:name w:val="Hyperlink"/>
    <w:uiPriority w:val="99"/>
    <w:semiHidden/>
    <w:unhideWhenUsed/>
    <w:rsid w:val="005F1D31"/>
    <w:rPr>
      <w:color w:val="0000FF"/>
      <w:u w:val="single"/>
    </w:rPr>
  </w:style>
  <w:style w:type="paragraph" w:customStyle="1" w:styleId="Point1">
    <w:name w:val="Point 1"/>
    <w:basedOn w:val="Normal"/>
    <w:rsid w:val="005F1D31"/>
    <w:pPr>
      <w:autoSpaceDN/>
      <w:spacing w:before="120" w:after="120"/>
      <w:ind w:left="1418" w:hanging="567"/>
      <w:jc w:val="both"/>
    </w:pPr>
    <w:rPr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2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2E19-569E-4AD5-B7C5-0D9D1203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Gaižutytė</dc:creator>
  <cp:keywords/>
  <dc:description/>
  <cp:lastModifiedBy>Gabija Grilauskaitė</cp:lastModifiedBy>
  <cp:revision>2</cp:revision>
  <dcterms:created xsi:type="dcterms:W3CDTF">2021-09-27T10:20:00Z</dcterms:created>
  <dcterms:modified xsi:type="dcterms:W3CDTF">2021-09-27T10:20:00Z</dcterms:modified>
</cp:coreProperties>
</file>