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D50103" w:rsidRDefault="00E520D1" w:rsidP="00E520D1">
      <w:pPr>
        <w:jc w:val="center"/>
        <w:rPr>
          <w:b/>
        </w:rPr>
      </w:pPr>
      <w:r w:rsidRPr="00D50103">
        <w:rPr>
          <w:b/>
        </w:rPr>
        <w:t xml:space="preserve">PREKIŲ </w:t>
      </w:r>
      <w:r w:rsidR="00FD157B" w:rsidRPr="00D50103">
        <w:rPr>
          <w:b/>
        </w:rPr>
        <w:t xml:space="preserve">VIEŠOJO </w:t>
      </w:r>
      <w:r w:rsidRPr="00D50103">
        <w:rPr>
          <w:b/>
        </w:rPr>
        <w:t xml:space="preserve">PIRKIMO-PARDAVIMO SUTARTIS </w:t>
      </w:r>
    </w:p>
    <w:p w:rsidR="00E520D1" w:rsidRPr="00D50103" w:rsidRDefault="00E520D1" w:rsidP="00E520D1">
      <w:pPr>
        <w:jc w:val="center"/>
        <w:rPr>
          <w:b/>
        </w:rPr>
      </w:pPr>
    </w:p>
    <w:p w:rsidR="004A15C4" w:rsidRPr="00D50103" w:rsidRDefault="004A15C4" w:rsidP="004A15C4">
      <w:pPr>
        <w:ind w:left="2880" w:firstLine="720"/>
      </w:pPr>
      <w:r w:rsidRPr="00D50103">
        <w:t xml:space="preserve">  20............................ Nr.</w:t>
      </w:r>
    </w:p>
    <w:p w:rsidR="004A15C4" w:rsidRPr="00D50103" w:rsidRDefault="004A15C4" w:rsidP="004A15C4">
      <w:pPr>
        <w:ind w:left="3600"/>
        <w:jc w:val="both"/>
        <w:rPr>
          <w:i/>
          <w:sz w:val="20"/>
          <w:szCs w:val="20"/>
        </w:rPr>
      </w:pPr>
      <w:r w:rsidRPr="00D50103">
        <w:rPr>
          <w:sz w:val="22"/>
          <w:szCs w:val="22"/>
        </w:rPr>
        <w:t xml:space="preserve">        </w:t>
      </w:r>
      <w:r w:rsidRPr="00D50103">
        <w:rPr>
          <w:i/>
          <w:sz w:val="20"/>
          <w:szCs w:val="20"/>
        </w:rPr>
        <w:t>(sudarymo vieta)</w:t>
      </w:r>
    </w:p>
    <w:p w:rsidR="004A15C4" w:rsidRPr="00D50103" w:rsidRDefault="004A15C4" w:rsidP="004A15C4">
      <w:pPr>
        <w:jc w:val="both"/>
        <w:rPr>
          <w:b/>
          <w:sz w:val="22"/>
          <w:szCs w:val="22"/>
        </w:rPr>
      </w:pPr>
    </w:p>
    <w:p w:rsidR="00E520D1" w:rsidRPr="00D50103" w:rsidRDefault="005C316B" w:rsidP="00E520D1">
      <w:pPr>
        <w:jc w:val="center"/>
        <w:rPr>
          <w:b/>
        </w:rPr>
      </w:pPr>
      <w:r w:rsidRPr="00D50103">
        <w:rPr>
          <w:b/>
        </w:rPr>
        <w:t xml:space="preserve">I. </w:t>
      </w:r>
      <w:r w:rsidR="00E520D1" w:rsidRPr="00D50103">
        <w:rPr>
          <w:b/>
        </w:rPr>
        <w:t>SPECIALIOJI DALIS</w:t>
      </w:r>
    </w:p>
    <w:p w:rsidR="00E520D1" w:rsidRPr="00D50103" w:rsidRDefault="00E520D1" w:rsidP="00E520D1">
      <w:pPr>
        <w:rPr>
          <w:sz w:val="22"/>
          <w:szCs w:val="22"/>
        </w:rPr>
      </w:pPr>
    </w:p>
    <w:p w:rsidR="004A15C4" w:rsidRPr="00D50103" w:rsidRDefault="00BA123C" w:rsidP="00E520D1">
      <w:pPr>
        <w:jc w:val="both"/>
      </w:pPr>
      <w:r w:rsidRPr="00D50103">
        <w:t xml:space="preserve">Kertinis valstybės telekomunikacijų centras, atstovaujamas direktoriaus Evaldo </w:t>
      </w:r>
      <w:proofErr w:type="spellStart"/>
      <w:r w:rsidRPr="00D50103">
        <w:t>Serbentos</w:t>
      </w:r>
      <w:proofErr w:type="spellEnd"/>
      <w:r w:rsidRPr="00D50103">
        <w:t>, veikiančio pagal įstaigos nuostatus</w:t>
      </w:r>
      <w:r w:rsidR="00211576" w:rsidRPr="00D50103">
        <w:t xml:space="preserve"> (toliau – </w:t>
      </w:r>
      <w:r w:rsidR="00211576" w:rsidRPr="00D50103">
        <w:rPr>
          <w:b/>
        </w:rPr>
        <w:t>Pirkėjas</w:t>
      </w:r>
      <w:r w:rsidR="00211576" w:rsidRPr="00D50103">
        <w:t>)</w:t>
      </w:r>
      <w:r w:rsidRPr="00D50103">
        <w:t>,</w:t>
      </w:r>
      <w:r w:rsidR="00211576" w:rsidRPr="00D50103">
        <w:t xml:space="preserve"> ir</w:t>
      </w:r>
    </w:p>
    <w:p w:rsidR="00BA123C" w:rsidRPr="00D50103" w:rsidRDefault="00BA123C" w:rsidP="00E520D1">
      <w:pPr>
        <w:jc w:val="both"/>
      </w:pPr>
    </w:p>
    <w:p w:rsidR="00E520D1" w:rsidRPr="008A28BF" w:rsidRDefault="008A28BF" w:rsidP="00E520D1">
      <w:pPr>
        <w:jc w:val="both"/>
      </w:pPr>
      <w:r w:rsidRPr="008A28BF">
        <w:t>UAB „</w:t>
      </w:r>
      <w:proofErr w:type="spellStart"/>
      <w:r w:rsidRPr="008A28BF">
        <w:t>Blue</w:t>
      </w:r>
      <w:proofErr w:type="spellEnd"/>
      <w:r w:rsidRPr="008A28BF">
        <w:t xml:space="preserve"> </w:t>
      </w:r>
      <w:proofErr w:type="spellStart"/>
      <w:r w:rsidRPr="008A28BF">
        <w:t>Bridge</w:t>
      </w:r>
      <w:proofErr w:type="spellEnd"/>
      <w:r w:rsidRPr="008A28BF">
        <w:t xml:space="preserve"> MSP“</w:t>
      </w:r>
      <w:r w:rsidR="00E520D1" w:rsidRPr="008A28BF">
        <w:t xml:space="preserve">, atstovaujama </w:t>
      </w:r>
      <w:r w:rsidRPr="008A28BF">
        <w:t xml:space="preserve">direktoriaus </w:t>
      </w:r>
      <w:proofErr w:type="spellStart"/>
      <w:r w:rsidRPr="008A28BF">
        <w:t>Daliaus</w:t>
      </w:r>
      <w:proofErr w:type="spellEnd"/>
      <w:r w:rsidRPr="008A28BF">
        <w:t xml:space="preserve"> Butkaus, veikiančio  pagal bendrovės įstatus</w:t>
      </w:r>
      <w:r w:rsidR="00E520D1" w:rsidRPr="008A28BF">
        <w:t xml:space="preserve"> (toliau – </w:t>
      </w:r>
      <w:r w:rsidR="00E520D1" w:rsidRPr="008A28BF">
        <w:rPr>
          <w:b/>
        </w:rPr>
        <w:t>Pardavėjas</w:t>
      </w:r>
      <w:r w:rsidR="00E520D1" w:rsidRPr="008A28BF">
        <w:t xml:space="preserve">), </w:t>
      </w:r>
    </w:p>
    <w:p w:rsidR="00BB4C36" w:rsidRPr="00D50103" w:rsidRDefault="00BB4C36" w:rsidP="00E520D1">
      <w:pPr>
        <w:jc w:val="both"/>
        <w:rPr>
          <w:highlight w:val="yellow"/>
        </w:rPr>
      </w:pPr>
    </w:p>
    <w:p w:rsidR="00D50103" w:rsidRDefault="00D50103" w:rsidP="00E520D1">
      <w:pPr>
        <w:jc w:val="both"/>
        <w:rPr>
          <w:highlight w:val="yellow"/>
        </w:rPr>
      </w:pPr>
      <w:r w:rsidRPr="00C914A8">
        <w:rPr>
          <w:color w:val="000000"/>
        </w:rPr>
        <w:t xml:space="preserve">toliau kartu šioje paslaugų viešojo pirkimo-pardavimo sutartyje vadinami „Šalimis“, o kiekvienas atskirai – „Šalimi“, vadovaudamosi </w:t>
      </w:r>
      <w:r w:rsidRPr="00C914A8">
        <w:t>Lietuvos Respublikos viešųjų pirkimų įstatymų (toliau – VPĮ),</w:t>
      </w:r>
      <w:r w:rsidRPr="00C914A8">
        <w:rPr>
          <w:rFonts w:ascii="Calibri" w:eastAsia="Calibri" w:hAnsi="Calibri"/>
          <w:sz w:val="22"/>
          <w:szCs w:val="22"/>
        </w:rPr>
        <w:t xml:space="preserve"> </w:t>
      </w:r>
      <w:r w:rsidRPr="00C914A8">
        <w:t>Mažos vertės pirkimų aprašu, patvirtintu Viešųjų pirkimų tarnybos direktoriaus 2017 m. birželio 28 d. įsakymu Nr. 1S-97 „Dėl Mažos vertės pirkimų tvarkos aprašo patvirtinimo“</w:t>
      </w:r>
      <w:r w:rsidRPr="00C914A8">
        <w:rPr>
          <w:bCs/>
        </w:rPr>
        <w:t>,</w:t>
      </w:r>
    </w:p>
    <w:p w:rsidR="004A15C4" w:rsidRPr="00D50103" w:rsidRDefault="004A15C4" w:rsidP="00E520D1">
      <w:pPr>
        <w:jc w:val="both"/>
      </w:pPr>
    </w:p>
    <w:p w:rsidR="00E520D1" w:rsidRDefault="00E520D1" w:rsidP="00E520D1">
      <w:pPr>
        <w:jc w:val="both"/>
      </w:pPr>
      <w:r w:rsidRPr="00D50103">
        <w:t xml:space="preserve">sudarė šią prekių </w:t>
      </w:r>
      <w:r w:rsidR="008B23AB" w:rsidRPr="00D50103">
        <w:t xml:space="preserve">viešojo </w:t>
      </w:r>
      <w:r w:rsidRPr="00D50103">
        <w:t>pirkimo-pardavimo sutartį, toliau vadinamą „Sutartimi“, ir susitarė dėl toliau išvardintų sąlygų.</w:t>
      </w:r>
    </w:p>
    <w:p w:rsidR="0051758C" w:rsidRPr="007E3D31" w:rsidRDefault="0051758C" w:rsidP="0051758C">
      <w:pPr>
        <w:rPr>
          <w:highlight w:val="yellow"/>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D50103"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F14378" w:rsidRDefault="0051758C">
            <w:pPr>
              <w:jc w:val="both"/>
              <w:rPr>
                <w:b/>
              </w:rPr>
            </w:pPr>
            <w:r w:rsidRPr="00F14378">
              <w:rPr>
                <w:b/>
              </w:rPr>
              <w:t>1. Sutarties objektas</w:t>
            </w:r>
          </w:p>
          <w:p w:rsidR="0051758C" w:rsidRPr="001166A2" w:rsidRDefault="0051758C">
            <w:pPr>
              <w:jc w:val="both"/>
            </w:pPr>
            <w:r w:rsidRPr="00F14378">
              <w:t xml:space="preserve">1.1. </w:t>
            </w:r>
            <w:r w:rsidRPr="004C511C">
              <w:rPr>
                <w:b/>
              </w:rPr>
              <w:t>Pardavėjas</w:t>
            </w:r>
            <w:r w:rsidRPr="00F14378">
              <w:t xml:space="preserve"> įsipareigoja parduoti ir pristatyti</w:t>
            </w:r>
            <w:r w:rsidR="00C5201E" w:rsidRPr="00F14378">
              <w:t xml:space="preserve"> </w:t>
            </w:r>
            <w:r w:rsidR="00276CBD">
              <w:rPr>
                <w:b/>
              </w:rPr>
              <w:t>Nepertraukiamo maitinimo šaltinį</w:t>
            </w:r>
            <w:r w:rsidRPr="001166A2">
              <w:t xml:space="preserve"> (toliau – </w:t>
            </w:r>
            <w:r w:rsidR="00834F6C" w:rsidRPr="001166A2">
              <w:t>p</w:t>
            </w:r>
            <w:r w:rsidR="001166A2" w:rsidRPr="001166A2">
              <w:t>rekės), atitinkančią</w:t>
            </w:r>
            <w:r w:rsidRPr="001166A2">
              <w:t xml:space="preserve"> Sutarties </w:t>
            </w:r>
            <w:r w:rsidR="00157852" w:rsidRPr="001166A2">
              <w:t xml:space="preserve">1 </w:t>
            </w:r>
            <w:r w:rsidRPr="001166A2">
              <w:t xml:space="preserve">priede </w:t>
            </w:r>
            <w:r w:rsidR="00157852" w:rsidRPr="001166A2">
              <w:rPr>
                <w:b/>
              </w:rPr>
              <w:t>„</w:t>
            </w:r>
            <w:r w:rsidR="00276CBD">
              <w:rPr>
                <w:b/>
              </w:rPr>
              <w:t>Nepertraukiamo maitinimo šaltinio</w:t>
            </w:r>
            <w:r w:rsidR="00561296" w:rsidRPr="001166A2">
              <w:rPr>
                <w:b/>
              </w:rPr>
              <w:t xml:space="preserve"> </w:t>
            </w:r>
            <w:r w:rsidR="00C5201E" w:rsidRPr="001166A2">
              <w:rPr>
                <w:b/>
              </w:rPr>
              <w:t>techninė specifikacija</w:t>
            </w:r>
            <w:r w:rsidRPr="001166A2">
              <w:rPr>
                <w:b/>
              </w:rPr>
              <w:t>“</w:t>
            </w:r>
            <w:r w:rsidRPr="001166A2">
              <w:t xml:space="preserve"> (toliau </w:t>
            </w:r>
            <w:r w:rsidR="00834F6C" w:rsidRPr="001166A2">
              <w:t>–</w:t>
            </w:r>
            <w:r w:rsidR="00C5201E" w:rsidRPr="001166A2">
              <w:t xml:space="preserve"> </w:t>
            </w:r>
            <w:r w:rsidR="00C5201E" w:rsidRPr="001166A2">
              <w:rPr>
                <w:lang w:val="en-US"/>
              </w:rPr>
              <w:t>1</w:t>
            </w:r>
            <w:r w:rsidRPr="001166A2">
              <w:t xml:space="preserve"> priedas) pateiktas technines specifikacijas</w:t>
            </w:r>
            <w:r w:rsidR="00DE7E16" w:rsidRPr="001166A2">
              <w:t xml:space="preserve"> ir kitus Sutartyje nurodytus reikalavimus</w:t>
            </w:r>
            <w:r w:rsidRPr="001166A2">
              <w:t xml:space="preserve">. </w:t>
            </w:r>
          </w:p>
          <w:p w:rsidR="0051758C" w:rsidRPr="001166A2" w:rsidRDefault="0051758C">
            <w:pPr>
              <w:jc w:val="both"/>
            </w:pPr>
            <w:r w:rsidRPr="001166A2">
              <w:t xml:space="preserve">1.2. </w:t>
            </w:r>
            <w:r w:rsidRPr="004C511C">
              <w:rPr>
                <w:b/>
              </w:rPr>
              <w:t>Pirkėjas</w:t>
            </w:r>
            <w:r w:rsidRPr="001166A2">
              <w:t xml:space="preserve"> įsipareigoja priimti Suta</w:t>
            </w:r>
            <w:r w:rsidR="00C5201E" w:rsidRPr="001166A2">
              <w:t>rties 1</w:t>
            </w:r>
            <w:r w:rsidRPr="001166A2">
              <w:t xml:space="preserve"> priede pateiktas </w:t>
            </w:r>
            <w:r w:rsidR="001D35A0" w:rsidRPr="001166A2">
              <w:t>Sutarties reikalavimus</w:t>
            </w:r>
            <w:r w:rsidRPr="001166A2">
              <w:t xml:space="preserve"> atitinkančias prekes ir už jas sumokėti Sutartyje nustatyta tvarka.</w:t>
            </w:r>
          </w:p>
          <w:p w:rsidR="0051758C" w:rsidRPr="00D50103" w:rsidRDefault="0051758C">
            <w:pPr>
              <w:rPr>
                <w:highlight w:val="yellow"/>
              </w:rPr>
            </w:pPr>
          </w:p>
        </w:tc>
      </w:tr>
      <w:tr w:rsidR="0051758C" w:rsidRPr="00D50103"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166A2" w:rsidRDefault="0051758C">
            <w:pPr>
              <w:rPr>
                <w:b/>
              </w:rPr>
            </w:pPr>
            <w:r w:rsidRPr="001166A2">
              <w:rPr>
                <w:b/>
              </w:rPr>
              <w:t>2. Sutarties kaina</w:t>
            </w:r>
          </w:p>
          <w:p w:rsidR="002F62B8" w:rsidRPr="001166A2" w:rsidRDefault="002F62B8" w:rsidP="002F62B8">
            <w:r w:rsidRPr="001166A2">
              <w:t xml:space="preserve">2.1. </w:t>
            </w:r>
            <w:r w:rsidR="00E05DED" w:rsidRPr="001166A2">
              <w:t>Sutarties</w:t>
            </w:r>
            <w:r w:rsidR="00B50C5C" w:rsidRPr="001166A2">
              <w:t xml:space="preserve"> bendra</w:t>
            </w:r>
            <w:r w:rsidRPr="001166A2">
              <w:t xml:space="preserve"> kaina</w:t>
            </w:r>
            <w:r w:rsidR="00BB3FE2" w:rsidRPr="001166A2">
              <w:t xml:space="preserve"> </w:t>
            </w:r>
            <w:r w:rsidR="008A28BF">
              <w:t>–</w:t>
            </w:r>
            <w:r w:rsidR="00CA0608" w:rsidRPr="001166A2">
              <w:t xml:space="preserve"> </w:t>
            </w:r>
            <w:r w:rsidR="008A28BF">
              <w:t xml:space="preserve">5 106,20 </w:t>
            </w:r>
            <w:proofErr w:type="spellStart"/>
            <w:r w:rsidR="008A28BF">
              <w:t>Eur</w:t>
            </w:r>
            <w:proofErr w:type="spellEnd"/>
            <w:r w:rsidR="008A28BF">
              <w:t xml:space="preserve"> (</w:t>
            </w:r>
            <w:r w:rsidR="008A28BF" w:rsidRPr="008A28BF">
              <w:t>penki tūkstančiai šimtas šeši eurai 20 ct</w:t>
            </w:r>
            <w:r w:rsidR="008A28BF">
              <w:t>) su PVM.</w:t>
            </w:r>
          </w:p>
          <w:p w:rsidR="00B50C5C" w:rsidRPr="001166A2" w:rsidRDefault="002F62B8" w:rsidP="002F62B8">
            <w:pPr>
              <w:jc w:val="both"/>
            </w:pPr>
            <w:r w:rsidRPr="001166A2">
              <w:t xml:space="preserve">2.2. Sutarčiai taikoma </w:t>
            </w:r>
            <w:r w:rsidR="00E05DED" w:rsidRPr="001166A2">
              <w:rPr>
                <w:b/>
              </w:rPr>
              <w:t>fiksuoto</w:t>
            </w:r>
            <w:r w:rsidR="001166A2" w:rsidRPr="001166A2">
              <w:rPr>
                <w:b/>
              </w:rPr>
              <w:t>s kainos</w:t>
            </w:r>
            <w:r w:rsidR="00E05DED" w:rsidRPr="001166A2">
              <w:rPr>
                <w:b/>
              </w:rPr>
              <w:t xml:space="preserve"> </w:t>
            </w:r>
            <w:r w:rsidRPr="001166A2">
              <w:t xml:space="preserve">kainodara. </w:t>
            </w:r>
          </w:p>
          <w:p w:rsidR="007F3D1C" w:rsidRPr="007E3D31" w:rsidRDefault="001166A2" w:rsidP="007F3D1C">
            <w:pPr>
              <w:jc w:val="both"/>
            </w:pPr>
            <w:r w:rsidRPr="007E3D31">
              <w:t>2.3</w:t>
            </w:r>
            <w:r w:rsidR="00AC7F90" w:rsidRPr="007E3D31">
              <w:t xml:space="preserve">. </w:t>
            </w:r>
            <w:r w:rsidRPr="007E3D31">
              <w:t>P</w:t>
            </w:r>
            <w:r w:rsidR="007F3D1C" w:rsidRPr="007E3D31">
              <w:t>rekių kiekis nurodytas Sutarties 2 priede „</w:t>
            </w:r>
            <w:r w:rsidRPr="007E3D31">
              <w:rPr>
                <w:b/>
              </w:rPr>
              <w:t>Kainos</w:t>
            </w:r>
            <w:r w:rsidR="007F3D1C" w:rsidRPr="007E3D31">
              <w:rPr>
                <w:b/>
              </w:rPr>
              <w:t xml:space="preserve"> lentelė</w:t>
            </w:r>
            <w:r w:rsidR="007F3D1C" w:rsidRPr="007E3D31">
              <w:t xml:space="preserve">“. </w:t>
            </w:r>
          </w:p>
          <w:p w:rsidR="0051758C" w:rsidRPr="00D50103" w:rsidRDefault="0051758C" w:rsidP="00B00A05">
            <w:pPr>
              <w:jc w:val="both"/>
              <w:rPr>
                <w:highlight w:val="yellow"/>
              </w:rPr>
            </w:pPr>
          </w:p>
        </w:tc>
      </w:tr>
      <w:tr w:rsidR="0051758C" w:rsidRPr="00D50103"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7E3D31" w:rsidRDefault="0051758C">
            <w:pPr>
              <w:rPr>
                <w:b/>
              </w:rPr>
            </w:pPr>
            <w:r w:rsidRPr="007E3D31">
              <w:rPr>
                <w:b/>
              </w:rPr>
              <w:t>3. Prekių pristatymo vieta, terminas ir sąlygos</w:t>
            </w:r>
          </w:p>
          <w:p w:rsidR="005B2AD9" w:rsidRPr="00D50103" w:rsidRDefault="005B2AD9" w:rsidP="00485C9F">
            <w:pPr>
              <w:jc w:val="both"/>
              <w:rPr>
                <w:color w:val="000000"/>
                <w:highlight w:val="yellow"/>
                <w:lang w:eastAsia="en-US"/>
              </w:rPr>
            </w:pPr>
            <w:r w:rsidRPr="007E3D31">
              <w:rPr>
                <w:color w:val="000000"/>
                <w:lang w:eastAsia="en-US"/>
              </w:rPr>
              <w:t>3.1. Prekių tiek</w:t>
            </w:r>
            <w:r w:rsidR="00785734" w:rsidRPr="007E3D31">
              <w:rPr>
                <w:color w:val="000000"/>
                <w:lang w:eastAsia="en-US"/>
              </w:rPr>
              <w:t>imo trukmė/pristatymo terminas:</w:t>
            </w:r>
            <w:r w:rsidRPr="007E3D31">
              <w:rPr>
                <w:color w:val="000000"/>
                <w:lang w:eastAsia="en-US"/>
              </w:rPr>
              <w:t xml:space="preserve"> </w:t>
            </w:r>
            <w:r w:rsidR="00785734" w:rsidRPr="007E3D31">
              <w:rPr>
                <w:b/>
                <w:color w:val="000000"/>
                <w:lang w:eastAsia="en-US"/>
              </w:rPr>
              <w:t>Pardavėjas</w:t>
            </w:r>
            <w:r w:rsidR="00785734" w:rsidRPr="007E3D31">
              <w:rPr>
                <w:color w:val="000000"/>
                <w:lang w:eastAsia="en-US"/>
              </w:rPr>
              <w:t xml:space="preserve"> prekes</w:t>
            </w:r>
            <w:r w:rsidR="00E32F41" w:rsidRPr="007E3D31">
              <w:rPr>
                <w:color w:val="000000"/>
                <w:lang w:eastAsia="en-US"/>
              </w:rPr>
              <w:t xml:space="preserve"> </w:t>
            </w:r>
            <w:r w:rsidR="00785734" w:rsidRPr="007E3D31">
              <w:rPr>
                <w:color w:val="000000"/>
                <w:lang w:eastAsia="en-US"/>
              </w:rPr>
              <w:t xml:space="preserve">turi </w:t>
            </w:r>
            <w:r w:rsidR="00E32F41" w:rsidRPr="007E3D31">
              <w:rPr>
                <w:color w:val="000000"/>
                <w:lang w:eastAsia="en-US"/>
              </w:rPr>
              <w:t xml:space="preserve">pristatyti ne vėliau kaip per </w:t>
            </w:r>
            <w:r w:rsidR="00E32F41" w:rsidRPr="007E3D31">
              <w:rPr>
                <w:b/>
                <w:color w:val="000000"/>
                <w:lang w:eastAsia="en-US"/>
              </w:rPr>
              <w:t xml:space="preserve"> </w:t>
            </w:r>
            <w:r w:rsidR="001C1108">
              <w:rPr>
                <w:b/>
                <w:color w:val="000000"/>
                <w:lang w:val="en-US" w:eastAsia="en-US"/>
              </w:rPr>
              <w:t>60</w:t>
            </w:r>
            <w:r w:rsidR="001C1108" w:rsidRPr="00265910">
              <w:rPr>
                <w:b/>
                <w:color w:val="000000"/>
                <w:lang w:eastAsia="en-US"/>
              </w:rPr>
              <w:t xml:space="preserve"> </w:t>
            </w:r>
            <w:r w:rsidR="00EB474E" w:rsidRPr="00265910">
              <w:rPr>
                <w:b/>
                <w:color w:val="000000"/>
                <w:lang w:eastAsia="en-US"/>
              </w:rPr>
              <w:t>(</w:t>
            </w:r>
            <w:r w:rsidR="001C1108" w:rsidRPr="001C1108">
              <w:rPr>
                <w:b/>
                <w:color w:val="000000"/>
                <w:lang w:eastAsia="en-US"/>
              </w:rPr>
              <w:t>šešiasdešimt</w:t>
            </w:r>
            <w:r w:rsidR="008E2070" w:rsidRPr="00265910">
              <w:rPr>
                <w:b/>
                <w:color w:val="000000"/>
                <w:lang w:eastAsia="en-US"/>
              </w:rPr>
              <w:t xml:space="preserve">) </w:t>
            </w:r>
            <w:r w:rsidR="006C6D4A" w:rsidRPr="00265910">
              <w:rPr>
                <w:b/>
                <w:color w:val="000000"/>
                <w:lang w:eastAsia="en-US"/>
              </w:rPr>
              <w:t>dienų</w:t>
            </w:r>
            <w:r w:rsidR="00E32F41" w:rsidRPr="00265910">
              <w:rPr>
                <w:color w:val="000000"/>
                <w:lang w:eastAsia="en-US"/>
              </w:rPr>
              <w:t xml:space="preserve"> nuo užsakymo pateikimo datos.</w:t>
            </w:r>
          </w:p>
          <w:p w:rsidR="005B2AD9" w:rsidRPr="007E3D31" w:rsidRDefault="005B2AD9" w:rsidP="005B2AD9">
            <w:pPr>
              <w:rPr>
                <w:lang w:eastAsia="en-US"/>
              </w:rPr>
            </w:pPr>
            <w:r w:rsidRPr="007E3D31">
              <w:rPr>
                <w:color w:val="000000"/>
                <w:lang w:eastAsia="en-US"/>
              </w:rPr>
              <w:t>3</w:t>
            </w:r>
            <w:r w:rsidRPr="007E3D31">
              <w:rPr>
                <w:lang w:eastAsia="en-US"/>
              </w:rPr>
              <w:t xml:space="preserve">.2. Prekių pristatymo vieta – </w:t>
            </w:r>
            <w:r w:rsidR="00B021B6" w:rsidRPr="00B021B6">
              <w:t>Kalvarijų g. 125, Vilnius</w:t>
            </w:r>
            <w:r w:rsidR="001F5C07" w:rsidRPr="007E3D31">
              <w:t>.</w:t>
            </w:r>
          </w:p>
          <w:p w:rsidR="00F41F51" w:rsidRPr="007E3D31" w:rsidRDefault="00AC7F90" w:rsidP="005B2AD9">
            <w:pPr>
              <w:pStyle w:val="ListParagraph"/>
              <w:tabs>
                <w:tab w:val="left" w:pos="851"/>
              </w:tabs>
              <w:spacing w:after="0" w:line="240" w:lineRule="auto"/>
              <w:ind w:left="0"/>
              <w:jc w:val="both"/>
              <w:rPr>
                <w:lang w:eastAsia="en-US"/>
              </w:rPr>
            </w:pPr>
            <w:r w:rsidRPr="007E3D31">
              <w:rPr>
                <w:lang w:eastAsia="en-US"/>
              </w:rPr>
              <w:t>3.</w:t>
            </w:r>
            <w:r w:rsidRPr="007E3D31">
              <w:rPr>
                <w:lang w:val="en-US" w:eastAsia="en-US"/>
              </w:rPr>
              <w:t>3</w:t>
            </w:r>
            <w:r w:rsidR="005B2AD9" w:rsidRPr="007E3D31">
              <w:rPr>
                <w:lang w:eastAsia="en-US"/>
              </w:rPr>
              <w:t>. Užsakymai prekių pristatymui pateikiami</w:t>
            </w:r>
            <w:r w:rsidR="00A311CF" w:rsidRPr="007E3D31">
              <w:t xml:space="preserve"> Sutarties Specialiosios dalies 9 skyriuje nurodytu el. pašto adresu ir laikomi gautais po 24 valandų nuo užsakymo išsiuntimo </w:t>
            </w:r>
            <w:r w:rsidR="00A311CF" w:rsidRPr="007E3D31">
              <w:rPr>
                <w:b/>
              </w:rPr>
              <w:t>Pardavėjui</w:t>
            </w:r>
            <w:r w:rsidR="00A311CF" w:rsidRPr="007E3D31">
              <w:t xml:space="preserve"> elektroniniu paštu.</w:t>
            </w:r>
          </w:p>
          <w:p w:rsidR="00CA0608" w:rsidRPr="007E3D31" w:rsidRDefault="00AC7F90" w:rsidP="005B2AD9">
            <w:pPr>
              <w:pStyle w:val="ListParagraph"/>
              <w:tabs>
                <w:tab w:val="left" w:pos="851"/>
              </w:tabs>
              <w:spacing w:after="0" w:line="240" w:lineRule="auto"/>
              <w:ind w:left="0"/>
              <w:jc w:val="both"/>
              <w:rPr>
                <w:lang w:eastAsia="en-US"/>
              </w:rPr>
            </w:pPr>
            <w:r w:rsidRPr="007E3D31">
              <w:rPr>
                <w:lang w:val="en-US" w:eastAsia="en-US"/>
              </w:rPr>
              <w:t>3.4</w:t>
            </w:r>
            <w:r w:rsidR="001F5C07" w:rsidRPr="007E3D31">
              <w:rPr>
                <w:lang w:val="en-US" w:eastAsia="en-US"/>
              </w:rPr>
              <w:t xml:space="preserve">. </w:t>
            </w:r>
            <w:r w:rsidR="001F5C07" w:rsidRPr="007E3D31">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4C511C">
              <w:rPr>
                <w:b/>
                <w:color w:val="000000"/>
                <w:shd w:val="clear" w:color="auto" w:fill="FFFFFF"/>
              </w:rPr>
              <w:t>P</w:t>
            </w:r>
            <w:r w:rsidR="009577AC" w:rsidRPr="004C511C">
              <w:rPr>
                <w:b/>
                <w:color w:val="000000"/>
                <w:shd w:val="clear" w:color="auto" w:fill="FFFFFF"/>
              </w:rPr>
              <w:t>irkėjas</w:t>
            </w:r>
            <w:r w:rsidR="009577AC" w:rsidRPr="007E3D31">
              <w:rPr>
                <w:color w:val="000000"/>
                <w:shd w:val="clear" w:color="auto" w:fill="FFFFFF"/>
              </w:rPr>
              <w:t xml:space="preserve"> turi ne</w:t>
            </w:r>
            <w:r w:rsidR="007E3D31" w:rsidRPr="007E3D31">
              <w:rPr>
                <w:color w:val="000000"/>
                <w:shd w:val="clear" w:color="auto" w:fill="FFFFFF"/>
              </w:rPr>
              <w:t xml:space="preserve"> vėliau kaip po 4 (keturių</w:t>
            </w:r>
            <w:r w:rsidR="00CA0608" w:rsidRPr="007E3D31">
              <w:rPr>
                <w:color w:val="000000"/>
                <w:shd w:val="clear" w:color="auto" w:fill="FFFFFF"/>
              </w:rPr>
              <w:t xml:space="preserve">) dienų pasirašyti Prekių priėmimo- perdavimo aktą arba atmesti </w:t>
            </w:r>
            <w:r w:rsidR="00CA0608" w:rsidRPr="004C511C">
              <w:rPr>
                <w:b/>
                <w:color w:val="000000"/>
                <w:shd w:val="clear" w:color="auto" w:fill="FFFFFF"/>
              </w:rPr>
              <w:t>Pardavėjo</w:t>
            </w:r>
            <w:r w:rsidR="00CA0608" w:rsidRPr="007E3D31">
              <w:rPr>
                <w:color w:val="000000"/>
                <w:shd w:val="clear" w:color="auto" w:fill="FFFFFF"/>
              </w:rPr>
              <w:t xml:space="preserve"> prašymą pasirašyti Prekių priėmimo-perdavimo aktą, nurodydamas priimto sprendimo motyvus bei priemones, kurių </w:t>
            </w:r>
            <w:r w:rsidR="00CA0608" w:rsidRPr="004C511C">
              <w:rPr>
                <w:b/>
                <w:color w:val="000000"/>
                <w:shd w:val="clear" w:color="auto" w:fill="FFFFFF"/>
              </w:rPr>
              <w:t>Pardavėjas</w:t>
            </w:r>
            <w:r w:rsidR="00CA0608" w:rsidRPr="007E3D31">
              <w:rPr>
                <w:color w:val="000000"/>
                <w:shd w:val="clear" w:color="auto" w:fill="FFFFFF"/>
              </w:rPr>
              <w:t xml:space="preserve"> privalo imtis, kad Prekių priėmimo-perdavimo aktas būtų pasirašytas.</w:t>
            </w:r>
          </w:p>
          <w:p w:rsidR="004D3E72" w:rsidRPr="00D50103" w:rsidRDefault="004D3E72">
            <w:pPr>
              <w:jc w:val="both"/>
              <w:rPr>
                <w:highlight w:val="yellow"/>
              </w:rPr>
            </w:pPr>
          </w:p>
        </w:tc>
      </w:tr>
      <w:tr w:rsidR="0051758C" w:rsidRPr="00D50103"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7E3D31" w:rsidRDefault="0051758C">
            <w:pPr>
              <w:jc w:val="both"/>
              <w:rPr>
                <w:b/>
              </w:rPr>
            </w:pPr>
            <w:r w:rsidRPr="007E3D31">
              <w:rPr>
                <w:b/>
              </w:rPr>
              <w:t>4. Apmokėjimo tvarka</w:t>
            </w:r>
          </w:p>
          <w:p w:rsidR="00CD0ABD" w:rsidRPr="007E3D31" w:rsidRDefault="00CD0ABD" w:rsidP="00CD0ABD">
            <w:pPr>
              <w:jc w:val="both"/>
            </w:pPr>
            <w:r w:rsidRPr="007E3D31">
              <w:t xml:space="preserve">4.1. </w:t>
            </w:r>
            <w:r w:rsidR="00235810" w:rsidRPr="007E3D31">
              <w:rPr>
                <w:b/>
              </w:rPr>
              <w:t>Pirkėjas</w:t>
            </w:r>
            <w:r w:rsidRPr="007E3D31">
              <w:rPr>
                <w:b/>
              </w:rPr>
              <w:t xml:space="preserve"> </w:t>
            </w:r>
            <w:r w:rsidRPr="007E3D31">
              <w:t xml:space="preserve">su </w:t>
            </w:r>
            <w:r w:rsidR="00235810" w:rsidRPr="007E3D31">
              <w:rPr>
                <w:b/>
              </w:rPr>
              <w:t>Pardavėju</w:t>
            </w:r>
            <w:r w:rsidRPr="007E3D31">
              <w:rPr>
                <w:b/>
              </w:rPr>
              <w:t xml:space="preserve"> </w:t>
            </w:r>
            <w:r w:rsidRPr="007E3D31">
              <w:t>atsiskaito Sutar</w:t>
            </w:r>
            <w:r w:rsidR="001F5C07" w:rsidRPr="007E3D31">
              <w:t>ties B</w:t>
            </w:r>
            <w:r w:rsidRPr="007E3D31">
              <w:t xml:space="preserve">endrosios dalies 4.1 papunktyje nustatyta tvarka. </w:t>
            </w:r>
          </w:p>
          <w:p w:rsidR="00CD0ABD" w:rsidRPr="007E3D31" w:rsidRDefault="00CD0ABD" w:rsidP="00CD0ABD">
            <w:pPr>
              <w:jc w:val="both"/>
            </w:pPr>
            <w:r w:rsidRPr="007E3D31">
              <w:t>4.2. Avanso mokėjimas nenumatomas.</w:t>
            </w:r>
          </w:p>
          <w:p w:rsidR="00CD0ABD" w:rsidRPr="007E3D31" w:rsidRDefault="00CD0ABD" w:rsidP="00235810">
            <w:pPr>
              <w:jc w:val="both"/>
            </w:pPr>
            <w:r w:rsidRPr="007E3D31">
              <w:t xml:space="preserve">4.3. Vykdant Sutartį, PVM sąskaitos faktūros turi būti teikiamos naudojantis informacinės sistemos „E. sąskaita“ priemonėmis, nurodant </w:t>
            </w:r>
            <w:r w:rsidRPr="007E3D31">
              <w:rPr>
                <w:b/>
              </w:rPr>
              <w:t xml:space="preserve">Pirkėją, </w:t>
            </w:r>
            <w:r w:rsidRPr="007E3D31">
              <w:t xml:space="preserve">Gavėją (jeigu sutartyje yra numatytas Gavėjas) </w:t>
            </w:r>
            <w:r w:rsidRPr="007E3D31">
              <w:lastRenderedPageBreak/>
              <w:t xml:space="preserve">Sutarties numerį ir datą. Jeigu </w:t>
            </w:r>
            <w:r w:rsidRPr="007E3D31">
              <w:rPr>
                <w:b/>
              </w:rPr>
              <w:t>Pardavėjas</w:t>
            </w:r>
            <w:r w:rsidRPr="007E3D31">
              <w:t xml:space="preserve"> nepateikia sąskaitos informacinės sistemos „E. sąskaita“ priemonėmis, </w:t>
            </w:r>
            <w:r w:rsidR="00235810" w:rsidRPr="007E3D31">
              <w:t>mokėjimas neatliekamas</w:t>
            </w:r>
            <w:r w:rsidRPr="007E3D31">
              <w:t>.</w:t>
            </w:r>
          </w:p>
          <w:p w:rsidR="00240C43" w:rsidRPr="007E3D31" w:rsidRDefault="00240C43" w:rsidP="00240C43">
            <w:pPr>
              <w:jc w:val="both"/>
            </w:pPr>
            <w:r w:rsidRPr="007E3D31">
              <w:t xml:space="preserve">4.4. </w:t>
            </w:r>
            <w:r w:rsidRPr="004C511C">
              <w:rPr>
                <w:b/>
              </w:rPr>
              <w:t>Pardavėjas</w:t>
            </w:r>
            <w:r w:rsidRPr="007E3D31">
              <w:t xml:space="preserve"> įsipareigoja išrašomoje PVM sąskaitoje faktūroje vartoti tuos pačius prekių pavadinimus ir mato vienetus, kokie yra parašyti Sutarties 1 priede. </w:t>
            </w:r>
          </w:p>
          <w:p w:rsidR="00240C43" w:rsidRPr="00D50103" w:rsidRDefault="00240C43" w:rsidP="00235810">
            <w:pPr>
              <w:jc w:val="both"/>
              <w:rPr>
                <w:b/>
                <w:highlight w:val="yellow"/>
              </w:rPr>
            </w:pPr>
          </w:p>
        </w:tc>
      </w:tr>
      <w:tr w:rsidR="0051758C" w:rsidRPr="00D50103"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7E3D31" w:rsidRDefault="0051758C">
            <w:pPr>
              <w:jc w:val="both"/>
              <w:rPr>
                <w:b/>
              </w:rPr>
            </w:pPr>
            <w:r w:rsidRPr="007E3D31">
              <w:rPr>
                <w:b/>
              </w:rPr>
              <w:lastRenderedPageBreak/>
              <w:t>5.</w:t>
            </w:r>
            <w:r w:rsidR="00240C43" w:rsidRPr="007E3D31">
              <w:rPr>
                <w:b/>
              </w:rPr>
              <w:t xml:space="preserve"> </w:t>
            </w:r>
            <w:r w:rsidRPr="007E3D31">
              <w:rPr>
                <w:b/>
              </w:rPr>
              <w:t>Pirkėjo teisė vienašališkai nutraukti Sutartį</w:t>
            </w:r>
            <w:r w:rsidRPr="007E3D31">
              <w:t xml:space="preserve"> </w:t>
            </w:r>
          </w:p>
          <w:p w:rsidR="0051758C" w:rsidRPr="007E3D31" w:rsidRDefault="0051758C">
            <w:pPr>
              <w:jc w:val="both"/>
            </w:pPr>
            <w:r w:rsidRPr="007E3D31">
              <w:t>5.1.</w:t>
            </w:r>
            <w:r w:rsidRPr="007E3D31">
              <w:rPr>
                <w:b/>
              </w:rPr>
              <w:t xml:space="preserve"> </w:t>
            </w:r>
            <w:r w:rsidRPr="004C511C">
              <w:rPr>
                <w:b/>
              </w:rPr>
              <w:t>Pardavėjui</w:t>
            </w:r>
            <w:r w:rsidRPr="007E3D31">
              <w:t xml:space="preserve"> vėluojant pristatyti prekes daugiau </w:t>
            </w:r>
            <w:r w:rsidR="008A5BB7" w:rsidRPr="007E3D31">
              <w:t xml:space="preserve">kaip </w:t>
            </w:r>
            <w:r w:rsidR="008A5BB7" w:rsidRPr="007E3D31">
              <w:rPr>
                <w:b/>
              </w:rPr>
              <w:t>30 (trisdešimt)</w:t>
            </w:r>
            <w:r w:rsidR="008A5BB7" w:rsidRPr="007E3D31">
              <w:t xml:space="preserve"> kalendorinių dienų</w:t>
            </w:r>
            <w:r w:rsidRPr="007E3D31">
              <w:t xml:space="preserve"> nuo Sutartyje numatyto termino</w:t>
            </w:r>
            <w:r w:rsidR="008A5BB7" w:rsidRPr="007E3D31">
              <w:t>,</w:t>
            </w:r>
            <w:r w:rsidRPr="007E3D31">
              <w:t xml:space="preserve"> </w:t>
            </w:r>
            <w:r w:rsidRPr="004C511C">
              <w:rPr>
                <w:b/>
              </w:rPr>
              <w:t>Pirkėjas</w:t>
            </w:r>
            <w:r w:rsidRPr="007E3D31">
              <w:t xml:space="preserve"> turi teisę Sutarties </w:t>
            </w:r>
            <w:r w:rsidR="008A5BB7" w:rsidRPr="007E3D31">
              <w:t>B</w:t>
            </w:r>
            <w:r w:rsidR="00560BEB" w:rsidRPr="007E3D31">
              <w:t xml:space="preserve">endrosios dalies 9.2 punkte </w:t>
            </w:r>
            <w:r w:rsidRPr="007E3D31">
              <w:t>nustatyta tvarka Sutartį nutraukti.</w:t>
            </w:r>
          </w:p>
          <w:p w:rsidR="0051758C" w:rsidRPr="007E3D31" w:rsidRDefault="0051758C">
            <w:pPr>
              <w:jc w:val="both"/>
            </w:pPr>
            <w:r w:rsidRPr="007E3D31">
              <w:t>5.2. Kiti vienašalio Sutarties nutrauk</w:t>
            </w:r>
            <w:r w:rsidR="00753E42" w:rsidRPr="007E3D31">
              <w:t>imo atvejai numatyti Sutarties B</w:t>
            </w:r>
            <w:r w:rsidRPr="007E3D31">
              <w:t>endrosios dalies 9.2 punkte.</w:t>
            </w:r>
          </w:p>
          <w:p w:rsidR="00240C43" w:rsidRPr="00D50103" w:rsidRDefault="00240C43">
            <w:pPr>
              <w:jc w:val="both"/>
              <w:rPr>
                <w:highlight w:val="yellow"/>
              </w:rPr>
            </w:pPr>
          </w:p>
        </w:tc>
      </w:tr>
      <w:tr w:rsidR="0051758C" w:rsidRPr="00D50103" w:rsidTr="00104A58">
        <w:trPr>
          <w:trHeight w:val="636"/>
        </w:trPr>
        <w:tc>
          <w:tcPr>
            <w:tcW w:w="9746" w:type="dxa"/>
            <w:tcBorders>
              <w:top w:val="single" w:sz="4" w:space="0" w:color="auto"/>
              <w:left w:val="single" w:sz="4" w:space="0" w:color="auto"/>
              <w:bottom w:val="single" w:sz="4" w:space="0" w:color="auto"/>
              <w:right w:val="single" w:sz="4" w:space="0" w:color="auto"/>
            </w:tcBorders>
            <w:hideMark/>
          </w:tcPr>
          <w:p w:rsidR="0051758C" w:rsidRPr="007E3D31" w:rsidRDefault="0051758C">
            <w:pPr>
              <w:rPr>
                <w:b/>
              </w:rPr>
            </w:pPr>
            <w:r w:rsidRPr="007E3D31">
              <w:rPr>
                <w:b/>
              </w:rPr>
              <w:t xml:space="preserve">6. Prekių kokybė </w:t>
            </w:r>
          </w:p>
          <w:p w:rsidR="0051758C" w:rsidRPr="00D50103" w:rsidRDefault="004C511C">
            <w:pPr>
              <w:jc w:val="both"/>
              <w:rPr>
                <w:highlight w:val="yellow"/>
              </w:rPr>
            </w:pPr>
            <w:r>
              <w:t xml:space="preserve">6.1. </w:t>
            </w:r>
            <w:r w:rsidR="0051758C" w:rsidRPr="007E3D31">
              <w:t>Prek</w:t>
            </w:r>
            <w:r w:rsidR="001E05FA" w:rsidRPr="007E3D31">
              <w:t>ės privalo</w:t>
            </w:r>
            <w:r w:rsidR="0051758C" w:rsidRPr="007E3D31">
              <w:t xml:space="preserve"> atitikti Sutartyje ir jos prieduose </w:t>
            </w:r>
            <w:r w:rsidR="00C33D3A" w:rsidRPr="007E3D31">
              <w:t xml:space="preserve">nustatytus </w:t>
            </w:r>
            <w:r w:rsidR="0051758C" w:rsidRPr="007E3D31">
              <w:t>reikalavimus.</w:t>
            </w:r>
          </w:p>
        </w:tc>
      </w:tr>
      <w:tr w:rsidR="0051758C" w:rsidRPr="00D50103"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7E3D31" w:rsidRDefault="0051758C">
            <w:pPr>
              <w:jc w:val="both"/>
              <w:rPr>
                <w:b/>
              </w:rPr>
            </w:pPr>
            <w:r w:rsidRPr="007E3D31">
              <w:rPr>
                <w:b/>
              </w:rPr>
              <w:t>7. Garantiniai įsipareigojimai</w:t>
            </w:r>
          </w:p>
          <w:p w:rsidR="00834F6C" w:rsidRPr="007E3D31" w:rsidRDefault="0051758C" w:rsidP="00EB4422">
            <w:pPr>
              <w:tabs>
                <w:tab w:val="left" w:pos="394"/>
                <w:tab w:val="left" w:pos="536"/>
              </w:tabs>
              <w:jc w:val="both"/>
            </w:pPr>
            <w:r w:rsidRPr="007E3D31">
              <w:t xml:space="preserve">7.1. </w:t>
            </w:r>
            <w:r w:rsidRPr="004C511C">
              <w:rPr>
                <w:b/>
              </w:rPr>
              <w:t>Pardavėjo</w:t>
            </w:r>
            <w:r w:rsidRPr="007E3D31">
              <w:t xml:space="preserve"> pristatytų prekių kokybės garant</w:t>
            </w:r>
            <w:r w:rsidR="008407BC" w:rsidRPr="007E3D31">
              <w:t xml:space="preserve">ijos/tinkamumo naudoti terminas: </w:t>
            </w:r>
            <w:r w:rsidR="003F7A97">
              <w:rPr>
                <w:b/>
                <w:lang w:val="en-US"/>
              </w:rPr>
              <w:t>36</w:t>
            </w:r>
            <w:r w:rsidR="008407BC" w:rsidRPr="007E3D31">
              <w:rPr>
                <w:b/>
                <w:lang w:val="en-US"/>
              </w:rPr>
              <w:t xml:space="preserve"> </w:t>
            </w:r>
            <w:r w:rsidR="008E2070" w:rsidRPr="007E3D31">
              <w:rPr>
                <w:b/>
                <w:lang w:val="en-US"/>
              </w:rPr>
              <w:t>(</w:t>
            </w:r>
            <w:r w:rsidR="003F7A97" w:rsidRPr="003F7A97">
              <w:rPr>
                <w:b/>
              </w:rPr>
              <w:t>trisdešimt šeši</w:t>
            </w:r>
            <w:r w:rsidR="008E2070" w:rsidRPr="007E3D31">
              <w:rPr>
                <w:b/>
                <w:lang w:val="en-US"/>
              </w:rPr>
              <w:t xml:space="preserve">) </w:t>
            </w:r>
            <w:r w:rsidR="00961EC8" w:rsidRPr="007E3D31">
              <w:rPr>
                <w:b/>
              </w:rPr>
              <w:t>mėnesi</w:t>
            </w:r>
            <w:r w:rsidR="00417750" w:rsidRPr="007E3D31">
              <w:rPr>
                <w:b/>
              </w:rPr>
              <w:t>ai</w:t>
            </w:r>
            <w:r w:rsidR="003F7A97">
              <w:t xml:space="preserve">, </w:t>
            </w:r>
            <w:r w:rsidR="003F7A97" w:rsidRPr="003F7A97">
              <w:t xml:space="preserve">baterijoms </w:t>
            </w:r>
            <w:r w:rsidR="003F7A97" w:rsidRPr="003F7A97">
              <w:rPr>
                <w:b/>
              </w:rPr>
              <w:t>24 (dvidešimt keturi) mėnesiai</w:t>
            </w:r>
            <w:r w:rsidR="003F7A97">
              <w:t>.</w:t>
            </w:r>
          </w:p>
          <w:p w:rsidR="00834F6C" w:rsidRPr="00A06866" w:rsidRDefault="001C74FF">
            <w:pPr>
              <w:jc w:val="both"/>
            </w:pPr>
            <w:r w:rsidRPr="00A06866">
              <w:t>7.3</w:t>
            </w:r>
            <w:r w:rsidR="0051758C" w:rsidRPr="00A06866">
              <w:t xml:space="preserve">. </w:t>
            </w:r>
            <w:r w:rsidR="008407BC" w:rsidRPr="00A06866">
              <w:t>Sutarties B</w:t>
            </w:r>
            <w:r w:rsidR="0008050E" w:rsidRPr="00A06866">
              <w:t>endrosios dalie</w:t>
            </w:r>
            <w:r w:rsidR="008407BC" w:rsidRPr="00A06866">
              <w:t xml:space="preserve">s 6.3 punkte nurodytas terminas: </w:t>
            </w:r>
            <w:r w:rsidR="00104A58">
              <w:t>5</w:t>
            </w:r>
            <w:r w:rsidR="00A06866" w:rsidRPr="00A06866">
              <w:t xml:space="preserve"> (</w:t>
            </w:r>
            <w:r w:rsidR="00104A58">
              <w:t>penkios</w:t>
            </w:r>
            <w:r w:rsidR="008407BC" w:rsidRPr="00A06866">
              <w:t>)</w:t>
            </w:r>
            <w:r w:rsidR="00104A58">
              <w:t xml:space="preserve"> kalendorinės dienos</w:t>
            </w:r>
            <w:r w:rsidR="008407BC" w:rsidRPr="00A06866">
              <w:t>.</w:t>
            </w:r>
          </w:p>
          <w:p w:rsidR="0051758C" w:rsidRPr="00D50103" w:rsidRDefault="0051758C">
            <w:pPr>
              <w:rPr>
                <w:b/>
                <w:highlight w:val="yellow"/>
              </w:rPr>
            </w:pPr>
          </w:p>
        </w:tc>
      </w:tr>
      <w:tr w:rsidR="0051758C" w:rsidRPr="00D50103" w:rsidTr="00104A58">
        <w:trPr>
          <w:trHeight w:val="970"/>
        </w:trPr>
        <w:tc>
          <w:tcPr>
            <w:tcW w:w="9746" w:type="dxa"/>
            <w:tcBorders>
              <w:top w:val="single" w:sz="4" w:space="0" w:color="auto"/>
              <w:left w:val="single" w:sz="4" w:space="0" w:color="auto"/>
              <w:bottom w:val="single" w:sz="4" w:space="0" w:color="auto"/>
              <w:right w:val="single" w:sz="4" w:space="0" w:color="auto"/>
            </w:tcBorders>
            <w:hideMark/>
          </w:tcPr>
          <w:p w:rsidR="0051758C" w:rsidRPr="007E3D31" w:rsidRDefault="0051758C" w:rsidP="00BA36AE">
            <w:pPr>
              <w:pStyle w:val="ListParagraph"/>
              <w:spacing w:after="0" w:line="240" w:lineRule="auto"/>
              <w:ind w:left="0"/>
              <w:contextualSpacing w:val="0"/>
              <w:jc w:val="both"/>
              <w:rPr>
                <w:b/>
                <w:lang w:eastAsia="en-US"/>
              </w:rPr>
            </w:pPr>
            <w:r w:rsidRPr="007E3D31">
              <w:rPr>
                <w:b/>
                <w:lang w:eastAsia="en-US"/>
              </w:rPr>
              <w:t>8. Papildomas prievolių įvykdymo užtikrinimas</w:t>
            </w:r>
          </w:p>
          <w:p w:rsidR="0051758C" w:rsidRPr="00D50103" w:rsidRDefault="00BA36AE" w:rsidP="00BA36AE">
            <w:pPr>
              <w:pStyle w:val="ListParagraph"/>
              <w:spacing w:after="0" w:line="240" w:lineRule="auto"/>
              <w:ind w:left="0"/>
              <w:contextualSpacing w:val="0"/>
              <w:jc w:val="both"/>
              <w:rPr>
                <w:highlight w:val="yellow"/>
                <w:lang w:eastAsia="en-US"/>
              </w:rPr>
            </w:pPr>
            <w:r w:rsidRPr="007E3D31">
              <w:rPr>
                <w:lang w:eastAsia="en-US"/>
              </w:rPr>
              <w:t xml:space="preserve">8.1. </w:t>
            </w:r>
            <w:r w:rsidR="0051758C" w:rsidRPr="007E3D31">
              <w:rPr>
                <w:lang w:eastAsia="en-US"/>
              </w:rPr>
              <w:t xml:space="preserve">Sutarties įvykdymui užtikrinti </w:t>
            </w:r>
            <w:r w:rsidRPr="007E3D31">
              <w:rPr>
                <w:lang w:eastAsia="en-US"/>
              </w:rPr>
              <w:t xml:space="preserve">banko garantijos ar </w:t>
            </w:r>
            <w:r w:rsidR="0051758C" w:rsidRPr="007E3D31">
              <w:rPr>
                <w:lang w:eastAsia="en-US"/>
              </w:rPr>
              <w:t xml:space="preserve">draudimo bendrovės laidavimo rašto  </w:t>
            </w:r>
            <w:r w:rsidR="00722149" w:rsidRPr="007E3D31">
              <w:rPr>
                <w:lang w:eastAsia="en-US"/>
              </w:rPr>
              <w:t>ne</w:t>
            </w:r>
            <w:r w:rsidR="0051758C" w:rsidRPr="007E3D31">
              <w:rPr>
                <w:lang w:eastAsia="en-US"/>
              </w:rPr>
              <w:t>reikalaujama.</w:t>
            </w:r>
          </w:p>
        </w:tc>
      </w:tr>
      <w:tr w:rsidR="0051758C" w:rsidRPr="00D50103" w:rsidTr="005B2AD9">
        <w:trPr>
          <w:trHeight w:val="1241"/>
        </w:trPr>
        <w:tc>
          <w:tcPr>
            <w:tcW w:w="9746" w:type="dxa"/>
            <w:tcBorders>
              <w:top w:val="single" w:sz="4" w:space="0" w:color="auto"/>
              <w:left w:val="single" w:sz="4" w:space="0" w:color="auto"/>
              <w:bottom w:val="single" w:sz="4" w:space="0" w:color="auto"/>
              <w:right w:val="single" w:sz="4" w:space="0" w:color="auto"/>
            </w:tcBorders>
          </w:tcPr>
          <w:p w:rsidR="0051758C" w:rsidRPr="007E3D31" w:rsidRDefault="0051758C">
            <w:pPr>
              <w:jc w:val="both"/>
              <w:rPr>
                <w:b/>
              </w:rPr>
            </w:pPr>
            <w:r w:rsidRPr="007E3D31">
              <w:rPr>
                <w:b/>
              </w:rPr>
              <w:t>9. Kitos sąlygos</w:t>
            </w:r>
          </w:p>
          <w:p w:rsidR="00834F6C" w:rsidRPr="007E3D31" w:rsidRDefault="008407BC">
            <w:pPr>
              <w:jc w:val="both"/>
            </w:pPr>
            <w:r w:rsidRPr="007E3D31">
              <w:t>9.1. Sutarties B</w:t>
            </w:r>
            <w:r w:rsidR="0051758C" w:rsidRPr="007E3D31">
              <w:t xml:space="preserve">endrosios dalies 11.1 punkte nurodytų Šalių iš anksto sutartų minimalių nuostolių dydis yra </w:t>
            </w:r>
            <w:r w:rsidR="00834F6C" w:rsidRPr="007E3D31">
              <w:t>–</w:t>
            </w:r>
            <w:r w:rsidR="0051758C" w:rsidRPr="007E3D31">
              <w:t xml:space="preserve"> </w:t>
            </w:r>
            <w:r w:rsidR="00380A8B" w:rsidRPr="007E3D31">
              <w:rPr>
                <w:b/>
              </w:rPr>
              <w:t>0,05</w:t>
            </w:r>
            <w:r w:rsidR="00EB3F42" w:rsidRPr="007E3D31">
              <w:rPr>
                <w:b/>
              </w:rPr>
              <w:t xml:space="preserve"> (</w:t>
            </w:r>
            <w:r w:rsidR="00380A8B" w:rsidRPr="007E3D31">
              <w:rPr>
                <w:b/>
              </w:rPr>
              <w:t>penkios šimtosios</w:t>
            </w:r>
            <w:r w:rsidR="00EB3F42" w:rsidRPr="007E3D31">
              <w:rPr>
                <w:b/>
              </w:rPr>
              <w:t>)</w:t>
            </w:r>
            <w:r w:rsidRPr="007E3D31">
              <w:t xml:space="preserve"> proc.</w:t>
            </w:r>
            <w:r w:rsidR="00380A8B" w:rsidRPr="007E3D31">
              <w:t xml:space="preserve"> nuo nepristatytos prekės kainos be PVM už kiekvieną uždelstą dieną</w:t>
            </w:r>
            <w:r w:rsidR="00EB3F42" w:rsidRPr="007E3D31">
              <w:t>;</w:t>
            </w:r>
          </w:p>
          <w:p w:rsidR="00403322" w:rsidRPr="007E3D31" w:rsidRDefault="00380A8B" w:rsidP="00403322">
            <w:pPr>
              <w:jc w:val="both"/>
            </w:pPr>
            <w:r w:rsidRPr="007E3D31">
              <w:t>9.</w:t>
            </w:r>
            <w:r w:rsidR="004C12E7">
              <w:t>2</w:t>
            </w:r>
            <w:r w:rsidR="00EB3F42" w:rsidRPr="007E3D31">
              <w:t>. Sutarties B</w:t>
            </w:r>
            <w:r w:rsidR="00403322" w:rsidRPr="007E3D31">
              <w:t>endrosios dalies 11.3 punkte nurodytų Šalių iš anksto sutartų minimalių nuostolių dydis yra –</w:t>
            </w:r>
            <w:r w:rsidR="00E14B51" w:rsidRPr="007E3D31">
              <w:t xml:space="preserve"> </w:t>
            </w:r>
            <w:r w:rsidR="00E14B51" w:rsidRPr="007E3D31">
              <w:rPr>
                <w:b/>
              </w:rPr>
              <w:t xml:space="preserve">0,1 </w:t>
            </w:r>
            <w:r w:rsidR="00EB3F42" w:rsidRPr="007E3D31">
              <w:rPr>
                <w:b/>
              </w:rPr>
              <w:t xml:space="preserve">(viena dešimtoji) </w:t>
            </w:r>
            <w:r w:rsidR="00E14B51" w:rsidRPr="007E3D31">
              <w:rPr>
                <w:b/>
              </w:rPr>
              <w:t>proc.</w:t>
            </w:r>
            <w:r w:rsidRPr="007E3D31">
              <w:rPr>
                <w:b/>
              </w:rPr>
              <w:t xml:space="preserve"> </w:t>
            </w:r>
            <w:r w:rsidRPr="007E3D31">
              <w:t>nuo prekės, kurios trūkumai nepašalinti, ar prekės, kuri yra nepakeista, kainos be PVM už kiekvieną uždelstą dieną;</w:t>
            </w:r>
          </w:p>
          <w:p w:rsidR="0051758C" w:rsidRPr="007E3D31" w:rsidRDefault="00380A8B">
            <w:pPr>
              <w:jc w:val="both"/>
            </w:pPr>
            <w:r w:rsidRPr="007E3D31">
              <w:t>9.</w:t>
            </w:r>
            <w:r w:rsidR="004C12E7">
              <w:t>3</w:t>
            </w:r>
            <w:r w:rsidR="00403322" w:rsidRPr="007E3D31">
              <w:t xml:space="preserve">. </w:t>
            </w:r>
            <w:r w:rsidRPr="007E3D31">
              <w:t xml:space="preserve">Sutarties Bendrosios dalies 11.4 punkte nurodytų Šalių iš anksto sutartų minimalių nuostolių dydis yra </w:t>
            </w:r>
            <w:r w:rsidRPr="007E3D31">
              <w:rPr>
                <w:b/>
                <w:bCs/>
                <w:lang w:val="en-US"/>
              </w:rPr>
              <w:t>5 (</w:t>
            </w:r>
            <w:r w:rsidRPr="007E3D31">
              <w:rPr>
                <w:b/>
                <w:bCs/>
              </w:rPr>
              <w:t>penki)</w:t>
            </w:r>
            <w:r w:rsidRPr="007E3D31">
              <w:rPr>
                <w:b/>
                <w:bCs/>
                <w:lang w:val="en-US"/>
              </w:rPr>
              <w:t xml:space="preserve"> proc.</w:t>
            </w:r>
            <w:r w:rsidRPr="007E3D31">
              <w:rPr>
                <w:bCs/>
                <w:lang w:val="en-US"/>
              </w:rPr>
              <w:t xml:space="preserve"> </w:t>
            </w:r>
            <w:r w:rsidRPr="007E3D31">
              <w:rPr>
                <w:bCs/>
              </w:rPr>
              <w:t>nuo Sutarties kainos be PVM.</w:t>
            </w:r>
          </w:p>
          <w:p w:rsidR="0051758C" w:rsidRPr="007E3D31" w:rsidRDefault="00380A8B">
            <w:pPr>
              <w:jc w:val="both"/>
            </w:pPr>
            <w:r w:rsidRPr="007E3D31">
              <w:t>9.</w:t>
            </w:r>
            <w:r w:rsidR="004C12E7">
              <w:t>4</w:t>
            </w:r>
            <w:r w:rsidR="0051758C" w:rsidRPr="007E3D31">
              <w:t>. Nenugalimos jėgos aplinkybių trukmė –</w:t>
            </w:r>
            <w:r w:rsidR="00BF6FE6" w:rsidRPr="007E3D31">
              <w:t xml:space="preserve"> </w:t>
            </w:r>
            <w:r w:rsidR="008E2070" w:rsidRPr="007E3D31">
              <w:rPr>
                <w:b/>
              </w:rPr>
              <w:t>30 (trisdešimt) dienų</w:t>
            </w:r>
            <w:r w:rsidR="008E2070" w:rsidRPr="007E3D31">
              <w:t>, taikant Sutarties B</w:t>
            </w:r>
            <w:r w:rsidR="0051758C" w:rsidRPr="007E3D31">
              <w:t>endrosios dalies 9.1.2 punkto sąlygas.</w:t>
            </w:r>
          </w:p>
          <w:p w:rsidR="00DF1F9F" w:rsidRPr="007E3D31" w:rsidRDefault="00380A8B">
            <w:pPr>
              <w:jc w:val="both"/>
            </w:pPr>
            <w:r w:rsidRPr="007E3D31">
              <w:t>9.</w:t>
            </w:r>
            <w:r w:rsidR="004C12E7">
              <w:t>5</w:t>
            </w:r>
            <w:r w:rsidR="00DF1F9F" w:rsidRPr="007E3D31">
              <w:t xml:space="preserve">. </w:t>
            </w:r>
            <w:r w:rsidR="00DF1F9F" w:rsidRPr="007E3D31">
              <w:rPr>
                <w:b/>
              </w:rPr>
              <w:t>Pardavėjas</w:t>
            </w:r>
            <w:r w:rsidR="00DF1F9F" w:rsidRPr="007E3D31">
              <w:t xml:space="preserve"> šiai Sutarčiai vykdyti pasitelks subtiekėją (-</w:t>
            </w:r>
            <w:proofErr w:type="spellStart"/>
            <w:r w:rsidR="00DF1F9F" w:rsidRPr="007E3D31">
              <w:t>us</w:t>
            </w:r>
            <w:proofErr w:type="spellEnd"/>
            <w:r w:rsidR="00DF1F9F" w:rsidRPr="007E3D31">
              <w:t>): (</w:t>
            </w:r>
            <w:r w:rsidR="00DF1F9F" w:rsidRPr="007E3D31">
              <w:rPr>
                <w:i/>
              </w:rPr>
              <w:t xml:space="preserve">nurodomas subtiekėjo (-ų) pavadinimas). </w:t>
            </w:r>
            <w:r w:rsidR="00DF1F9F" w:rsidRPr="007E3D31">
              <w:t>Subtiekėjo (-jų) kei</w:t>
            </w:r>
            <w:r w:rsidR="008E2070" w:rsidRPr="007E3D31">
              <w:t>timo tvarka nurodyta Sutarties B</w:t>
            </w:r>
            <w:r w:rsidR="00DF1F9F" w:rsidRPr="007E3D31">
              <w:t>endrosios dalies 15.9 punkte.</w:t>
            </w:r>
            <w:r w:rsidR="00DF1F9F" w:rsidRPr="007E3D31">
              <w:rPr>
                <w:i/>
              </w:rPr>
              <w:t xml:space="preserve"> arba įrašoma:</w:t>
            </w:r>
            <w:r w:rsidR="00DF1F9F" w:rsidRPr="007E3D31">
              <w:t xml:space="preserve"> </w:t>
            </w:r>
            <w:r w:rsidR="00DF1F9F" w:rsidRPr="007E3D31">
              <w:rPr>
                <w:b/>
              </w:rPr>
              <w:t>Pardavėjas</w:t>
            </w:r>
            <w:r w:rsidR="00DF1F9F" w:rsidRPr="007E3D31">
              <w:t xml:space="preserve"> šiai Sutarčiai vykdyti subtiekėjo (-ų) nepasitelks </w:t>
            </w:r>
            <w:r w:rsidR="00DF1F9F" w:rsidRPr="007E3D31">
              <w:rPr>
                <w:i/>
              </w:rPr>
              <w:t>(jei subtiekėjas nebus pasitelktas)</w:t>
            </w:r>
            <w:r w:rsidR="00DF1F9F" w:rsidRPr="007E3D31">
              <w:t>.</w:t>
            </w:r>
          </w:p>
          <w:p w:rsidR="0051758C" w:rsidRPr="007E3D31" w:rsidRDefault="00403322">
            <w:pPr>
              <w:jc w:val="both"/>
            </w:pPr>
            <w:r w:rsidRPr="007E3D31">
              <w:t>9.</w:t>
            </w:r>
            <w:r w:rsidR="004C12E7">
              <w:t>6</w:t>
            </w:r>
            <w:r w:rsidR="0051758C" w:rsidRPr="007E3D31">
              <w:t xml:space="preserve">. </w:t>
            </w:r>
            <w:r w:rsidR="0051758C" w:rsidRPr="007E3D31">
              <w:rPr>
                <w:b/>
              </w:rPr>
              <w:t>Pardavėjo</w:t>
            </w:r>
            <w:r w:rsidR="0051758C" w:rsidRPr="007E3D31">
              <w:t xml:space="preserve"> atstovas</w:t>
            </w:r>
            <w:r w:rsidR="00EB4422" w:rsidRPr="007E3D31">
              <w:t xml:space="preserve"> </w:t>
            </w:r>
            <w:r w:rsidR="0051758C" w:rsidRPr="007E3D31">
              <w:t>(</w:t>
            </w:r>
            <w:r w:rsidR="007D5154" w:rsidRPr="007E3D31">
              <w:t>-</w:t>
            </w:r>
            <w:r w:rsidR="0051758C" w:rsidRPr="007E3D31">
              <w:t>ai) –</w:t>
            </w:r>
            <w:r w:rsidR="00722BDD">
              <w:t xml:space="preserve"> </w:t>
            </w:r>
            <w:r w:rsidR="008A28BF">
              <w:t xml:space="preserve">Arvydas Velička, tel. +370 , el. paštas: </w:t>
            </w:r>
            <w:hyperlink r:id="rId8" w:history="1">
              <w:proofErr w:type="spellStart"/>
              <w:r w:rsidR="008A28BF" w:rsidRPr="009D56DF">
                <w:rPr>
                  <w:rStyle w:val="Hyperlink"/>
                </w:rPr>
                <w:t>bluebridge.lt</w:t>
              </w:r>
              <w:proofErr w:type="spellEnd"/>
            </w:hyperlink>
            <w:r w:rsidR="008A28BF">
              <w:t xml:space="preserve">. </w:t>
            </w:r>
          </w:p>
          <w:p w:rsidR="0051758C" w:rsidRPr="007E3D31" w:rsidRDefault="00403322">
            <w:pPr>
              <w:jc w:val="both"/>
            </w:pPr>
            <w:r w:rsidRPr="007E3D31">
              <w:t>9.</w:t>
            </w:r>
            <w:r w:rsidR="004C12E7">
              <w:t>7</w:t>
            </w:r>
            <w:r w:rsidR="0051758C" w:rsidRPr="007E3D31">
              <w:t xml:space="preserve">. </w:t>
            </w:r>
            <w:r w:rsidR="0051758C" w:rsidRPr="007E3D31">
              <w:rPr>
                <w:b/>
              </w:rPr>
              <w:t>Pirkėjo</w:t>
            </w:r>
            <w:r w:rsidR="0051758C" w:rsidRPr="007E3D31">
              <w:t xml:space="preserve"> atstovas</w:t>
            </w:r>
            <w:r w:rsidR="00EB4422" w:rsidRPr="007E3D31">
              <w:t xml:space="preserve"> </w:t>
            </w:r>
            <w:r w:rsidR="0051758C" w:rsidRPr="007E3D31">
              <w:t>(</w:t>
            </w:r>
            <w:r w:rsidR="007D5154" w:rsidRPr="007E3D31">
              <w:t>-</w:t>
            </w:r>
            <w:r w:rsidR="0051758C" w:rsidRPr="007E3D31">
              <w:t xml:space="preserve">ai) </w:t>
            </w:r>
            <w:r w:rsidR="004D5E50" w:rsidRPr="007E3D31">
              <w:t>–</w:t>
            </w:r>
            <w:r w:rsidR="0051758C" w:rsidRPr="007E3D31">
              <w:t xml:space="preserve"> </w:t>
            </w:r>
            <w:r w:rsidR="00722BDD">
              <w:t>Domas Mašidlauskas</w:t>
            </w:r>
            <w:r w:rsidR="007E3D31" w:rsidRPr="007E3D31">
              <w:t xml:space="preserve">, </w:t>
            </w:r>
            <w:r w:rsidR="007E3D31" w:rsidRPr="007E3D31">
              <w:rPr>
                <w:color w:val="0563C1"/>
                <w:u w:val="single"/>
                <w:lang w:val="en-US"/>
              </w:rPr>
              <w:t>@</w:t>
            </w:r>
            <w:proofErr w:type="spellStart"/>
            <w:r w:rsidR="007E3D31" w:rsidRPr="007E3D31">
              <w:rPr>
                <w:color w:val="0563C1"/>
                <w:u w:val="single"/>
                <w:lang w:val="en-US"/>
              </w:rPr>
              <w:t>kvtc.gov.lt</w:t>
            </w:r>
            <w:proofErr w:type="spellEnd"/>
            <w:r w:rsidR="008A28BF">
              <w:rPr>
                <w:color w:val="0563C1"/>
                <w:u w:val="single"/>
                <w:lang w:val="en-US"/>
              </w:rPr>
              <w:t>,</w:t>
            </w:r>
            <w:r w:rsidR="007E3D31" w:rsidRPr="007E3D31">
              <w:rPr>
                <w:lang w:val="en-US"/>
              </w:rPr>
              <w:t xml:space="preserve"> tel. </w:t>
            </w:r>
            <w:r w:rsidR="004C511C">
              <w:rPr>
                <w:lang w:val="en-US"/>
              </w:rPr>
              <w:t>+370</w:t>
            </w:r>
            <w:bookmarkStart w:id="0" w:name="_GoBack"/>
            <w:bookmarkEnd w:id="0"/>
            <w:r w:rsidR="007E3D31" w:rsidRPr="007E3D31">
              <w:rPr>
                <w:lang w:val="en-US"/>
              </w:rPr>
              <w:t>.</w:t>
            </w:r>
          </w:p>
          <w:p w:rsidR="00E71D8B" w:rsidRPr="007E3D31" w:rsidRDefault="004D5E50">
            <w:pPr>
              <w:jc w:val="both"/>
              <w:rPr>
                <w:i/>
                <w:color w:val="000000"/>
              </w:rPr>
            </w:pPr>
            <w:r w:rsidRPr="007E3D31">
              <w:t>9.</w:t>
            </w:r>
            <w:r w:rsidR="004C12E7">
              <w:t>8</w:t>
            </w:r>
            <w:r w:rsidRPr="007E3D31">
              <w:t>. A</w:t>
            </w:r>
            <w:r w:rsidRPr="007E3D31">
              <w:rPr>
                <w:color w:val="000000"/>
              </w:rPr>
              <w:t xml:space="preserve">smuo, atsakingas už Sutarties ir </w:t>
            </w:r>
            <w:r w:rsidR="00307FD2" w:rsidRPr="007E3D31">
              <w:rPr>
                <w:color w:val="000000"/>
              </w:rPr>
              <w:t xml:space="preserve">jos </w:t>
            </w:r>
            <w:r w:rsidRPr="007E3D31">
              <w:rPr>
                <w:color w:val="000000"/>
              </w:rPr>
              <w:t>pakeitimų paskelbimą –</w:t>
            </w:r>
            <w:r w:rsidR="008256FA" w:rsidRPr="007E3D31">
              <w:rPr>
                <w:color w:val="000000"/>
              </w:rPr>
              <w:t xml:space="preserve"> </w:t>
            </w:r>
            <w:r w:rsidR="00265910">
              <w:rPr>
                <w:color w:val="000000"/>
              </w:rPr>
              <w:t>Pavel Gurskij</w:t>
            </w:r>
            <w:r w:rsidR="008E2070" w:rsidRPr="007E3D31">
              <w:rPr>
                <w:color w:val="000000"/>
              </w:rPr>
              <w:t xml:space="preserve"> </w:t>
            </w:r>
            <w:r w:rsidR="00431D9B" w:rsidRPr="007E3D31">
              <w:rPr>
                <w:color w:val="000000"/>
              </w:rPr>
              <w:t>(prekių ir paslaugų pirkim</w:t>
            </w:r>
            <w:r w:rsidR="00265910">
              <w:rPr>
                <w:color w:val="000000"/>
              </w:rPr>
              <w:t>o</w:t>
            </w:r>
            <w:r w:rsidR="00431D9B" w:rsidRPr="007E3D31">
              <w:rPr>
                <w:color w:val="000000"/>
              </w:rPr>
              <w:t xml:space="preserve"> specialist</w:t>
            </w:r>
            <w:r w:rsidR="00265910">
              <w:rPr>
                <w:color w:val="000000"/>
              </w:rPr>
              <w:t>as</w:t>
            </w:r>
            <w:r w:rsidR="008256FA" w:rsidRPr="004C511C">
              <w:rPr>
                <w:color w:val="000000"/>
              </w:rPr>
              <w:t>)</w:t>
            </w:r>
            <w:r w:rsidR="00431D9B" w:rsidRPr="007E3D31">
              <w:rPr>
                <w:i/>
                <w:color w:val="000000"/>
              </w:rPr>
              <w:t>.</w:t>
            </w:r>
          </w:p>
          <w:p w:rsidR="0051758C" w:rsidRPr="007E3D31" w:rsidRDefault="00403322">
            <w:pPr>
              <w:jc w:val="both"/>
            </w:pPr>
            <w:r w:rsidRPr="007E3D31">
              <w:t>9.</w:t>
            </w:r>
            <w:r w:rsidR="004C12E7">
              <w:t>9</w:t>
            </w:r>
            <w:r w:rsidR="0051758C" w:rsidRPr="007E3D31">
              <w:t>. Sutarties priedai:</w:t>
            </w:r>
          </w:p>
          <w:p w:rsidR="008E2070" w:rsidRPr="00265910" w:rsidRDefault="00380A8B" w:rsidP="008E2070">
            <w:pPr>
              <w:jc w:val="both"/>
            </w:pPr>
            <w:r w:rsidRPr="00A80972">
              <w:t>9.</w:t>
            </w:r>
            <w:r w:rsidR="004C12E7">
              <w:t>9</w:t>
            </w:r>
            <w:r w:rsidR="008E2070" w:rsidRPr="00A80972">
              <w:t xml:space="preserve">.1. </w:t>
            </w:r>
            <w:r w:rsidR="00265910" w:rsidRPr="00265910">
              <w:t xml:space="preserve">Nepertraukiamo maitinimo šaltinio </w:t>
            </w:r>
            <w:r w:rsidR="007E3D31" w:rsidRPr="00265910">
              <w:t>techninė specifikacija</w:t>
            </w:r>
            <w:r w:rsidR="00320AED" w:rsidRPr="00265910">
              <w:t xml:space="preserve">, </w:t>
            </w:r>
            <w:r w:rsidR="00A80972" w:rsidRPr="00265910">
              <w:rPr>
                <w:lang w:val="en-US"/>
              </w:rPr>
              <w:t>4</w:t>
            </w:r>
            <w:r w:rsidR="008E2070" w:rsidRPr="00265910">
              <w:t xml:space="preserve"> lapai;</w:t>
            </w:r>
          </w:p>
          <w:p w:rsidR="0051758C" w:rsidRPr="00D50103" w:rsidRDefault="00380A8B" w:rsidP="004C12E7">
            <w:pPr>
              <w:pStyle w:val="ListParagraph"/>
              <w:ind w:left="0"/>
              <w:jc w:val="both"/>
              <w:rPr>
                <w:highlight w:val="yellow"/>
                <w:lang w:eastAsia="en-US"/>
              </w:rPr>
            </w:pPr>
            <w:r w:rsidRPr="00265910">
              <w:rPr>
                <w:rFonts w:eastAsia="Times New Roman"/>
                <w:lang w:eastAsia="lt-LT"/>
              </w:rPr>
              <w:t>9.</w:t>
            </w:r>
            <w:r w:rsidR="004C12E7">
              <w:rPr>
                <w:rFonts w:eastAsia="Times New Roman"/>
                <w:lang w:eastAsia="lt-LT"/>
              </w:rPr>
              <w:t>9</w:t>
            </w:r>
            <w:r w:rsidR="008E2070" w:rsidRPr="00265910">
              <w:rPr>
                <w:rFonts w:eastAsia="Times New Roman"/>
                <w:lang w:eastAsia="lt-LT"/>
              </w:rPr>
              <w:t xml:space="preserve">.2. </w:t>
            </w:r>
            <w:r w:rsidR="00A80972" w:rsidRPr="00265910">
              <w:rPr>
                <w:rFonts w:eastAsia="Times New Roman"/>
                <w:lang w:eastAsia="lt-LT"/>
              </w:rPr>
              <w:t>Kainos</w:t>
            </w:r>
            <w:r w:rsidR="00EA3C13" w:rsidRPr="00265910">
              <w:rPr>
                <w:rFonts w:eastAsia="Times New Roman"/>
                <w:lang w:eastAsia="lt-LT"/>
              </w:rPr>
              <w:t xml:space="preserve"> lentelė, 1</w:t>
            </w:r>
            <w:r w:rsidR="00774829" w:rsidRPr="00265910">
              <w:rPr>
                <w:rFonts w:eastAsia="Times New Roman"/>
                <w:lang w:eastAsia="lt-LT"/>
              </w:rPr>
              <w:t xml:space="preserve"> lapas</w:t>
            </w:r>
            <w:r w:rsidR="008E2070" w:rsidRPr="00265910">
              <w:rPr>
                <w:rFonts w:eastAsia="Times New Roman"/>
                <w:lang w:eastAsia="lt-LT"/>
              </w:rPr>
              <w:t>.</w:t>
            </w:r>
          </w:p>
        </w:tc>
      </w:tr>
      <w:tr w:rsidR="0051758C" w:rsidRPr="00D50103"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A80972" w:rsidRDefault="0051758C" w:rsidP="00EB4422">
            <w:pPr>
              <w:jc w:val="both"/>
              <w:rPr>
                <w:b/>
              </w:rPr>
            </w:pPr>
            <w:r w:rsidRPr="00A80972">
              <w:rPr>
                <w:b/>
              </w:rPr>
              <w:t xml:space="preserve">10. Sutarties galiojimas </w:t>
            </w:r>
          </w:p>
          <w:p w:rsidR="0051758C" w:rsidRPr="00A80972" w:rsidRDefault="0051758C" w:rsidP="00AC7F90">
            <w:pPr>
              <w:jc w:val="both"/>
              <w:rPr>
                <w:bCs/>
              </w:rPr>
            </w:pPr>
            <w:r w:rsidRPr="00A80972">
              <w:rPr>
                <w:bCs/>
              </w:rPr>
              <w:t xml:space="preserve">10.1. </w:t>
            </w:r>
            <w:r w:rsidR="00F00B69" w:rsidRPr="00A80972">
              <w:rPr>
                <w:bCs/>
              </w:rPr>
              <w:t>Sutartis galioja</w:t>
            </w:r>
            <w:r w:rsidR="008E2070" w:rsidRPr="00A80972">
              <w:rPr>
                <w:bCs/>
              </w:rPr>
              <w:t xml:space="preserve"> </w:t>
            </w:r>
            <w:r w:rsidR="00276CBD">
              <w:rPr>
                <w:b/>
                <w:bCs/>
              </w:rPr>
              <w:t>6</w:t>
            </w:r>
            <w:r w:rsidR="00A80972" w:rsidRPr="00A80972">
              <w:rPr>
                <w:b/>
                <w:bCs/>
              </w:rPr>
              <w:t xml:space="preserve"> (</w:t>
            </w:r>
            <w:r w:rsidR="00276CBD">
              <w:rPr>
                <w:b/>
                <w:bCs/>
              </w:rPr>
              <w:t>šešis</w:t>
            </w:r>
            <w:r w:rsidR="008E2070" w:rsidRPr="00A80972">
              <w:rPr>
                <w:b/>
                <w:bCs/>
              </w:rPr>
              <w:t xml:space="preserve">) </w:t>
            </w:r>
            <w:r w:rsidR="006D3DFB" w:rsidRPr="00A80972">
              <w:rPr>
                <w:b/>
                <w:bCs/>
              </w:rPr>
              <w:t>mėnesi</w:t>
            </w:r>
            <w:r w:rsidR="003F4C59" w:rsidRPr="00A80972">
              <w:rPr>
                <w:b/>
                <w:bCs/>
              </w:rPr>
              <w:t>us</w:t>
            </w:r>
            <w:r w:rsidR="00F00B69" w:rsidRPr="00A80972">
              <w:rPr>
                <w:bCs/>
              </w:rPr>
              <w:t xml:space="preserve"> nuo Sutarties įsigaliojimo dienos</w:t>
            </w:r>
            <w:r w:rsidR="00E129BC" w:rsidRPr="00A80972">
              <w:rPr>
                <w:bCs/>
              </w:rPr>
              <w:t xml:space="preserve">, </w:t>
            </w:r>
            <w:r w:rsidR="00F00B69" w:rsidRPr="00A80972">
              <w:rPr>
                <w:bCs/>
              </w:rPr>
              <w:t xml:space="preserve">o finansinių ir garantinių įsipareigojimų atžvilgiu – iki visiško finansinių ir garantinių įsipareigojimų įvykdymo. </w:t>
            </w:r>
          </w:p>
          <w:p w:rsidR="00952AEB" w:rsidRPr="00104A58" w:rsidRDefault="0051758C" w:rsidP="00EB4422">
            <w:r w:rsidRPr="00A80972">
              <w:t xml:space="preserve">10.2. Sutarties pratęsimas </w:t>
            </w:r>
            <w:r w:rsidR="00BA7D3E" w:rsidRPr="00A80972">
              <w:t>–</w:t>
            </w:r>
            <w:r w:rsidRPr="00A80972">
              <w:t xml:space="preserve"> </w:t>
            </w:r>
            <w:r w:rsidR="00774829" w:rsidRPr="00A80972">
              <w:t>nenumatomas.</w:t>
            </w:r>
          </w:p>
        </w:tc>
      </w:tr>
      <w:tr w:rsidR="0051758C" w:rsidRPr="00D50103"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A80972" w:rsidRDefault="0051758C">
            <w:pPr>
              <w:rPr>
                <w:b/>
              </w:rPr>
            </w:pPr>
            <w:r w:rsidRPr="00A80972">
              <w:rPr>
                <w:b/>
              </w:rPr>
              <w:t>11. Pirkėjo rekvizitai</w:t>
            </w:r>
          </w:p>
          <w:p w:rsidR="001859CF" w:rsidRPr="00A80972" w:rsidRDefault="001859CF" w:rsidP="001859CF">
            <w:pPr>
              <w:rPr>
                <w:b/>
                <w:bCs/>
              </w:rPr>
            </w:pPr>
            <w:r w:rsidRPr="00A80972">
              <w:rPr>
                <w:b/>
                <w:bCs/>
              </w:rPr>
              <w:t xml:space="preserve">Kertinis valstybės telekomunikacijų centras </w:t>
            </w:r>
          </w:p>
          <w:p w:rsidR="001859CF" w:rsidRPr="00A80972" w:rsidRDefault="001859CF" w:rsidP="001859CF">
            <w:r w:rsidRPr="00A80972">
              <w:t>Pilies g. 23, LT-01123 Vilnius.</w:t>
            </w:r>
          </w:p>
          <w:p w:rsidR="001859CF" w:rsidRPr="00A80972" w:rsidRDefault="001859CF" w:rsidP="001859CF">
            <w:pPr>
              <w:jc w:val="both"/>
            </w:pPr>
            <w:r w:rsidRPr="00A80972">
              <w:t xml:space="preserve">Juridinio asmens kodas 121738687, </w:t>
            </w:r>
          </w:p>
          <w:p w:rsidR="001859CF" w:rsidRPr="00A80972" w:rsidRDefault="001859CF" w:rsidP="001859CF">
            <w:pPr>
              <w:jc w:val="both"/>
            </w:pPr>
            <w:r w:rsidRPr="00A80972">
              <w:lastRenderedPageBreak/>
              <w:t>PVM mokėtojo kodas LT217386811.</w:t>
            </w:r>
          </w:p>
          <w:p w:rsidR="001859CF" w:rsidRPr="00A80972" w:rsidRDefault="001859CF" w:rsidP="001859CF">
            <w:pPr>
              <w:jc w:val="both"/>
            </w:pPr>
            <w:r w:rsidRPr="00A80972">
              <w:t>A. s. LT</w:t>
            </w:r>
            <w:r w:rsidRPr="00A80972">
              <w:rPr>
                <w:lang w:val="en-US"/>
              </w:rPr>
              <w:t>54 7044 0600 0829 8446</w:t>
            </w:r>
            <w:r w:rsidRPr="00A80972">
              <w:rPr>
                <w:bCs/>
              </w:rPr>
              <w:t xml:space="preserve">, </w:t>
            </w:r>
            <w:r w:rsidRPr="00A80972">
              <w:t xml:space="preserve">AB SEB bankas. </w:t>
            </w:r>
          </w:p>
          <w:p w:rsidR="001859CF" w:rsidRPr="00A80972" w:rsidRDefault="001859CF" w:rsidP="001859CF">
            <w:pPr>
              <w:jc w:val="both"/>
            </w:pPr>
            <w:r w:rsidRPr="00A80972">
              <w:t xml:space="preserve">Tel. +370 5239 1708. </w:t>
            </w:r>
          </w:p>
          <w:p w:rsidR="001859CF" w:rsidRPr="00A80972" w:rsidRDefault="001859CF" w:rsidP="001859CF">
            <w:pPr>
              <w:jc w:val="both"/>
            </w:pPr>
            <w:r w:rsidRPr="00A80972">
              <w:t xml:space="preserve">Faks. +370 5279 1331. </w:t>
            </w:r>
          </w:p>
          <w:p w:rsidR="0051758C" w:rsidRPr="00C95C7B" w:rsidRDefault="001859CF">
            <w:pPr>
              <w:rPr>
                <w:b/>
              </w:rPr>
            </w:pPr>
            <w:r w:rsidRPr="00A80972">
              <w:t xml:space="preserve">El. p. </w:t>
            </w:r>
            <w:hyperlink r:id="rId9" w:history="1">
              <w:r w:rsidRPr="00A80972">
                <w:rPr>
                  <w:color w:val="0563C1"/>
                  <w:u w:val="single" w:color="000000"/>
                </w:rPr>
                <w:t>info@kvtc.gov.lt</w:t>
              </w:r>
            </w:hyperlink>
          </w:p>
        </w:tc>
      </w:tr>
      <w:tr w:rsidR="0051758C" w:rsidRPr="00A80972"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A80972" w:rsidRDefault="0051758C">
            <w:pPr>
              <w:rPr>
                <w:b/>
              </w:rPr>
            </w:pPr>
            <w:r w:rsidRPr="00A80972">
              <w:rPr>
                <w:b/>
              </w:rPr>
              <w:lastRenderedPageBreak/>
              <w:t>12. Pardavėjo rekvizitai</w:t>
            </w:r>
          </w:p>
          <w:p w:rsidR="0051758C" w:rsidRDefault="008A28BF">
            <w:pPr>
              <w:rPr>
                <w:b/>
              </w:rPr>
            </w:pPr>
            <w:r>
              <w:rPr>
                <w:b/>
              </w:rPr>
              <w:t>UAB „</w:t>
            </w:r>
            <w:proofErr w:type="spellStart"/>
            <w:r>
              <w:rPr>
                <w:b/>
              </w:rPr>
              <w:t>Blue</w:t>
            </w:r>
            <w:proofErr w:type="spellEnd"/>
            <w:r>
              <w:rPr>
                <w:b/>
              </w:rPr>
              <w:t xml:space="preserve"> </w:t>
            </w:r>
            <w:proofErr w:type="spellStart"/>
            <w:r>
              <w:rPr>
                <w:b/>
              </w:rPr>
              <w:t>Bridge</w:t>
            </w:r>
            <w:proofErr w:type="spellEnd"/>
            <w:r>
              <w:rPr>
                <w:b/>
              </w:rPr>
              <w:t xml:space="preserve"> MSP“</w:t>
            </w:r>
          </w:p>
          <w:p w:rsidR="008A28BF" w:rsidRPr="008A28BF" w:rsidRDefault="008A28BF">
            <w:r w:rsidRPr="008A28BF">
              <w:t>J. Jasinskio g. 16A, LT-03163 Vilnius</w:t>
            </w:r>
          </w:p>
          <w:p w:rsidR="008A28BF" w:rsidRPr="008A28BF" w:rsidRDefault="008A28BF">
            <w:r w:rsidRPr="008A28BF">
              <w:t>Juridinio asmens kodas 301489547</w:t>
            </w:r>
          </w:p>
          <w:p w:rsidR="008A28BF" w:rsidRPr="008A28BF" w:rsidRDefault="008A28BF">
            <w:r w:rsidRPr="008A28BF">
              <w:t>PVM mokėtojo kodas LT100003708514</w:t>
            </w:r>
          </w:p>
          <w:p w:rsidR="008A28BF" w:rsidRPr="008A28BF" w:rsidRDefault="008A28BF" w:rsidP="008A28BF">
            <w:proofErr w:type="spellStart"/>
            <w:r w:rsidRPr="008A28BF">
              <w:t>a.s</w:t>
            </w:r>
            <w:proofErr w:type="spellEnd"/>
            <w:r w:rsidRPr="008A28BF">
              <w:t>. LT892140030002805128</w:t>
            </w:r>
          </w:p>
          <w:p w:rsidR="008A28BF" w:rsidRPr="008A28BF" w:rsidRDefault="008A28BF" w:rsidP="008A28BF">
            <w:proofErr w:type="spellStart"/>
            <w:r w:rsidRPr="008A28BF">
              <w:t>Luminor</w:t>
            </w:r>
            <w:proofErr w:type="spellEnd"/>
            <w:r w:rsidRPr="008A28BF">
              <w:t xml:space="preserve"> Bank AS, banko kodas 21400</w:t>
            </w:r>
          </w:p>
          <w:p w:rsidR="008A28BF" w:rsidRDefault="008A28BF">
            <w:r w:rsidRPr="008A28BF">
              <w:t>Tel. +37052526060</w:t>
            </w:r>
          </w:p>
          <w:p w:rsidR="00514575" w:rsidRPr="00514575" w:rsidRDefault="00514575">
            <w:r w:rsidRPr="00514575">
              <w:t xml:space="preserve">El. paštas </w:t>
            </w:r>
            <w:hyperlink r:id="rId10" w:history="1">
              <w:r w:rsidRPr="00514575">
                <w:rPr>
                  <w:rStyle w:val="Hyperlink"/>
                </w:rPr>
                <w:t>info@bluebridge.lt</w:t>
              </w:r>
            </w:hyperlink>
            <w:r w:rsidRPr="00514575">
              <w:t xml:space="preserve"> </w:t>
            </w:r>
          </w:p>
        </w:tc>
      </w:tr>
    </w:tbl>
    <w:p w:rsidR="0051758C" w:rsidRPr="00A80972" w:rsidRDefault="0051758C" w:rsidP="0051758C">
      <w:pPr>
        <w:pStyle w:val="BodyText1"/>
        <w:ind w:firstLine="0"/>
        <w:rPr>
          <w:rFonts w:ascii="Times New Roman" w:eastAsia="Times New Roman" w:hAnsi="Times New Roman"/>
          <w:b/>
          <w:lang w:val="lt-LT" w:eastAsia="en-US"/>
        </w:rPr>
      </w:pPr>
    </w:p>
    <w:p w:rsidR="00F00B69" w:rsidRPr="00A80972" w:rsidRDefault="00F00B69" w:rsidP="0051758C">
      <w:pPr>
        <w:pStyle w:val="BodyText1"/>
        <w:ind w:firstLine="0"/>
        <w:rPr>
          <w:rFonts w:ascii="Times New Roman" w:eastAsia="Times New Roman" w:hAnsi="Times New Roman"/>
          <w:b/>
          <w:lang w:val="lt-LT" w:eastAsia="en-US"/>
        </w:rPr>
      </w:pPr>
    </w:p>
    <w:p w:rsidR="0051758C" w:rsidRPr="00A80972" w:rsidRDefault="0051758C" w:rsidP="00BE29B6">
      <w:pPr>
        <w:pStyle w:val="BodyText1"/>
        <w:ind w:firstLine="0"/>
        <w:rPr>
          <w:rFonts w:ascii="Times New Roman" w:hAnsi="Times New Roman"/>
          <w:b/>
          <w:sz w:val="24"/>
          <w:szCs w:val="24"/>
          <w:lang w:val="lt-LT"/>
        </w:rPr>
      </w:pPr>
      <w:r w:rsidRPr="00A80972">
        <w:rPr>
          <w:rFonts w:ascii="Times New Roman" w:hAnsi="Times New Roman"/>
          <w:b/>
          <w:sz w:val="24"/>
          <w:szCs w:val="24"/>
          <w:lang w:val="lt-LT"/>
        </w:rPr>
        <w:t>PIRKĖJAS</w:t>
      </w:r>
      <w:r w:rsidRPr="00A80972">
        <w:rPr>
          <w:rFonts w:ascii="Times New Roman" w:hAnsi="Times New Roman"/>
          <w:b/>
          <w:sz w:val="24"/>
          <w:szCs w:val="24"/>
          <w:lang w:val="lt-LT"/>
        </w:rPr>
        <w:tab/>
      </w:r>
      <w:r w:rsidRPr="00A80972">
        <w:rPr>
          <w:rFonts w:ascii="Times New Roman" w:hAnsi="Times New Roman"/>
          <w:b/>
          <w:sz w:val="24"/>
          <w:szCs w:val="24"/>
          <w:lang w:val="lt-LT"/>
        </w:rPr>
        <w:tab/>
      </w:r>
      <w:r w:rsidRPr="00A80972">
        <w:rPr>
          <w:rFonts w:ascii="Times New Roman" w:hAnsi="Times New Roman"/>
          <w:b/>
          <w:sz w:val="24"/>
          <w:szCs w:val="24"/>
          <w:lang w:val="lt-LT"/>
        </w:rPr>
        <w:tab/>
      </w:r>
      <w:r w:rsidRPr="00A80972">
        <w:rPr>
          <w:rFonts w:ascii="Times New Roman" w:hAnsi="Times New Roman"/>
          <w:b/>
          <w:sz w:val="24"/>
          <w:szCs w:val="24"/>
          <w:lang w:val="lt-LT"/>
        </w:rPr>
        <w:tab/>
      </w:r>
      <w:r w:rsidRPr="00A80972">
        <w:rPr>
          <w:rFonts w:ascii="Times New Roman" w:hAnsi="Times New Roman"/>
          <w:b/>
          <w:sz w:val="24"/>
          <w:szCs w:val="24"/>
          <w:lang w:val="lt-LT"/>
        </w:rPr>
        <w:tab/>
      </w:r>
      <w:r w:rsidRPr="00A80972">
        <w:rPr>
          <w:rFonts w:ascii="Times New Roman" w:hAnsi="Times New Roman"/>
          <w:b/>
          <w:sz w:val="24"/>
          <w:szCs w:val="24"/>
          <w:lang w:val="lt-LT"/>
        </w:rPr>
        <w:tab/>
      </w:r>
      <w:r w:rsidR="00AE22AC" w:rsidRPr="00A80972">
        <w:rPr>
          <w:rFonts w:ascii="Times New Roman" w:hAnsi="Times New Roman"/>
          <w:b/>
          <w:sz w:val="24"/>
          <w:szCs w:val="24"/>
          <w:lang w:val="lt-LT"/>
        </w:rPr>
        <w:tab/>
      </w:r>
      <w:r w:rsidR="00AE22AC" w:rsidRPr="00A80972">
        <w:rPr>
          <w:rFonts w:ascii="Times New Roman" w:hAnsi="Times New Roman"/>
          <w:b/>
          <w:sz w:val="24"/>
          <w:szCs w:val="24"/>
          <w:lang w:val="lt-LT"/>
        </w:rPr>
        <w:tab/>
      </w:r>
      <w:r w:rsidR="00AE22AC" w:rsidRPr="00A80972">
        <w:rPr>
          <w:rFonts w:ascii="Times New Roman" w:hAnsi="Times New Roman"/>
          <w:b/>
          <w:sz w:val="24"/>
          <w:szCs w:val="24"/>
          <w:lang w:val="lt-LT"/>
        </w:rPr>
        <w:tab/>
      </w:r>
      <w:r w:rsidR="00AE22AC" w:rsidRPr="00A80972">
        <w:rPr>
          <w:rFonts w:ascii="Times New Roman" w:hAnsi="Times New Roman"/>
          <w:b/>
          <w:sz w:val="24"/>
          <w:szCs w:val="24"/>
          <w:lang w:val="lt-LT"/>
        </w:rPr>
        <w:tab/>
      </w:r>
      <w:r w:rsidRPr="00A80972">
        <w:rPr>
          <w:rFonts w:ascii="Times New Roman" w:hAnsi="Times New Roman"/>
          <w:b/>
          <w:sz w:val="24"/>
          <w:szCs w:val="24"/>
          <w:lang w:val="lt-LT"/>
        </w:rPr>
        <w:t>PARDAVĖJAS</w:t>
      </w:r>
    </w:p>
    <w:p w:rsidR="00F00B69" w:rsidRPr="00A80972" w:rsidRDefault="00F00B69" w:rsidP="00BE29B6">
      <w:pPr>
        <w:pStyle w:val="BodyText1"/>
        <w:ind w:firstLine="0"/>
        <w:rPr>
          <w:rFonts w:ascii="Times New Roman" w:hAnsi="Times New Roman"/>
          <w:sz w:val="24"/>
          <w:szCs w:val="24"/>
          <w:lang w:val="lt-LT"/>
        </w:rPr>
      </w:pPr>
    </w:p>
    <w:p w:rsidR="00F00B69" w:rsidRPr="00A80972" w:rsidRDefault="00F00B69" w:rsidP="00BE29B6">
      <w:pPr>
        <w:pStyle w:val="BodyText1"/>
        <w:ind w:firstLine="0"/>
        <w:rPr>
          <w:rFonts w:ascii="Times New Roman" w:hAnsi="Times New Roman"/>
          <w:sz w:val="24"/>
          <w:szCs w:val="24"/>
          <w:lang w:val="lt-LT"/>
        </w:rPr>
      </w:pPr>
    </w:p>
    <w:p w:rsidR="0051758C" w:rsidRPr="00A80972" w:rsidRDefault="00F00B69" w:rsidP="0051758C">
      <w:r w:rsidRPr="00A80972">
        <w:t xml:space="preserve">A.V. </w:t>
      </w:r>
    </w:p>
    <w:p w:rsidR="001B47DB" w:rsidRPr="00A80972" w:rsidRDefault="005E499F" w:rsidP="00774829">
      <w:r w:rsidRPr="00A80972">
        <w:t xml:space="preserve"> </w:t>
      </w:r>
    </w:p>
    <w:p w:rsidR="00E520D1" w:rsidRPr="00A80972" w:rsidRDefault="00E520D1" w:rsidP="001B47DB">
      <w:pPr>
        <w:ind w:left="3600" w:firstLine="720"/>
        <w:jc w:val="both"/>
      </w:pPr>
      <w:r w:rsidRPr="00A80972">
        <w:t>_______________________</w:t>
      </w:r>
    </w:p>
    <w:p w:rsidR="00943766" w:rsidRPr="00D50103" w:rsidRDefault="00010D70" w:rsidP="00943766">
      <w:pPr>
        <w:rPr>
          <w:highlight w:val="yellow"/>
          <w:lang w:eastAsia="en-US"/>
        </w:rPr>
      </w:pPr>
      <w:r w:rsidRPr="00D50103">
        <w:rPr>
          <w:highlight w:val="yellow"/>
          <w:lang w:eastAsia="en-US"/>
        </w:rPr>
        <w:br w:type="page"/>
      </w:r>
    </w:p>
    <w:p w:rsidR="00593E93" w:rsidRPr="00A80972" w:rsidRDefault="004B4FFE" w:rsidP="00EB04AE">
      <w:pPr>
        <w:jc w:val="center"/>
        <w:rPr>
          <w:b/>
        </w:rPr>
      </w:pPr>
      <w:r w:rsidRPr="00A80972">
        <w:rPr>
          <w:b/>
        </w:rPr>
        <w:lastRenderedPageBreak/>
        <w:t>PREKIŲ PIRKIMO-PARDAVIMO SUTARTIS</w:t>
      </w:r>
    </w:p>
    <w:p w:rsidR="004B4FFE" w:rsidRPr="00A80972" w:rsidRDefault="004B4FFE" w:rsidP="00EB04AE">
      <w:pPr>
        <w:jc w:val="center"/>
        <w:rPr>
          <w:b/>
        </w:rPr>
      </w:pPr>
    </w:p>
    <w:p w:rsidR="00EB04AE" w:rsidRPr="00A80972" w:rsidRDefault="005C316B" w:rsidP="00EB04AE">
      <w:pPr>
        <w:jc w:val="center"/>
        <w:rPr>
          <w:b/>
        </w:rPr>
      </w:pPr>
      <w:r w:rsidRPr="00A80972">
        <w:rPr>
          <w:b/>
        </w:rPr>
        <w:t xml:space="preserve">II. </w:t>
      </w:r>
      <w:r w:rsidR="00EB04AE" w:rsidRPr="00A80972">
        <w:rPr>
          <w:b/>
        </w:rPr>
        <w:t>BENDROJI DALIS</w:t>
      </w:r>
    </w:p>
    <w:p w:rsidR="003B1F71" w:rsidRPr="00A80972" w:rsidRDefault="003B1F71" w:rsidP="00EB04AE">
      <w:pPr>
        <w:jc w:val="center"/>
        <w:rPr>
          <w:b/>
        </w:rPr>
      </w:pPr>
    </w:p>
    <w:p w:rsidR="0055239D" w:rsidRPr="00A80972" w:rsidRDefault="0055239D" w:rsidP="0055239D">
      <w:pPr>
        <w:jc w:val="both"/>
        <w:rPr>
          <w:b/>
        </w:rPr>
      </w:pPr>
      <w:r w:rsidRPr="00A80972">
        <w:rPr>
          <w:b/>
        </w:rPr>
        <w:t>1.</w:t>
      </w:r>
      <w:r w:rsidRPr="00A80972">
        <w:t xml:space="preserve"> </w:t>
      </w:r>
      <w:r w:rsidRPr="00A80972">
        <w:rPr>
          <w:b/>
        </w:rPr>
        <w:t>Sąvokos</w:t>
      </w:r>
    </w:p>
    <w:p w:rsidR="00EB04AE" w:rsidRPr="00A80972" w:rsidRDefault="0055239D" w:rsidP="00EB04AE">
      <w:pPr>
        <w:jc w:val="both"/>
      </w:pPr>
      <w:r w:rsidRPr="00A80972">
        <w:t xml:space="preserve">1.1. Šioje </w:t>
      </w:r>
      <w:r w:rsidR="00CC0818" w:rsidRPr="00A80972">
        <w:t xml:space="preserve">Sutartyje </w:t>
      </w:r>
      <w:r w:rsidRPr="00A80972">
        <w:t>naudojamos pagrindinės sąvokos:</w:t>
      </w:r>
    </w:p>
    <w:p w:rsidR="00EB04AE" w:rsidRPr="00A80972" w:rsidRDefault="0055239D" w:rsidP="00EB04AE">
      <w:pPr>
        <w:pStyle w:val="BodyText"/>
        <w:tabs>
          <w:tab w:val="left" w:pos="-360"/>
          <w:tab w:val="left" w:pos="-180"/>
          <w:tab w:val="left" w:pos="0"/>
          <w:tab w:val="left" w:pos="720"/>
        </w:tabs>
        <w:spacing w:after="0"/>
        <w:jc w:val="both"/>
      </w:pPr>
      <w:r w:rsidRPr="00A80972">
        <w:t>1.</w:t>
      </w:r>
      <w:r w:rsidR="00EB04AE" w:rsidRPr="00A80972">
        <w:t xml:space="preserve">1.1. Sutartis – šios prekių </w:t>
      </w:r>
      <w:r w:rsidR="00CC0818" w:rsidRPr="00A80972">
        <w:t xml:space="preserve">viešojo </w:t>
      </w:r>
      <w:r w:rsidR="00EB04AE" w:rsidRPr="00A80972">
        <w:t>pirkimo</w:t>
      </w:r>
      <w:r w:rsidR="00EB04AE" w:rsidRPr="00A80972">
        <w:rPr>
          <w:b/>
        </w:rPr>
        <w:t>–</w:t>
      </w:r>
      <w:r w:rsidR="00774829" w:rsidRPr="00A80972">
        <w:t>pardavimo Sutarties Bendroji ir S</w:t>
      </w:r>
      <w:r w:rsidR="00EB04AE" w:rsidRPr="00A80972">
        <w:t xml:space="preserve">pecialioji dalys, prekių </w:t>
      </w:r>
      <w:r w:rsidR="00CC0818" w:rsidRPr="00A80972">
        <w:t xml:space="preserve">viešojo </w:t>
      </w:r>
      <w:r w:rsidR="00EB04AE" w:rsidRPr="00A80972">
        <w:t>pirkimo</w:t>
      </w:r>
      <w:r w:rsidR="00EB04AE" w:rsidRPr="00A80972">
        <w:rPr>
          <w:b/>
        </w:rPr>
        <w:t>–</w:t>
      </w:r>
      <w:r w:rsidR="00774829" w:rsidRPr="00A80972">
        <w:t>pardavimo S</w:t>
      </w:r>
      <w:r w:rsidR="00EB04AE" w:rsidRPr="00A80972">
        <w:t xml:space="preserve">utarties priedai. </w:t>
      </w:r>
    </w:p>
    <w:p w:rsidR="00EB04AE" w:rsidRPr="00A80972" w:rsidRDefault="0055239D" w:rsidP="00EB04AE">
      <w:pPr>
        <w:pStyle w:val="BodyText"/>
        <w:tabs>
          <w:tab w:val="left" w:pos="-180"/>
          <w:tab w:val="left" w:pos="0"/>
          <w:tab w:val="left" w:pos="540"/>
        </w:tabs>
        <w:spacing w:after="0"/>
        <w:jc w:val="both"/>
      </w:pPr>
      <w:r w:rsidRPr="00A80972">
        <w:t>1.</w:t>
      </w:r>
      <w:r w:rsidR="00EB04AE" w:rsidRPr="00A80972">
        <w:t>1.</w:t>
      </w:r>
      <w:r w:rsidR="00EC69B8" w:rsidRPr="00A80972">
        <w:t>2. Sutarties Š</w:t>
      </w:r>
      <w:r w:rsidR="00EB04AE" w:rsidRPr="00A80972">
        <w:t xml:space="preserve">alys </w:t>
      </w:r>
      <w:r w:rsidR="006F2500" w:rsidRPr="00A80972">
        <w:t>–</w:t>
      </w:r>
      <w:r w:rsidR="00EB04AE" w:rsidRPr="00A80972">
        <w:t xml:space="preserve"> </w:t>
      </w:r>
      <w:r w:rsidR="00EB04AE" w:rsidRPr="00A80972">
        <w:rPr>
          <w:b/>
        </w:rPr>
        <w:t>Pirkėjas</w:t>
      </w:r>
      <w:r w:rsidR="00EB04AE" w:rsidRPr="00A80972">
        <w:t xml:space="preserve"> ir </w:t>
      </w:r>
      <w:r w:rsidR="00EB04AE" w:rsidRPr="00A80972">
        <w:rPr>
          <w:b/>
        </w:rPr>
        <w:t>Pardavėjas</w:t>
      </w:r>
      <w:r w:rsidR="00EB04AE" w:rsidRPr="00A80972">
        <w:t>:</w:t>
      </w:r>
    </w:p>
    <w:p w:rsidR="00EB04AE" w:rsidRPr="00A80972" w:rsidRDefault="0055239D" w:rsidP="00EB04AE">
      <w:pPr>
        <w:pStyle w:val="BodyText"/>
        <w:spacing w:after="0"/>
        <w:jc w:val="both"/>
      </w:pPr>
      <w:r w:rsidRPr="00A80972">
        <w:t>1.</w:t>
      </w:r>
      <w:r w:rsidR="00EB04AE" w:rsidRPr="00A80972">
        <w:t>1.2.1.</w:t>
      </w:r>
      <w:r w:rsidR="00EB04AE" w:rsidRPr="00A80972">
        <w:rPr>
          <w:b/>
        </w:rPr>
        <w:t xml:space="preserve"> Pirkėjas</w:t>
      </w:r>
      <w:r w:rsidR="00EB04AE" w:rsidRPr="00A80972">
        <w:t xml:space="preserve"> – tai Sutarties šalis, kurios rekvizitai nurodyti Sutartyje, perkantis Prekę šioje Sutartyje nurodytomis sąlygomis;</w:t>
      </w:r>
    </w:p>
    <w:p w:rsidR="00D92F70" w:rsidRPr="00A80972" w:rsidRDefault="0055239D" w:rsidP="00EB04AE">
      <w:pPr>
        <w:pStyle w:val="BodyText"/>
        <w:spacing w:after="0"/>
        <w:jc w:val="both"/>
      </w:pPr>
      <w:r w:rsidRPr="00A80972">
        <w:t>1.</w:t>
      </w:r>
      <w:r w:rsidR="00EB04AE" w:rsidRPr="00A80972">
        <w:t xml:space="preserve">1.2.2. </w:t>
      </w:r>
      <w:r w:rsidR="00EB04AE" w:rsidRPr="00A80972">
        <w:rPr>
          <w:b/>
        </w:rPr>
        <w:t>Pardavėjas</w:t>
      </w:r>
      <w:r w:rsidR="00EB04AE" w:rsidRPr="00A80972">
        <w:t xml:space="preserve"> – tai Sutarties šalis, kurios rekvizitai nurodyti Sutartyje, parduodantis Prekę šioje Sutartyje nurodytomis sąlygomis.</w:t>
      </w:r>
    </w:p>
    <w:p w:rsidR="00D92F70" w:rsidRPr="00A80972" w:rsidRDefault="00D92F70" w:rsidP="00EB04AE">
      <w:pPr>
        <w:pStyle w:val="BodyText"/>
        <w:spacing w:after="0"/>
        <w:jc w:val="both"/>
      </w:pPr>
      <w:r w:rsidRPr="00A80972">
        <w:t>1.1.3.</w:t>
      </w:r>
      <w:r w:rsidRPr="00A80972">
        <w:rPr>
          <w:b/>
        </w:rPr>
        <w:t xml:space="preserve"> Gavėjas</w:t>
      </w:r>
      <w:r w:rsidRPr="00A80972">
        <w:t xml:space="preserve"> – Pirkėjo padalinys, nurodytas Sutarties specialiojoje dalyje arba Sutarties priede, kuriam pristatomos prekės.</w:t>
      </w:r>
    </w:p>
    <w:p w:rsidR="00EB04AE" w:rsidRPr="00A80972" w:rsidRDefault="0055239D" w:rsidP="00EB04AE">
      <w:pPr>
        <w:pStyle w:val="BodyText"/>
        <w:spacing w:after="0"/>
        <w:jc w:val="both"/>
      </w:pPr>
      <w:r w:rsidRPr="00A80972">
        <w:t>1.</w:t>
      </w:r>
      <w:r w:rsidR="00EB04AE" w:rsidRPr="00A80972">
        <w:t>1.</w:t>
      </w:r>
      <w:r w:rsidR="00D92F70" w:rsidRPr="00A80972">
        <w:t>4</w:t>
      </w:r>
      <w:r w:rsidR="007201FB" w:rsidRPr="00A80972">
        <w:t xml:space="preserve">. </w:t>
      </w:r>
      <w:r w:rsidR="007201FB" w:rsidRPr="00A80972">
        <w:rPr>
          <w:b/>
        </w:rPr>
        <w:t>Trečiasis</w:t>
      </w:r>
      <w:r w:rsidR="00EB04AE" w:rsidRPr="00A80972">
        <w:rPr>
          <w:b/>
        </w:rPr>
        <w:t xml:space="preserve"> asmuo</w:t>
      </w:r>
      <w:r w:rsidR="00EB04AE" w:rsidRPr="00A80972">
        <w:t xml:space="preserve"> – tai bet kuris fizinis ar juridinis asmuo (taip pat valstybė, valstybės institucijos, savivaldybė, savivaldybės institucijos), </w:t>
      </w:r>
      <w:r w:rsidR="007331B2" w:rsidRPr="00A80972">
        <w:t xml:space="preserve">išskyrus Gavėją, </w:t>
      </w:r>
      <w:r w:rsidR="00EB04AE" w:rsidRPr="00A80972">
        <w:t>kuris nėra šios Sutarties šalis.</w:t>
      </w:r>
    </w:p>
    <w:p w:rsidR="00EB04AE" w:rsidRPr="00A80972" w:rsidRDefault="0055239D" w:rsidP="00EB04AE">
      <w:pPr>
        <w:pStyle w:val="BodyText"/>
        <w:spacing w:after="0"/>
        <w:jc w:val="both"/>
        <w:rPr>
          <w:b/>
        </w:rPr>
      </w:pPr>
      <w:r w:rsidRPr="00A80972">
        <w:t>1.</w:t>
      </w:r>
      <w:r w:rsidR="00EB04AE" w:rsidRPr="00A80972">
        <w:t>1.</w:t>
      </w:r>
      <w:r w:rsidR="00D92F70" w:rsidRPr="00A80972">
        <w:t>5</w:t>
      </w:r>
      <w:r w:rsidR="00EB04AE" w:rsidRPr="00A80972">
        <w:t xml:space="preserve">. </w:t>
      </w:r>
      <w:r w:rsidR="00EB04AE" w:rsidRPr="00A80972">
        <w:rPr>
          <w:b/>
        </w:rPr>
        <w:t>Licencijos</w:t>
      </w:r>
      <w:r w:rsidR="00EB04AE" w:rsidRPr="00A80972">
        <w:t xml:space="preserve"> </w:t>
      </w:r>
      <w:r w:rsidR="00CC0818" w:rsidRPr="00A80972">
        <w:rPr>
          <w:b/>
        </w:rPr>
        <w:t>–</w:t>
      </w:r>
      <w:r w:rsidR="00EB04AE" w:rsidRPr="00A80972">
        <w:rPr>
          <w:b/>
        </w:rPr>
        <w:t xml:space="preserve"> </w:t>
      </w:r>
      <w:r w:rsidR="00EB04AE" w:rsidRPr="00A80972">
        <w:rPr>
          <w:spacing w:val="-3"/>
        </w:rPr>
        <w:t>visos reikalingos licencijos ir/arba leidimai būtini Sutarties vykdymui.</w:t>
      </w:r>
    </w:p>
    <w:p w:rsidR="00EB04AE" w:rsidRPr="00A80972" w:rsidRDefault="0055239D" w:rsidP="0055239D">
      <w:pPr>
        <w:pStyle w:val="BodyText"/>
        <w:tabs>
          <w:tab w:val="num" w:pos="2880"/>
        </w:tabs>
        <w:spacing w:after="0"/>
        <w:jc w:val="both"/>
      </w:pPr>
      <w:r w:rsidRPr="00A80972">
        <w:t>1.1.</w:t>
      </w:r>
      <w:r w:rsidR="00D92F70" w:rsidRPr="00A80972">
        <w:t>6</w:t>
      </w:r>
      <w:r w:rsidRPr="00A80972">
        <w:t>.</w:t>
      </w:r>
      <w:r w:rsidR="00EB04AE" w:rsidRPr="00A80972">
        <w:t xml:space="preserve"> </w:t>
      </w:r>
      <w:r w:rsidR="0056524B" w:rsidRPr="00A80972">
        <w:rPr>
          <w:b/>
        </w:rPr>
        <w:t>Sutarties objektas</w:t>
      </w:r>
      <w:r w:rsidR="0056524B" w:rsidRPr="00A80972">
        <w:t xml:space="preserve"> </w:t>
      </w:r>
      <w:r w:rsidR="006F2500" w:rsidRPr="00A80972">
        <w:t>–</w:t>
      </w:r>
      <w:r w:rsidR="0056524B" w:rsidRPr="00A80972">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A80972">
        <w:t>.</w:t>
      </w:r>
    </w:p>
    <w:p w:rsidR="00EB04AE" w:rsidRPr="00A80972" w:rsidRDefault="0055239D" w:rsidP="00EB04AE">
      <w:pPr>
        <w:pStyle w:val="BodyText"/>
        <w:tabs>
          <w:tab w:val="left" w:pos="540"/>
          <w:tab w:val="num" w:pos="2880"/>
        </w:tabs>
        <w:spacing w:after="0"/>
        <w:jc w:val="both"/>
      </w:pPr>
      <w:r w:rsidRPr="00A80972">
        <w:t>1.</w:t>
      </w:r>
      <w:r w:rsidR="00EB04AE" w:rsidRPr="00A80972">
        <w:t>1.</w:t>
      </w:r>
      <w:r w:rsidR="00D92F70" w:rsidRPr="00A80972">
        <w:t>7</w:t>
      </w:r>
      <w:r w:rsidR="00EB04AE" w:rsidRPr="00A80972">
        <w:t xml:space="preserve">. </w:t>
      </w:r>
      <w:r w:rsidR="00EB04AE" w:rsidRPr="00A80972">
        <w:rPr>
          <w:b/>
        </w:rPr>
        <w:t>Šalių iš anksto sutarti minimalūs nuostoliai</w:t>
      </w:r>
      <w:r w:rsidR="00EB04AE" w:rsidRPr="00A80972">
        <w:t xml:space="preserve"> – tai Sutarties nustatyta arba Sutartyje nustatyta tvarka apskaičiuota ir neginčijama pinigų suma, kurią </w:t>
      </w:r>
      <w:r w:rsidR="00EB04AE" w:rsidRPr="00A80972">
        <w:rPr>
          <w:b/>
        </w:rPr>
        <w:t>Pardavėjas</w:t>
      </w:r>
      <w:r w:rsidR="00EB04AE" w:rsidRPr="00A80972">
        <w:t xml:space="preserve"> įsipareigoja sumokėti </w:t>
      </w:r>
      <w:r w:rsidR="00EB04AE" w:rsidRPr="00A80972">
        <w:rPr>
          <w:b/>
        </w:rPr>
        <w:t>Pirkėjui</w:t>
      </w:r>
      <w:r w:rsidR="00EB04AE" w:rsidRPr="00A80972">
        <w:t>, jeigu</w:t>
      </w:r>
      <w:r w:rsidR="00432306" w:rsidRPr="00A80972">
        <w:t xml:space="preserve"> sutartiniai įsipareigojimai</w:t>
      </w:r>
      <w:r w:rsidR="00432306" w:rsidRPr="00A80972" w:rsidDel="00432306">
        <w:t xml:space="preserve"> </w:t>
      </w:r>
      <w:r w:rsidR="00EB04AE" w:rsidRPr="00A80972">
        <w:t>neįvykdyt</w:t>
      </w:r>
      <w:r w:rsidR="00432306" w:rsidRPr="00A80972">
        <w:t>i</w:t>
      </w:r>
      <w:r w:rsidR="00EB04AE" w:rsidRPr="00A80972">
        <w:t xml:space="preserve"> arba netinkamai įvykdyt</w:t>
      </w:r>
      <w:r w:rsidR="00432306" w:rsidRPr="00A80972">
        <w:t>i</w:t>
      </w:r>
      <w:r w:rsidR="00EB04AE" w:rsidRPr="00A80972">
        <w:t>.</w:t>
      </w:r>
    </w:p>
    <w:p w:rsidR="004826A0" w:rsidRPr="00A80972" w:rsidRDefault="0055239D" w:rsidP="00EB04AE">
      <w:pPr>
        <w:pStyle w:val="BodyText"/>
        <w:tabs>
          <w:tab w:val="left" w:pos="540"/>
          <w:tab w:val="num" w:pos="2880"/>
        </w:tabs>
        <w:spacing w:after="0"/>
        <w:jc w:val="both"/>
      </w:pPr>
      <w:r w:rsidRPr="00A80972">
        <w:t>1.</w:t>
      </w:r>
      <w:r w:rsidR="00EB04AE" w:rsidRPr="00A80972">
        <w:t>1.</w:t>
      </w:r>
      <w:r w:rsidR="00D92F70" w:rsidRPr="00A80972">
        <w:t>8</w:t>
      </w:r>
      <w:r w:rsidR="00EB04AE" w:rsidRPr="00A80972">
        <w:t xml:space="preserve">. </w:t>
      </w:r>
      <w:r w:rsidR="004826A0" w:rsidRPr="00A80972">
        <w:rPr>
          <w:b/>
        </w:rPr>
        <w:t>Kainodaros taisyklės</w:t>
      </w:r>
      <w:r w:rsidR="004826A0" w:rsidRPr="00A80972">
        <w:t xml:space="preserve"> – </w:t>
      </w:r>
      <w:r w:rsidR="00CC0818" w:rsidRPr="00A80972">
        <w:t xml:space="preserve">Sutartyje </w:t>
      </w:r>
      <w:r w:rsidR="004826A0" w:rsidRPr="00A80972">
        <w:t>nustatyta kaina</w:t>
      </w:r>
      <w:r w:rsidR="00386526" w:rsidRPr="00A80972">
        <w:t>/įkainiai</w:t>
      </w:r>
      <w:r w:rsidR="004826A0" w:rsidRPr="00A80972">
        <w:t xml:space="preserve"> ar </w:t>
      </w:r>
      <w:r w:rsidR="00CC0818" w:rsidRPr="00A80972">
        <w:t xml:space="preserve">Sutarties </w:t>
      </w:r>
      <w:r w:rsidR="004826A0" w:rsidRPr="00A80972">
        <w:t>kainos</w:t>
      </w:r>
      <w:r w:rsidR="00386526" w:rsidRPr="00A80972">
        <w:t>/įkainių</w:t>
      </w:r>
      <w:r w:rsidR="004826A0" w:rsidRPr="00A80972">
        <w:t xml:space="preserve"> apskaičiavimo bei kainos</w:t>
      </w:r>
      <w:r w:rsidR="00386526" w:rsidRPr="00A80972">
        <w:t>/įkainių</w:t>
      </w:r>
      <w:r w:rsidR="004826A0" w:rsidRPr="00A80972">
        <w:t xml:space="preserve"> koregavimo taisyklės.</w:t>
      </w:r>
    </w:p>
    <w:p w:rsidR="00EB04AE" w:rsidRPr="00A80972" w:rsidRDefault="0055239D" w:rsidP="00EB04AE">
      <w:pPr>
        <w:pStyle w:val="BodyText"/>
        <w:tabs>
          <w:tab w:val="left" w:pos="540"/>
          <w:tab w:val="num" w:pos="2880"/>
        </w:tabs>
        <w:spacing w:after="0"/>
        <w:jc w:val="both"/>
      </w:pPr>
      <w:r w:rsidRPr="00A80972">
        <w:t>1.</w:t>
      </w:r>
      <w:r w:rsidR="00EB04AE" w:rsidRPr="00A80972">
        <w:t>1.</w:t>
      </w:r>
      <w:r w:rsidR="00D92F70" w:rsidRPr="00A80972">
        <w:t>9</w:t>
      </w:r>
      <w:r w:rsidR="00EB04AE" w:rsidRPr="00A80972">
        <w:t xml:space="preserve">. </w:t>
      </w:r>
      <w:r w:rsidR="00EB04AE" w:rsidRPr="00A80972">
        <w:rPr>
          <w:b/>
        </w:rPr>
        <w:t>Prekių siunta</w:t>
      </w:r>
      <w:r w:rsidR="00EB04AE" w:rsidRPr="00A80972">
        <w:t xml:space="preserve"> – tai vienu metu pristatomų prekių kiekis.</w:t>
      </w:r>
    </w:p>
    <w:p w:rsidR="00A041A3" w:rsidRPr="00A80972" w:rsidRDefault="00A041A3" w:rsidP="00EB04AE">
      <w:pPr>
        <w:pStyle w:val="BodyText"/>
        <w:tabs>
          <w:tab w:val="left" w:pos="540"/>
          <w:tab w:val="num" w:pos="2880"/>
        </w:tabs>
        <w:spacing w:after="0"/>
        <w:jc w:val="both"/>
      </w:pPr>
      <w:r w:rsidRPr="00A80972">
        <w:t>1.1.</w:t>
      </w:r>
      <w:r w:rsidR="00D92F70" w:rsidRPr="00A80972">
        <w:t>10</w:t>
      </w:r>
      <w:r w:rsidRPr="00A80972">
        <w:t xml:space="preserve">. </w:t>
      </w:r>
      <w:r w:rsidRPr="00A80972">
        <w:rPr>
          <w:b/>
        </w:rPr>
        <w:t>Prekių partija</w:t>
      </w:r>
      <w:r w:rsidRPr="00A80972">
        <w:t xml:space="preserve"> – </w:t>
      </w:r>
      <w:r w:rsidR="007A16FB" w:rsidRPr="00A80972">
        <w:t>tai prekės, turinčios tas pačias savybes, pagamintos pagal tą pačią technologiją, tomis pačiomis sąlygomis, iš žaliavų ar medžiagų gautų iš to paties žaliavų ar medžiagų gamintojo/ pardavėjo.</w:t>
      </w:r>
    </w:p>
    <w:p w:rsidR="00EC69B8" w:rsidRPr="00A80972" w:rsidRDefault="00A041A3" w:rsidP="00EB04AE">
      <w:pPr>
        <w:pStyle w:val="BodyText"/>
        <w:tabs>
          <w:tab w:val="left" w:pos="540"/>
          <w:tab w:val="num" w:pos="2880"/>
        </w:tabs>
        <w:spacing w:after="0"/>
        <w:jc w:val="both"/>
        <w:rPr>
          <w:bCs/>
          <w:iCs/>
        </w:rPr>
      </w:pPr>
      <w:r w:rsidRPr="00A80972">
        <w:t>1.1.1</w:t>
      </w:r>
      <w:r w:rsidR="00D92F70" w:rsidRPr="00A80972">
        <w:t>1.</w:t>
      </w:r>
      <w:r w:rsidR="00EC69B8" w:rsidRPr="00A80972">
        <w:t xml:space="preserve"> </w:t>
      </w:r>
      <w:r w:rsidR="00EC69B8" w:rsidRPr="00A80972">
        <w:rPr>
          <w:b/>
        </w:rPr>
        <w:t>M</w:t>
      </w:r>
      <w:r w:rsidR="00EC69B8" w:rsidRPr="00A80972">
        <w:rPr>
          <w:b/>
          <w:bCs/>
        </w:rPr>
        <w:t>edžiagų partija</w:t>
      </w:r>
      <w:r w:rsidR="00EC69B8" w:rsidRPr="00A80972">
        <w:rPr>
          <w:bCs/>
        </w:rPr>
        <w:t xml:space="preserve"> –</w:t>
      </w:r>
      <w:r w:rsidRPr="00A80972">
        <w:rPr>
          <w:bCs/>
        </w:rPr>
        <w:t xml:space="preserve"> </w:t>
      </w:r>
      <w:r w:rsidR="007A16FB" w:rsidRPr="00A8097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A80972" w:rsidRDefault="00447AAA" w:rsidP="00EB04AE">
      <w:pPr>
        <w:pStyle w:val="BodyText"/>
        <w:tabs>
          <w:tab w:val="left" w:pos="540"/>
          <w:tab w:val="num" w:pos="2880"/>
        </w:tabs>
        <w:spacing w:after="0"/>
        <w:jc w:val="both"/>
        <w:rPr>
          <w:bCs/>
          <w:iCs/>
        </w:rPr>
      </w:pPr>
      <w:r w:rsidRPr="00A80972">
        <w:rPr>
          <w:bCs/>
          <w:iCs/>
        </w:rPr>
        <w:t>1.2</w:t>
      </w:r>
      <w:r w:rsidR="005605FB" w:rsidRPr="00A80972">
        <w:rPr>
          <w:bCs/>
          <w:iCs/>
        </w:rPr>
        <w:t xml:space="preserve">. </w:t>
      </w:r>
      <w:r w:rsidR="005605FB" w:rsidRPr="00A80972">
        <w:t xml:space="preserve">Šalių iš anksto sutartų minimalių nuostolių skaičiavimas pradedamas </w:t>
      </w:r>
      <w:r w:rsidR="007A0CD9" w:rsidRPr="00A80972">
        <w:t xml:space="preserve">kitą dieną </w:t>
      </w:r>
      <w:r w:rsidR="005605FB" w:rsidRPr="00A80972">
        <w:t xml:space="preserve">po </w:t>
      </w:r>
      <w:r w:rsidR="007A0CD9" w:rsidRPr="00A80972">
        <w:t xml:space="preserve">paskutinės pagal Sutartį </w:t>
      </w:r>
      <w:r w:rsidR="00D92F70" w:rsidRPr="00A80972">
        <w:t xml:space="preserve">įsipareigojimų įvykdymo </w:t>
      </w:r>
      <w:r w:rsidR="005605FB" w:rsidRPr="00A80972">
        <w:t>termino dienos ir baigiamas Sutarties šaliai įvykdžius įsipareigojimus (paskutinė skaičiavimo diena yra laikoma įsipareigojimų įvykdymo diena).</w:t>
      </w:r>
    </w:p>
    <w:p w:rsidR="000134F5" w:rsidRPr="00A80972" w:rsidRDefault="00447AAA" w:rsidP="000134F5">
      <w:pPr>
        <w:pStyle w:val="BodyText"/>
        <w:tabs>
          <w:tab w:val="num" w:pos="540"/>
          <w:tab w:val="left" w:pos="1701"/>
          <w:tab w:val="num" w:pos="2880"/>
        </w:tabs>
        <w:spacing w:after="0"/>
        <w:jc w:val="both"/>
      </w:pPr>
      <w:r w:rsidRPr="00A80972">
        <w:rPr>
          <w:bCs/>
          <w:iCs/>
        </w:rPr>
        <w:t>1.3</w:t>
      </w:r>
      <w:r w:rsidR="000134F5" w:rsidRPr="00A80972">
        <w:rPr>
          <w:bCs/>
          <w:iCs/>
        </w:rPr>
        <w:t xml:space="preserve">. </w:t>
      </w:r>
      <w:r w:rsidR="000134F5" w:rsidRPr="00A80972">
        <w:t>Sutarties dalių ir straipsnių pavadinimai yra naudojami tik nuorodų patogumui ir aiškinant Sutartį gali būti naudojami tik kaip papildoma priemonė.</w:t>
      </w:r>
    </w:p>
    <w:p w:rsidR="00EB04AE" w:rsidRPr="00A80972" w:rsidRDefault="00447AAA" w:rsidP="00EB04AE">
      <w:pPr>
        <w:pStyle w:val="BodyText"/>
        <w:tabs>
          <w:tab w:val="left" w:pos="360"/>
          <w:tab w:val="num" w:pos="2880"/>
        </w:tabs>
        <w:spacing w:after="0"/>
        <w:jc w:val="both"/>
      </w:pPr>
      <w:r w:rsidRPr="00A80972">
        <w:t>1.4</w:t>
      </w:r>
      <w:r w:rsidR="00EB04AE" w:rsidRPr="00A80972">
        <w:t xml:space="preserve">. Jeigu Sutartyje nenustatyta kitaip, Sutarties trukmė ir kiti terminai yra skaičiuojami kalendorinėmis dienomis. </w:t>
      </w:r>
    </w:p>
    <w:p w:rsidR="006346BE" w:rsidRPr="00A80972" w:rsidRDefault="00447AAA" w:rsidP="006346BE">
      <w:pPr>
        <w:pStyle w:val="BodyText"/>
        <w:tabs>
          <w:tab w:val="num" w:pos="540"/>
          <w:tab w:val="left" w:pos="1701"/>
          <w:tab w:val="num" w:pos="2880"/>
        </w:tabs>
        <w:spacing w:after="0"/>
        <w:jc w:val="both"/>
      </w:pPr>
      <w:r w:rsidRPr="00A80972">
        <w:t>1.5</w:t>
      </w:r>
      <w:r w:rsidR="006346BE" w:rsidRPr="00A80972">
        <w:t xml:space="preserve">. Jeigu mokėjimų </w:t>
      </w:r>
      <w:r w:rsidR="00775D43" w:rsidRPr="00A80972">
        <w:t xml:space="preserve">ar prievolių įvykdymo </w:t>
      </w:r>
      <w:r w:rsidR="006346BE" w:rsidRPr="00A80972">
        <w:t xml:space="preserve">terminas sutampa su oficialių švenčių ir ne darbo diena Lietuvos Respublikoje, tai pagal Sutartį </w:t>
      </w:r>
      <w:r w:rsidR="00775D43" w:rsidRPr="00A80972">
        <w:t xml:space="preserve">prievolės įvykdymo ir </w:t>
      </w:r>
      <w:r w:rsidR="006346BE" w:rsidRPr="00A80972">
        <w:t>mokėjimų terminas yra po to einanti darbo diena.</w:t>
      </w:r>
      <w:r w:rsidR="00564489" w:rsidRPr="00A80972">
        <w:t xml:space="preserve"> </w:t>
      </w:r>
    </w:p>
    <w:p w:rsidR="00736297" w:rsidRPr="00A80972" w:rsidRDefault="00447AAA" w:rsidP="00736297">
      <w:pPr>
        <w:pStyle w:val="BodyText"/>
        <w:tabs>
          <w:tab w:val="num" w:pos="540"/>
          <w:tab w:val="num" w:pos="792"/>
          <w:tab w:val="left" w:pos="1701"/>
          <w:tab w:val="num" w:pos="2880"/>
        </w:tabs>
        <w:spacing w:after="0"/>
        <w:jc w:val="both"/>
      </w:pPr>
      <w:r w:rsidRPr="00A80972">
        <w:t>1.6</w:t>
      </w:r>
      <w:r w:rsidR="00736297" w:rsidRPr="00A80972">
        <w:t>. Sutartyje, kur reikalauja kontekstas, žodžiai pateikti vienaskaitoje, gali turėti daugiskaitos prasmę ir atvirkščiai.</w:t>
      </w:r>
    </w:p>
    <w:p w:rsidR="008A1B1E" w:rsidRPr="00A80972" w:rsidRDefault="00447AAA" w:rsidP="00430481">
      <w:pPr>
        <w:pStyle w:val="BodyText"/>
        <w:tabs>
          <w:tab w:val="num" w:pos="540"/>
          <w:tab w:val="num" w:pos="792"/>
          <w:tab w:val="left" w:pos="1701"/>
          <w:tab w:val="num" w:pos="2880"/>
        </w:tabs>
        <w:spacing w:after="0"/>
        <w:jc w:val="both"/>
      </w:pPr>
      <w:r w:rsidRPr="00A80972">
        <w:t>1.7</w:t>
      </w:r>
      <w:r w:rsidR="0084205E" w:rsidRPr="00A80972">
        <w:t>. Tais atvejais, kai tam tikra prasmė yra skirtinga tarp nurodytosios žodžiais ir nurodytosios skaičiais, vadovaujamasi žodine prasme.</w:t>
      </w:r>
    </w:p>
    <w:p w:rsidR="000B3CAF" w:rsidRPr="00A80972" w:rsidRDefault="000B3CAF" w:rsidP="00EB04AE">
      <w:pPr>
        <w:jc w:val="both"/>
      </w:pPr>
    </w:p>
    <w:p w:rsidR="00EB04AE" w:rsidRPr="00A80972" w:rsidRDefault="00EB04AE" w:rsidP="00EB04AE">
      <w:pPr>
        <w:jc w:val="both"/>
        <w:rPr>
          <w:b/>
        </w:rPr>
      </w:pPr>
      <w:r w:rsidRPr="00A80972">
        <w:rPr>
          <w:b/>
        </w:rPr>
        <w:t>2. Sutarties kaina/</w:t>
      </w:r>
      <w:r w:rsidR="0050107A" w:rsidRPr="00A80972">
        <w:rPr>
          <w:b/>
        </w:rPr>
        <w:t xml:space="preserve">prekių </w:t>
      </w:r>
      <w:r w:rsidRPr="00A80972">
        <w:rPr>
          <w:b/>
        </w:rPr>
        <w:t>įkainiai</w:t>
      </w:r>
      <w:r w:rsidR="0050107A" w:rsidRPr="00A80972">
        <w:rPr>
          <w:b/>
        </w:rPr>
        <w:t>/kainodaros taisyklės</w:t>
      </w:r>
    </w:p>
    <w:p w:rsidR="00EB04AE" w:rsidRPr="00A80972" w:rsidRDefault="00EB04AE" w:rsidP="00EB04AE">
      <w:pPr>
        <w:jc w:val="both"/>
      </w:pPr>
      <w:r w:rsidRPr="00A80972">
        <w:t xml:space="preserve">2.1. Sutarties kaina/įkainiai </w:t>
      </w:r>
      <w:r w:rsidR="006F2500" w:rsidRPr="00A80972">
        <w:t>–</w:t>
      </w:r>
      <w:r w:rsidRPr="00A80972">
        <w:t xml:space="preserve"> pinigų suma, kurią </w:t>
      </w:r>
      <w:r w:rsidRPr="00A80972">
        <w:rPr>
          <w:b/>
        </w:rPr>
        <w:t>Pirkėjas</w:t>
      </w:r>
      <w:r w:rsidRPr="00A80972">
        <w:t xml:space="preserve"> Sutartyje nustatyta tvarka ir terminais įsipareigoja sumokėti </w:t>
      </w:r>
      <w:r w:rsidRPr="00A80972">
        <w:rPr>
          <w:b/>
        </w:rPr>
        <w:t>Pardavėjui</w:t>
      </w:r>
      <w:r w:rsidRPr="00A80972">
        <w:t>.</w:t>
      </w:r>
      <w:r w:rsidR="00AC739B" w:rsidRPr="00A80972">
        <w:t xml:space="preserve"> </w:t>
      </w:r>
    </w:p>
    <w:p w:rsidR="00477F22" w:rsidRPr="00A80972" w:rsidRDefault="00EB04AE" w:rsidP="00EB04AE">
      <w:pPr>
        <w:jc w:val="both"/>
      </w:pPr>
      <w:r w:rsidRPr="00A80972">
        <w:lastRenderedPageBreak/>
        <w:t xml:space="preserve">2.2. Sutarties kaina/įkainiai yra pastovūs ir nekeičiami visą </w:t>
      </w:r>
      <w:r w:rsidR="006F2500" w:rsidRPr="00A80972">
        <w:t xml:space="preserve">Sutarties </w:t>
      </w:r>
      <w:r w:rsidRPr="00A80972">
        <w:t>galiojimo laikot</w:t>
      </w:r>
      <w:r w:rsidR="000D669E" w:rsidRPr="00A80972">
        <w:t>arpį, išskyrus atvejus, kai po S</w:t>
      </w:r>
      <w:r w:rsidRPr="00A80972">
        <w:t>utarties pasirašymo keičiasi prekėms taikomo PVM</w:t>
      </w:r>
      <w:r w:rsidR="002D41F8" w:rsidRPr="00A80972">
        <w:t>/akcizų</w:t>
      </w:r>
      <w:r w:rsidRPr="00A80972">
        <w:t xml:space="preserve"> tarifas</w:t>
      </w:r>
      <w:r w:rsidRPr="00A80972">
        <w:rPr>
          <w:i/>
        </w:rPr>
        <w:t>.</w:t>
      </w:r>
      <w:r w:rsidRPr="00A80972">
        <w:t xml:space="preserve"> Perskaičiuota kaina/įkainiai įforminami raštišku Šalių susitarimu ir taikomi prekėms, kurios pristatomos po tokio Šalių pasirašyto susitarimo įsigaliojimo dienos</w:t>
      </w:r>
      <w:r w:rsidR="000B3CAF" w:rsidRPr="00A80972">
        <w:t>.</w:t>
      </w:r>
    </w:p>
    <w:p w:rsidR="00477F22" w:rsidRPr="00A80972" w:rsidRDefault="00477F22" w:rsidP="00EB04AE">
      <w:pPr>
        <w:jc w:val="both"/>
      </w:pPr>
      <w:r w:rsidRPr="00A80972">
        <w:t>2.3. Prekių į</w:t>
      </w:r>
      <w:r w:rsidR="000D669E" w:rsidRPr="00A80972">
        <w:t>kainiai keičiami vadovaujantis S</w:t>
      </w:r>
      <w:r w:rsidRPr="00A80972">
        <w:t>utarties priede nustatytomis kainodaros taisyklėmis</w:t>
      </w:r>
      <w:r w:rsidR="00E66216" w:rsidRPr="00A80972">
        <w:t>.</w:t>
      </w:r>
      <w:r w:rsidRPr="00A80972">
        <w:t xml:space="preserve"> </w:t>
      </w:r>
      <w:r w:rsidR="00E66216" w:rsidRPr="00A80972">
        <w:t>Perskaičiuot</w:t>
      </w:r>
      <w:r w:rsidR="008012D0" w:rsidRPr="00A80972">
        <w:t>i</w:t>
      </w:r>
      <w:r w:rsidR="00E66216" w:rsidRPr="00A80972">
        <w:t xml:space="preserve"> įkainiai įforminami raštišku Šalių susitarimu ir taikomi prekėms, kurios pristatomos po tokio Šalių pasirašyto</w:t>
      </w:r>
      <w:r w:rsidR="000B3CAF" w:rsidRPr="00A80972">
        <w:t xml:space="preserve"> susitarimo įsigaliojimo dienos</w:t>
      </w:r>
      <w:r w:rsidR="00BD3350" w:rsidRPr="00A80972">
        <w:t xml:space="preserve"> </w:t>
      </w:r>
      <w:r w:rsidR="00BD3350" w:rsidRPr="00A80972">
        <w:rPr>
          <w:i/>
        </w:rPr>
        <w:t xml:space="preserve">(jei </w:t>
      </w:r>
      <w:r w:rsidR="002B0AB9" w:rsidRPr="00A80972">
        <w:rPr>
          <w:i/>
        </w:rPr>
        <w:t>Sutarties Specialiojoje</w:t>
      </w:r>
      <w:r w:rsidR="00BD3350" w:rsidRPr="00A80972">
        <w:rPr>
          <w:i/>
        </w:rPr>
        <w:t xml:space="preserve"> dalyje nurodyta, kad ši sąlyga taikoma)</w:t>
      </w:r>
      <w:r w:rsidR="00BD3350" w:rsidRPr="00A80972">
        <w:t>.</w:t>
      </w:r>
    </w:p>
    <w:p w:rsidR="00EB04AE" w:rsidRPr="00A80972" w:rsidRDefault="009E09E6" w:rsidP="00EB04AE">
      <w:pPr>
        <w:widowControl w:val="0"/>
        <w:shd w:val="clear" w:color="auto" w:fill="FFFFFF"/>
        <w:jc w:val="both"/>
      </w:pPr>
      <w:r w:rsidRPr="00A80972">
        <w:t>2.4</w:t>
      </w:r>
      <w:r w:rsidR="00EB04AE" w:rsidRPr="00A80972">
        <w:t xml:space="preserve">. </w:t>
      </w:r>
      <w:r w:rsidR="00EB04AE" w:rsidRPr="00A80972">
        <w:rPr>
          <w:b/>
        </w:rPr>
        <w:t>Pardavėjas</w:t>
      </w:r>
      <w:r w:rsidR="00EB04AE" w:rsidRPr="00A80972">
        <w:t xml:space="preserve"> į Sutarties kain</w:t>
      </w:r>
      <w:r w:rsidRPr="00A80972">
        <w:t>ą</w:t>
      </w:r>
      <w:r w:rsidR="00AF5175" w:rsidRPr="00A80972">
        <w:t>/prekių įkainius</w:t>
      </w:r>
      <w:r w:rsidRPr="00A80972">
        <w:t xml:space="preserve"> privalo įskaičiuoti visas su p</w:t>
      </w:r>
      <w:r w:rsidR="00EB04AE" w:rsidRPr="00A80972">
        <w:t>rekių tiekimu susijusias išlaidas</w:t>
      </w:r>
      <w:r w:rsidR="001A36CD" w:rsidRPr="00A80972">
        <w:t xml:space="preserve"> ir mokesčius</w:t>
      </w:r>
      <w:r w:rsidR="00EB04AE" w:rsidRPr="00A80972">
        <w:t>, įskaitant, bet neapsiribojant:</w:t>
      </w:r>
    </w:p>
    <w:p w:rsidR="00EB04AE" w:rsidRPr="00A80972" w:rsidRDefault="009E09E6" w:rsidP="00EB04AE">
      <w:pPr>
        <w:widowControl w:val="0"/>
        <w:shd w:val="clear" w:color="auto" w:fill="FFFFFF"/>
        <w:jc w:val="both"/>
      </w:pPr>
      <w:r w:rsidRPr="00A80972">
        <w:t>2.4</w:t>
      </w:r>
      <w:r w:rsidR="00EB04AE" w:rsidRPr="00A80972">
        <w:t xml:space="preserve">.1. </w:t>
      </w:r>
      <w:r w:rsidRPr="00A80972">
        <w:t>logistikos (</w:t>
      </w:r>
      <w:r w:rsidR="00EB04AE" w:rsidRPr="00A80972">
        <w:t>transportavimo</w:t>
      </w:r>
      <w:r w:rsidRPr="00A80972">
        <w:t>)</w:t>
      </w:r>
      <w:r w:rsidR="00EB04AE" w:rsidRPr="00A80972">
        <w:t xml:space="preserve"> išlaidas;</w:t>
      </w:r>
    </w:p>
    <w:p w:rsidR="00EB04AE" w:rsidRPr="00A80972" w:rsidRDefault="009E09E6" w:rsidP="00EB04AE">
      <w:pPr>
        <w:widowControl w:val="0"/>
        <w:shd w:val="clear" w:color="auto" w:fill="FFFFFF"/>
        <w:jc w:val="both"/>
      </w:pPr>
      <w:r w:rsidRPr="00A80972">
        <w:t>2.4</w:t>
      </w:r>
      <w:r w:rsidR="00EB04AE" w:rsidRPr="00A80972">
        <w:t>.2. pakavimo, pakrovimo, tranzito, iškrovimo, išpakavimo, tikrinimo, draudimo ir kitas su prekių tiekimu susijusias išlaidas;</w:t>
      </w:r>
    </w:p>
    <w:p w:rsidR="00EB04AE" w:rsidRPr="00A80972" w:rsidRDefault="009E09E6" w:rsidP="00EB04AE">
      <w:pPr>
        <w:widowControl w:val="0"/>
        <w:shd w:val="clear" w:color="auto" w:fill="FFFFFF"/>
        <w:jc w:val="both"/>
      </w:pPr>
      <w:r w:rsidRPr="00A80972">
        <w:t>2.4</w:t>
      </w:r>
      <w:r w:rsidR="00EB04AE" w:rsidRPr="00A80972">
        <w:t xml:space="preserve">.3. visas su dokumentų, kurių reikalauja </w:t>
      </w:r>
      <w:r w:rsidR="00EB04AE" w:rsidRPr="00A80972">
        <w:rPr>
          <w:b/>
        </w:rPr>
        <w:t>Pirkėjas</w:t>
      </w:r>
      <w:r w:rsidR="00EB04AE" w:rsidRPr="00A80972">
        <w:t>, rengimu ir pateikimu susijusias išlaidas;</w:t>
      </w:r>
    </w:p>
    <w:p w:rsidR="00EB04AE" w:rsidRPr="00A80972" w:rsidRDefault="009E09E6" w:rsidP="00EB04AE">
      <w:pPr>
        <w:widowControl w:val="0"/>
        <w:shd w:val="clear" w:color="auto" w:fill="FFFFFF"/>
        <w:jc w:val="both"/>
      </w:pPr>
      <w:r w:rsidRPr="00A80972">
        <w:t>2.4</w:t>
      </w:r>
      <w:r w:rsidR="006D67EE" w:rsidRPr="00A80972">
        <w:t>.4. pristatytų p</w:t>
      </w:r>
      <w:r w:rsidR="00EB04AE" w:rsidRPr="00A80972">
        <w:t>rekių surinkimo vietoje ir/arba paleidimo, ir/arba priežiūros išlaidas;</w:t>
      </w:r>
    </w:p>
    <w:p w:rsidR="00EB04AE" w:rsidRPr="00A80972" w:rsidRDefault="009E09E6" w:rsidP="00EB04AE">
      <w:pPr>
        <w:widowControl w:val="0"/>
        <w:shd w:val="clear" w:color="auto" w:fill="FFFFFF"/>
        <w:jc w:val="both"/>
      </w:pPr>
      <w:r w:rsidRPr="00A80972">
        <w:t>2.4</w:t>
      </w:r>
      <w:r w:rsidR="00EB04AE" w:rsidRPr="00A80972">
        <w:t>.5. aprūpinimo įrankiais, reikalingais pristatytų prekių surinkimui ir/arba priežiūrai, išlaidas;</w:t>
      </w:r>
    </w:p>
    <w:p w:rsidR="00EB04AE" w:rsidRPr="00A80972" w:rsidRDefault="009E09E6" w:rsidP="00EB04AE">
      <w:pPr>
        <w:widowControl w:val="0"/>
        <w:shd w:val="clear" w:color="auto" w:fill="FFFFFF"/>
        <w:jc w:val="both"/>
      </w:pPr>
      <w:r w:rsidRPr="00A80972">
        <w:t>2.4</w:t>
      </w:r>
      <w:r w:rsidR="00EB04AE" w:rsidRPr="00A80972">
        <w:t>.6. naudojimo ir priežiūros instrukcijų, numatytų Techninėje specifikacijoje, pateikimo išlaidas;</w:t>
      </w:r>
    </w:p>
    <w:p w:rsidR="007259A3" w:rsidRPr="00A80972" w:rsidRDefault="009E09E6" w:rsidP="00EB04AE">
      <w:pPr>
        <w:widowControl w:val="0"/>
        <w:shd w:val="clear" w:color="auto" w:fill="FFFFFF"/>
        <w:jc w:val="both"/>
      </w:pPr>
      <w:r w:rsidRPr="00A80972">
        <w:t>2.4.7. p</w:t>
      </w:r>
      <w:r w:rsidR="00EB04AE" w:rsidRPr="00A80972">
        <w:t xml:space="preserve">rekių </w:t>
      </w:r>
      <w:r w:rsidRPr="00A80972">
        <w:t xml:space="preserve">garantinio </w:t>
      </w:r>
      <w:r w:rsidR="00FF2272" w:rsidRPr="00A80972">
        <w:t>remonto</w:t>
      </w:r>
      <w:r w:rsidR="00EB04AE" w:rsidRPr="00A80972">
        <w:t xml:space="preserve"> išlaidas</w:t>
      </w:r>
      <w:r w:rsidR="007259A3" w:rsidRPr="00A80972">
        <w:t>;</w:t>
      </w:r>
    </w:p>
    <w:p w:rsidR="007259A3" w:rsidRPr="00A80972" w:rsidRDefault="007259A3" w:rsidP="00EB04AE">
      <w:pPr>
        <w:widowControl w:val="0"/>
        <w:shd w:val="clear" w:color="auto" w:fill="FFFFFF"/>
        <w:jc w:val="both"/>
      </w:pPr>
      <w:r w:rsidRPr="00A80972">
        <w:t xml:space="preserve">2.4.8. visas su darbinių pavyzdžių pagaminimu ir pateikimu </w:t>
      </w:r>
      <w:r w:rsidRPr="00A80972">
        <w:rPr>
          <w:b/>
        </w:rPr>
        <w:t>Pirkėjui</w:t>
      </w:r>
      <w:r w:rsidRPr="00A80972">
        <w:t xml:space="preserve"> susijusias išlaidas;</w:t>
      </w:r>
    </w:p>
    <w:p w:rsidR="007259A3" w:rsidRPr="00A80972" w:rsidRDefault="007259A3" w:rsidP="00EB04AE">
      <w:pPr>
        <w:widowControl w:val="0"/>
        <w:shd w:val="clear" w:color="auto" w:fill="FFFFFF"/>
        <w:jc w:val="both"/>
      </w:pPr>
      <w:r w:rsidRPr="00A80972">
        <w:t xml:space="preserve">2.4.9. visas su medžiaginių pavyzdžių (pagrindinių ir priedų), kurios naudojamos produkto gamyboje, pagaminimu ir pateikimu </w:t>
      </w:r>
      <w:r w:rsidRPr="00A80972">
        <w:rPr>
          <w:b/>
        </w:rPr>
        <w:t>Pirkėjui</w:t>
      </w:r>
      <w:r w:rsidRPr="00A80972">
        <w:t xml:space="preserve"> susijusias išlaidas</w:t>
      </w:r>
      <w:r w:rsidR="00DA5817" w:rsidRPr="00A80972">
        <w:t>.</w:t>
      </w:r>
    </w:p>
    <w:p w:rsidR="00E8665D" w:rsidRPr="00A80972" w:rsidRDefault="009E09E6" w:rsidP="00FA78D9">
      <w:pPr>
        <w:widowControl w:val="0"/>
        <w:shd w:val="clear" w:color="auto" w:fill="FFFFFF"/>
        <w:jc w:val="both"/>
      </w:pPr>
      <w:r w:rsidRPr="00A80972">
        <w:t>2.5</w:t>
      </w:r>
      <w:r w:rsidR="00EB04AE" w:rsidRPr="00A80972">
        <w:t xml:space="preserve">. Užsienio valiutų kursų svyravimo, gamintojų kainų keitimo rizika tenka </w:t>
      </w:r>
      <w:r w:rsidR="00EB04AE" w:rsidRPr="00A80972">
        <w:rPr>
          <w:b/>
        </w:rPr>
        <w:t>Pardavėjui</w:t>
      </w:r>
      <w:r w:rsidR="00EB04AE" w:rsidRPr="00A80972">
        <w:t>.</w:t>
      </w:r>
    </w:p>
    <w:p w:rsidR="00267D03" w:rsidRPr="00A80972" w:rsidRDefault="00255DF4" w:rsidP="00EB04AE">
      <w:pPr>
        <w:jc w:val="both"/>
      </w:pPr>
      <w:r w:rsidRPr="00A80972">
        <w:t>2.6. Su Sutarties</w:t>
      </w:r>
      <w:r w:rsidR="00354AA4" w:rsidRPr="00A80972">
        <w:t xml:space="preserve"> S</w:t>
      </w:r>
      <w:r w:rsidR="00267D03" w:rsidRPr="00A80972">
        <w:t>pecialiojoje dalyje nurodytu S</w:t>
      </w:r>
      <w:r w:rsidRPr="00A80972">
        <w:t>ubtiekėju (-</w:t>
      </w:r>
      <w:proofErr w:type="spellStart"/>
      <w:r w:rsidRPr="00A80972">
        <w:t>ais</w:t>
      </w:r>
      <w:proofErr w:type="spellEnd"/>
      <w:r w:rsidRPr="00A80972">
        <w:t xml:space="preserve">) </w:t>
      </w:r>
      <w:r w:rsidR="00F55278" w:rsidRPr="00A80972">
        <w:rPr>
          <w:b/>
        </w:rPr>
        <w:t>Pirkėjas</w:t>
      </w:r>
      <w:r w:rsidR="00F55278" w:rsidRPr="00A80972">
        <w:t xml:space="preserve"> ir </w:t>
      </w:r>
      <w:r w:rsidR="00F55278" w:rsidRPr="00A80972">
        <w:rPr>
          <w:b/>
        </w:rPr>
        <w:t>Pardavėjas</w:t>
      </w:r>
      <w:r w:rsidRPr="00A80972">
        <w:t xml:space="preserve"> gali sudaryti trišalę tiesioginio atsiskaitymo sutartį</w:t>
      </w:r>
      <w:r w:rsidR="00A15AEA" w:rsidRPr="00A80972">
        <w:t xml:space="preserve">, kuria Šalių ir Subtiekėjo sutarta apimtimi ir sąlygomis </w:t>
      </w:r>
      <w:r w:rsidR="00A15AEA" w:rsidRPr="00A80972">
        <w:rPr>
          <w:b/>
        </w:rPr>
        <w:t>Pardavėjas</w:t>
      </w:r>
      <w:r w:rsidR="00A15AEA" w:rsidRPr="00A80972">
        <w:t xml:space="preserve"> perleidžia teisę Subtiekėjui reikalauti iš </w:t>
      </w:r>
      <w:r w:rsidR="00A15AEA" w:rsidRPr="00A80972">
        <w:rPr>
          <w:b/>
        </w:rPr>
        <w:t>Pirkėjo</w:t>
      </w:r>
      <w:r w:rsidR="00A15AEA" w:rsidRPr="00A80972">
        <w:t xml:space="preserve"> mokėti sutartą dalį Sutarties kainos</w:t>
      </w:r>
      <w:r w:rsidR="00F55278" w:rsidRPr="00A80972">
        <w:t>.</w:t>
      </w:r>
      <w:r w:rsidR="009C4FD5" w:rsidRPr="00A80972">
        <w:t xml:space="preserve"> </w:t>
      </w:r>
      <w:r w:rsidR="002C28B2" w:rsidRPr="00A80972">
        <w:t>Reikalavimo teisės perleidimas Subtiekėjui nesudarius trišalės tiesioginio atsiskaitymo Sutarties negalioja.</w:t>
      </w:r>
    </w:p>
    <w:p w:rsidR="00267D03" w:rsidRPr="00A80972" w:rsidRDefault="00B560E3" w:rsidP="00267D03">
      <w:pPr>
        <w:jc w:val="both"/>
      </w:pPr>
      <w:r w:rsidRPr="00A80972">
        <w:t>2.7</w:t>
      </w:r>
      <w:r w:rsidR="00255DF4" w:rsidRPr="00A80972">
        <w:t xml:space="preserve">. Subtiekėjas, norėdamas, kad </w:t>
      </w:r>
      <w:r w:rsidR="00F55278" w:rsidRPr="00A80972">
        <w:rPr>
          <w:b/>
        </w:rPr>
        <w:t>Pirkėjas</w:t>
      </w:r>
      <w:r w:rsidR="00255DF4" w:rsidRPr="00A80972">
        <w:t xml:space="preserve"> tiesiogiai atsis</w:t>
      </w:r>
      <w:r w:rsidR="00F55278" w:rsidRPr="00A80972">
        <w:t xml:space="preserve">kaitytų su juo raštu praneša </w:t>
      </w:r>
      <w:r w:rsidR="00F55278" w:rsidRPr="00A80972">
        <w:rPr>
          <w:b/>
        </w:rPr>
        <w:t>Pirkėjui</w:t>
      </w:r>
      <w:r w:rsidR="00F55278" w:rsidRPr="00A80972">
        <w:t>, kad pageidauja sudaryti tiesioginio atsiskaitymo sutartį</w:t>
      </w:r>
      <w:r w:rsidR="00267D03" w:rsidRPr="00A80972">
        <w:t>. Kartu su prašymu sudaryti tiesioginio atsiskaitymo sutartį Subtiekėjas turi pateikti:</w:t>
      </w:r>
    </w:p>
    <w:p w:rsidR="00267D03" w:rsidRPr="00A80972" w:rsidRDefault="00267D03" w:rsidP="00EB04AE">
      <w:pPr>
        <w:jc w:val="both"/>
      </w:pPr>
      <w:r w:rsidRPr="00A80972">
        <w:t>2.7.1. Pagrindin</w:t>
      </w:r>
      <w:r w:rsidR="007C174D" w:rsidRPr="00A80972">
        <w:t>e</w:t>
      </w:r>
      <w:r w:rsidR="00470D2D" w:rsidRPr="00A80972">
        <w:t>s ties</w:t>
      </w:r>
      <w:r w:rsidRPr="00A80972">
        <w:t xml:space="preserve">ioginio </w:t>
      </w:r>
      <w:r w:rsidR="00B5055A" w:rsidRPr="00A80972">
        <w:t>atsiskaitymo</w:t>
      </w:r>
      <w:r w:rsidRPr="00A80972">
        <w:t xml:space="preserve"> sutarties sąlyg</w:t>
      </w:r>
      <w:r w:rsidR="007C174D" w:rsidRPr="00A80972">
        <w:t>as</w:t>
      </w:r>
      <w:r w:rsidRPr="00A80972">
        <w:t xml:space="preserve"> nurodyt</w:t>
      </w:r>
      <w:r w:rsidR="007C174D" w:rsidRPr="00A80972">
        <w:t>a</w:t>
      </w:r>
      <w:r w:rsidR="00354AA4" w:rsidRPr="00A80972">
        <w:t>s Sutarties B</w:t>
      </w:r>
      <w:r w:rsidRPr="00A80972">
        <w:t xml:space="preserve">endrosios </w:t>
      </w:r>
      <w:r w:rsidR="00470D2D" w:rsidRPr="00A80972">
        <w:t>dalies 2.</w:t>
      </w:r>
      <w:r w:rsidRPr="00A80972">
        <w:t>8</w:t>
      </w:r>
      <w:r w:rsidR="00470D2D" w:rsidRPr="00A80972">
        <w:t xml:space="preserve"> punkte</w:t>
      </w:r>
      <w:r w:rsidR="00255DF4" w:rsidRPr="00A80972">
        <w:t>.</w:t>
      </w:r>
      <w:r w:rsidR="00470D2D" w:rsidRPr="00A80972">
        <w:t xml:space="preserve"> </w:t>
      </w:r>
    </w:p>
    <w:p w:rsidR="00267D03" w:rsidRPr="00A80972" w:rsidRDefault="00267D03" w:rsidP="00EB04AE">
      <w:pPr>
        <w:jc w:val="both"/>
      </w:pPr>
      <w:r w:rsidRPr="00A80972">
        <w:t xml:space="preserve">2.7.2. </w:t>
      </w:r>
      <w:r w:rsidRPr="00A80972">
        <w:rPr>
          <w:b/>
        </w:rPr>
        <w:t>Pardavėjo</w:t>
      </w:r>
      <w:r w:rsidRPr="00A80972">
        <w:t xml:space="preserve"> patvirtinimą</w:t>
      </w:r>
      <w:r w:rsidR="00470D2D" w:rsidRPr="00A80972">
        <w:t xml:space="preserve">, kad jis sutinka Subtiekėjo siūlomomis sąlygomis sudaryti tiesioginio atsiskaitymo sutartį. </w:t>
      </w:r>
    </w:p>
    <w:p w:rsidR="00267D03" w:rsidRPr="00A80972" w:rsidRDefault="00267D03" w:rsidP="00EB04AE">
      <w:pPr>
        <w:jc w:val="both"/>
      </w:pPr>
      <w:r w:rsidRPr="00A80972">
        <w:t>2.7.3. Dokument</w:t>
      </w:r>
      <w:r w:rsidR="009B2685" w:rsidRPr="00A80972">
        <w:t>us</w:t>
      </w:r>
      <w:r w:rsidRPr="00A80972">
        <w:t xml:space="preserve"> įrodan</w:t>
      </w:r>
      <w:r w:rsidR="009B2685" w:rsidRPr="00A80972">
        <w:t>čius</w:t>
      </w:r>
      <w:r w:rsidRPr="00A80972">
        <w:t>, kad nėra V</w:t>
      </w:r>
      <w:r w:rsidR="00FA78D9" w:rsidRPr="00A80972">
        <w:t>iešųjų pirkimų įstatymo</w:t>
      </w:r>
      <w:r w:rsidRPr="00A80972">
        <w:t xml:space="preserve"> 46 straipsnio 1 dalyje nurodytų pagrindų.</w:t>
      </w:r>
    </w:p>
    <w:p w:rsidR="00A15AEA" w:rsidRPr="00A80972" w:rsidRDefault="00470D2D" w:rsidP="00267D03">
      <w:pPr>
        <w:jc w:val="both"/>
      </w:pPr>
      <w:r w:rsidRPr="00A80972">
        <w:t>2.8. Tiesioginio atsiskaitymo sutartyje yra nustatoma Sutarties kainos dalis, kurios reikalavimo teisė yra perleidžiama Subtiekėjui, mokėjimų tvarka</w:t>
      </w:r>
      <w:r w:rsidR="00354AA4" w:rsidRPr="00A80972">
        <w:t>, kuri turi atitikti Sutarties S</w:t>
      </w:r>
      <w:r w:rsidRPr="00A80972">
        <w:t xml:space="preserve">pecialiojoje dalyje nustatytą tvarką, Subtiekėjo pareiga pateikti sąskaitas tik suderinus su </w:t>
      </w:r>
      <w:r w:rsidRPr="00A80972">
        <w:rPr>
          <w:b/>
        </w:rPr>
        <w:t>Pardavėju</w:t>
      </w:r>
      <w:r w:rsidRPr="00A80972">
        <w:t xml:space="preserve"> ir pateikus </w:t>
      </w:r>
      <w:r w:rsidR="00A15AEA" w:rsidRPr="00A80972">
        <w:t>šio</w:t>
      </w:r>
      <w:r w:rsidRPr="00A80972">
        <w:t xml:space="preserve"> </w:t>
      </w:r>
      <w:r w:rsidR="009C4FD5" w:rsidRPr="00A80972">
        <w:t>s</w:t>
      </w:r>
      <w:r w:rsidR="00267D03" w:rsidRPr="00A80972">
        <w:t xml:space="preserve">uderinimo rašytinius </w:t>
      </w:r>
      <w:proofErr w:type="spellStart"/>
      <w:r w:rsidR="00267D03" w:rsidRPr="00A80972">
        <w:t>įrodymus</w:t>
      </w:r>
      <w:proofErr w:type="spellEnd"/>
      <w:r w:rsidR="00267D03" w:rsidRPr="00A80972">
        <w:t xml:space="preserve">, Šalių ir Subtiekėjo pareiga informuoti apie rekvizitų </w:t>
      </w:r>
      <w:proofErr w:type="spellStart"/>
      <w:r w:rsidR="00267D03" w:rsidRPr="00A80972">
        <w:t>pasikeitimus</w:t>
      </w:r>
      <w:proofErr w:type="spellEnd"/>
      <w:r w:rsidR="00267D03" w:rsidRPr="00A80972">
        <w:t xml:space="preserve">, mokėjimų vykdymo tvarka įvykus ginčui tarp </w:t>
      </w:r>
      <w:r w:rsidR="00267D03" w:rsidRPr="00A80972">
        <w:rPr>
          <w:b/>
        </w:rPr>
        <w:t>Pardavėjo</w:t>
      </w:r>
      <w:r w:rsidR="00267D03" w:rsidRPr="00A80972">
        <w:t xml:space="preserve"> ir Subtiekėjo</w:t>
      </w:r>
      <w:r w:rsidR="00AE0C0B" w:rsidRPr="00A80972">
        <w:t xml:space="preserve">, papildomas prievolių, užtikrinimas (taikoma tik numatant avansinius </w:t>
      </w:r>
      <w:proofErr w:type="spellStart"/>
      <w:r w:rsidR="00AE0C0B" w:rsidRPr="00A80972">
        <w:t>mokėjimus</w:t>
      </w:r>
      <w:proofErr w:type="spellEnd"/>
      <w:r w:rsidR="00AE0C0B" w:rsidRPr="00A80972">
        <w:t>)</w:t>
      </w:r>
      <w:r w:rsidR="00267D03" w:rsidRPr="00A80972">
        <w:t xml:space="preserve">. </w:t>
      </w:r>
    </w:p>
    <w:p w:rsidR="00267D03" w:rsidRPr="00A80972" w:rsidRDefault="00A15AEA" w:rsidP="00267D03">
      <w:pPr>
        <w:jc w:val="both"/>
      </w:pPr>
      <w:r w:rsidRPr="00A80972">
        <w:t xml:space="preserve">2.9. </w:t>
      </w:r>
      <w:r w:rsidR="005861B3" w:rsidRPr="00A80972">
        <w:t>Tiesioginio atsiskaitymo s</w:t>
      </w:r>
      <w:r w:rsidR="00267D03" w:rsidRPr="00A80972">
        <w:t>utartis turi būti sudaryta ne vėliau kaip iki dienos, nuo kurios atsiranda mok</w:t>
      </w:r>
      <w:r w:rsidR="00354AA4" w:rsidRPr="00A80972">
        <w:t>ėjimo prievolė pagal Sutarties B</w:t>
      </w:r>
      <w:r w:rsidR="00267D03" w:rsidRPr="00A80972">
        <w:t xml:space="preserve">endrosios dalies 4.1 punktą. </w:t>
      </w:r>
    </w:p>
    <w:p w:rsidR="00255DF4" w:rsidRPr="00A80972" w:rsidRDefault="00F55278" w:rsidP="00EB04AE">
      <w:pPr>
        <w:jc w:val="both"/>
      </w:pPr>
      <w:r w:rsidRPr="00A80972">
        <w:t>2.</w:t>
      </w:r>
      <w:r w:rsidR="00A15AEA" w:rsidRPr="00A80972">
        <w:t>10. Tiesioginis atsiskaitymas su S</w:t>
      </w:r>
      <w:r w:rsidR="00255DF4" w:rsidRPr="00A80972">
        <w:t xml:space="preserve">ubtiekėju neatleidžia </w:t>
      </w:r>
      <w:r w:rsidR="00A15AEA" w:rsidRPr="00A80972">
        <w:rPr>
          <w:b/>
        </w:rPr>
        <w:t>Pardavėjo</w:t>
      </w:r>
      <w:r w:rsidR="00255DF4" w:rsidRPr="00A80972">
        <w:t xml:space="preserve"> nuo jo prisiimtų įsipare</w:t>
      </w:r>
      <w:r w:rsidR="00354AA4" w:rsidRPr="00A80972">
        <w:t>igojimų pagal sudarytą S</w:t>
      </w:r>
      <w:r w:rsidR="00255DF4" w:rsidRPr="00A80972">
        <w:t xml:space="preserve">utartį. </w:t>
      </w:r>
      <w:r w:rsidR="00A15AEA" w:rsidRPr="00A80972">
        <w:t xml:space="preserve">Sutartyje </w:t>
      </w:r>
      <w:r w:rsidR="00255DF4" w:rsidRPr="00A80972">
        <w:t xml:space="preserve">numatytos </w:t>
      </w:r>
      <w:r w:rsidR="00A15AEA" w:rsidRPr="00A80972">
        <w:rPr>
          <w:b/>
        </w:rPr>
        <w:t>Pardavėjo</w:t>
      </w:r>
      <w:r w:rsidR="00A15AEA" w:rsidRPr="00A80972">
        <w:t xml:space="preserve"> </w:t>
      </w:r>
      <w:r w:rsidR="00255DF4" w:rsidRPr="00A80972">
        <w:t xml:space="preserve">teisės, pareigos ir kiti įsipareigojimai </w:t>
      </w:r>
      <w:r w:rsidR="00A15AEA" w:rsidRPr="00A80972">
        <w:t>nesusiję su reikalavimo teise sumokėti Sutarties kainą perleidimu S</w:t>
      </w:r>
      <w:r w:rsidR="00255DF4" w:rsidRPr="00A80972">
        <w:t>ubtiekėjui</w:t>
      </w:r>
      <w:r w:rsidR="00A15AEA" w:rsidRPr="00A80972">
        <w:t xml:space="preserve"> negali būti perduoti.</w:t>
      </w:r>
    </w:p>
    <w:p w:rsidR="002C28B2" w:rsidRPr="00A80972" w:rsidRDefault="00A15AEA" w:rsidP="00EB04AE">
      <w:pPr>
        <w:jc w:val="both"/>
      </w:pPr>
      <w:r w:rsidRPr="00A80972">
        <w:t xml:space="preserve">2.11. </w:t>
      </w:r>
      <w:r w:rsidRPr="00A80972">
        <w:rPr>
          <w:b/>
        </w:rPr>
        <w:t>Pirkėjas</w:t>
      </w:r>
      <w:r w:rsidRPr="00A80972">
        <w:t xml:space="preserve"> turi teisę reikšti Subtiekėjui visus </w:t>
      </w:r>
      <w:proofErr w:type="spellStart"/>
      <w:r w:rsidRPr="00A80972">
        <w:t>atsikirtimus</w:t>
      </w:r>
      <w:proofErr w:type="spellEnd"/>
      <w:r w:rsidRPr="00A80972">
        <w:t xml:space="preserve">, kuriuos jis turėjo teisę reikšti </w:t>
      </w:r>
      <w:r w:rsidRPr="00A80972">
        <w:rPr>
          <w:b/>
        </w:rPr>
        <w:t>Pardavėjui</w:t>
      </w:r>
      <w:r w:rsidRPr="00A80972">
        <w:t xml:space="preserve"> iki reikalavimo teisės perdavimo.</w:t>
      </w:r>
    </w:p>
    <w:p w:rsidR="002C28B2" w:rsidRPr="00A80972" w:rsidRDefault="002C28B2" w:rsidP="00EB04AE">
      <w:pPr>
        <w:jc w:val="both"/>
      </w:pPr>
      <w:r w:rsidRPr="00A80972">
        <w:t xml:space="preserve">2.12. Kilus ginčui tarp </w:t>
      </w:r>
      <w:r w:rsidRPr="00A80972">
        <w:rPr>
          <w:b/>
        </w:rPr>
        <w:t>Pardavėjo</w:t>
      </w:r>
      <w:r w:rsidRPr="00A80972">
        <w:t xml:space="preserve"> ir Subtiekėjo</w:t>
      </w:r>
      <w:r w:rsidR="00AE0C0B" w:rsidRPr="00A80972">
        <w:t xml:space="preserve"> dėl tiesioginio atsiskaitymo</w:t>
      </w:r>
      <w:r w:rsidR="00354AA4" w:rsidRPr="00A80972">
        <w:t>,</w:t>
      </w:r>
      <w:r w:rsidR="00AE0C0B" w:rsidRPr="00A80972">
        <w:t xml:space="preserve"> sutartyje numatytų atsiskaitymų ar jų tvarkos, </w:t>
      </w:r>
      <w:r w:rsidR="009E5F64" w:rsidRPr="00A80972">
        <w:t>visos mokėjimo prievolės vykdomos</w:t>
      </w:r>
      <w:r w:rsidR="00AE0C0B" w:rsidRPr="00A80972">
        <w:t xml:space="preserve"> </w:t>
      </w:r>
      <w:r w:rsidR="00AE0C0B" w:rsidRPr="00A80972">
        <w:rPr>
          <w:b/>
        </w:rPr>
        <w:t>Pardavėjui</w:t>
      </w:r>
      <w:r w:rsidR="00AE0C0B" w:rsidRPr="00A80972">
        <w:t xml:space="preserve">. Jei Subtiekėjo reikalavimas (sąskaita ar kitas dokumentas) yra nesuderintas su </w:t>
      </w:r>
      <w:r w:rsidR="00AE0C0B" w:rsidRPr="00A80972">
        <w:rPr>
          <w:b/>
        </w:rPr>
        <w:t>Pardavėju</w:t>
      </w:r>
      <w:r w:rsidR="00AE0C0B" w:rsidRPr="00A80972">
        <w:t xml:space="preserve">, bus laikoma, kad tarp </w:t>
      </w:r>
      <w:r w:rsidR="00AE0C0B" w:rsidRPr="00A80972">
        <w:rPr>
          <w:b/>
        </w:rPr>
        <w:t>Pardavėjo</w:t>
      </w:r>
      <w:r w:rsidR="00AE0C0B" w:rsidRPr="00A80972">
        <w:t xml:space="preserve"> ir Subtiekėjo yra kilęs ginčas. </w:t>
      </w:r>
    </w:p>
    <w:p w:rsidR="00255DF4" w:rsidRPr="00A80972" w:rsidRDefault="00AE0C0B" w:rsidP="00EB04AE">
      <w:pPr>
        <w:jc w:val="both"/>
      </w:pPr>
      <w:r w:rsidRPr="00A80972">
        <w:lastRenderedPageBreak/>
        <w:t xml:space="preserve">2.13. </w:t>
      </w:r>
      <w:r w:rsidR="00354AA4" w:rsidRPr="00A80972">
        <w:t>Visi S</w:t>
      </w:r>
      <w:r w:rsidR="00255DF4" w:rsidRPr="00A80972">
        <w:t>utarties mokėjimų dokumentai yra teikiami naudojantis informacinės sistemos „</w:t>
      </w:r>
      <w:proofErr w:type="spellStart"/>
      <w:r w:rsidR="00255DF4" w:rsidRPr="00A80972">
        <w:t>E.sąskaita</w:t>
      </w:r>
      <w:proofErr w:type="spellEnd"/>
      <w:r w:rsidR="00255DF4" w:rsidRPr="00A80972">
        <w:t>“ priemonėmis. Pasikeitus teisės aktų nuostatoms dėl mokėjimo dokumentų pateikimo naudojantis informacine sistema „E. sąskaita“, atitinkamai taikomas tuo metu galiojantis teisinis reguliavimas</w:t>
      </w:r>
      <w:r w:rsidRPr="00A80972">
        <w:t xml:space="preserve">. </w:t>
      </w:r>
    </w:p>
    <w:p w:rsidR="009440EA" w:rsidRPr="00A80972" w:rsidRDefault="009440EA" w:rsidP="00EB04AE">
      <w:pPr>
        <w:jc w:val="both"/>
      </w:pPr>
    </w:p>
    <w:p w:rsidR="00EB04AE" w:rsidRPr="00A80972" w:rsidRDefault="00EB04AE" w:rsidP="00EB04AE">
      <w:pPr>
        <w:jc w:val="both"/>
        <w:rPr>
          <w:b/>
        </w:rPr>
      </w:pPr>
      <w:r w:rsidRPr="00A80972">
        <w:rPr>
          <w:b/>
        </w:rPr>
        <w:t>3.</w:t>
      </w:r>
      <w:r w:rsidRPr="00A80972">
        <w:t xml:space="preserve"> </w:t>
      </w:r>
      <w:r w:rsidRPr="00A80972">
        <w:rPr>
          <w:b/>
        </w:rPr>
        <w:t>Prekių tiekimo terminai ir sąlygos</w:t>
      </w:r>
    </w:p>
    <w:p w:rsidR="00EB04AE" w:rsidRPr="00A80972" w:rsidRDefault="00EB04AE" w:rsidP="00EB04AE">
      <w:pPr>
        <w:jc w:val="both"/>
      </w:pPr>
      <w:r w:rsidRPr="00A80972">
        <w:t>3</w:t>
      </w:r>
      <w:r w:rsidR="006958AF" w:rsidRPr="00A80972">
        <w:t>.1. Prekės pristatomos S</w:t>
      </w:r>
      <w:r w:rsidRPr="00A80972">
        <w:t>utart</w:t>
      </w:r>
      <w:r w:rsidR="00295D1D" w:rsidRPr="00A80972">
        <w:t>ies S</w:t>
      </w:r>
      <w:r w:rsidR="006958AF" w:rsidRPr="00A80972">
        <w:t>pecialiojoje dalyje (arba S</w:t>
      </w:r>
      <w:r w:rsidRPr="00A80972">
        <w:t>utarties</w:t>
      </w:r>
      <w:r w:rsidR="001458AF" w:rsidRPr="00A80972">
        <w:rPr>
          <w:i/>
        </w:rPr>
        <w:t xml:space="preserve"> </w:t>
      </w:r>
      <w:r w:rsidR="001458AF" w:rsidRPr="00A80972">
        <w:t>priede (-</w:t>
      </w:r>
      <w:proofErr w:type="spellStart"/>
      <w:r w:rsidR="001458AF" w:rsidRPr="00A80972">
        <w:t>uose</w:t>
      </w:r>
      <w:proofErr w:type="spellEnd"/>
      <w:r w:rsidR="001458AF" w:rsidRPr="00A80972">
        <w:t>)</w:t>
      </w:r>
      <w:r w:rsidRPr="00A80972">
        <w:t>) numatytais terminais ir tvarka.</w:t>
      </w:r>
    </w:p>
    <w:p w:rsidR="002B0A6C" w:rsidRPr="00A80972" w:rsidRDefault="00EB04AE" w:rsidP="002B0A6C">
      <w:pPr>
        <w:jc w:val="both"/>
      </w:pPr>
      <w:r w:rsidRPr="00A80972">
        <w:t xml:space="preserve">3.2. </w:t>
      </w:r>
      <w:r w:rsidR="002B0A6C" w:rsidRPr="00A80972">
        <w:t xml:space="preserve">Prekes </w:t>
      </w:r>
      <w:r w:rsidR="002B0A6C" w:rsidRPr="00A80972">
        <w:rPr>
          <w:b/>
          <w:bCs/>
        </w:rPr>
        <w:t>Pardavėjas</w:t>
      </w:r>
      <w:r w:rsidR="002B0A6C" w:rsidRPr="00A80972">
        <w:t xml:space="preserve"> pristato savo rizika be papildomo apmokėjimo. </w:t>
      </w:r>
      <w:r w:rsidR="002B0A6C" w:rsidRPr="00A80972">
        <w:rPr>
          <w:b/>
          <w:bCs/>
        </w:rPr>
        <w:t>Pirkėjas</w:t>
      </w:r>
      <w:r w:rsidR="002B0A6C" w:rsidRPr="00A80972">
        <w:t xml:space="preserve"> nuosavybės teisę į prekes įgyja abiem Šalims pasirašius </w:t>
      </w:r>
      <w:r w:rsidR="003A281E" w:rsidRPr="00A80972">
        <w:t>dokumentą, patvirtinantį prekių perdavimą-priėmimą</w:t>
      </w:r>
      <w:r w:rsidR="002B0A6C" w:rsidRPr="00A80972">
        <w:t>, kuris pasirašomas tik tuo atveju, jeigu prekės yra kokybiškos ir atitinka Sutartyje ir jos priede (-</w:t>
      </w:r>
      <w:proofErr w:type="spellStart"/>
      <w:r w:rsidR="002B0A6C" w:rsidRPr="00A80972">
        <w:t>uose</w:t>
      </w:r>
      <w:proofErr w:type="spellEnd"/>
      <w:r w:rsidR="002B0A6C" w:rsidRPr="00A80972">
        <w:t>) joms nustatytus reikalavimus</w:t>
      </w:r>
      <w:r w:rsidR="002B0A6C" w:rsidRPr="00A80972">
        <w:rPr>
          <w:i/>
        </w:rPr>
        <w:t>.</w:t>
      </w:r>
      <w:r w:rsidR="002B0A6C" w:rsidRPr="00A80972">
        <w:t xml:space="preserve"> Kai pristatytos prekės yra kokybiškos ir atitinka Sutartyje ir jos priede (-</w:t>
      </w:r>
      <w:proofErr w:type="spellStart"/>
      <w:r w:rsidR="002B0A6C" w:rsidRPr="00A80972">
        <w:t>uose</w:t>
      </w:r>
      <w:proofErr w:type="spellEnd"/>
      <w:r w:rsidR="002B0A6C" w:rsidRPr="00A80972">
        <w:t>) joms nustatytus reikalavimus</w:t>
      </w:r>
      <w:r w:rsidR="00321713" w:rsidRPr="00A80972">
        <w:t>,</w:t>
      </w:r>
      <w:r w:rsidR="002B0A6C" w:rsidRPr="00A80972">
        <w:t xml:space="preserve"> dokumentas, patvirtinantis prekių perdavimą-priėmimą,</w:t>
      </w:r>
      <w:r w:rsidR="002B0A6C" w:rsidRPr="00A80972">
        <w:rPr>
          <w:color w:val="1F497D"/>
        </w:rPr>
        <w:t xml:space="preserve"> </w:t>
      </w:r>
      <w:r w:rsidR="002B0A6C" w:rsidRPr="00A80972">
        <w:t xml:space="preserve">turi būti pasirašomas ne vėliau kaip per 30 dienų, išskyrus kai prekėms atliekami laboratoriniai bandymai. </w:t>
      </w:r>
    </w:p>
    <w:p w:rsidR="00EB04AE" w:rsidRPr="00A80972" w:rsidRDefault="00EB04AE" w:rsidP="00EB04AE">
      <w:pPr>
        <w:jc w:val="both"/>
      </w:pPr>
      <w:r w:rsidRPr="00A80972">
        <w:t xml:space="preserve">3.3. Už prekes, pateiktas viršijant </w:t>
      </w:r>
      <w:r w:rsidR="00D92F70" w:rsidRPr="00A80972">
        <w:t>Sutartyje/</w:t>
      </w:r>
      <w:r w:rsidRPr="00A80972">
        <w:t xml:space="preserve">paraiškose/užsakymuose nurodytus kiekius, </w:t>
      </w:r>
      <w:r w:rsidRPr="00A80972">
        <w:rPr>
          <w:b/>
        </w:rPr>
        <w:t xml:space="preserve">Pirkėjas </w:t>
      </w:r>
      <w:r w:rsidR="00D7482F" w:rsidRPr="00A80972">
        <w:t>neapmoka.</w:t>
      </w:r>
    </w:p>
    <w:p w:rsidR="00D92F70" w:rsidRPr="00A80972" w:rsidRDefault="00D92F70" w:rsidP="00D92F70">
      <w:pPr>
        <w:jc w:val="both"/>
      </w:pPr>
      <w:r w:rsidRPr="00A80972">
        <w:t xml:space="preserve">3.4. </w:t>
      </w:r>
      <w:r w:rsidRPr="00A80972">
        <w:rPr>
          <w:b/>
        </w:rPr>
        <w:t>Pardavėjui</w:t>
      </w:r>
      <w:r w:rsidRPr="00A80972">
        <w:t xml:space="preserve"> pristačius mažesnę prekių siuntą negu nurodyta Sutartyje/paraiškose/užsakymuose, </w:t>
      </w:r>
      <w:r w:rsidRPr="00A80972">
        <w:rPr>
          <w:b/>
        </w:rPr>
        <w:t>Pirkėjas</w:t>
      </w:r>
      <w:r w:rsidRPr="00A80972">
        <w:t xml:space="preserve"> grąžina </w:t>
      </w:r>
      <w:r w:rsidRPr="00A80972">
        <w:rPr>
          <w:b/>
        </w:rPr>
        <w:t>Pardavėjui</w:t>
      </w:r>
      <w:r w:rsidRPr="00A80972">
        <w:t xml:space="preserve"> pristatytą prekių siuntą</w:t>
      </w:r>
      <w:r w:rsidR="00D06ACE" w:rsidRPr="00A80972">
        <w:t xml:space="preserve"> bei</w:t>
      </w:r>
      <w:r w:rsidRPr="00A80972">
        <w:t xml:space="preserve"> laikoma, kad prekės </w:t>
      </w:r>
      <w:r w:rsidR="00D06ACE" w:rsidRPr="00A80972">
        <w:t>nebuvo pristatytos,</w:t>
      </w:r>
      <w:r w:rsidR="00F2692F" w:rsidRPr="00A80972">
        <w:rPr>
          <w:b/>
        </w:rPr>
        <w:t xml:space="preserve"> </w:t>
      </w:r>
      <w:r w:rsidR="00F2692F" w:rsidRPr="00A80972">
        <w:t>o</w:t>
      </w:r>
      <w:r w:rsidR="00F2692F" w:rsidRPr="00A80972">
        <w:rPr>
          <w:b/>
        </w:rPr>
        <w:t xml:space="preserve"> Pardavėjas</w:t>
      </w:r>
      <w:r w:rsidR="00F2692F" w:rsidRPr="00A80972">
        <w:t xml:space="preserve"> savo lėšomis </w:t>
      </w:r>
      <w:r w:rsidR="00D91754" w:rsidRPr="00A80972">
        <w:t xml:space="preserve">nedelsiant </w:t>
      </w:r>
      <w:r w:rsidR="00F2692F" w:rsidRPr="00A80972">
        <w:t>prekes turi atsiimti</w:t>
      </w:r>
      <w:r w:rsidR="00D91754" w:rsidRPr="00A80972">
        <w:t xml:space="preserve">. </w:t>
      </w:r>
      <w:r w:rsidR="00D91754" w:rsidRPr="00A80972">
        <w:rPr>
          <w:b/>
        </w:rPr>
        <w:t>Pardavėjui</w:t>
      </w:r>
      <w:r w:rsidR="00D91754" w:rsidRPr="00A80972">
        <w:t xml:space="preserve"> neįvykdžius pareigos nedelsiant atsiimti prekes, Pardavėjas neturi teisės reikšti pretenzijų dėl prekių žuvimo ar sugadinimo. </w:t>
      </w:r>
      <w:r w:rsidR="0020305D" w:rsidRPr="00A80972">
        <w:t xml:space="preserve">Taip pat </w:t>
      </w:r>
      <w:r w:rsidR="00D06ACE" w:rsidRPr="00A80972">
        <w:rPr>
          <w:b/>
        </w:rPr>
        <w:t xml:space="preserve">Pardavėjui </w:t>
      </w:r>
      <w:r w:rsidR="001E17A9" w:rsidRPr="00A80972">
        <w:t>taikomos S</w:t>
      </w:r>
      <w:r w:rsidR="007B3672" w:rsidRPr="00A80972">
        <w:t>utarties B</w:t>
      </w:r>
      <w:r w:rsidR="00D06ACE" w:rsidRPr="00A80972">
        <w:t>endrosios dalies 11.1 punkte numatytos sankcijos</w:t>
      </w:r>
      <w:r w:rsidR="0020305D" w:rsidRPr="00A80972">
        <w:t xml:space="preserve"> (jeigu dėl to, kad reikia atsiimti prekių siuntą praleidžiamas prekių pristatymo terminas)</w:t>
      </w:r>
      <w:r w:rsidR="00D06ACE" w:rsidRPr="00A80972">
        <w:t xml:space="preserve">. </w:t>
      </w:r>
    </w:p>
    <w:p w:rsidR="009523E7" w:rsidRPr="00A80972" w:rsidRDefault="009523E7" w:rsidP="009523E7">
      <w:pPr>
        <w:jc w:val="both"/>
      </w:pPr>
      <w:r w:rsidRPr="00A80972">
        <w:t>3.</w:t>
      </w:r>
      <w:r w:rsidR="00C33CC2" w:rsidRPr="00A80972">
        <w:t>5</w:t>
      </w:r>
      <w:r w:rsidRPr="00A80972">
        <w:t xml:space="preserve">. </w:t>
      </w:r>
      <w:r w:rsidRPr="00A80972">
        <w:rPr>
          <w:b/>
        </w:rPr>
        <w:t>Pardavėjas</w:t>
      </w:r>
      <w:r w:rsidRPr="00A80972">
        <w:t xml:space="preserve"> įsipareigoja po Su</w:t>
      </w:r>
      <w:r w:rsidR="007B3672" w:rsidRPr="00A80972">
        <w:t>tarties įsigaliojimo Sutarties S</w:t>
      </w:r>
      <w:r w:rsidRPr="00A80972">
        <w:t>pecialioje dalyje nurodytais terminais:</w:t>
      </w:r>
    </w:p>
    <w:p w:rsidR="009523E7" w:rsidRPr="00A80972" w:rsidRDefault="009523E7" w:rsidP="009523E7">
      <w:pPr>
        <w:jc w:val="both"/>
      </w:pPr>
      <w:r w:rsidRPr="00A80972">
        <w:t>3.</w:t>
      </w:r>
      <w:r w:rsidR="00C33CC2" w:rsidRPr="00A80972">
        <w:t>5</w:t>
      </w:r>
      <w:r w:rsidRPr="00A80972">
        <w:t xml:space="preserve">.1. parengti, pagaminti, suderinti su </w:t>
      </w:r>
      <w:r w:rsidRPr="00A80972">
        <w:rPr>
          <w:b/>
        </w:rPr>
        <w:t>Pirkėju</w:t>
      </w:r>
      <w:r w:rsidRPr="00A80972">
        <w:t xml:space="preserve"> ir patvirtinti perkamų prekių darbinius </w:t>
      </w:r>
      <w:r w:rsidR="007A16FB" w:rsidRPr="00A80972">
        <w:t xml:space="preserve">pavyzdžius </w:t>
      </w:r>
      <w:r w:rsidRPr="00A80972">
        <w:t xml:space="preserve">(2 egz., vienas </w:t>
      </w:r>
      <w:r w:rsidR="00E91961" w:rsidRPr="00A80972">
        <w:t>–</w:t>
      </w:r>
      <w:r w:rsidRPr="00A80972">
        <w:t xml:space="preserve"> </w:t>
      </w:r>
      <w:r w:rsidRPr="00A80972">
        <w:rPr>
          <w:b/>
        </w:rPr>
        <w:t>Pirkėjui</w:t>
      </w:r>
      <w:r w:rsidRPr="00A80972">
        <w:t xml:space="preserve">, antras – </w:t>
      </w:r>
      <w:r w:rsidRPr="00A80972">
        <w:rPr>
          <w:b/>
        </w:rPr>
        <w:t>Pardavėjui</w:t>
      </w:r>
      <w:r w:rsidRPr="00A80972">
        <w:t>), kurie atitiktų Sutartyje ir jos priede (-</w:t>
      </w:r>
      <w:proofErr w:type="spellStart"/>
      <w:r w:rsidRPr="00A80972">
        <w:t>uose</w:t>
      </w:r>
      <w:proofErr w:type="spellEnd"/>
      <w:r w:rsidRPr="00A80972">
        <w:t xml:space="preserve">) nustatytus reikalavimus </w:t>
      </w:r>
      <w:r w:rsidRPr="00A80972">
        <w:rPr>
          <w:i/>
        </w:rPr>
        <w:t xml:space="preserve">(jei </w:t>
      </w:r>
      <w:r w:rsidR="00CF772F" w:rsidRPr="00A80972">
        <w:rPr>
          <w:i/>
        </w:rPr>
        <w:t>Sutarties Specialiojoje</w:t>
      </w:r>
      <w:r w:rsidRPr="00A80972">
        <w:rPr>
          <w:i/>
        </w:rPr>
        <w:t xml:space="preserve"> dalyje nurodyta, kad ši sąlyga taikoma)</w:t>
      </w:r>
      <w:r w:rsidRPr="00A80972">
        <w:t>;</w:t>
      </w:r>
    </w:p>
    <w:p w:rsidR="009523E7" w:rsidRPr="00A80972" w:rsidRDefault="009523E7" w:rsidP="009523E7">
      <w:pPr>
        <w:jc w:val="both"/>
      </w:pPr>
      <w:r w:rsidRPr="00A80972">
        <w:t>3.</w:t>
      </w:r>
      <w:r w:rsidR="00C33CC2" w:rsidRPr="00A80972">
        <w:t>5</w:t>
      </w:r>
      <w:r w:rsidRPr="00A80972">
        <w:t xml:space="preserve">.2. suderinti su </w:t>
      </w:r>
      <w:r w:rsidRPr="00A80972">
        <w:rPr>
          <w:b/>
        </w:rPr>
        <w:t xml:space="preserve">Pirkėju </w:t>
      </w:r>
      <w:r w:rsidRPr="00A80972">
        <w:t xml:space="preserve">ir pateikti </w:t>
      </w:r>
      <w:proofErr w:type="spellStart"/>
      <w:r w:rsidRPr="00A80972">
        <w:t>teiktiną</w:t>
      </w:r>
      <w:proofErr w:type="spellEnd"/>
      <w:r w:rsidRPr="00A80972">
        <w:t xml:space="preserve"> prekių kokybės užtikrinimo planą, parengtą pagal </w:t>
      </w:r>
      <w:proofErr w:type="spellStart"/>
      <w:r w:rsidRPr="00A80972">
        <w:t>Teiktino</w:t>
      </w:r>
      <w:proofErr w:type="spellEnd"/>
      <w:r w:rsidRPr="00A80972">
        <w:t xml:space="preserve"> kokybės užtikrinimo plano rengimo rekomendacijas arba</w:t>
      </w:r>
      <w:r w:rsidRPr="00A80972">
        <w:rPr>
          <w:i/>
        </w:rPr>
        <w:t xml:space="preserve"> </w:t>
      </w:r>
      <w:r w:rsidR="00CF772F" w:rsidRPr="00A80972">
        <w:t>Sutarties S</w:t>
      </w:r>
      <w:r w:rsidRPr="00A80972">
        <w:t xml:space="preserve">pecialioje dalyje nurodytus standartus </w:t>
      </w:r>
      <w:r w:rsidRPr="00A80972">
        <w:rPr>
          <w:i/>
        </w:rPr>
        <w:t xml:space="preserve">(jei </w:t>
      </w:r>
      <w:r w:rsidR="00CF772F" w:rsidRPr="00A80972">
        <w:rPr>
          <w:i/>
        </w:rPr>
        <w:t>Sutarties Specialiojoje</w:t>
      </w:r>
      <w:r w:rsidRPr="00A80972">
        <w:rPr>
          <w:i/>
        </w:rPr>
        <w:t xml:space="preserve"> dalyje nurodyta, kad ši sąlyga taikoma)</w:t>
      </w:r>
      <w:r w:rsidRPr="00A80972">
        <w:t>;</w:t>
      </w:r>
    </w:p>
    <w:p w:rsidR="009523E7" w:rsidRPr="00A80972" w:rsidRDefault="009523E7" w:rsidP="00EB04AE">
      <w:pPr>
        <w:jc w:val="both"/>
        <w:rPr>
          <w:i/>
        </w:rPr>
      </w:pPr>
      <w:r w:rsidRPr="00A80972">
        <w:t>3.</w:t>
      </w:r>
      <w:r w:rsidR="00C33CC2" w:rsidRPr="00A80972">
        <w:t>5</w:t>
      </w:r>
      <w:r w:rsidRPr="00A80972">
        <w:t xml:space="preserve">.3. suderinti su </w:t>
      </w:r>
      <w:r w:rsidRPr="00A80972">
        <w:rPr>
          <w:b/>
        </w:rPr>
        <w:t>Pirkėju</w:t>
      </w:r>
      <w:r w:rsidRPr="00A80972">
        <w:t xml:space="preserve"> prekės naudojimo (priežiūros) instrukciją, kuri pateikiama kartu su kiekviena preke (</w:t>
      </w:r>
      <w:r w:rsidRPr="00A80972">
        <w:rPr>
          <w:i/>
        </w:rPr>
        <w:t xml:space="preserve">jei </w:t>
      </w:r>
      <w:r w:rsidR="00CF772F" w:rsidRPr="00A80972">
        <w:rPr>
          <w:i/>
        </w:rPr>
        <w:t>Sutarties Specialiojoje</w:t>
      </w:r>
      <w:r w:rsidRPr="00A80972">
        <w:rPr>
          <w:i/>
        </w:rPr>
        <w:t xml:space="preserve"> dalyje nurodyta, kad ši sąlyga taikoma).</w:t>
      </w:r>
    </w:p>
    <w:p w:rsidR="00AD1F49" w:rsidRPr="00A80972" w:rsidRDefault="006D67EE" w:rsidP="00AD1F49">
      <w:pPr>
        <w:jc w:val="both"/>
      </w:pPr>
      <w:r w:rsidRPr="00A80972">
        <w:t>3.</w:t>
      </w:r>
      <w:r w:rsidR="00DF7D2F" w:rsidRPr="00A80972">
        <w:t>6</w:t>
      </w:r>
      <w:r w:rsidR="00AD1F49" w:rsidRPr="00A80972">
        <w:t xml:space="preserve">. </w:t>
      </w:r>
      <w:r w:rsidR="00AF685D" w:rsidRPr="00A80972">
        <w:t xml:space="preserve">Jeigu Sutarties galiojimo metu prekės gamintojas pakeičia/atnaujina šia Sutartimi perkamos prekės, modelį/pavadinimą, kuris yra nurodytas Sutartyje, </w:t>
      </w:r>
      <w:r w:rsidR="00AF685D" w:rsidRPr="00A80972">
        <w:rPr>
          <w:b/>
          <w:bCs/>
        </w:rPr>
        <w:t>Pardavėjas</w:t>
      </w:r>
      <w:r w:rsidR="00AF685D" w:rsidRPr="00A80972">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A80972">
        <w:rPr>
          <w:b/>
        </w:rPr>
        <w:t>Pardavėjas</w:t>
      </w:r>
      <w:r w:rsidR="00AF685D" w:rsidRPr="00A80972">
        <w:t xml:space="preserve"> suderinęs su </w:t>
      </w:r>
      <w:r w:rsidR="00AF685D" w:rsidRPr="00A80972">
        <w:rPr>
          <w:b/>
          <w:bCs/>
        </w:rPr>
        <w:t>Pirkėju</w:t>
      </w:r>
      <w:r w:rsidR="00AF685D" w:rsidRPr="00A80972">
        <w:t xml:space="preserve"> ir su juo sudaręs papildomą susitarimą turi teisę tiekti naujo modelio/pavadinimo prekes. Naujo modelio/pavadinimo prekės turi atitikti Sutartyje ir jos priede (-</w:t>
      </w:r>
      <w:proofErr w:type="spellStart"/>
      <w:r w:rsidR="00AF685D" w:rsidRPr="00A80972">
        <w:t>uose</w:t>
      </w:r>
      <w:proofErr w:type="spellEnd"/>
      <w:r w:rsidR="00AF685D" w:rsidRPr="00A80972">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A80972">
        <w:rPr>
          <w:b/>
        </w:rPr>
        <w:t>Pirkėjo</w:t>
      </w:r>
      <w:r w:rsidR="00AF685D" w:rsidRPr="00A80972">
        <w:t xml:space="preserve"> pagal šią Sutartį perkamomis ir jau įsigytomis prekėmis. </w:t>
      </w:r>
    </w:p>
    <w:p w:rsidR="00AF685D" w:rsidRPr="00A80972" w:rsidRDefault="00AF685D" w:rsidP="00AD1F49">
      <w:pPr>
        <w:jc w:val="both"/>
      </w:pPr>
      <w:r w:rsidRPr="00A80972">
        <w:t xml:space="preserve">3.7. </w:t>
      </w:r>
      <w:r w:rsidRPr="00A80972">
        <w:rPr>
          <w:color w:val="000000"/>
        </w:rPr>
        <w:t xml:space="preserve">Sutarties vykdymo metu </w:t>
      </w:r>
      <w:r w:rsidRPr="00A80972">
        <w:t xml:space="preserve">Sutartyje nurodytas prekės gamintojas gali būti keičiamas kitu gamintoju tik dėl objektyvių aplinkybių, kurių </w:t>
      </w:r>
      <w:r w:rsidRPr="00A80972">
        <w:rPr>
          <w:b/>
        </w:rPr>
        <w:t xml:space="preserve">Pardavėjui </w:t>
      </w:r>
      <w:r w:rsidRPr="00A80972">
        <w:t xml:space="preserve">nebuvo galima numatyti paraiškos/pasiūlymo pateikimo momentu.  Sutartyje nurodyto gamintojo keitimas kitu galimas tik iš anksto raštu suderinus su </w:t>
      </w:r>
      <w:r w:rsidRPr="00A80972">
        <w:rPr>
          <w:b/>
        </w:rPr>
        <w:t>Pirkėju</w:t>
      </w:r>
      <w:r w:rsidRPr="00A80972">
        <w:t xml:space="preserve"> ir pasirašius susitarimą dėl gamintojo pakeitimo.  Prašymas dėl Sutartyje nustatyto gamintojo keitimo kitu, </w:t>
      </w:r>
      <w:r w:rsidRPr="00A80972">
        <w:rPr>
          <w:b/>
        </w:rPr>
        <w:t xml:space="preserve">Pirkėjui </w:t>
      </w:r>
      <w:r w:rsidRPr="00A80972">
        <w:t xml:space="preserve">pateikiamas raštu, nurodant tokio keitimo priežastis, kartu </w:t>
      </w:r>
      <w:r w:rsidRPr="00A80972">
        <w:rPr>
          <w:b/>
          <w:bCs/>
        </w:rPr>
        <w:t>Pardavėjas</w:t>
      </w:r>
      <w:r w:rsidRPr="00A80972">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80972">
        <w:t>uose</w:t>
      </w:r>
      <w:proofErr w:type="spellEnd"/>
      <w:r w:rsidRPr="00A80972">
        <w:t>) perkamoms prekėms nustatytus reikalavimus, tiekiamos už tą pačia kainą, o jų techniniai duomenys negali būti prasteni už techninius duomenis prekių, dėl kurių buvo sudaryta Sutartis.</w:t>
      </w:r>
    </w:p>
    <w:p w:rsidR="00EB04AE" w:rsidRPr="00A80972" w:rsidRDefault="00EB04AE" w:rsidP="00EB04AE">
      <w:pPr>
        <w:jc w:val="both"/>
      </w:pPr>
    </w:p>
    <w:p w:rsidR="00EB04AE" w:rsidRPr="00A80972" w:rsidRDefault="00EB04AE" w:rsidP="00EB04AE">
      <w:pPr>
        <w:jc w:val="both"/>
        <w:rPr>
          <w:b/>
        </w:rPr>
      </w:pPr>
      <w:r w:rsidRPr="00A80972">
        <w:rPr>
          <w:b/>
        </w:rPr>
        <w:t>4. Mokėjimo terminai ir sąlygos</w:t>
      </w:r>
    </w:p>
    <w:p w:rsidR="00EB04AE" w:rsidRPr="00A80972" w:rsidRDefault="00EB04AE" w:rsidP="00EB04AE">
      <w:pPr>
        <w:jc w:val="both"/>
        <w:rPr>
          <w:color w:val="FF0000"/>
        </w:rPr>
      </w:pPr>
      <w:r w:rsidRPr="00A80972">
        <w:lastRenderedPageBreak/>
        <w:t xml:space="preserve">4.1. </w:t>
      </w:r>
      <w:r w:rsidRPr="00A80972">
        <w:rPr>
          <w:b/>
        </w:rPr>
        <w:t>Pardavėjui</w:t>
      </w:r>
      <w:r w:rsidRPr="00A80972">
        <w:t xml:space="preserve"> sumokama, kai sutarties objektas atitinkantis </w:t>
      </w:r>
      <w:r w:rsidR="00AA0D56" w:rsidRPr="00A80972">
        <w:t xml:space="preserve">Sutartyje ir jos </w:t>
      </w:r>
      <w:r w:rsidR="001458AF" w:rsidRPr="00A80972">
        <w:t>priede (-</w:t>
      </w:r>
      <w:proofErr w:type="spellStart"/>
      <w:r w:rsidR="001458AF" w:rsidRPr="00A80972">
        <w:t>uose</w:t>
      </w:r>
      <w:proofErr w:type="spellEnd"/>
      <w:r w:rsidR="001458AF" w:rsidRPr="00A80972">
        <w:t xml:space="preserve">) </w:t>
      </w:r>
      <w:r w:rsidR="00AA0D56" w:rsidRPr="00A80972">
        <w:t>nustatytus reikalavimus</w:t>
      </w:r>
      <w:r w:rsidRPr="00A80972">
        <w:t xml:space="preserve"> perduodamas </w:t>
      </w:r>
      <w:r w:rsidRPr="00A80972">
        <w:rPr>
          <w:b/>
        </w:rPr>
        <w:t>Pirkėjui,</w:t>
      </w:r>
      <w:r w:rsidRPr="00A80972">
        <w:t xml:space="preserve"> </w:t>
      </w:r>
      <w:r w:rsidR="00771DB6" w:rsidRPr="00A80972">
        <w:t>abiem</w:t>
      </w:r>
      <w:r w:rsidRPr="00A80972">
        <w:t xml:space="preserve"> Šalims pasirašius </w:t>
      </w:r>
      <w:r w:rsidR="00E64051" w:rsidRPr="00A80972">
        <w:t>dokumentą, patvirtinantį prekių perdavimą-priėmimą,</w:t>
      </w:r>
      <w:r w:rsidRPr="00A80972">
        <w:t xml:space="preserve"> per 30 (trisdešimt) dienų nuo </w:t>
      </w:r>
      <w:r w:rsidR="003C1053" w:rsidRPr="00A80972">
        <w:t>šio dokumento pasirašymo</w:t>
      </w:r>
      <w:r w:rsidR="00AA0D56" w:rsidRPr="00A80972">
        <w:rPr>
          <w:i/>
        </w:rPr>
        <w:t xml:space="preserve"> </w:t>
      </w:r>
      <w:r w:rsidRPr="00A80972">
        <w:t xml:space="preserve">ir sąskaitos </w:t>
      </w:r>
      <w:r w:rsidR="003252B4" w:rsidRPr="00A80972">
        <w:t xml:space="preserve">faktūros </w:t>
      </w:r>
      <w:r w:rsidRPr="00A80972">
        <w:t>gavimo dienos</w:t>
      </w:r>
      <w:r w:rsidR="003252B4" w:rsidRPr="00A80972">
        <w:t>.</w:t>
      </w:r>
      <w:r w:rsidR="001D4DE5" w:rsidRPr="00A80972">
        <w:t xml:space="preserve"> </w:t>
      </w:r>
      <w:r w:rsidR="003252B4" w:rsidRPr="00A80972">
        <w:t>S</w:t>
      </w:r>
      <w:r w:rsidR="00A179BF" w:rsidRPr="00A80972">
        <w:t>ąskaita</w:t>
      </w:r>
      <w:r w:rsidR="004E5569" w:rsidRPr="00A80972">
        <w:t xml:space="preserve"> faktūra turi būti pateikiama Viešųjų pirkimų įstatymo 22 straipsnio 3 dalyje</w:t>
      </w:r>
      <w:r w:rsidR="00F94CFB" w:rsidRPr="00A80972">
        <w:rPr>
          <w:bCs/>
        </w:rPr>
        <w:t>/Viešųjų pirkimų, atliekamų gynybos ir saugumo srityje, įstatymo 12 straipsnio 10 dalyje</w:t>
      </w:r>
      <w:r w:rsidR="004E5569" w:rsidRPr="00A80972">
        <w:t xml:space="preserve"> numatytomis elektroninėmis priemonėmis</w:t>
      </w:r>
      <w:r w:rsidR="001D4DE5" w:rsidRPr="00A80972">
        <w:t xml:space="preserve">. </w:t>
      </w:r>
      <w:r w:rsidR="00CD09AA" w:rsidRPr="00A80972">
        <w:rPr>
          <w:b/>
          <w:bCs/>
        </w:rPr>
        <w:t xml:space="preserve">Pirkėjui </w:t>
      </w:r>
      <w:r w:rsidR="00CD09AA" w:rsidRPr="00A80972">
        <w:t>vėluojant atsiskaityti šiame punkte numatytu terminu,</w:t>
      </w:r>
      <w:r w:rsidR="00CD09AA" w:rsidRPr="00A80972">
        <w:rPr>
          <w:b/>
          <w:bCs/>
        </w:rPr>
        <w:t xml:space="preserve"> Pirkėjas, Pardavėjui </w:t>
      </w:r>
      <w:r w:rsidR="00CD09AA" w:rsidRPr="00A80972">
        <w:t>pareikalavus (ne vėliau kaip per 30 (trisdešimt) dienų nuo pareikalavimo gavimo), moka palūkanas pagal Lietuvos Respublikos mokėjimų, atliekamų pagal komercines sutartis, vėlavimo prevencijos įstatymą.</w:t>
      </w:r>
    </w:p>
    <w:p w:rsidR="00EB04AE" w:rsidRPr="00A80972" w:rsidRDefault="00EB04AE" w:rsidP="00EB04AE">
      <w:pPr>
        <w:jc w:val="both"/>
      </w:pPr>
      <w:r w:rsidRPr="00A80972">
        <w:t xml:space="preserve">4.2. </w:t>
      </w:r>
      <w:r w:rsidRPr="00A80972">
        <w:rPr>
          <w:b/>
        </w:rPr>
        <w:t xml:space="preserve">Pardavėjui </w:t>
      </w:r>
      <w:r w:rsidRPr="00A80972">
        <w:t xml:space="preserve">pristačius prekes, </w:t>
      </w:r>
      <w:r w:rsidRPr="00A80972">
        <w:rPr>
          <w:b/>
        </w:rPr>
        <w:t xml:space="preserve">Pirkėjas </w:t>
      </w:r>
      <w:r w:rsidRPr="00A80972">
        <w:t xml:space="preserve">per 3 (tris) dienas turi teisę nuspręsti, ar </w:t>
      </w:r>
      <w:r w:rsidRPr="00A80972">
        <w:rPr>
          <w:b/>
        </w:rPr>
        <w:t>Pardavėjo</w:t>
      </w:r>
      <w:r w:rsidRPr="00A80972">
        <w:t xml:space="preserve"> pristatytoms prekėms </w:t>
      </w:r>
      <w:r w:rsidR="006125D7" w:rsidRPr="00A80972">
        <w:t xml:space="preserve">(nustatytai prekių partijai ar/ir siuntai) </w:t>
      </w:r>
      <w:r w:rsidRPr="00A80972">
        <w:t xml:space="preserve">bus atliekami laboratoriniai bandymai tam, </w:t>
      </w:r>
      <w:r w:rsidRPr="00A80972">
        <w:rPr>
          <w:noProof/>
        </w:rPr>
        <w:t xml:space="preserve">kad būtų įsitikinta, jog prekės atitinka Sutartyje </w:t>
      </w:r>
      <w:r w:rsidR="00E8665D" w:rsidRPr="00A80972">
        <w:rPr>
          <w:noProof/>
        </w:rPr>
        <w:t>ir</w:t>
      </w:r>
      <w:r w:rsidRPr="00A80972">
        <w:rPr>
          <w:noProof/>
        </w:rPr>
        <w:t xml:space="preserve"> </w:t>
      </w:r>
      <w:r w:rsidR="001458AF" w:rsidRPr="00A80972">
        <w:rPr>
          <w:noProof/>
        </w:rPr>
        <w:t xml:space="preserve">jos </w:t>
      </w:r>
      <w:r w:rsidR="001458AF" w:rsidRPr="00A80972">
        <w:t>priede (-</w:t>
      </w:r>
      <w:proofErr w:type="spellStart"/>
      <w:r w:rsidR="001458AF" w:rsidRPr="00A80972">
        <w:t>uose</w:t>
      </w:r>
      <w:proofErr w:type="spellEnd"/>
      <w:r w:rsidR="001458AF" w:rsidRPr="00A80972">
        <w:t xml:space="preserve">) </w:t>
      </w:r>
      <w:r w:rsidRPr="00A80972">
        <w:rPr>
          <w:noProof/>
        </w:rPr>
        <w:t>nustatytus reikalavimus.</w:t>
      </w:r>
      <w:r w:rsidRPr="00A80972">
        <w:t xml:space="preserve"> Jeigu </w:t>
      </w:r>
      <w:r w:rsidRPr="00A80972">
        <w:rPr>
          <w:b/>
        </w:rPr>
        <w:t xml:space="preserve">Pirkėjas </w:t>
      </w:r>
      <w:r w:rsidR="006125D7" w:rsidRPr="00A80972">
        <w:t>priima sprendimą</w:t>
      </w:r>
      <w:r w:rsidRPr="00A80972">
        <w:t>, kad laboratoriniai bandymai prekėms nebus at</w:t>
      </w:r>
      <w:r w:rsidR="00E8665D" w:rsidRPr="00A80972">
        <w:t>liekami, prekės, atitinkančios S</w:t>
      </w:r>
      <w:r w:rsidRPr="00A80972">
        <w:t xml:space="preserve">utartyje </w:t>
      </w:r>
      <w:r w:rsidR="00E8665D" w:rsidRPr="00A80972">
        <w:t>ir</w:t>
      </w:r>
      <w:r w:rsidRPr="00A80972">
        <w:t xml:space="preserve"> </w:t>
      </w:r>
      <w:r w:rsidR="00BE3506" w:rsidRPr="00A80972">
        <w:t>jos</w:t>
      </w:r>
      <w:r w:rsidR="00DC236D" w:rsidRPr="00A80972">
        <w:t xml:space="preserve"> </w:t>
      </w:r>
      <w:r w:rsidRPr="00A80972">
        <w:t>priede</w:t>
      </w:r>
      <w:r w:rsidR="00BE3506" w:rsidRPr="00A80972">
        <w:t xml:space="preserve"> (-</w:t>
      </w:r>
      <w:proofErr w:type="spellStart"/>
      <w:r w:rsidRPr="00A80972">
        <w:t>uose</w:t>
      </w:r>
      <w:proofErr w:type="spellEnd"/>
      <w:r w:rsidR="00BE3506" w:rsidRPr="00A80972">
        <w:t>)</w:t>
      </w:r>
      <w:r w:rsidRPr="00A80972">
        <w:t xml:space="preserve"> nustatytus reikalavimus, priimamos ir už priimtas prekes </w:t>
      </w:r>
      <w:r w:rsidRPr="00A80972">
        <w:rPr>
          <w:b/>
        </w:rPr>
        <w:t>Pirkėjas</w:t>
      </w:r>
      <w:r w:rsidRPr="00A80972">
        <w:t xml:space="preserve"> sumoka </w:t>
      </w:r>
      <w:r w:rsidRPr="00A80972">
        <w:rPr>
          <w:b/>
        </w:rPr>
        <w:t xml:space="preserve">Pardavėjui </w:t>
      </w:r>
      <w:r w:rsidRPr="00A80972">
        <w:t xml:space="preserve">per 30 (trisdešimt) dienų nuo sąskaitos </w:t>
      </w:r>
      <w:r w:rsidR="00BE3506" w:rsidRPr="00A80972">
        <w:t xml:space="preserve">faktūros </w:t>
      </w:r>
      <w:r w:rsidRPr="00A80972">
        <w:t xml:space="preserve">gavimo dienos. Jeigu </w:t>
      </w:r>
      <w:r w:rsidRPr="00A80972">
        <w:rPr>
          <w:b/>
        </w:rPr>
        <w:t>Pirkėjas</w:t>
      </w:r>
      <w:r w:rsidRPr="00A80972">
        <w:t xml:space="preserve"> nusprendžia, kad laboratoriniai bandymai prekėms bus atliekami, už prekes sumokama per 30 (trisdešimt) dienų po to, kai yra gauti laboratorinių bandymų rezultatai ir </w:t>
      </w:r>
      <w:r w:rsidR="006125D7" w:rsidRPr="00A80972">
        <w:t>patvirtinta</w:t>
      </w:r>
      <w:r w:rsidR="00E8665D" w:rsidRPr="00A80972">
        <w:t>, kad prekės atitinka S</w:t>
      </w:r>
      <w:r w:rsidRPr="00A80972">
        <w:t xml:space="preserve">utartyje ir </w:t>
      </w:r>
      <w:r w:rsidR="001458AF" w:rsidRPr="00A80972">
        <w:t>jos priede (-</w:t>
      </w:r>
      <w:proofErr w:type="spellStart"/>
      <w:r w:rsidR="001458AF" w:rsidRPr="00A80972">
        <w:t>uose</w:t>
      </w:r>
      <w:proofErr w:type="spellEnd"/>
      <w:r w:rsidR="001458AF" w:rsidRPr="00A80972">
        <w:t xml:space="preserve">) </w:t>
      </w:r>
      <w:r w:rsidRPr="00A80972">
        <w:t>nustatytus reikalavimus</w:t>
      </w:r>
      <w:r w:rsidRPr="00A80972">
        <w:rPr>
          <w:i/>
        </w:rPr>
        <w:t xml:space="preserve"> </w:t>
      </w:r>
      <w:r w:rsidR="005F26B1" w:rsidRPr="00A80972">
        <w:rPr>
          <w:i/>
        </w:rPr>
        <w:t xml:space="preserve">(jei </w:t>
      </w:r>
      <w:r w:rsidR="0029234B" w:rsidRPr="00A80972">
        <w:rPr>
          <w:i/>
        </w:rPr>
        <w:t>Sutarties Specialiojoje</w:t>
      </w:r>
      <w:r w:rsidR="005F26B1" w:rsidRPr="00A80972">
        <w:rPr>
          <w:i/>
        </w:rPr>
        <w:t xml:space="preserve"> dalyje nurodyta, kad ši sąlyga taikoma)</w:t>
      </w:r>
      <w:r w:rsidR="005F26B1" w:rsidRPr="00A80972">
        <w:t>.</w:t>
      </w:r>
    </w:p>
    <w:p w:rsidR="000155AF" w:rsidRPr="00A80972" w:rsidRDefault="000155AF" w:rsidP="000155AF">
      <w:pPr>
        <w:jc w:val="both"/>
      </w:pPr>
      <w:r w:rsidRPr="00A80972">
        <w:t xml:space="preserve">4.3. Jeigu už prekes bus mokamas </w:t>
      </w:r>
      <w:r w:rsidR="00FB05B3" w:rsidRPr="00A80972">
        <w:t>Sutarties S</w:t>
      </w:r>
      <w:r w:rsidRPr="00A80972">
        <w:t>pecialiojoje dalyje nurodyto dydžio avansas,</w:t>
      </w:r>
      <w:r w:rsidRPr="00A80972">
        <w:rPr>
          <w:b/>
        </w:rPr>
        <w:t xml:space="preserve"> Pardavėjas</w:t>
      </w:r>
      <w:r w:rsidRPr="00A80972">
        <w:t xml:space="preserve"> įsipareigoja per 5 (penkias) darbo dienas nuo pranešimo gavimo dienos pateikti </w:t>
      </w:r>
      <w:r w:rsidRPr="00A80972">
        <w:rPr>
          <w:b/>
        </w:rPr>
        <w:t>Pirkėjo</w:t>
      </w:r>
      <w:r w:rsidRPr="00A80972">
        <w:t xml:space="preserve"> sumokamo avanso sumai, avansinio apmokėjimo banko garantiją arba draudimo bendrovės laidavimo raštą (kuri/-</w:t>
      </w:r>
      <w:proofErr w:type="spellStart"/>
      <w:r w:rsidRPr="00A80972">
        <w:t>is</w:t>
      </w:r>
      <w:proofErr w:type="spellEnd"/>
      <w:r w:rsidRPr="00A80972">
        <w:t xml:space="preserve"> galiotų 2 (du) mėnesius ilgiau nei prekių pristatymo terminas) ir avansinio mokėjimo sąskaitą.</w:t>
      </w:r>
      <w:r w:rsidR="000B6DAD" w:rsidRPr="00A80972">
        <w:rPr>
          <w:b/>
          <w:color w:val="FF0000"/>
        </w:rPr>
        <w:t xml:space="preserve"> </w:t>
      </w:r>
      <w:r w:rsidR="00D235CF" w:rsidRPr="00A80972">
        <w:t xml:space="preserve">Jeigu avanso apmokėjimas bus užtikrintas laidavimu, </w:t>
      </w:r>
      <w:r w:rsidR="000B6DAD" w:rsidRPr="00A80972">
        <w:rPr>
          <w:b/>
        </w:rPr>
        <w:t>Pardavėjas</w:t>
      </w:r>
      <w:r w:rsidR="000B6DAD" w:rsidRPr="00A80972">
        <w:t xml:space="preserve"> taip pat turi pateikti patvirtinimą iš</w:t>
      </w:r>
      <w:r w:rsidR="000B6DAD" w:rsidRPr="00A80972">
        <w:rPr>
          <w:color w:val="000000"/>
        </w:rPr>
        <w:t xml:space="preserve"> draudimo bendrovės (apmokėjimą įrodantį dokumentą ar pan.), kad laidavimo raštas yra galiojantis </w:t>
      </w:r>
      <w:r w:rsidR="00DC236D" w:rsidRPr="00A80972">
        <w:rPr>
          <w:i/>
          <w:color w:val="000000"/>
        </w:rPr>
        <w:t xml:space="preserve"> </w:t>
      </w:r>
      <w:r w:rsidR="00D235CF" w:rsidRPr="00A80972">
        <w:rPr>
          <w:i/>
        </w:rPr>
        <w:t xml:space="preserve">(jei </w:t>
      </w:r>
      <w:r w:rsidR="00AD7A6F" w:rsidRPr="00A80972">
        <w:rPr>
          <w:i/>
        </w:rPr>
        <w:t>Sutarties Specialiojoje</w:t>
      </w:r>
      <w:r w:rsidR="00D235CF" w:rsidRPr="00A80972">
        <w:rPr>
          <w:i/>
        </w:rPr>
        <w:t xml:space="preserve"> dalyje nurodyta, kad </w:t>
      </w:r>
      <w:r w:rsidR="003C1053" w:rsidRPr="00A80972">
        <w:rPr>
          <w:i/>
        </w:rPr>
        <w:t>sąlyga dėl avanso</w:t>
      </w:r>
      <w:r w:rsidR="00D235CF" w:rsidRPr="00A80972">
        <w:rPr>
          <w:i/>
        </w:rPr>
        <w:t xml:space="preserve"> taikoma).</w:t>
      </w:r>
    </w:p>
    <w:p w:rsidR="000155AF" w:rsidRPr="00A80972" w:rsidRDefault="000155AF" w:rsidP="000155AF">
      <w:pPr>
        <w:pStyle w:val="NoSpacing"/>
        <w:jc w:val="both"/>
        <w:rPr>
          <w:lang w:val="lt-LT"/>
        </w:rPr>
      </w:pPr>
      <w:r w:rsidRPr="00A80972">
        <w:rPr>
          <w:lang w:val="lt-LT"/>
        </w:rPr>
        <w:t xml:space="preserve">4.4. </w:t>
      </w:r>
      <w:proofErr w:type="spellStart"/>
      <w:r w:rsidR="00D235CF" w:rsidRPr="00A80972">
        <w:t>Avansinio</w:t>
      </w:r>
      <w:proofErr w:type="spellEnd"/>
      <w:r w:rsidR="00D235CF" w:rsidRPr="00A80972">
        <w:t xml:space="preserve"> </w:t>
      </w:r>
      <w:proofErr w:type="spellStart"/>
      <w:r w:rsidR="00D235CF" w:rsidRPr="00A80972">
        <w:t>apmokėjimo</w:t>
      </w:r>
      <w:proofErr w:type="spellEnd"/>
      <w:r w:rsidR="00D235CF" w:rsidRPr="00A80972">
        <w:rPr>
          <w:szCs w:val="20"/>
        </w:rPr>
        <w:t xml:space="preserve"> </w:t>
      </w:r>
      <w:r w:rsidR="00D235CF" w:rsidRPr="00A80972">
        <w:rPr>
          <w:lang w:val="lt-LT"/>
        </w:rPr>
        <w:t>b</w:t>
      </w:r>
      <w:r w:rsidRPr="00A80972">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A80972">
        <w:rPr>
          <w:lang w:val="lt-LT"/>
        </w:rPr>
        <w:t>dėl</w:t>
      </w:r>
      <w:proofErr w:type="gramEnd"/>
      <w:r w:rsidRPr="00A80972">
        <w:rPr>
          <w:lang w:val="lt-LT"/>
        </w:rPr>
        <w:t xml:space="preserve"> </w:t>
      </w:r>
      <w:r w:rsidR="00317994" w:rsidRPr="00A80972">
        <w:rPr>
          <w:b/>
          <w:lang w:val="lt-LT"/>
        </w:rPr>
        <w:t>Pardavėjo</w:t>
      </w:r>
      <w:r w:rsidRPr="00A80972">
        <w:rPr>
          <w:b/>
          <w:lang w:val="lt-LT"/>
        </w:rPr>
        <w:t xml:space="preserve"> </w:t>
      </w:r>
      <w:r w:rsidRPr="00A80972">
        <w:rPr>
          <w:lang w:val="lt-LT"/>
        </w:rPr>
        <w:t xml:space="preserve">kaltės, iš </w:t>
      </w:r>
      <w:r w:rsidRPr="00A80972">
        <w:rPr>
          <w:b/>
          <w:lang w:val="lt-LT"/>
        </w:rPr>
        <w:t xml:space="preserve">Pirkėjo </w:t>
      </w:r>
      <w:r w:rsidRPr="00A80972">
        <w:rPr>
          <w:lang w:val="lt-LT"/>
        </w:rPr>
        <w:t xml:space="preserve">gavimo, sumokėti </w:t>
      </w:r>
      <w:r w:rsidRPr="00A80972">
        <w:rPr>
          <w:b/>
          <w:lang w:val="lt-LT"/>
        </w:rPr>
        <w:t xml:space="preserve">Pirkėjui </w:t>
      </w:r>
      <w:r w:rsidRPr="00A80972">
        <w:rPr>
          <w:lang w:val="lt-LT"/>
        </w:rPr>
        <w:t xml:space="preserve">sumą, neviršijant laidavimo/garantijos sumos, pinigus pervedant į </w:t>
      </w:r>
      <w:r w:rsidRPr="00A80972">
        <w:rPr>
          <w:b/>
          <w:lang w:val="lt-LT"/>
        </w:rPr>
        <w:t>Pirkėjo</w:t>
      </w:r>
      <w:r w:rsidRPr="00A80972">
        <w:rPr>
          <w:lang w:val="lt-LT"/>
        </w:rPr>
        <w:t xml:space="preserve"> sąskaitą. </w:t>
      </w:r>
    </w:p>
    <w:p w:rsidR="000155AF" w:rsidRPr="00A80972" w:rsidRDefault="00574A76" w:rsidP="000155AF">
      <w:pPr>
        <w:pStyle w:val="NoSpacing"/>
        <w:jc w:val="both"/>
        <w:rPr>
          <w:lang w:val="lt-LT"/>
        </w:rPr>
      </w:pPr>
      <w:r w:rsidRPr="00A80972">
        <w:rPr>
          <w:lang w:val="lt-LT"/>
        </w:rPr>
        <w:t>4.5</w:t>
      </w:r>
      <w:r w:rsidR="000155AF" w:rsidRPr="00A80972">
        <w:rPr>
          <w:lang w:val="lt-LT"/>
        </w:rPr>
        <w:t xml:space="preserve">. </w:t>
      </w:r>
      <w:proofErr w:type="spellStart"/>
      <w:r w:rsidR="00D235CF" w:rsidRPr="00A80972">
        <w:t>Avansinio</w:t>
      </w:r>
      <w:proofErr w:type="spellEnd"/>
      <w:r w:rsidR="00D235CF" w:rsidRPr="00A80972">
        <w:t xml:space="preserve"> </w:t>
      </w:r>
      <w:proofErr w:type="spellStart"/>
      <w:r w:rsidR="00D235CF" w:rsidRPr="00A80972">
        <w:t>apmokėjimo</w:t>
      </w:r>
      <w:proofErr w:type="spellEnd"/>
      <w:r w:rsidR="00D235CF" w:rsidRPr="00A80972">
        <w:rPr>
          <w:szCs w:val="20"/>
        </w:rPr>
        <w:t xml:space="preserve"> </w:t>
      </w:r>
      <w:r w:rsidR="00D235CF" w:rsidRPr="00A80972">
        <w:rPr>
          <w:lang w:val="lt-LT"/>
        </w:rPr>
        <w:t>banko garantijoje ar laidavimo rašte n</w:t>
      </w:r>
      <w:r w:rsidR="000155AF" w:rsidRPr="00A80972">
        <w:rPr>
          <w:lang w:val="lt-LT"/>
        </w:rPr>
        <w:t xml:space="preserve">egali būti nurodyta, kad garantas ar laiduotojas atsako tik už tiesioginių nuostolių atlyginimą. Negali būti įrašytos nuostatos ar sąlygos, kurios įpareigotų </w:t>
      </w:r>
      <w:r w:rsidR="000155AF" w:rsidRPr="00A80972">
        <w:rPr>
          <w:b/>
          <w:lang w:val="lt-LT"/>
        </w:rPr>
        <w:t>Pirkėją</w:t>
      </w:r>
      <w:r w:rsidR="000155AF" w:rsidRPr="00A80972">
        <w:rPr>
          <w:lang w:val="lt-LT"/>
        </w:rPr>
        <w:t xml:space="preserve"> įrodyti garantiją ar laidavimo raštą išdavusiai įmonei, kad su </w:t>
      </w:r>
      <w:r w:rsidRPr="00A80972">
        <w:rPr>
          <w:b/>
          <w:lang w:val="lt-LT"/>
        </w:rPr>
        <w:t xml:space="preserve">Pardavėju </w:t>
      </w:r>
      <w:r w:rsidR="000155AF" w:rsidRPr="00A80972">
        <w:rPr>
          <w:lang w:val="lt-LT"/>
        </w:rPr>
        <w:t xml:space="preserve">Sutartis nutraukta teisėtai arba kitaip leistų garantiją ar laidavimo raštą išdavusiai įmonei nemokėti (arba vilkinti mokėjimą) garantija ar laidavimu užtikrinamos (laiduojamos) sumos. </w:t>
      </w:r>
    </w:p>
    <w:p w:rsidR="000155AF" w:rsidRPr="00A80972" w:rsidRDefault="00574A76" w:rsidP="000155AF">
      <w:pPr>
        <w:jc w:val="both"/>
        <w:rPr>
          <w:szCs w:val="20"/>
        </w:rPr>
      </w:pPr>
      <w:r w:rsidRPr="00A80972">
        <w:rPr>
          <w:szCs w:val="20"/>
        </w:rPr>
        <w:t>4.6</w:t>
      </w:r>
      <w:r w:rsidR="000155AF" w:rsidRPr="00A80972">
        <w:rPr>
          <w:szCs w:val="20"/>
        </w:rPr>
        <w:t xml:space="preserve">. </w:t>
      </w:r>
      <w:r w:rsidR="000155AF" w:rsidRPr="00A80972">
        <w:t>Avansinio apmokėjimo</w:t>
      </w:r>
      <w:r w:rsidR="000155AF" w:rsidRPr="00A80972">
        <w:rPr>
          <w:szCs w:val="20"/>
        </w:rPr>
        <w:t xml:space="preserve"> banko garantija arba draudimo bendrovės laidavimo raštas, neatitinkantys Sutarties </w:t>
      </w:r>
      <w:r w:rsidR="00AD7A6F" w:rsidRPr="00A80972">
        <w:rPr>
          <w:szCs w:val="20"/>
        </w:rPr>
        <w:t>B</w:t>
      </w:r>
      <w:r w:rsidR="00BC230A" w:rsidRPr="00A80972">
        <w:rPr>
          <w:szCs w:val="20"/>
        </w:rPr>
        <w:t xml:space="preserve">endrosios dalies </w:t>
      </w:r>
      <w:r w:rsidR="000155AF" w:rsidRPr="00A80972">
        <w:rPr>
          <w:szCs w:val="20"/>
        </w:rPr>
        <w:t>4.</w:t>
      </w:r>
      <w:r w:rsidR="00BC230A" w:rsidRPr="00A80972">
        <w:rPr>
          <w:szCs w:val="20"/>
        </w:rPr>
        <w:t>3-4.5</w:t>
      </w:r>
      <w:r w:rsidR="000155AF" w:rsidRPr="00A80972">
        <w:rPr>
          <w:szCs w:val="20"/>
        </w:rPr>
        <w:t xml:space="preserve"> punktuose nustatytų reikalavimų, nebus priimami. Tokiu atveju bus laikoma, kad </w:t>
      </w:r>
      <w:r w:rsidR="00541C7D" w:rsidRPr="00A80972">
        <w:rPr>
          <w:b/>
          <w:szCs w:val="20"/>
        </w:rPr>
        <w:t>Pardavėjas</w:t>
      </w:r>
      <w:r w:rsidR="000155AF" w:rsidRPr="00A80972">
        <w:rPr>
          <w:szCs w:val="20"/>
        </w:rPr>
        <w:t xml:space="preserve"> </w:t>
      </w:r>
      <w:r w:rsidR="000155AF" w:rsidRPr="00A80972">
        <w:t>avansinio apmokėjimo</w:t>
      </w:r>
      <w:r w:rsidR="000155AF" w:rsidRPr="00A80972">
        <w:rPr>
          <w:szCs w:val="20"/>
        </w:rPr>
        <w:t xml:space="preserve"> banko garantijos arba draudimo bendrovės laidavimo rašto </w:t>
      </w:r>
      <w:r w:rsidR="00541C7D" w:rsidRPr="00A80972">
        <w:rPr>
          <w:b/>
          <w:szCs w:val="20"/>
        </w:rPr>
        <w:t>Pirkėjui</w:t>
      </w:r>
      <w:r w:rsidR="00541C7D" w:rsidRPr="00A80972">
        <w:rPr>
          <w:szCs w:val="20"/>
        </w:rPr>
        <w:t xml:space="preserve"> </w:t>
      </w:r>
      <w:r w:rsidR="000155AF" w:rsidRPr="00A80972">
        <w:rPr>
          <w:szCs w:val="20"/>
        </w:rPr>
        <w:t xml:space="preserve">nepateikė ir bus </w:t>
      </w:r>
      <w:r w:rsidR="00896F39" w:rsidRPr="00A80972">
        <w:rPr>
          <w:szCs w:val="20"/>
        </w:rPr>
        <w:t xml:space="preserve">atsiskaitoma pagal </w:t>
      </w:r>
      <w:r w:rsidR="000155AF" w:rsidRPr="00A80972">
        <w:rPr>
          <w:szCs w:val="20"/>
        </w:rPr>
        <w:t>Sutarties</w:t>
      </w:r>
      <w:r w:rsidR="00AD7A6F" w:rsidRPr="00A80972">
        <w:rPr>
          <w:szCs w:val="20"/>
        </w:rPr>
        <w:t xml:space="preserve"> B</w:t>
      </w:r>
      <w:r w:rsidR="00896F39" w:rsidRPr="00A80972">
        <w:rPr>
          <w:szCs w:val="20"/>
        </w:rPr>
        <w:t>endrosios dalies</w:t>
      </w:r>
      <w:r w:rsidR="000155AF" w:rsidRPr="00A80972">
        <w:rPr>
          <w:szCs w:val="20"/>
        </w:rPr>
        <w:t xml:space="preserve"> 4.1 punkt</w:t>
      </w:r>
      <w:r w:rsidR="00896F39" w:rsidRPr="00A80972">
        <w:rPr>
          <w:szCs w:val="20"/>
        </w:rPr>
        <w:t>ą</w:t>
      </w:r>
      <w:r w:rsidR="000155AF" w:rsidRPr="00A80972">
        <w:rPr>
          <w:szCs w:val="20"/>
        </w:rPr>
        <w:t>.</w:t>
      </w:r>
    </w:p>
    <w:p w:rsidR="000155AF" w:rsidRPr="00A80972" w:rsidRDefault="000155AF" w:rsidP="000155AF">
      <w:pPr>
        <w:jc w:val="both"/>
      </w:pPr>
      <w:r w:rsidRPr="00A80972">
        <w:t>4.</w:t>
      </w:r>
      <w:r w:rsidR="006976FE" w:rsidRPr="00A80972">
        <w:t>7</w:t>
      </w:r>
      <w:r w:rsidRPr="00A80972">
        <w:t xml:space="preserve">. </w:t>
      </w:r>
      <w:r w:rsidRPr="00A80972">
        <w:rPr>
          <w:b/>
        </w:rPr>
        <w:t>Pirkėjas</w:t>
      </w:r>
      <w:r w:rsidRPr="00A80972">
        <w:t xml:space="preserve"> avansą sumoka per 10 (dešimt) dienų nuo avansinio apmokėjimo banko garantijos ar draudimo bendrovės laidavimo rašto ir avansinio mokėjimo sąskaitos gavimo dienos.</w:t>
      </w:r>
    </w:p>
    <w:p w:rsidR="00C33D3A" w:rsidRPr="00A80972" w:rsidRDefault="00C33D3A" w:rsidP="00C33D3A">
      <w:pPr>
        <w:jc w:val="both"/>
      </w:pPr>
      <w:r w:rsidRPr="00A80972">
        <w:t xml:space="preserve">4.8. Šalys turi teisę sudaryti papildomus susitarimus dėl avansinio apmokėjimo banko garantijoje arba draudimo bendrovės laidavimo rašte numatytos sumos sumažinimo </w:t>
      </w:r>
      <w:r w:rsidRPr="00A80972">
        <w:rPr>
          <w:b/>
        </w:rPr>
        <w:t>Pardavėjui</w:t>
      </w:r>
      <w:r w:rsidRPr="00A80972">
        <w:t xml:space="preserve"> tinkamai įvykdžius dalį įsipareigojimų.</w:t>
      </w:r>
    </w:p>
    <w:p w:rsidR="000155AF" w:rsidRPr="00A80972" w:rsidRDefault="000155AF" w:rsidP="00AA2BD4">
      <w:pPr>
        <w:jc w:val="both"/>
      </w:pPr>
    </w:p>
    <w:p w:rsidR="00EB04AE" w:rsidRPr="00A80972" w:rsidRDefault="00EB04AE" w:rsidP="00EB04AE">
      <w:pPr>
        <w:jc w:val="both"/>
        <w:rPr>
          <w:b/>
        </w:rPr>
      </w:pPr>
      <w:r w:rsidRPr="00A80972">
        <w:rPr>
          <w:b/>
        </w:rPr>
        <w:t>5. Prekių kokybė</w:t>
      </w:r>
    </w:p>
    <w:p w:rsidR="00EB04AE" w:rsidRPr="00A80972" w:rsidRDefault="00EB04AE" w:rsidP="003327A1">
      <w:pPr>
        <w:jc w:val="both"/>
      </w:pPr>
      <w:r w:rsidRPr="00A80972">
        <w:t xml:space="preserve">5.1. Prekės turi atitikti Sutartyje ir jos </w:t>
      </w:r>
      <w:r w:rsidR="00116D84" w:rsidRPr="00A80972">
        <w:t>priede (-</w:t>
      </w:r>
      <w:proofErr w:type="spellStart"/>
      <w:r w:rsidR="00116D84" w:rsidRPr="00A80972">
        <w:t>uose</w:t>
      </w:r>
      <w:proofErr w:type="spellEnd"/>
      <w:r w:rsidR="00116D84" w:rsidRPr="00A80972">
        <w:t xml:space="preserve">) </w:t>
      </w:r>
      <w:r w:rsidRPr="00A80972">
        <w:t>nurodytus reikalavimus.</w:t>
      </w:r>
      <w:r w:rsidR="00D657D5" w:rsidRPr="00A80972">
        <w:t xml:space="preserve"> </w:t>
      </w:r>
    </w:p>
    <w:p w:rsidR="0029437E" w:rsidRPr="00A80972" w:rsidRDefault="0029437E" w:rsidP="003327A1">
      <w:pPr>
        <w:jc w:val="both"/>
      </w:pPr>
      <w:r w:rsidRPr="00A80972">
        <w:t xml:space="preserve">5.2. </w:t>
      </w:r>
      <w:r w:rsidR="003C3415" w:rsidRPr="00A80972">
        <w:rPr>
          <w:b/>
        </w:rPr>
        <w:t>Pardavėjas</w:t>
      </w:r>
      <w:r w:rsidR="003C3415" w:rsidRPr="00A80972">
        <w:t xml:space="preserve"> sutinka, kad, vadovaujantis LKS STANAG 4107 reikalavimais, Valstybinio kokybės užtikrinimo atstovas Lietuvoje gali kreiptis į atitinkamą NATO valstybės ar organizacijos Valstybinio kokybės užtikrinimo padalinį </w:t>
      </w:r>
      <w:r w:rsidR="003C3415" w:rsidRPr="00A80972">
        <w:rPr>
          <w:b/>
        </w:rPr>
        <w:t>Pardavėjo</w:t>
      </w:r>
      <w:r w:rsidR="003C3415" w:rsidRPr="00A80972">
        <w:t xml:space="preserve"> valstybėje, kad būtų vykdoma Valstybinio kokybės užtikrinimo priežiūra sutarties vykdymo laikotarpiu </w:t>
      </w:r>
      <w:r w:rsidR="000D35FE" w:rsidRPr="00A80972">
        <w:t>(</w:t>
      </w:r>
      <w:r w:rsidR="000D35FE" w:rsidRPr="00A80972">
        <w:rPr>
          <w:i/>
        </w:rPr>
        <w:t xml:space="preserve">jei </w:t>
      </w:r>
      <w:r w:rsidR="00AD7A6F" w:rsidRPr="00A80972">
        <w:rPr>
          <w:i/>
        </w:rPr>
        <w:t xml:space="preserve">Sutarties Specialiojoje dalyje </w:t>
      </w:r>
      <w:r w:rsidR="000D35FE" w:rsidRPr="00A80972">
        <w:rPr>
          <w:i/>
        </w:rPr>
        <w:t>nurodyta, kad ši sąlyga taikoma)</w:t>
      </w:r>
      <w:r w:rsidR="003C3415" w:rsidRPr="00A80972">
        <w:rPr>
          <w:i/>
        </w:rPr>
        <w:t>.</w:t>
      </w:r>
      <w:r w:rsidR="003C3415" w:rsidRPr="00A80972">
        <w:t xml:space="preserve"> Jeigu </w:t>
      </w:r>
      <w:r w:rsidR="003C3415" w:rsidRPr="00A80972">
        <w:rPr>
          <w:b/>
        </w:rPr>
        <w:t>Pardavėjas</w:t>
      </w:r>
      <w:r w:rsidR="003C3415" w:rsidRPr="00A80972">
        <w:t xml:space="preserve"> nėra gamintojas, šis reikalavimas įtraukiamas į </w:t>
      </w:r>
      <w:r w:rsidR="003C3415" w:rsidRPr="00A80972">
        <w:rPr>
          <w:b/>
        </w:rPr>
        <w:t>Pardavėjo</w:t>
      </w:r>
      <w:r w:rsidR="003C3415" w:rsidRPr="00A80972">
        <w:t xml:space="preserve"> sutartį su </w:t>
      </w:r>
      <w:r w:rsidR="007511AF" w:rsidRPr="00A80972">
        <w:t>jam prekes pagaminusiu tiekėju</w:t>
      </w:r>
      <w:r w:rsidR="003C3415" w:rsidRPr="00A80972">
        <w:t xml:space="preserve">, apie tai informuojant </w:t>
      </w:r>
      <w:r w:rsidR="003C3415" w:rsidRPr="00A80972">
        <w:rPr>
          <w:b/>
        </w:rPr>
        <w:t>Pirkėją</w:t>
      </w:r>
      <w:r w:rsidR="00D91754" w:rsidRPr="00A80972">
        <w:rPr>
          <w:b/>
        </w:rPr>
        <w:t xml:space="preserve"> </w:t>
      </w:r>
      <w:r w:rsidR="004D16EE" w:rsidRPr="00A80972">
        <w:t>ir pateikiant atitinkamus dokumentus</w:t>
      </w:r>
      <w:r w:rsidR="003C3415" w:rsidRPr="00A80972">
        <w:t xml:space="preserve"> </w:t>
      </w:r>
      <w:r w:rsidR="000D35FE" w:rsidRPr="00A80972">
        <w:t>(</w:t>
      </w:r>
      <w:r w:rsidR="000D35FE" w:rsidRPr="00A80972">
        <w:rPr>
          <w:i/>
        </w:rPr>
        <w:t xml:space="preserve">jei </w:t>
      </w:r>
      <w:r w:rsidR="00AD7A6F" w:rsidRPr="00A80972">
        <w:rPr>
          <w:i/>
        </w:rPr>
        <w:t>Sutarties Specialiojoje</w:t>
      </w:r>
      <w:r w:rsidR="000D35FE" w:rsidRPr="00A80972">
        <w:rPr>
          <w:i/>
        </w:rPr>
        <w:t xml:space="preserve"> dalyje nurodyta, kad ši sąlyga taikoma).</w:t>
      </w:r>
    </w:p>
    <w:p w:rsidR="00EB04AE" w:rsidRPr="00A80972" w:rsidRDefault="00C41C5A" w:rsidP="00EB04AE">
      <w:pPr>
        <w:jc w:val="both"/>
      </w:pPr>
      <w:r w:rsidRPr="00A80972">
        <w:lastRenderedPageBreak/>
        <w:t>5.3</w:t>
      </w:r>
      <w:r w:rsidR="00EB04AE" w:rsidRPr="00A80972">
        <w:t xml:space="preserve">. Prekių priėmimo metu </w:t>
      </w:r>
      <w:r w:rsidR="008111C5" w:rsidRPr="00A80972">
        <w:t xml:space="preserve">nustačius </w:t>
      </w:r>
      <w:r w:rsidR="00EB04AE" w:rsidRPr="00A80972">
        <w:t xml:space="preserve">jų neatitikimą Sutartyje ir jos </w:t>
      </w:r>
      <w:r w:rsidR="00116D84" w:rsidRPr="00A80972">
        <w:t>priede (-</w:t>
      </w:r>
      <w:proofErr w:type="spellStart"/>
      <w:r w:rsidR="00116D84" w:rsidRPr="00A80972">
        <w:t>uose</w:t>
      </w:r>
      <w:proofErr w:type="spellEnd"/>
      <w:r w:rsidR="00116D84" w:rsidRPr="00A80972">
        <w:t xml:space="preserve">) </w:t>
      </w:r>
      <w:r w:rsidR="00EB04AE" w:rsidRPr="00A80972">
        <w:t xml:space="preserve">nustatytiems reikalavimams, </w:t>
      </w:r>
      <w:r w:rsidR="008111C5" w:rsidRPr="00A80972">
        <w:t xml:space="preserve">nedelsiant </w:t>
      </w:r>
      <w:r w:rsidR="00EB04AE" w:rsidRPr="00A80972">
        <w:t xml:space="preserve">kviečiami </w:t>
      </w:r>
      <w:r w:rsidR="00EB04AE" w:rsidRPr="00A80972">
        <w:rPr>
          <w:b/>
        </w:rPr>
        <w:t>Pardavėjo</w:t>
      </w:r>
      <w:r w:rsidR="00EB04AE" w:rsidRPr="00A80972">
        <w:t xml:space="preserve"> atstovai, kuriems dalyvaujant surašomas aktas, prekės nepriimamos, o </w:t>
      </w:r>
      <w:r w:rsidR="00EB04AE" w:rsidRPr="00A80972">
        <w:rPr>
          <w:b/>
        </w:rPr>
        <w:t xml:space="preserve">Pardavėjui </w:t>
      </w:r>
      <w:r w:rsidR="00EB04AE" w:rsidRPr="00A80972">
        <w:t>taikoma sutartinė atsakomybė</w:t>
      </w:r>
      <w:r w:rsidR="00D804D5" w:rsidRPr="00A80972">
        <w:t>,</w:t>
      </w:r>
      <w:r w:rsidR="00EB04AE" w:rsidRPr="00A80972">
        <w:t xml:space="preserve"> jeigu prekių pristatymo terminas jau pasibaigęs.</w:t>
      </w:r>
    </w:p>
    <w:p w:rsidR="00EB04AE" w:rsidRPr="00A80972" w:rsidRDefault="00C41C5A" w:rsidP="00EB04AE">
      <w:pPr>
        <w:jc w:val="both"/>
      </w:pPr>
      <w:r w:rsidRPr="00A80972">
        <w:t>5.4</w:t>
      </w:r>
      <w:r w:rsidR="00EB04AE" w:rsidRPr="00A80972">
        <w:t xml:space="preserve">. Tuo atveju, kai konfliktas dėl prekių kokybės </w:t>
      </w:r>
      <w:r w:rsidR="007D2FDE" w:rsidRPr="00A80972">
        <w:t>ir jų atitikimo Sutartyje ir jos priede (-</w:t>
      </w:r>
      <w:proofErr w:type="spellStart"/>
      <w:r w:rsidR="007D2FDE" w:rsidRPr="00A80972">
        <w:t>uose</w:t>
      </w:r>
      <w:proofErr w:type="spellEnd"/>
      <w:r w:rsidR="007D2FDE" w:rsidRPr="00A80972">
        <w:t xml:space="preserve">) nustatytiems reikalavimams </w:t>
      </w:r>
      <w:r w:rsidR="00EB04AE" w:rsidRPr="00A80972">
        <w:t xml:space="preserve">negali būti išspręstas Sutarties Šalių susitarimu, Šalys </w:t>
      </w:r>
      <w:r w:rsidR="00440292" w:rsidRPr="00A80972">
        <w:t xml:space="preserve">turi </w:t>
      </w:r>
      <w:r w:rsidR="00EB04AE" w:rsidRPr="00A80972">
        <w:t>teisę kviesti nepriklausomus ekspertus. Visas su ekspert</w:t>
      </w:r>
      <w:r w:rsidR="005B21E6" w:rsidRPr="00A80972">
        <w:t>ų</w:t>
      </w:r>
      <w:r w:rsidR="00EB04AE" w:rsidRPr="00A80972">
        <w:t xml:space="preserve"> darbu susijusias išlaidas padengia Šalis, kurios nenaudai priimtas ekspertų sprendimas.</w:t>
      </w:r>
    </w:p>
    <w:p w:rsidR="00EB04AE" w:rsidRPr="00A80972" w:rsidRDefault="00C41C5A" w:rsidP="00EB04AE">
      <w:pPr>
        <w:jc w:val="both"/>
      </w:pPr>
      <w:r w:rsidRPr="00A80972">
        <w:t>5.5</w:t>
      </w:r>
      <w:r w:rsidR="00EB04AE" w:rsidRPr="00A80972">
        <w:t xml:space="preserve">. </w:t>
      </w:r>
      <w:r w:rsidR="00EB04AE" w:rsidRPr="00A80972">
        <w:rPr>
          <w:b/>
        </w:rPr>
        <w:t>Pirkėjui</w:t>
      </w:r>
      <w:r w:rsidR="005851C7" w:rsidRPr="00A80972">
        <w:t>, vadovaujantis Sutarties B</w:t>
      </w:r>
      <w:r w:rsidR="00EB04AE" w:rsidRPr="00A80972">
        <w:t xml:space="preserve">endrosios dalies 4.2 punktu, nusprendus prekėms atlikti laboratorinius bandymus, iš pasirinktos prekių siuntos, dalyvaujant </w:t>
      </w:r>
      <w:r w:rsidR="00EB04AE" w:rsidRPr="00A80972">
        <w:rPr>
          <w:b/>
        </w:rPr>
        <w:t>Pardavėjo</w:t>
      </w:r>
      <w:r w:rsidR="00E8189E" w:rsidRPr="00A80972">
        <w:t xml:space="preserve"> atstovui, pasirenkama</w:t>
      </w:r>
      <w:r w:rsidR="00EB04AE" w:rsidRPr="00A80972">
        <w:t xml:space="preserve">s </w:t>
      </w:r>
      <w:r w:rsidR="005851C7" w:rsidRPr="00A80972">
        <w:t>Sutarties S</w:t>
      </w:r>
      <w:r w:rsidR="00D804D5" w:rsidRPr="00A80972">
        <w:t>pecialioje dalyje nurodytas prekių kiekis</w:t>
      </w:r>
      <w:r w:rsidR="00EB04AE" w:rsidRPr="00A80972">
        <w:t>, kurių atitikim</w:t>
      </w:r>
      <w:r w:rsidR="00D804D5" w:rsidRPr="00A80972">
        <w:t>as reikalavimams, nustatytiems S</w:t>
      </w:r>
      <w:r w:rsidR="00EB04AE" w:rsidRPr="00A80972">
        <w:t xml:space="preserve">utartyje ir </w:t>
      </w:r>
      <w:r w:rsidR="00D25818" w:rsidRPr="00A80972">
        <w:t xml:space="preserve">jos </w:t>
      </w:r>
      <w:r w:rsidR="00116D84" w:rsidRPr="00A80972">
        <w:t>priede (-</w:t>
      </w:r>
      <w:proofErr w:type="spellStart"/>
      <w:r w:rsidR="00116D84" w:rsidRPr="00A80972">
        <w:t>uose</w:t>
      </w:r>
      <w:proofErr w:type="spellEnd"/>
      <w:r w:rsidR="00116D84" w:rsidRPr="00A80972">
        <w:t>)</w:t>
      </w:r>
      <w:r w:rsidR="00D25818" w:rsidRPr="00A80972">
        <w:t>,</w:t>
      </w:r>
      <w:r w:rsidR="00116D84" w:rsidRPr="00A80972">
        <w:t xml:space="preserve"> </w:t>
      </w:r>
      <w:r w:rsidR="00EB04AE" w:rsidRPr="00A80972">
        <w:t xml:space="preserve">bus tikrinamas </w:t>
      </w:r>
      <w:r w:rsidR="007E1537" w:rsidRPr="00A80972">
        <w:rPr>
          <w:i/>
        </w:rPr>
        <w:t xml:space="preserve">(jei </w:t>
      </w:r>
      <w:r w:rsidR="005851C7" w:rsidRPr="00A80972">
        <w:rPr>
          <w:i/>
        </w:rPr>
        <w:t>Sutarties Specialiojoje</w:t>
      </w:r>
      <w:r w:rsidR="007E1537" w:rsidRPr="00A80972">
        <w:rPr>
          <w:i/>
        </w:rPr>
        <w:t xml:space="preserve"> dalyje nurodyta, kad ši sąlyga taikoma)</w:t>
      </w:r>
      <w:r w:rsidR="007E1537" w:rsidRPr="00A80972">
        <w:t>.</w:t>
      </w:r>
    </w:p>
    <w:p w:rsidR="00EB04AE" w:rsidRPr="00A80972" w:rsidRDefault="00C41C5A" w:rsidP="00EB04AE">
      <w:pPr>
        <w:jc w:val="both"/>
      </w:pPr>
      <w:r w:rsidRPr="00A80972">
        <w:t>5.6</w:t>
      </w:r>
      <w:r w:rsidR="00EB04AE" w:rsidRPr="00A80972">
        <w:t>. Jeigu laboratorinių bandymų metu patikrinus prekių atitikimą reikalavi</w:t>
      </w:r>
      <w:r w:rsidR="00125F4B" w:rsidRPr="00A80972">
        <w:t xml:space="preserve">mams, nustatytiems </w:t>
      </w:r>
      <w:r w:rsidR="00D25818" w:rsidRPr="00A80972">
        <w:t xml:space="preserve">Sutartyje </w:t>
      </w:r>
      <w:r w:rsidR="00125F4B" w:rsidRPr="00A80972">
        <w:t>ir</w:t>
      </w:r>
      <w:r w:rsidR="00EB04AE" w:rsidRPr="00A80972">
        <w:t xml:space="preserve"> </w:t>
      </w:r>
      <w:r w:rsidR="00116D84" w:rsidRPr="00A80972">
        <w:t>priede (-</w:t>
      </w:r>
      <w:proofErr w:type="spellStart"/>
      <w:r w:rsidR="00116D84" w:rsidRPr="00A80972">
        <w:t>uose</w:t>
      </w:r>
      <w:proofErr w:type="spellEnd"/>
      <w:r w:rsidR="00116D84" w:rsidRPr="00A80972">
        <w:t>)</w:t>
      </w:r>
      <w:r w:rsidR="00EB04AE" w:rsidRPr="00A80972">
        <w:t xml:space="preserve">, nustatoma, kad prekės jų neatitinka, </w:t>
      </w:r>
      <w:r w:rsidR="000F0E92" w:rsidRPr="00A80972">
        <w:t>jos nepriimamos</w:t>
      </w:r>
      <w:r w:rsidR="00EB04AE" w:rsidRPr="00A80972">
        <w:t xml:space="preserve">, likusios prekės </w:t>
      </w:r>
      <w:r w:rsidR="008111C5" w:rsidRPr="00A80972">
        <w:t xml:space="preserve">(partija ir/ar siunta) </w:t>
      </w:r>
      <w:r w:rsidR="00EB04AE" w:rsidRPr="00A80972">
        <w:t>grąžinam</w:t>
      </w:r>
      <w:r w:rsidR="000F0E92" w:rsidRPr="00A80972">
        <w:t>o</w:t>
      </w:r>
      <w:r w:rsidR="008111C5" w:rsidRPr="00A80972">
        <w:t>s</w:t>
      </w:r>
      <w:r w:rsidR="00EB04AE" w:rsidRPr="00A80972">
        <w:t xml:space="preserve"> </w:t>
      </w:r>
      <w:r w:rsidR="00EB04AE" w:rsidRPr="00A80972">
        <w:rPr>
          <w:b/>
        </w:rPr>
        <w:t>Pardavėju</w:t>
      </w:r>
      <w:r w:rsidR="008111C5" w:rsidRPr="00A80972">
        <w:rPr>
          <w:b/>
        </w:rPr>
        <w:t>i</w:t>
      </w:r>
      <w:r w:rsidR="008111C5" w:rsidRPr="00A80972">
        <w:t>. U</w:t>
      </w:r>
      <w:r w:rsidR="00EB04AE" w:rsidRPr="00A80972">
        <w:t xml:space="preserve">ž prekes neapmokama bei laikoma, kad prekės nebuvo pristatytos, o </w:t>
      </w:r>
      <w:r w:rsidR="00EB04AE" w:rsidRPr="00A80972">
        <w:rPr>
          <w:b/>
        </w:rPr>
        <w:t xml:space="preserve">Pardavėjui </w:t>
      </w:r>
      <w:r w:rsidR="00EB04AE" w:rsidRPr="00A80972">
        <w:t xml:space="preserve">taikomos </w:t>
      </w:r>
      <w:r w:rsidR="00D25818" w:rsidRPr="00A80972">
        <w:t xml:space="preserve">Sutarties </w:t>
      </w:r>
      <w:r w:rsidR="005851C7" w:rsidRPr="00A80972">
        <w:t>B</w:t>
      </w:r>
      <w:r w:rsidR="00EB04AE" w:rsidRPr="00A80972">
        <w:t xml:space="preserve">endrosios dalies 11.1 punkte numatytos sankcijos. Nustačius prekių neatitikimą </w:t>
      </w:r>
      <w:r w:rsidR="00BE211E" w:rsidRPr="00A80972">
        <w:t xml:space="preserve">Sutartyje </w:t>
      </w:r>
      <w:r w:rsidR="00EB04AE" w:rsidRPr="00A80972">
        <w:t xml:space="preserve">ir </w:t>
      </w:r>
      <w:r w:rsidR="00D25818" w:rsidRPr="00A80972">
        <w:t xml:space="preserve">jos </w:t>
      </w:r>
      <w:r w:rsidR="00116D84" w:rsidRPr="00A80972">
        <w:t>priede (-</w:t>
      </w:r>
      <w:proofErr w:type="spellStart"/>
      <w:r w:rsidR="00116D84" w:rsidRPr="00A80972">
        <w:t>uose</w:t>
      </w:r>
      <w:proofErr w:type="spellEnd"/>
      <w:r w:rsidR="00116D84" w:rsidRPr="00A80972">
        <w:t xml:space="preserve">) </w:t>
      </w:r>
      <w:r w:rsidR="00EB04AE" w:rsidRPr="00A80972">
        <w:t xml:space="preserve">nustatytiems reikalavimams, </w:t>
      </w:r>
      <w:r w:rsidR="00EB04AE" w:rsidRPr="00A80972">
        <w:rPr>
          <w:b/>
        </w:rPr>
        <w:t>Pirkėjas</w:t>
      </w:r>
      <w:r w:rsidR="00EB04AE" w:rsidRPr="00A80972">
        <w:t xml:space="preserve"> už bandymams panaudotas prekes neapmoka, o </w:t>
      </w:r>
      <w:r w:rsidR="00EB04AE" w:rsidRPr="00A80972">
        <w:rPr>
          <w:b/>
        </w:rPr>
        <w:t>Pardavėjas</w:t>
      </w:r>
      <w:r w:rsidR="00EB04AE" w:rsidRPr="00A80972">
        <w:t xml:space="preserve"> turi apmokėti laboratorinių bandymų išlaidas bei sumokėti </w:t>
      </w:r>
      <w:r w:rsidR="00EB04AE" w:rsidRPr="00A80972">
        <w:rPr>
          <w:b/>
        </w:rPr>
        <w:t>Pirkėju</w:t>
      </w:r>
      <w:r w:rsidR="00EB04AE" w:rsidRPr="00A80972">
        <w:t xml:space="preserve">i 10% dydžio nuo išbrokuotos partijos </w:t>
      </w:r>
      <w:r w:rsidR="00254816" w:rsidRPr="00A80972">
        <w:t>kainos</w:t>
      </w:r>
      <w:r w:rsidR="00EB04AE" w:rsidRPr="00A80972">
        <w:t xml:space="preserve"> </w:t>
      </w:r>
      <w:r w:rsidR="00E24E38" w:rsidRPr="00A80972">
        <w:t xml:space="preserve">be PVM </w:t>
      </w:r>
      <w:r w:rsidR="00EB04AE" w:rsidRPr="00A80972">
        <w:t>Šalių iš anksto sutartus minimalius nuostolius, kurie skirti atlyginti</w:t>
      </w:r>
      <w:r w:rsidR="00EB04AE" w:rsidRPr="00A80972">
        <w:rPr>
          <w:b/>
        </w:rPr>
        <w:t xml:space="preserve"> Pirkėjo</w:t>
      </w:r>
      <w:r w:rsidR="00EB04AE" w:rsidRPr="00A80972">
        <w:t xml:space="preserve"> patirtas administracines išlaidas, organizuojant prekių laboratorinių bandymų procedūras. Tokiu atveju </w:t>
      </w:r>
      <w:r w:rsidR="00EB04AE" w:rsidRPr="00A80972">
        <w:rPr>
          <w:b/>
        </w:rPr>
        <w:t>Pardavėjas</w:t>
      </w:r>
      <w:r w:rsidR="008111C5" w:rsidRPr="00A80972">
        <w:t xml:space="preserve"> privalo</w:t>
      </w:r>
      <w:r w:rsidR="00EB04AE" w:rsidRPr="00A80972">
        <w:t xml:space="preserve"> vietoj </w:t>
      </w:r>
      <w:r w:rsidR="00155988" w:rsidRPr="00A80972">
        <w:t>nepriimtų</w:t>
      </w:r>
      <w:r w:rsidR="00746F04" w:rsidRPr="00A80972">
        <w:t xml:space="preserve"> </w:t>
      </w:r>
      <w:r w:rsidR="00EB04AE" w:rsidRPr="00A80972">
        <w:t xml:space="preserve">prekių, neatitinkančių </w:t>
      </w:r>
      <w:r w:rsidR="00D25818" w:rsidRPr="00A80972">
        <w:t xml:space="preserve">Sutartyje </w:t>
      </w:r>
      <w:r w:rsidR="00EB04AE" w:rsidRPr="00A80972">
        <w:t xml:space="preserve">ir </w:t>
      </w:r>
      <w:r w:rsidR="00D25818" w:rsidRPr="00A80972">
        <w:t xml:space="preserve">jos </w:t>
      </w:r>
      <w:r w:rsidR="00116D84" w:rsidRPr="00A80972">
        <w:t>priede (-</w:t>
      </w:r>
      <w:proofErr w:type="spellStart"/>
      <w:r w:rsidR="00116D84" w:rsidRPr="00A80972">
        <w:t>uose</w:t>
      </w:r>
      <w:proofErr w:type="spellEnd"/>
      <w:r w:rsidR="00116D84" w:rsidRPr="00A80972">
        <w:t xml:space="preserve">) </w:t>
      </w:r>
      <w:r w:rsidR="00EB04AE" w:rsidRPr="00A80972">
        <w:t>nustatytiems reikalavimams,</w:t>
      </w:r>
      <w:r w:rsidR="00CE0252" w:rsidRPr="00A80972">
        <w:t xml:space="preserve"> </w:t>
      </w:r>
      <w:r w:rsidR="00EB04AE" w:rsidRPr="00A80972">
        <w:t xml:space="preserve">pristatyti naujas, </w:t>
      </w:r>
      <w:r w:rsidR="00BE211E" w:rsidRPr="00A80972">
        <w:t xml:space="preserve">Sutarties </w:t>
      </w:r>
      <w:r w:rsidR="00EB04AE" w:rsidRPr="00A80972">
        <w:t xml:space="preserve">ir </w:t>
      </w:r>
      <w:r w:rsidR="00D25818" w:rsidRPr="00A80972">
        <w:t xml:space="preserve">jos </w:t>
      </w:r>
      <w:r w:rsidR="00116D84" w:rsidRPr="00A80972">
        <w:t>priede (-</w:t>
      </w:r>
      <w:proofErr w:type="spellStart"/>
      <w:r w:rsidR="00116D84" w:rsidRPr="00A80972">
        <w:t>uose</w:t>
      </w:r>
      <w:proofErr w:type="spellEnd"/>
      <w:r w:rsidR="00116D84" w:rsidRPr="00A80972">
        <w:t xml:space="preserve">) </w:t>
      </w:r>
      <w:r w:rsidR="00EB04AE" w:rsidRPr="00A80972">
        <w:t>nustatytus reikalavimus atitinkančias prekes. Prekių keitimas vykdomas Sutarties specialiojoje dalyje nustatyt</w:t>
      </w:r>
      <w:r w:rsidR="0083398E" w:rsidRPr="00A80972">
        <w:t xml:space="preserve">u terminu </w:t>
      </w:r>
      <w:r w:rsidR="00CE76DB" w:rsidRPr="00A80972">
        <w:rPr>
          <w:i/>
        </w:rPr>
        <w:t xml:space="preserve">(jei </w:t>
      </w:r>
      <w:r w:rsidR="005851C7" w:rsidRPr="00A80972">
        <w:rPr>
          <w:i/>
        </w:rPr>
        <w:t>Sutarties Specialiojoje</w:t>
      </w:r>
      <w:r w:rsidR="00CE76DB" w:rsidRPr="00A80972">
        <w:rPr>
          <w:i/>
        </w:rPr>
        <w:t xml:space="preserve"> dalyje nurodyta, kad ši sąlyga taikoma)</w:t>
      </w:r>
      <w:r w:rsidR="00CE76DB" w:rsidRPr="00A80972">
        <w:t>.</w:t>
      </w:r>
    </w:p>
    <w:p w:rsidR="00EB04AE" w:rsidRPr="00A80972" w:rsidRDefault="00C41C5A" w:rsidP="00EB04AE">
      <w:pPr>
        <w:jc w:val="both"/>
      </w:pPr>
      <w:r w:rsidRPr="00A80972">
        <w:t>5.7</w:t>
      </w:r>
      <w:r w:rsidR="00EB04AE" w:rsidRPr="00A80972">
        <w:t xml:space="preserve">. Jeigu laboratorinių bandymų metu patikrinus prekių atitikimą reikalavimams, nustatytiems </w:t>
      </w:r>
      <w:r w:rsidR="00624167" w:rsidRPr="00A80972">
        <w:t xml:space="preserve">Sutartyje </w:t>
      </w:r>
      <w:r w:rsidR="00EB04AE" w:rsidRPr="00A80972">
        <w:t xml:space="preserve">ir </w:t>
      </w:r>
      <w:r w:rsidR="00116D84" w:rsidRPr="00A80972">
        <w:t>jos priede (-</w:t>
      </w:r>
      <w:proofErr w:type="spellStart"/>
      <w:r w:rsidR="00116D84" w:rsidRPr="00A80972">
        <w:t>uose</w:t>
      </w:r>
      <w:proofErr w:type="spellEnd"/>
      <w:r w:rsidR="00116D84" w:rsidRPr="00A80972">
        <w:t>)</w:t>
      </w:r>
      <w:r w:rsidR="00EB04AE" w:rsidRPr="00A80972">
        <w:t xml:space="preserve">, nustatoma, kad prekės juos atitinka, </w:t>
      </w:r>
      <w:r w:rsidR="00EB04AE" w:rsidRPr="00A80972">
        <w:rPr>
          <w:b/>
        </w:rPr>
        <w:t>Pirkėjas</w:t>
      </w:r>
      <w:r w:rsidR="00EB04AE" w:rsidRPr="00A80972">
        <w:t xml:space="preserve"> apmoka laboratorinių bandymų išlaidas, o </w:t>
      </w:r>
      <w:r w:rsidR="00EB04AE" w:rsidRPr="00A80972">
        <w:rPr>
          <w:b/>
        </w:rPr>
        <w:t>Pardavėjas</w:t>
      </w:r>
      <w:r w:rsidR="00EB04AE" w:rsidRPr="00A80972">
        <w:t xml:space="preserve"> turi laboratoriniams bandymams panaudotas prekes pakeisti </w:t>
      </w:r>
      <w:r w:rsidR="00EB04AE" w:rsidRPr="00A80972">
        <w:rPr>
          <w:b/>
        </w:rPr>
        <w:t>Pirkėjui</w:t>
      </w:r>
      <w:r w:rsidR="00EB04AE" w:rsidRPr="00A80972">
        <w:t xml:space="preserve"> naujomis prekėmis be papildomo apmokėjimo</w:t>
      </w:r>
      <w:r w:rsidR="00AC3965" w:rsidRPr="00A80972">
        <w:t>.</w:t>
      </w:r>
    </w:p>
    <w:p w:rsidR="00EB04AE" w:rsidRPr="00A80972" w:rsidRDefault="00EB04AE" w:rsidP="00EB04AE">
      <w:pPr>
        <w:jc w:val="both"/>
        <w:rPr>
          <w:b/>
        </w:rPr>
      </w:pPr>
    </w:p>
    <w:p w:rsidR="00EB04AE" w:rsidRPr="00A80972" w:rsidRDefault="00A57CA3" w:rsidP="00EB04AE">
      <w:pPr>
        <w:jc w:val="both"/>
        <w:rPr>
          <w:b/>
        </w:rPr>
      </w:pPr>
      <w:r w:rsidRPr="00A80972">
        <w:rPr>
          <w:b/>
        </w:rPr>
        <w:t xml:space="preserve">6. </w:t>
      </w:r>
      <w:r w:rsidR="008111C5" w:rsidRPr="00A80972">
        <w:rPr>
          <w:b/>
        </w:rPr>
        <w:t xml:space="preserve">Prekės </w:t>
      </w:r>
      <w:r w:rsidR="00693E67" w:rsidRPr="00A80972">
        <w:rPr>
          <w:b/>
        </w:rPr>
        <w:t>k</w:t>
      </w:r>
      <w:r w:rsidR="00B055D4" w:rsidRPr="00A80972">
        <w:rPr>
          <w:b/>
        </w:rPr>
        <w:t>okybės garantija</w:t>
      </w:r>
    </w:p>
    <w:p w:rsidR="00EB04AE" w:rsidRPr="00A80972" w:rsidRDefault="00EB04AE" w:rsidP="00EB04AE">
      <w:pPr>
        <w:jc w:val="both"/>
      </w:pPr>
      <w:r w:rsidRPr="00A80972">
        <w:t>6.1. Prekėms suteikiamas Sutarties specialiojoje dalyje (arba Sutarties priede) nurodytas kokybės garantijos/tinkamumo naudoti terminas.</w:t>
      </w:r>
    </w:p>
    <w:p w:rsidR="00382394" w:rsidRPr="00A80972" w:rsidRDefault="00EB04AE" w:rsidP="00EB04AE">
      <w:pPr>
        <w:jc w:val="both"/>
      </w:pPr>
      <w:r w:rsidRPr="00A80972">
        <w:t>6.2.</w:t>
      </w:r>
      <w:r w:rsidR="00AB4E34" w:rsidRPr="00A80972">
        <w:t xml:space="preserve"> </w:t>
      </w:r>
      <w:r w:rsidR="00382394" w:rsidRPr="00A80972">
        <w:t xml:space="preserve">Kokybės garantijos/tinkamumo naudoti termino metu </w:t>
      </w:r>
      <w:r w:rsidR="00382394" w:rsidRPr="00A80972">
        <w:rPr>
          <w:b/>
        </w:rPr>
        <w:t>Pardavėjas</w:t>
      </w:r>
      <w:r w:rsidR="00382394" w:rsidRPr="00A80972">
        <w:t xml:space="preserve"> prival</w:t>
      </w:r>
      <w:r w:rsidR="00D742A5" w:rsidRPr="00A80972">
        <w:t>o ne vėliau kaip per Sutarties S</w:t>
      </w:r>
      <w:r w:rsidR="00382394" w:rsidRPr="00A80972">
        <w:t>pecialiojoje dalyje nustatytą terminą savo sąskaita vietoj prekės su trūkumais pateikti kitą</w:t>
      </w:r>
      <w:r w:rsidR="00CB6A45" w:rsidRPr="00A80972">
        <w:t xml:space="preserve"> </w:t>
      </w:r>
      <w:r w:rsidR="00847622" w:rsidRPr="00A80972">
        <w:t xml:space="preserve">lygiavertę </w:t>
      </w:r>
      <w:r w:rsidR="00CB6A45" w:rsidRPr="00A80972">
        <w:t xml:space="preserve">prekę (prekė neprivalo būti identiška perkamai prekei, tačiau turi galėti vykdyti funkcijas, kurių vykdymui skirta pagal </w:t>
      </w:r>
      <w:r w:rsidR="00204065" w:rsidRPr="00A80972">
        <w:t xml:space="preserve">Sutartį </w:t>
      </w:r>
      <w:r w:rsidR="00CB6A45" w:rsidRPr="00A80972">
        <w:t>perkama prekė)</w:t>
      </w:r>
      <w:r w:rsidR="00382394" w:rsidRPr="00A80972">
        <w:t>, kuria būtų galima naudotis prekės įsigytos pagal šią Sutartį trūkumų šalinimo laikotarpiu, atitinkančia šioje Sutartyje ir jos priede (-</w:t>
      </w:r>
      <w:proofErr w:type="spellStart"/>
      <w:r w:rsidR="00382394" w:rsidRPr="00A80972">
        <w:t>uose</w:t>
      </w:r>
      <w:proofErr w:type="spellEnd"/>
      <w:r w:rsidR="00382394" w:rsidRPr="00A80972">
        <w:t xml:space="preserve">) nustatytus reikalavimus </w:t>
      </w:r>
      <w:r w:rsidR="00D742A5" w:rsidRPr="00A80972">
        <w:rPr>
          <w:i/>
        </w:rPr>
        <w:t>(jei Sutarties Specialiojoje</w:t>
      </w:r>
      <w:r w:rsidR="00382394" w:rsidRPr="00A80972">
        <w:rPr>
          <w:i/>
        </w:rPr>
        <w:t xml:space="preserve"> dalyje nurodyta, kad ši sąlyga taikoma)</w:t>
      </w:r>
      <w:r w:rsidR="00382394" w:rsidRPr="00A80972">
        <w:t>.</w:t>
      </w:r>
    </w:p>
    <w:p w:rsidR="001D1EEA" w:rsidRPr="00A80972" w:rsidRDefault="00AB4E34" w:rsidP="00EB04AE">
      <w:pPr>
        <w:jc w:val="both"/>
      </w:pPr>
      <w:r w:rsidRPr="00A80972">
        <w:t>6.3.</w:t>
      </w:r>
      <w:r w:rsidR="00C51B07" w:rsidRPr="00A80972">
        <w:rPr>
          <w:b/>
        </w:rPr>
        <w:t xml:space="preserve"> </w:t>
      </w:r>
      <w:r w:rsidR="00AF2974" w:rsidRPr="00A80972">
        <w:t>K</w:t>
      </w:r>
      <w:r w:rsidR="00B055D4" w:rsidRPr="00A80972">
        <w:t>okybės garantijos</w:t>
      </w:r>
      <w:r w:rsidR="00EB04AE" w:rsidRPr="00A80972">
        <w:t xml:space="preserve"> </w:t>
      </w:r>
      <w:r w:rsidR="003C3415" w:rsidRPr="00A80972">
        <w:t xml:space="preserve">termino </w:t>
      </w:r>
      <w:r w:rsidR="00EB04AE" w:rsidRPr="00A80972">
        <w:t xml:space="preserve">metu </w:t>
      </w:r>
      <w:r w:rsidR="00EB04AE" w:rsidRPr="00A80972">
        <w:rPr>
          <w:b/>
        </w:rPr>
        <w:t>Pardavėjas</w:t>
      </w:r>
      <w:r w:rsidR="00EB04AE" w:rsidRPr="00A80972">
        <w:t xml:space="preserve"> prival</w:t>
      </w:r>
      <w:r w:rsidR="00D742A5" w:rsidRPr="00A80972">
        <w:t>o ne vėliau kaip per Sutarties S</w:t>
      </w:r>
      <w:r w:rsidR="00EB04AE" w:rsidRPr="00A80972">
        <w:t>pecialiojoje dalyje nustatytą</w:t>
      </w:r>
      <w:r w:rsidR="009A005D" w:rsidRPr="00A80972">
        <w:t xml:space="preserve"> </w:t>
      </w:r>
      <w:r w:rsidR="00EB04AE" w:rsidRPr="00A80972">
        <w:t>terminą savo sąskaita pašalinti prekių trūkumus</w:t>
      </w:r>
      <w:r w:rsidRPr="00A80972">
        <w:t xml:space="preserve"> arba, nepavykus jų pašalinti, prekę su trūkumais savo sąskaita pakeisti nauja, atitinkančia šioje Sutartyje ir jos </w:t>
      </w:r>
      <w:r w:rsidR="00116D84" w:rsidRPr="00A80972">
        <w:t>priede (-</w:t>
      </w:r>
      <w:proofErr w:type="spellStart"/>
      <w:r w:rsidR="00116D84" w:rsidRPr="00A80972">
        <w:t>uose</w:t>
      </w:r>
      <w:proofErr w:type="spellEnd"/>
      <w:r w:rsidR="00116D84" w:rsidRPr="00A80972">
        <w:t xml:space="preserve">) </w:t>
      </w:r>
      <w:r w:rsidRPr="00A80972">
        <w:t>nustatytus reikalavimus</w:t>
      </w:r>
      <w:r w:rsidR="009B46A4" w:rsidRPr="00A80972">
        <w:t xml:space="preserve"> bei kompensuoti </w:t>
      </w:r>
      <w:r w:rsidR="009B46A4" w:rsidRPr="00A80972">
        <w:rPr>
          <w:b/>
        </w:rPr>
        <w:t>Pirkėjo</w:t>
      </w:r>
      <w:r w:rsidR="009B46A4" w:rsidRPr="00A80972">
        <w:t xml:space="preserve"> patirtus nuostolius (jeigu tokie buvo)</w:t>
      </w:r>
      <w:r w:rsidR="001A1F7A" w:rsidRPr="00A80972">
        <w:t>/</w:t>
      </w:r>
      <w:r w:rsidR="00E54B7F" w:rsidRPr="00A80972">
        <w:t xml:space="preserve">Tinkamumo naudoti </w:t>
      </w:r>
      <w:r w:rsidR="006F008D" w:rsidRPr="00A80972">
        <w:t xml:space="preserve">termino </w:t>
      </w:r>
      <w:r w:rsidR="00E54B7F" w:rsidRPr="00A80972">
        <w:t xml:space="preserve">metu </w:t>
      </w:r>
      <w:r w:rsidR="00E54B7F" w:rsidRPr="00A80972">
        <w:rPr>
          <w:b/>
        </w:rPr>
        <w:t xml:space="preserve">Pardavėjas </w:t>
      </w:r>
      <w:r w:rsidR="00E54B7F" w:rsidRPr="00A80972">
        <w:t>prival</w:t>
      </w:r>
      <w:r w:rsidR="00E94A38" w:rsidRPr="00A80972">
        <w:t>o ne vėliau kaip per Sutarties S</w:t>
      </w:r>
      <w:r w:rsidR="00E54B7F" w:rsidRPr="00A80972">
        <w:t xml:space="preserve">pecialiojoje dalyje nustatytą </w:t>
      </w:r>
      <w:r w:rsidR="006F008D" w:rsidRPr="00A80972">
        <w:t xml:space="preserve">terminą </w:t>
      </w:r>
      <w:r w:rsidR="00E54B7F" w:rsidRPr="00A80972">
        <w:t>savo sąs</w:t>
      </w:r>
      <w:r w:rsidR="005639C2" w:rsidRPr="00A80972">
        <w:t xml:space="preserve">kaita </w:t>
      </w:r>
      <w:r w:rsidR="00E54B7F" w:rsidRPr="00A80972">
        <w:t xml:space="preserve">pakeisti prekes atitinkančiomis šioje Sutartyje ir jos </w:t>
      </w:r>
      <w:r w:rsidR="00BB53D3" w:rsidRPr="00A80972">
        <w:t>priede (-</w:t>
      </w:r>
      <w:proofErr w:type="spellStart"/>
      <w:r w:rsidR="00BB53D3" w:rsidRPr="00A80972">
        <w:t>uose</w:t>
      </w:r>
      <w:proofErr w:type="spellEnd"/>
      <w:r w:rsidR="00BB53D3" w:rsidRPr="00A80972">
        <w:t xml:space="preserve">) </w:t>
      </w:r>
      <w:r w:rsidR="0033089A" w:rsidRPr="00A80972">
        <w:t>nustatytiems reikalavimams</w:t>
      </w:r>
      <w:r w:rsidR="009B46A4" w:rsidRPr="00A80972">
        <w:t xml:space="preserve"> bei kompensuoti </w:t>
      </w:r>
      <w:r w:rsidR="009B46A4" w:rsidRPr="00A80972">
        <w:rPr>
          <w:b/>
        </w:rPr>
        <w:t>Pirkėjo</w:t>
      </w:r>
      <w:r w:rsidR="009B46A4" w:rsidRPr="00A80972">
        <w:t xml:space="preserve"> patirtus nuostolius (jeigu tokie buvo)</w:t>
      </w:r>
      <w:r w:rsidR="001D1EEA" w:rsidRPr="00A80972">
        <w:t>.</w:t>
      </w:r>
      <w:r w:rsidRPr="00A80972">
        <w:t xml:space="preserve"> </w:t>
      </w:r>
    </w:p>
    <w:p w:rsidR="00EB04AE" w:rsidRPr="00A80972" w:rsidRDefault="00AB4E34" w:rsidP="00EB04AE">
      <w:pPr>
        <w:jc w:val="both"/>
      </w:pPr>
      <w:r w:rsidRPr="00A80972">
        <w:t>6.4</w:t>
      </w:r>
      <w:r w:rsidR="00E54B7F" w:rsidRPr="00A80972">
        <w:t xml:space="preserve">. Apie garantinio/tinkamumo naudoti </w:t>
      </w:r>
      <w:r w:rsidR="006F008D" w:rsidRPr="00A80972">
        <w:t>termino</w:t>
      </w:r>
      <w:r w:rsidR="00EB04AE" w:rsidRPr="00A80972">
        <w:t xml:space="preserve"> metu pastebėtus prekių trūkumus </w:t>
      </w:r>
      <w:r w:rsidR="00EB04AE" w:rsidRPr="00A80972">
        <w:rPr>
          <w:b/>
        </w:rPr>
        <w:t>Pardavėjas</w:t>
      </w:r>
      <w:r w:rsidR="00EB04AE" w:rsidRPr="00A80972">
        <w:t xml:space="preserve"> informuojamas raštu (</w:t>
      </w:r>
      <w:r w:rsidR="003C1053" w:rsidRPr="00A80972">
        <w:t>paštu, el. paštu ir kt.</w:t>
      </w:r>
      <w:r w:rsidR="00EB04AE" w:rsidRPr="00A80972">
        <w:t xml:space="preserve">). Pareikšti pretenziją dėl </w:t>
      </w:r>
      <w:r w:rsidR="0033089A" w:rsidRPr="00A80972">
        <w:t xml:space="preserve">prekės </w:t>
      </w:r>
      <w:r w:rsidR="00EB04AE" w:rsidRPr="00A80972">
        <w:t>kokybės galima viso garantinio</w:t>
      </w:r>
      <w:r w:rsidR="00D136E9" w:rsidRPr="00A80972">
        <w:t>/tinkamumo naudoti</w:t>
      </w:r>
      <w:r w:rsidR="00EB04AE" w:rsidRPr="00A80972">
        <w:t xml:space="preserve"> </w:t>
      </w:r>
      <w:r w:rsidR="006F008D" w:rsidRPr="00A80972">
        <w:t>termino</w:t>
      </w:r>
      <w:r w:rsidR="00EB04AE" w:rsidRPr="00A80972">
        <w:t xml:space="preserve"> galiojimo metu.</w:t>
      </w:r>
    </w:p>
    <w:p w:rsidR="004A0CAE" w:rsidRPr="00A80972" w:rsidRDefault="004A0CAE" w:rsidP="00EB04AE">
      <w:pPr>
        <w:jc w:val="both"/>
        <w:rPr>
          <w:lang w:eastAsia="en-US"/>
        </w:rPr>
      </w:pPr>
      <w:r w:rsidRPr="00A80972">
        <w:t xml:space="preserve">6.5. </w:t>
      </w:r>
      <w:r w:rsidRPr="00A80972">
        <w:rPr>
          <w:b/>
          <w:lang w:eastAsia="en-US"/>
        </w:rPr>
        <w:t>Pirkėjas</w:t>
      </w:r>
      <w:r w:rsidRPr="00A80972">
        <w:rPr>
          <w:lang w:eastAsia="en-US"/>
        </w:rPr>
        <w:t xml:space="preserve"> prekių kokybės garantijos termino metu gali </w:t>
      </w:r>
      <w:r w:rsidR="00280A96" w:rsidRPr="00A80972">
        <w:rPr>
          <w:lang w:eastAsia="en-US"/>
        </w:rPr>
        <w:t xml:space="preserve">nuspręsti </w:t>
      </w:r>
      <w:r w:rsidR="007C497A" w:rsidRPr="00A80972">
        <w:t>atlikti laboratorinius bandymus iš pasirinktos prekių siuntos</w:t>
      </w:r>
      <w:r w:rsidR="007C497A" w:rsidRPr="00A80972">
        <w:rPr>
          <w:lang w:eastAsia="en-US"/>
        </w:rPr>
        <w:t xml:space="preserve"> arba kiekvienos partijos (jeigu siuntą sudaro kelios partijos)</w:t>
      </w:r>
      <w:r w:rsidR="007C497A" w:rsidRPr="00A80972">
        <w:t xml:space="preserve">, dalyvaujant </w:t>
      </w:r>
      <w:r w:rsidR="007C497A" w:rsidRPr="00A80972">
        <w:rPr>
          <w:b/>
        </w:rPr>
        <w:t>Pardavėjo</w:t>
      </w:r>
      <w:r w:rsidR="007C497A" w:rsidRPr="00A80972">
        <w:t xml:space="preserve"> atstovui, pasirenka</w:t>
      </w:r>
      <w:r w:rsidR="00280A96" w:rsidRPr="00A80972">
        <w:t>nt</w:t>
      </w:r>
      <w:r w:rsidR="007C497A" w:rsidRPr="00A80972">
        <w:t xml:space="preserve"> Sutarties specialioje dalyje nurodyt</w:t>
      </w:r>
      <w:r w:rsidR="00280A96" w:rsidRPr="00A80972">
        <w:t>ą</w:t>
      </w:r>
      <w:r w:rsidR="007C497A" w:rsidRPr="00A80972">
        <w:t xml:space="preserve"> </w:t>
      </w:r>
      <w:r w:rsidR="00280A96" w:rsidRPr="00A80972">
        <w:t>prekių kiekį</w:t>
      </w:r>
      <w:r w:rsidR="007C497A" w:rsidRPr="00A80972">
        <w:t xml:space="preserve">, kurių atitikimas </w:t>
      </w:r>
      <w:r w:rsidR="007C497A" w:rsidRPr="00A80972">
        <w:lastRenderedPageBreak/>
        <w:t>reikalavimams, nustatytiems Sutartyje i</w:t>
      </w:r>
      <w:r w:rsidR="003F46EA" w:rsidRPr="00A80972">
        <w:t>r priede (-</w:t>
      </w:r>
      <w:proofErr w:type="spellStart"/>
      <w:r w:rsidR="003F46EA" w:rsidRPr="00A80972">
        <w:t>uose</w:t>
      </w:r>
      <w:proofErr w:type="spellEnd"/>
      <w:r w:rsidR="003F46EA" w:rsidRPr="00A80972">
        <w:t>) bus tikrinamas.</w:t>
      </w:r>
      <w:r w:rsidRPr="00A80972">
        <w:rPr>
          <w:lang w:eastAsia="en-US"/>
        </w:rPr>
        <w:t xml:space="preserve"> Tuo atveju, kai gauti laboratorinių bandymų rezultatai neatitinka Sutarties </w:t>
      </w:r>
      <w:r w:rsidR="0067544C" w:rsidRPr="00A80972">
        <w:rPr>
          <w:lang w:eastAsia="en-US"/>
        </w:rPr>
        <w:t xml:space="preserve">ir jos </w:t>
      </w:r>
      <w:r w:rsidRPr="00A80972">
        <w:rPr>
          <w:lang w:eastAsia="en-US"/>
        </w:rPr>
        <w:t>priede (-</w:t>
      </w:r>
      <w:proofErr w:type="spellStart"/>
      <w:r w:rsidRPr="00A80972">
        <w:rPr>
          <w:lang w:eastAsia="en-US"/>
        </w:rPr>
        <w:t>uose</w:t>
      </w:r>
      <w:proofErr w:type="spellEnd"/>
      <w:r w:rsidRPr="00A80972">
        <w:rPr>
          <w:lang w:eastAsia="en-US"/>
        </w:rPr>
        <w:t xml:space="preserve">) prekėms nustatytų reikalavimų, brokuojama visa pristatyta prekių </w:t>
      </w:r>
      <w:r w:rsidR="00B71CCD" w:rsidRPr="00A80972">
        <w:rPr>
          <w:lang w:eastAsia="en-US"/>
        </w:rPr>
        <w:t>siunta/</w:t>
      </w:r>
      <w:r w:rsidRPr="00A80972">
        <w:rPr>
          <w:lang w:eastAsia="en-US"/>
        </w:rPr>
        <w:t>partija</w:t>
      </w:r>
      <w:r w:rsidR="00B71CCD" w:rsidRPr="00A80972">
        <w:rPr>
          <w:lang w:eastAsia="en-US"/>
        </w:rPr>
        <w:t xml:space="preserve"> </w:t>
      </w:r>
      <w:r w:rsidRPr="00A80972">
        <w:rPr>
          <w:lang w:eastAsia="en-US"/>
        </w:rPr>
        <w:t xml:space="preserve">ir laboratorinių bandymų išlaidas, apmoka </w:t>
      </w:r>
      <w:r w:rsidRPr="00A80972">
        <w:rPr>
          <w:b/>
          <w:lang w:eastAsia="en-US"/>
        </w:rPr>
        <w:t>Pardavėjas</w:t>
      </w:r>
      <w:r w:rsidRPr="00A80972">
        <w:rPr>
          <w:lang w:eastAsia="en-US"/>
        </w:rPr>
        <w:t xml:space="preserve">. </w:t>
      </w:r>
      <w:r w:rsidR="00C33D3A" w:rsidRPr="00A80972">
        <w:rPr>
          <w:color w:val="000000"/>
          <w:lang w:eastAsia="en-US"/>
        </w:rPr>
        <w:t xml:space="preserve">Nustatytų reikalavimų </w:t>
      </w:r>
      <w:proofErr w:type="spellStart"/>
      <w:r w:rsidR="00C33D3A" w:rsidRPr="00A80972">
        <w:rPr>
          <w:color w:val="000000"/>
          <w:lang w:eastAsia="en-US"/>
        </w:rPr>
        <w:t>neatitinkančų</w:t>
      </w:r>
      <w:proofErr w:type="spellEnd"/>
      <w:r w:rsidRPr="00A80972">
        <w:rPr>
          <w:lang w:eastAsia="en-US"/>
        </w:rPr>
        <w:t xml:space="preserve"> prekių pakeitimas kokybiškomis vykdomas pagal Sutarties bendrosios dalies 6.3 punkto nuostatas </w:t>
      </w:r>
      <w:r w:rsidRPr="00A80972">
        <w:rPr>
          <w:i/>
        </w:rPr>
        <w:t xml:space="preserve">(jei </w:t>
      </w:r>
      <w:r w:rsidR="00D742A5" w:rsidRPr="00A80972">
        <w:rPr>
          <w:i/>
        </w:rPr>
        <w:t>Sutarties Sp</w:t>
      </w:r>
      <w:r w:rsidRPr="00A80972">
        <w:rPr>
          <w:i/>
        </w:rPr>
        <w:t>ec</w:t>
      </w:r>
      <w:r w:rsidR="00D742A5" w:rsidRPr="00A80972">
        <w:rPr>
          <w:i/>
        </w:rPr>
        <w:t>ialiojoje</w:t>
      </w:r>
      <w:r w:rsidRPr="00A80972">
        <w:rPr>
          <w:i/>
        </w:rPr>
        <w:t xml:space="preserve"> dalyje nurodyta, kad ši sąlyga taikoma)</w:t>
      </w:r>
      <w:r w:rsidRPr="00A80972">
        <w:t>.</w:t>
      </w:r>
    </w:p>
    <w:p w:rsidR="00EB04AE" w:rsidRPr="00A80972" w:rsidRDefault="00AB4E34" w:rsidP="00EB04AE">
      <w:pPr>
        <w:jc w:val="both"/>
      </w:pPr>
      <w:r w:rsidRPr="00A80972">
        <w:t>6.</w:t>
      </w:r>
      <w:r w:rsidR="0031461D" w:rsidRPr="00A80972">
        <w:t>6</w:t>
      </w:r>
      <w:r w:rsidR="00EB04AE" w:rsidRPr="00A80972">
        <w:t xml:space="preserve">. Jeigu prekė pakeičiama nauja, jai suteikiamas </w:t>
      </w:r>
      <w:r w:rsidR="00152921" w:rsidRPr="00A80972">
        <w:t xml:space="preserve">toks pats </w:t>
      </w:r>
      <w:r w:rsidR="00D742A5" w:rsidRPr="00A80972">
        <w:t>Sutarties S</w:t>
      </w:r>
      <w:r w:rsidR="00EB04AE" w:rsidRPr="00A80972">
        <w:t xml:space="preserve">pecialiojoje dalyje nurodytas garantinis </w:t>
      </w:r>
      <w:r w:rsidR="006F008D" w:rsidRPr="00A80972">
        <w:t>terminas</w:t>
      </w:r>
      <w:r w:rsidR="00EB04AE" w:rsidRPr="00A80972">
        <w:t xml:space="preserve">, kuris skaičiuojamas </w:t>
      </w:r>
      <w:r w:rsidR="00E64051" w:rsidRPr="00A80972">
        <w:t>nuo dokumento, patvirtinančio naujų prekių perdavimą-priėmimą,</w:t>
      </w:r>
      <w:r w:rsidR="00EB04AE" w:rsidRPr="00A80972">
        <w:t xml:space="preserve"> pasirašymo dienos</w:t>
      </w:r>
      <w:r w:rsidR="006E16CC" w:rsidRPr="00A80972">
        <w:t>.</w:t>
      </w:r>
      <w:r w:rsidR="00C332AB" w:rsidRPr="00A80972">
        <w:t xml:space="preserve"> </w:t>
      </w:r>
    </w:p>
    <w:p w:rsidR="00EB04AE" w:rsidRPr="00A80972" w:rsidRDefault="00AB4E34" w:rsidP="00EB04AE">
      <w:pPr>
        <w:jc w:val="both"/>
      </w:pPr>
      <w:r w:rsidRPr="00A80972">
        <w:t>6.</w:t>
      </w:r>
      <w:r w:rsidR="0031461D" w:rsidRPr="00A80972">
        <w:t>7</w:t>
      </w:r>
      <w:r w:rsidR="00EB04AE" w:rsidRPr="00A80972">
        <w:t xml:space="preserve">. Prekių, kuriomis </w:t>
      </w:r>
      <w:r w:rsidR="00EB04AE" w:rsidRPr="00A80972">
        <w:rPr>
          <w:b/>
        </w:rPr>
        <w:t>Pirkėjas</w:t>
      </w:r>
      <w:r w:rsidR="00EB04AE" w:rsidRPr="00A80972">
        <w:t xml:space="preserve"> negalėjo naudotis trūkumų šalinimo metu, </w:t>
      </w:r>
      <w:r w:rsidR="002D7249" w:rsidRPr="00A80972">
        <w:t>kokybės garantijos</w:t>
      </w:r>
      <w:r w:rsidR="00EB04AE" w:rsidRPr="00A80972">
        <w:t xml:space="preserve"> terminas pratęsiamas laikotarpiu, kuris yra lygus prekė</w:t>
      </w:r>
      <w:r w:rsidR="006E16CC" w:rsidRPr="00A80972">
        <w:t>s trūkumų šalinimo laikotarpiui.</w:t>
      </w:r>
    </w:p>
    <w:p w:rsidR="00C332AB" w:rsidRPr="00A80972" w:rsidRDefault="00AB4E34" w:rsidP="00EB04AE">
      <w:pPr>
        <w:jc w:val="both"/>
      </w:pPr>
      <w:r w:rsidRPr="00A80972">
        <w:t>6.</w:t>
      </w:r>
      <w:r w:rsidR="0031461D" w:rsidRPr="00A80972">
        <w:t>8</w:t>
      </w:r>
      <w:r w:rsidR="00D742A5" w:rsidRPr="00A80972">
        <w:t>. Sutarties S</w:t>
      </w:r>
      <w:r w:rsidR="00C332AB" w:rsidRPr="00A80972">
        <w:t xml:space="preserve">pecialiojoje dalyje (arba Sutarties priede) nurodyta kokybės garantija netaikoma, jeigu </w:t>
      </w:r>
      <w:r w:rsidR="00C332AB" w:rsidRPr="00A80972">
        <w:rPr>
          <w:b/>
        </w:rPr>
        <w:t>Pardavėjas</w:t>
      </w:r>
      <w:r w:rsidR="00C332AB" w:rsidRPr="00A80972">
        <w:t xml:space="preserve"> įrodys, kad prekių trūkumai atsirado dėl neteisingo ar netinkamo </w:t>
      </w:r>
      <w:r w:rsidR="00C332AB" w:rsidRPr="00A80972">
        <w:rPr>
          <w:b/>
        </w:rPr>
        <w:t>Pirkėjo</w:t>
      </w:r>
      <w:r w:rsidR="00C332AB" w:rsidRPr="00A80972">
        <w:t xml:space="preserve"> elgesio su prekėmis arba trečiųjų asmenų veiklos, arba nenugalimos jėgos.</w:t>
      </w:r>
    </w:p>
    <w:p w:rsidR="001A1F7A" w:rsidRPr="00A80972" w:rsidRDefault="001A1F7A" w:rsidP="00EB04AE">
      <w:pPr>
        <w:jc w:val="both"/>
      </w:pPr>
    </w:p>
    <w:p w:rsidR="00EB04AE" w:rsidRPr="00A80972" w:rsidRDefault="00EB04AE" w:rsidP="00EB04AE">
      <w:pPr>
        <w:jc w:val="both"/>
        <w:rPr>
          <w:b/>
        </w:rPr>
      </w:pPr>
      <w:r w:rsidRPr="00A80972">
        <w:rPr>
          <w:b/>
        </w:rPr>
        <w:t xml:space="preserve">7. Nenugalimos jėgos </w:t>
      </w:r>
      <w:r w:rsidRPr="00A80972">
        <w:rPr>
          <w:b/>
          <w:i/>
        </w:rPr>
        <w:t>(force majeure)</w:t>
      </w:r>
      <w:r w:rsidRPr="00A80972">
        <w:rPr>
          <w:b/>
        </w:rPr>
        <w:t xml:space="preserve"> aplinkybės</w:t>
      </w:r>
    </w:p>
    <w:p w:rsidR="008F29B4" w:rsidRPr="00A80972" w:rsidRDefault="008F29B4" w:rsidP="008F29B4">
      <w:pPr>
        <w:jc w:val="both"/>
      </w:pPr>
      <w:r w:rsidRPr="00A8097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80972">
        <w:rPr>
          <w:i/>
          <w:iCs/>
        </w:rPr>
        <w:t>(force majeure)</w:t>
      </w:r>
      <w:r w:rsidRPr="00A80972">
        <w:t xml:space="preserve"> aplinkybėms taisyklėse, patvirtintose Lietuvos Respublikos Vyriausybės </w:t>
      </w:r>
      <w:smartTag w:uri="urn:schemas-microsoft-com:office:smarttags" w:element="metricconverter">
        <w:smartTagPr>
          <w:attr w:name="ProductID" w:val="1996ﾠm"/>
        </w:smartTagPr>
        <w:r w:rsidRPr="00A80972">
          <w:t>1996 m</w:t>
        </w:r>
      </w:smartTag>
      <w:r w:rsidRPr="00A80972">
        <w:t xml:space="preserve">. liepos 15 d. nutarimu Nr. 840. Nustatydamos nenugalimos jėgos aplinkybes Šalys vadovaujasi Lietuvos Respublikos Vyriausybės 1997 kovo 13 d. nutarimu Nr. 222 „Dėl nenugalimos jėgos </w:t>
      </w:r>
      <w:r w:rsidRPr="00A80972">
        <w:rPr>
          <w:i/>
          <w:iCs/>
        </w:rPr>
        <w:t>(force majeure)</w:t>
      </w:r>
      <w:r w:rsidRPr="00A8097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A80972" w:rsidRDefault="008F29B4" w:rsidP="008F29B4">
      <w:pPr>
        <w:jc w:val="both"/>
      </w:pPr>
      <w:r w:rsidRPr="00A8097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80972">
        <w:t>įrodymus</w:t>
      </w:r>
      <w:proofErr w:type="spellEnd"/>
      <w:r w:rsidRPr="00A80972">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A80972">
        <w:t>.</w:t>
      </w:r>
    </w:p>
    <w:p w:rsidR="008F29B4" w:rsidRPr="00A80972" w:rsidRDefault="008F29B4" w:rsidP="00EB04AE">
      <w:pPr>
        <w:jc w:val="both"/>
      </w:pPr>
    </w:p>
    <w:p w:rsidR="00EB04AE" w:rsidRPr="00A80972" w:rsidRDefault="00EB04AE" w:rsidP="00EB04AE">
      <w:pPr>
        <w:pStyle w:val="BodyTextIndent2"/>
        <w:ind w:left="0" w:firstLine="0"/>
        <w:jc w:val="both"/>
        <w:rPr>
          <w:b/>
          <w:i w:val="0"/>
          <w:color w:val="auto"/>
          <w:sz w:val="24"/>
          <w:szCs w:val="24"/>
          <w:lang w:val="lt-LT"/>
        </w:rPr>
      </w:pPr>
      <w:r w:rsidRPr="00A80972">
        <w:rPr>
          <w:b/>
          <w:i w:val="0"/>
          <w:color w:val="auto"/>
          <w:sz w:val="24"/>
          <w:szCs w:val="24"/>
          <w:lang w:val="lt-LT"/>
        </w:rPr>
        <w:t xml:space="preserve">8. Kodifikavimas </w:t>
      </w:r>
    </w:p>
    <w:p w:rsidR="00EB04AE" w:rsidRPr="00A80972" w:rsidRDefault="00EB04AE" w:rsidP="009D6A2D">
      <w:pPr>
        <w:jc w:val="both"/>
      </w:pPr>
      <w:r w:rsidRPr="00A80972">
        <w:t xml:space="preserve">8.1. </w:t>
      </w:r>
      <w:r w:rsidR="009D6A2D" w:rsidRPr="00A80972">
        <w:t xml:space="preserve">Per 5 (penkias) dienas po Sutarties įsigaliojimo </w:t>
      </w:r>
      <w:r w:rsidR="009D6A2D" w:rsidRPr="00A80972">
        <w:rPr>
          <w:b/>
          <w:bCs/>
        </w:rPr>
        <w:t>Pardavėjas</w:t>
      </w:r>
      <w:r w:rsidR="009D6A2D" w:rsidRPr="00A80972">
        <w:t xml:space="preserve"> privalo pateikti </w:t>
      </w:r>
      <w:r w:rsidR="00117375" w:rsidRPr="00A80972">
        <w:rPr>
          <w:b/>
        </w:rPr>
        <w:t xml:space="preserve">Pirkėjui </w:t>
      </w:r>
      <w:r w:rsidR="00117375" w:rsidRPr="00A80972">
        <w:t xml:space="preserve">jo nurodytu adresu </w:t>
      </w:r>
      <w:r w:rsidR="007442D5" w:rsidRPr="00A80972">
        <w:t>pasirašytos S</w:t>
      </w:r>
      <w:r w:rsidR="009D6A2D" w:rsidRPr="00A80972">
        <w:t xml:space="preserve">utarties kopiją ir </w:t>
      </w:r>
      <w:r w:rsidR="00211E52" w:rsidRPr="00A80972">
        <w:t xml:space="preserve">perkamoms </w:t>
      </w:r>
      <w:r w:rsidR="009D6A2D" w:rsidRPr="00A80972">
        <w:t xml:space="preserve">prekėms identifikuoti reikalingus duomenis pagal šios Sutarties priede pateiktas formas „Kodifikuotinų materialinių vertybių sąrašas“ ir „Informacija apie gamintoją ir tiekėją“. </w:t>
      </w:r>
      <w:r w:rsidR="00572D87" w:rsidRPr="00A80972">
        <w:rPr>
          <w:b/>
          <w:bCs/>
        </w:rPr>
        <w:t>Pardavėjas</w:t>
      </w:r>
      <w:r w:rsidR="00572D87" w:rsidRPr="00A80972">
        <w:t xml:space="preserve"> </w:t>
      </w:r>
      <w:r w:rsidR="007442D5" w:rsidRPr="00A80972">
        <w:t xml:space="preserve">turi pateikti užpildytas ir pasirašytas formas elektroniniu pavidalu arba popierines jų kopijas </w:t>
      </w:r>
      <w:r w:rsidR="00F64239" w:rsidRPr="00A80972">
        <w:rPr>
          <w:i/>
        </w:rPr>
        <w:t>(jei</w:t>
      </w:r>
      <w:r w:rsidR="00D46F6E" w:rsidRPr="00A80972">
        <w:rPr>
          <w:i/>
        </w:rPr>
        <w:t xml:space="preserve"> Sutarties Specialiojoje</w:t>
      </w:r>
      <w:r w:rsidR="00F64239" w:rsidRPr="00A80972">
        <w:rPr>
          <w:i/>
        </w:rPr>
        <w:t xml:space="preserve"> dalyje nurodyta, kad ši sąlyga taikoma)</w:t>
      </w:r>
      <w:r w:rsidR="00F64239" w:rsidRPr="00A80972">
        <w:t>.</w:t>
      </w:r>
    </w:p>
    <w:p w:rsidR="00EB04AE" w:rsidRPr="00A80972" w:rsidRDefault="00EB04AE" w:rsidP="00EB04AE">
      <w:pPr>
        <w:pStyle w:val="BodyTextIndent2"/>
        <w:ind w:left="0" w:firstLine="0"/>
        <w:jc w:val="both"/>
        <w:rPr>
          <w:i w:val="0"/>
          <w:iCs/>
          <w:color w:val="auto"/>
          <w:sz w:val="24"/>
          <w:szCs w:val="24"/>
          <w:lang w:val="lt-LT"/>
        </w:rPr>
      </w:pPr>
      <w:r w:rsidRPr="00A80972">
        <w:rPr>
          <w:i w:val="0"/>
          <w:iCs/>
          <w:color w:val="auto"/>
          <w:sz w:val="24"/>
          <w:szCs w:val="24"/>
          <w:lang w:val="lt-LT"/>
        </w:rPr>
        <w:t xml:space="preserve">8.2. </w:t>
      </w:r>
      <w:r w:rsidR="009D6A2D" w:rsidRPr="00A80972">
        <w:rPr>
          <w:b/>
          <w:bCs/>
          <w:i w:val="0"/>
          <w:color w:val="auto"/>
          <w:sz w:val="24"/>
          <w:szCs w:val="24"/>
          <w:lang w:val="lt-LT"/>
        </w:rPr>
        <w:t>Pirkėjui</w:t>
      </w:r>
      <w:r w:rsidR="009D6A2D" w:rsidRPr="00A80972">
        <w:rPr>
          <w:i w:val="0"/>
          <w:color w:val="auto"/>
          <w:sz w:val="24"/>
          <w:szCs w:val="24"/>
          <w:lang w:val="lt-LT"/>
        </w:rPr>
        <w:t xml:space="preserve"> pareikalavus, </w:t>
      </w:r>
      <w:r w:rsidR="009D6A2D" w:rsidRPr="00A80972">
        <w:rPr>
          <w:b/>
          <w:bCs/>
          <w:i w:val="0"/>
          <w:color w:val="auto"/>
          <w:sz w:val="24"/>
          <w:szCs w:val="24"/>
          <w:lang w:val="lt-LT"/>
        </w:rPr>
        <w:t>Pardavėjas</w:t>
      </w:r>
      <w:r w:rsidR="009D6A2D" w:rsidRPr="00A8097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A80972">
        <w:rPr>
          <w:i w:val="0"/>
          <w:color w:val="auto"/>
          <w:sz w:val="24"/>
          <w:szCs w:val="24"/>
          <w:lang w:val="lt-LT"/>
        </w:rPr>
        <w:t>.</w:t>
      </w:r>
    </w:p>
    <w:p w:rsidR="00EB04AE" w:rsidRPr="00A80972" w:rsidRDefault="00EB04AE" w:rsidP="00EB04AE">
      <w:pPr>
        <w:jc w:val="both"/>
      </w:pPr>
    </w:p>
    <w:p w:rsidR="00EB04AE" w:rsidRPr="00A80972" w:rsidRDefault="00EB04AE" w:rsidP="00EB04AE">
      <w:pPr>
        <w:jc w:val="both"/>
        <w:rPr>
          <w:b/>
        </w:rPr>
      </w:pPr>
      <w:r w:rsidRPr="00A80972">
        <w:rPr>
          <w:b/>
        </w:rPr>
        <w:t>9. Sutarties nutraukimas</w:t>
      </w:r>
    </w:p>
    <w:p w:rsidR="00EB04AE" w:rsidRPr="00A80972" w:rsidRDefault="00EB04AE" w:rsidP="00EB04AE">
      <w:pPr>
        <w:jc w:val="both"/>
      </w:pPr>
      <w:r w:rsidRPr="00A80972">
        <w:t>9.1. Ši Sutartis gali būti nutraukta:</w:t>
      </w:r>
    </w:p>
    <w:p w:rsidR="00EB04AE" w:rsidRPr="00A80972" w:rsidRDefault="00EB04AE" w:rsidP="00EB04AE">
      <w:pPr>
        <w:jc w:val="both"/>
      </w:pPr>
      <w:r w:rsidRPr="00A80972">
        <w:t xml:space="preserve">9.1.1. raštišku </w:t>
      </w:r>
      <w:r w:rsidRPr="00A80972">
        <w:rPr>
          <w:bCs/>
        </w:rPr>
        <w:t>Šalių</w:t>
      </w:r>
      <w:r w:rsidRPr="00A80972">
        <w:t xml:space="preserve"> susitarimu; </w:t>
      </w:r>
    </w:p>
    <w:p w:rsidR="004E00C2" w:rsidRPr="00A80972" w:rsidRDefault="00EB04AE" w:rsidP="00EB04AE">
      <w:pPr>
        <w:jc w:val="both"/>
      </w:pPr>
      <w:r w:rsidRPr="00A80972">
        <w:t xml:space="preserve">9.1.2. nenugalimos jėgos aplinkybėms užtrukus ilgiau nei </w:t>
      </w:r>
      <w:r w:rsidR="008A5BB7" w:rsidRPr="00A80972">
        <w:t>Specialiojoje S</w:t>
      </w:r>
      <w:r w:rsidR="00DA282E" w:rsidRPr="00A80972">
        <w:t xml:space="preserve">utarties dalyje nurodytą </w:t>
      </w:r>
      <w:r w:rsidR="00300B56" w:rsidRPr="00A80972">
        <w:t>dienų</w:t>
      </w:r>
      <w:r w:rsidR="00C03DBC" w:rsidRPr="00A80972">
        <w:t xml:space="preserve"> </w:t>
      </w:r>
      <w:r w:rsidR="00DA282E" w:rsidRPr="00A80972">
        <w:t xml:space="preserve">skaičių (priklausomai nuo </w:t>
      </w:r>
      <w:r w:rsidR="00204065" w:rsidRPr="00A80972">
        <w:t xml:space="preserve">Sutarties </w:t>
      </w:r>
      <w:r w:rsidR="00DA282E" w:rsidRPr="00A80972">
        <w:t>vykdymo specifikos, konkretus terminas nurodomas Specialiojoje dalyje gali būti nuo 14 iki 60 dienų)</w:t>
      </w:r>
      <w:r w:rsidR="00211E52" w:rsidRPr="00A80972">
        <w:t xml:space="preserve"> </w:t>
      </w:r>
      <w:r w:rsidRPr="00A80972">
        <w:t>ir ab</w:t>
      </w:r>
      <w:r w:rsidR="002171B8" w:rsidRPr="00A80972">
        <w:t>iem</w:t>
      </w:r>
      <w:r w:rsidRPr="00A80972">
        <w:t xml:space="preserve"> Šalims nesudarius susitar</w:t>
      </w:r>
      <w:r w:rsidR="00211E52" w:rsidRPr="00A80972">
        <w:t>imų dėl šios</w:t>
      </w:r>
      <w:r w:rsidR="00804894" w:rsidRPr="00A80972">
        <w:t xml:space="preserve"> Sutarties pakeitimo, leidžiančių</w:t>
      </w:r>
      <w:r w:rsidRPr="00A80972">
        <w:t xml:space="preserve"> Šalims toli</w:t>
      </w:r>
      <w:r w:rsidR="00152921" w:rsidRPr="00A80972">
        <w:t>au vykdyti savo įsipareigojimus,</w:t>
      </w:r>
      <w:r w:rsidR="00152921" w:rsidRPr="00A80972">
        <w:rPr>
          <w:color w:val="FF0000"/>
        </w:rPr>
        <w:t xml:space="preserve"> </w:t>
      </w:r>
      <w:r w:rsidR="00152921" w:rsidRPr="00A80972">
        <w:t>kiekviena Sutarties šalis gali vienašališkai nutraukti Sutartį, pranešant apie tai kitai Sutarties šaliai raštu ne vėliau kaip prieš 7 (septynias) dienas</w:t>
      </w:r>
      <w:r w:rsidR="004A15C4" w:rsidRPr="00A80972">
        <w:t>;</w:t>
      </w:r>
    </w:p>
    <w:p w:rsidR="00EB04AE" w:rsidRPr="00A80972" w:rsidRDefault="00EB04AE" w:rsidP="00EB04AE">
      <w:pPr>
        <w:jc w:val="both"/>
        <w:rPr>
          <w:color w:val="000000"/>
        </w:rPr>
      </w:pPr>
      <w:r w:rsidRPr="00A80972">
        <w:lastRenderedPageBreak/>
        <w:t xml:space="preserve">9.2. </w:t>
      </w:r>
      <w:r w:rsidRPr="00A80972">
        <w:rPr>
          <w:b/>
          <w:bCs/>
        </w:rPr>
        <w:t xml:space="preserve">Pirkėjas, </w:t>
      </w:r>
      <w:r w:rsidRPr="00A80972">
        <w:rPr>
          <w:bCs/>
        </w:rPr>
        <w:t>ne vėliau kaip</w:t>
      </w:r>
      <w:r w:rsidRPr="00A80972">
        <w:rPr>
          <w:b/>
          <w:bCs/>
        </w:rPr>
        <w:t xml:space="preserve"> </w:t>
      </w:r>
      <w:r w:rsidRPr="00A80972">
        <w:t xml:space="preserve">prieš 7 (septynias) dienas </w:t>
      </w:r>
      <w:r w:rsidR="000B6DAD" w:rsidRPr="00A80972">
        <w:t>(</w:t>
      </w:r>
      <w:r w:rsidR="00204065" w:rsidRPr="00A80972">
        <w:rPr>
          <w:i/>
        </w:rPr>
        <w:t xml:space="preserve"> jei </w:t>
      </w:r>
      <w:r w:rsidR="008A5BB7" w:rsidRPr="00A80972">
        <w:rPr>
          <w:i/>
        </w:rPr>
        <w:t>Sutarties Specialiojoje</w:t>
      </w:r>
      <w:r w:rsidR="000B6DAD" w:rsidRPr="00A80972">
        <w:rPr>
          <w:i/>
        </w:rPr>
        <w:t xml:space="preserve"> dalyje nenurodytas kitas terminas</w:t>
      </w:r>
      <w:r w:rsidR="000B6DAD" w:rsidRPr="00A80972">
        <w:t xml:space="preserve">) </w:t>
      </w:r>
      <w:r w:rsidRPr="00A80972">
        <w:t xml:space="preserve">raštu informavęs </w:t>
      </w:r>
      <w:r w:rsidRPr="00A80972">
        <w:rPr>
          <w:b/>
          <w:bCs/>
        </w:rPr>
        <w:t xml:space="preserve">Pardavėją </w:t>
      </w:r>
      <w:r w:rsidRPr="00A80972">
        <w:rPr>
          <w:bCs/>
        </w:rPr>
        <w:t>turi teisę</w:t>
      </w:r>
      <w:r w:rsidRPr="00A80972">
        <w:t xml:space="preserve"> vienašališkai</w:t>
      </w:r>
      <w:r w:rsidR="00C33D3A" w:rsidRPr="00A80972">
        <w:t xml:space="preserve"> nutraukti Sutartį</w:t>
      </w:r>
      <w:r w:rsidRPr="00A80972">
        <w:t xml:space="preserve"> </w:t>
      </w:r>
      <w:r w:rsidR="00C33D3A" w:rsidRPr="00A80972">
        <w:rPr>
          <w:color w:val="000000"/>
        </w:rPr>
        <w:t xml:space="preserve">dėl esminio Sutarties pažeidimo. Esminiu Sutarties pažeidimu laikoma, </w:t>
      </w:r>
      <w:r w:rsidRPr="00A80972">
        <w:rPr>
          <w:color w:val="000000"/>
        </w:rPr>
        <w:t>jeigu:</w:t>
      </w:r>
    </w:p>
    <w:p w:rsidR="00EB04AE" w:rsidRPr="00A80972" w:rsidRDefault="00EB04AE" w:rsidP="00EB04AE">
      <w:pPr>
        <w:jc w:val="both"/>
      </w:pPr>
      <w:r w:rsidRPr="00A80972">
        <w:t xml:space="preserve">9.2.1. </w:t>
      </w:r>
      <w:r w:rsidRPr="00A80972">
        <w:rPr>
          <w:b/>
        </w:rPr>
        <w:t>Pardavėjas</w:t>
      </w:r>
      <w:r w:rsidRPr="00A80972">
        <w:t xml:space="preserve"> vėluoja pristatyti </w:t>
      </w:r>
      <w:r w:rsidRPr="00A80972">
        <w:rPr>
          <w:iCs/>
        </w:rPr>
        <w:t>prekes</w:t>
      </w:r>
      <w:r w:rsidRPr="00A80972">
        <w:t xml:space="preserve"> Sutarties specialioje dalyje nurodytu terminu; </w:t>
      </w:r>
    </w:p>
    <w:p w:rsidR="00D92F70" w:rsidRPr="00A80972" w:rsidRDefault="00D92F70" w:rsidP="00EB04AE">
      <w:pPr>
        <w:jc w:val="both"/>
      </w:pPr>
      <w:r w:rsidRPr="00A80972">
        <w:t xml:space="preserve">9.2.2. </w:t>
      </w:r>
      <w:r w:rsidRPr="00A80972">
        <w:rPr>
          <w:b/>
        </w:rPr>
        <w:t>Pardavėjas</w:t>
      </w:r>
      <w:r w:rsidRPr="00A80972">
        <w:t xml:space="preserve"> nevykdo </w:t>
      </w:r>
      <w:r w:rsidR="0086611C" w:rsidRPr="00A80972">
        <w:t xml:space="preserve">(ar informuoja, kad negalės vykdyti) </w:t>
      </w:r>
      <w:r w:rsidRPr="00A80972">
        <w:t>sutartini</w:t>
      </w:r>
      <w:r w:rsidR="007F3BF7" w:rsidRPr="00A80972">
        <w:t>o</w:t>
      </w:r>
      <w:r w:rsidRPr="00A80972">
        <w:t xml:space="preserve"> įsipareigojimo tiekti prekes;</w:t>
      </w:r>
    </w:p>
    <w:p w:rsidR="00EB04AE" w:rsidRPr="00A80972" w:rsidRDefault="00EB04AE" w:rsidP="00EB04AE">
      <w:pPr>
        <w:jc w:val="both"/>
      </w:pPr>
      <w:r w:rsidRPr="00A80972">
        <w:t>9.2.</w:t>
      </w:r>
      <w:r w:rsidR="00F404EB" w:rsidRPr="00A80972">
        <w:t>3</w:t>
      </w:r>
      <w:r w:rsidRPr="00A80972">
        <w:t xml:space="preserve">. </w:t>
      </w:r>
      <w:r w:rsidRPr="00A80972">
        <w:rPr>
          <w:b/>
        </w:rPr>
        <w:t>Pardavėjas</w:t>
      </w:r>
      <w:r w:rsidRPr="00A80972">
        <w:t xml:space="preserve"> didina prekių kaina</w:t>
      </w:r>
      <w:r w:rsidR="008A5BB7" w:rsidRPr="00A80972">
        <w:t>s/įkainius, išskyrus Sutarties B</w:t>
      </w:r>
      <w:r w:rsidRPr="00A80972">
        <w:t>endrosios dalies 2.2 punkte numatytą atvejį;</w:t>
      </w:r>
    </w:p>
    <w:p w:rsidR="00EB04AE" w:rsidRPr="00A80972" w:rsidRDefault="00EB04AE" w:rsidP="00EB04AE">
      <w:pPr>
        <w:jc w:val="both"/>
      </w:pPr>
      <w:r w:rsidRPr="00A80972">
        <w:t>9.2.</w:t>
      </w:r>
      <w:r w:rsidR="00F404EB" w:rsidRPr="00A80972">
        <w:t>4</w:t>
      </w:r>
      <w:r w:rsidRPr="00A80972">
        <w:t xml:space="preserve">. </w:t>
      </w:r>
      <w:r w:rsidRPr="00A80972">
        <w:rPr>
          <w:b/>
        </w:rPr>
        <w:t>Pardavėjas</w:t>
      </w:r>
      <w:r w:rsidRPr="00A80972">
        <w:t xml:space="preserve"> nevykdo arba neti</w:t>
      </w:r>
      <w:r w:rsidR="00D742A5" w:rsidRPr="00A80972">
        <w:t>nkamai vykdo Sutarties B</w:t>
      </w:r>
      <w:r w:rsidRPr="00A80972">
        <w:t>endrosios dalies 6 punkte numatytus garantinius įsipareigojimus;</w:t>
      </w:r>
    </w:p>
    <w:p w:rsidR="00EB04AE" w:rsidRPr="00A80972" w:rsidRDefault="00EB04AE" w:rsidP="00EB04AE">
      <w:pPr>
        <w:jc w:val="both"/>
      </w:pPr>
      <w:r w:rsidRPr="00A80972">
        <w:t>9.2.</w:t>
      </w:r>
      <w:r w:rsidR="00F404EB" w:rsidRPr="00A80972">
        <w:t>5</w:t>
      </w:r>
      <w:r w:rsidRPr="00A80972">
        <w:t xml:space="preserve">. </w:t>
      </w:r>
      <w:r w:rsidRPr="00A80972">
        <w:rPr>
          <w:b/>
        </w:rPr>
        <w:t>Pardavėjas</w:t>
      </w:r>
      <w:r w:rsidRPr="00A80972">
        <w:t xml:space="preserve"> nevykdo </w:t>
      </w:r>
      <w:r w:rsidR="008B3237" w:rsidRPr="00A80972">
        <w:t>Sutarties B</w:t>
      </w:r>
      <w:r w:rsidR="00E56ED2" w:rsidRPr="00A80972">
        <w:t>endrosios dalies 12.4</w:t>
      </w:r>
      <w:r w:rsidRPr="00A80972">
        <w:t xml:space="preserve"> punkte numatyto įsipareigojimo (</w:t>
      </w:r>
      <w:r w:rsidRPr="00A80972">
        <w:rPr>
          <w:i/>
        </w:rPr>
        <w:t xml:space="preserve">jeigu </w:t>
      </w:r>
      <w:r w:rsidR="00D426A3" w:rsidRPr="00A80972">
        <w:rPr>
          <w:i/>
        </w:rPr>
        <w:t>sutarties vykdymas bus užtikrintas laidavimu arba banko garantija</w:t>
      </w:r>
      <w:r w:rsidRPr="00A80972">
        <w:t>);</w:t>
      </w:r>
    </w:p>
    <w:p w:rsidR="00EB04AE" w:rsidRPr="00A80972" w:rsidRDefault="00EB04AE" w:rsidP="00EB04AE">
      <w:pPr>
        <w:jc w:val="both"/>
      </w:pPr>
      <w:r w:rsidRPr="00A80972">
        <w:t>9.2.</w:t>
      </w:r>
      <w:r w:rsidR="00F404EB" w:rsidRPr="00A80972">
        <w:t>6</w:t>
      </w:r>
      <w:r w:rsidRPr="00A80972">
        <w:t xml:space="preserve">. </w:t>
      </w:r>
      <w:r w:rsidRPr="00A80972">
        <w:rPr>
          <w:b/>
        </w:rPr>
        <w:t>Pardavėjo</w:t>
      </w:r>
      <w:r w:rsidR="0033089A" w:rsidRPr="00A80972">
        <w:t xml:space="preserve"> pateik</w:t>
      </w:r>
      <w:r w:rsidR="007F3BF7" w:rsidRPr="00A80972">
        <w:t>tos</w:t>
      </w:r>
      <w:r w:rsidR="00E611BA" w:rsidRPr="00A80972">
        <w:t xml:space="preserve"> prekės </w:t>
      </w:r>
      <w:r w:rsidR="0086611C" w:rsidRPr="00A80972">
        <w:t xml:space="preserve">ar jų kokybė </w:t>
      </w:r>
      <w:r w:rsidRPr="00A80972">
        <w:t xml:space="preserve">neatitinka Sutartyje </w:t>
      </w:r>
      <w:r w:rsidR="00855F30" w:rsidRPr="00A80972">
        <w:t xml:space="preserve">ir jos </w:t>
      </w:r>
      <w:r w:rsidR="00BB53D3" w:rsidRPr="00A80972">
        <w:t>priede (-</w:t>
      </w:r>
      <w:proofErr w:type="spellStart"/>
      <w:r w:rsidR="00BB53D3" w:rsidRPr="00A80972">
        <w:t>uose</w:t>
      </w:r>
      <w:proofErr w:type="spellEnd"/>
      <w:r w:rsidR="00BB53D3" w:rsidRPr="00A80972">
        <w:t xml:space="preserve">) </w:t>
      </w:r>
      <w:r w:rsidRPr="00A80972">
        <w:t>nustatytų reikalavimų;</w:t>
      </w:r>
    </w:p>
    <w:p w:rsidR="00EB04AE" w:rsidRPr="00A80972" w:rsidRDefault="00EB04AE" w:rsidP="00EB04AE">
      <w:pPr>
        <w:jc w:val="both"/>
      </w:pPr>
      <w:r w:rsidRPr="00A80972">
        <w:t>9.2.</w:t>
      </w:r>
      <w:r w:rsidR="00F404EB" w:rsidRPr="00A80972">
        <w:t>7</w:t>
      </w:r>
      <w:r w:rsidRPr="00A80972">
        <w:t xml:space="preserve">. </w:t>
      </w:r>
      <w:r w:rsidRPr="00A80972">
        <w:rPr>
          <w:b/>
        </w:rPr>
        <w:t>Pardavėjas</w:t>
      </w:r>
      <w:r w:rsidRPr="00A80972">
        <w:t xml:space="preserve"> nustatytu laiku nepateikia avansinio apmokėjimo banko garantijos</w:t>
      </w:r>
      <w:r w:rsidR="00596BAB" w:rsidRPr="00A80972">
        <w:t>,</w:t>
      </w:r>
      <w:r w:rsidR="00855F30" w:rsidRPr="00A80972">
        <w:t xml:space="preserve"> kuri</w:t>
      </w:r>
      <w:r w:rsidRPr="00A80972">
        <w:t xml:space="preserve"> galiotų</w:t>
      </w:r>
      <w:r w:rsidR="00170B15" w:rsidRPr="00A80972">
        <w:t xml:space="preserve"> </w:t>
      </w:r>
      <w:r w:rsidR="00596BAB" w:rsidRPr="00A80972">
        <w:t xml:space="preserve">ne mažiau kaip nurodyta </w:t>
      </w:r>
      <w:r w:rsidR="00EA6C05" w:rsidRPr="00A80972">
        <w:t>Sutarties B</w:t>
      </w:r>
      <w:r w:rsidR="00170B15" w:rsidRPr="00A80972">
        <w:t xml:space="preserve">endrosios dalies </w:t>
      </w:r>
      <w:r w:rsidR="00EA6C05" w:rsidRPr="00A80972">
        <w:t>4.3</w:t>
      </w:r>
      <w:r w:rsidR="00170B15" w:rsidRPr="00A80972">
        <w:t xml:space="preserve"> punkte</w:t>
      </w:r>
      <w:r w:rsidRPr="00A80972">
        <w:t xml:space="preserve"> (</w:t>
      </w:r>
      <w:r w:rsidRPr="00A80972">
        <w:rPr>
          <w:i/>
        </w:rPr>
        <w:t>jeigu</w:t>
      </w:r>
      <w:r w:rsidR="00EA6C05" w:rsidRPr="00A80972">
        <w:rPr>
          <w:i/>
        </w:rPr>
        <w:t xml:space="preserve"> pagal S</w:t>
      </w:r>
      <w:r w:rsidR="00706E7E" w:rsidRPr="00A80972">
        <w:rPr>
          <w:i/>
        </w:rPr>
        <w:t>utarties sąlygas numatytas avanso mokėjimas</w:t>
      </w:r>
      <w:r w:rsidRPr="00A80972">
        <w:t>)</w:t>
      </w:r>
      <w:r w:rsidR="00AF3D5D" w:rsidRPr="00A80972">
        <w:t>;</w:t>
      </w:r>
    </w:p>
    <w:p w:rsidR="00C33D3A" w:rsidRPr="00A80972" w:rsidRDefault="00C33D3A" w:rsidP="00C33D3A">
      <w:pPr>
        <w:autoSpaceDE w:val="0"/>
        <w:autoSpaceDN w:val="0"/>
        <w:adjustRightInd w:val="0"/>
        <w:jc w:val="both"/>
        <w:rPr>
          <w:color w:val="000000"/>
          <w:szCs w:val="22"/>
          <w:lang w:eastAsia="en-US"/>
        </w:rPr>
      </w:pPr>
      <w:r w:rsidRPr="00A80972">
        <w:rPr>
          <w:color w:val="000000"/>
          <w:lang w:eastAsia="en-US"/>
        </w:rPr>
        <w:t>9.2.8.</w:t>
      </w:r>
      <w:r w:rsidRPr="00A80972">
        <w:rPr>
          <w:color w:val="000000"/>
          <w:szCs w:val="22"/>
          <w:lang w:eastAsia="en-US"/>
        </w:rPr>
        <w:t xml:space="preserve"> Sutarties galiojimo laikotarpiu </w:t>
      </w:r>
      <w:r w:rsidRPr="00A80972">
        <w:rPr>
          <w:b/>
          <w:color w:val="000000"/>
          <w:szCs w:val="22"/>
          <w:lang w:eastAsia="en-US"/>
        </w:rPr>
        <w:t xml:space="preserve">Pardavėjas </w:t>
      </w:r>
      <w:r w:rsidRPr="00A80972">
        <w:rPr>
          <w:color w:val="000000"/>
          <w:szCs w:val="22"/>
          <w:lang w:eastAsia="en-US"/>
        </w:rPr>
        <w:t>yra įtraukiamas į Nepatikimų tiekėjų</w:t>
      </w:r>
      <w:r w:rsidR="00013025" w:rsidRPr="00A80972">
        <w:rPr>
          <w:color w:val="000000"/>
          <w:szCs w:val="22"/>
          <w:lang w:eastAsia="en-US"/>
        </w:rPr>
        <w:t xml:space="preserve"> ar Melagingą informaciją pateikusių tiekėjų</w:t>
      </w:r>
      <w:r w:rsidRPr="00A80972">
        <w:rPr>
          <w:color w:val="000000"/>
          <w:szCs w:val="22"/>
          <w:lang w:eastAsia="en-US"/>
        </w:rPr>
        <w:t xml:space="preserve"> sąraš</w:t>
      </w:r>
      <w:r w:rsidR="00013025" w:rsidRPr="00A80972">
        <w:rPr>
          <w:color w:val="000000"/>
          <w:szCs w:val="22"/>
          <w:lang w:eastAsia="en-US"/>
        </w:rPr>
        <w:t>us</w:t>
      </w:r>
      <w:r w:rsidRPr="00A80972">
        <w:rPr>
          <w:color w:val="000000"/>
          <w:szCs w:val="22"/>
          <w:lang w:eastAsia="en-US"/>
        </w:rPr>
        <w:t>;</w:t>
      </w:r>
    </w:p>
    <w:p w:rsidR="00C33D3A" w:rsidRPr="00A80972" w:rsidRDefault="00C33D3A" w:rsidP="00C33D3A">
      <w:pPr>
        <w:autoSpaceDE w:val="0"/>
        <w:autoSpaceDN w:val="0"/>
        <w:adjustRightInd w:val="0"/>
        <w:jc w:val="both"/>
        <w:rPr>
          <w:color w:val="000000"/>
        </w:rPr>
      </w:pPr>
      <w:r w:rsidRPr="00A80972">
        <w:rPr>
          <w:color w:val="000000"/>
          <w:lang w:eastAsia="en-US"/>
        </w:rPr>
        <w:t xml:space="preserve">9.2.9. </w:t>
      </w:r>
      <w:r w:rsidR="004A15C4" w:rsidRPr="00A80972">
        <w:rPr>
          <w:color w:val="000000"/>
          <w:lang w:eastAsia="en-US"/>
        </w:rPr>
        <w:t xml:space="preserve">Sutarties vykdymo metu paaiškėja, kad </w:t>
      </w:r>
      <w:r w:rsidR="004A15C4" w:rsidRPr="00A80972">
        <w:rPr>
          <w:b/>
          <w:color w:val="000000"/>
          <w:lang w:eastAsia="en-US"/>
        </w:rPr>
        <w:t>Pardavėjas</w:t>
      </w:r>
      <w:r w:rsidR="004A15C4" w:rsidRPr="00A80972">
        <w:rPr>
          <w:color w:val="000000"/>
          <w:lang w:eastAsia="en-US"/>
        </w:rPr>
        <w:t xml:space="preserve"> ar jo teikiamos prekės </w:t>
      </w:r>
      <w:r w:rsidR="004A15C4" w:rsidRPr="00A80972">
        <w:rPr>
          <w:color w:val="000000"/>
        </w:rPr>
        <w:t>nėra patikimos ir kelia pavojų nacionaliniam saugumui;</w:t>
      </w:r>
    </w:p>
    <w:p w:rsidR="004A15C4" w:rsidRPr="00A80972" w:rsidRDefault="004A15C4" w:rsidP="004A15C4">
      <w:pPr>
        <w:jc w:val="both"/>
      </w:pPr>
      <w:r w:rsidRPr="00A80972">
        <w:t>9.2.10 Sutarties vykdymo metu paaiškėja</w:t>
      </w:r>
      <w:r w:rsidR="00131E4C" w:rsidRPr="00A80972">
        <w:t xml:space="preserve"> Viešųjų pirkimų įstatymo 46 straipsnio 1 dalyje/Viešųjų pirkimų, atliekamų gynybos ir saugumo srityje, įstatymo 3</w:t>
      </w:r>
      <w:r w:rsidR="0056553C" w:rsidRPr="00A80972">
        <w:t>4</w:t>
      </w:r>
      <w:r w:rsidR="00131E4C" w:rsidRPr="00A80972">
        <w:t xml:space="preserve"> straipsnio 1 dalyje numatytos aplinkybės</w:t>
      </w:r>
      <w:r w:rsidRPr="00A80972">
        <w:t>;</w:t>
      </w:r>
      <w:r w:rsidR="00013025" w:rsidRPr="00A80972">
        <w:t xml:space="preserve"> </w:t>
      </w:r>
    </w:p>
    <w:p w:rsidR="004A15C4" w:rsidRPr="00A80972" w:rsidRDefault="004A15C4" w:rsidP="004A15C4">
      <w:pPr>
        <w:jc w:val="both"/>
      </w:pPr>
      <w:r w:rsidRPr="00A80972">
        <w:t>9.2.11 Sutarties vykdymo metu paaiškėja, kad Sutartis buvo pakeista pažeidžiant Viešųjų pirkimų įstatymo 89 straipsnį</w:t>
      </w:r>
      <w:r w:rsidR="004C4E73" w:rsidRPr="00A80972">
        <w:t>/Viešųjų pirkimų</w:t>
      </w:r>
      <w:r w:rsidR="000454ED" w:rsidRPr="00A80972">
        <w:t>,</w:t>
      </w:r>
      <w:r w:rsidR="004C4E73" w:rsidRPr="00A80972">
        <w:t xml:space="preserve"> atliekamų gynybos ir saugumo srityje</w:t>
      </w:r>
      <w:r w:rsidR="000454ED" w:rsidRPr="00A80972">
        <w:t>,</w:t>
      </w:r>
      <w:r w:rsidR="004C4E73" w:rsidRPr="00A80972">
        <w:t xml:space="preserve"> įstatymo </w:t>
      </w:r>
      <w:r w:rsidR="000454ED" w:rsidRPr="00A80972">
        <w:t>53 straipsnį</w:t>
      </w:r>
      <w:r w:rsidRPr="00A80972">
        <w:t>.</w:t>
      </w:r>
    </w:p>
    <w:p w:rsidR="00C33D3A" w:rsidRPr="00A80972" w:rsidRDefault="00C33D3A" w:rsidP="00C33D3A">
      <w:pPr>
        <w:autoSpaceDE w:val="0"/>
        <w:autoSpaceDN w:val="0"/>
        <w:adjustRightInd w:val="0"/>
        <w:jc w:val="both"/>
        <w:rPr>
          <w:color w:val="000000"/>
          <w:lang w:eastAsia="en-US"/>
        </w:rPr>
      </w:pPr>
      <w:r w:rsidRPr="00A80972">
        <w:rPr>
          <w:color w:val="000000"/>
        </w:rPr>
        <w:t>9.3.</w:t>
      </w:r>
      <w:r w:rsidR="004E00C2" w:rsidRPr="00A80972">
        <w:rPr>
          <w:color w:val="000000"/>
        </w:rPr>
        <w:t xml:space="preserve"> </w:t>
      </w:r>
      <w:r w:rsidRPr="00A80972">
        <w:rPr>
          <w:b/>
          <w:bCs/>
          <w:color w:val="000000"/>
        </w:rPr>
        <w:t xml:space="preserve">Pirkėjas, </w:t>
      </w:r>
      <w:r w:rsidRPr="00A80972">
        <w:rPr>
          <w:bCs/>
          <w:color w:val="000000"/>
        </w:rPr>
        <w:t>ne vėliau kaip</w:t>
      </w:r>
      <w:r w:rsidRPr="00A80972">
        <w:rPr>
          <w:b/>
          <w:bCs/>
          <w:color w:val="000000"/>
        </w:rPr>
        <w:t xml:space="preserve"> </w:t>
      </w:r>
      <w:r w:rsidRPr="00A80972">
        <w:rPr>
          <w:color w:val="000000"/>
        </w:rPr>
        <w:t>prieš 7 (septynias) dienas (</w:t>
      </w:r>
      <w:r w:rsidR="00D46716" w:rsidRPr="00A80972">
        <w:rPr>
          <w:i/>
          <w:color w:val="000000"/>
        </w:rPr>
        <w:t xml:space="preserve">jei </w:t>
      </w:r>
      <w:r w:rsidR="00EA6C05" w:rsidRPr="00A80972">
        <w:rPr>
          <w:i/>
          <w:color w:val="000000"/>
        </w:rPr>
        <w:t>Sutarties Specialiojoje</w:t>
      </w:r>
      <w:r w:rsidRPr="00A80972">
        <w:rPr>
          <w:i/>
          <w:color w:val="000000"/>
        </w:rPr>
        <w:t xml:space="preserve"> dalyje nenurodytas kitas terminas</w:t>
      </w:r>
      <w:r w:rsidRPr="00A80972">
        <w:rPr>
          <w:color w:val="000000"/>
        </w:rPr>
        <w:t xml:space="preserve">) raštu informavęs </w:t>
      </w:r>
      <w:r w:rsidRPr="00A80972">
        <w:rPr>
          <w:b/>
          <w:bCs/>
          <w:color w:val="000000"/>
        </w:rPr>
        <w:t xml:space="preserve">Pardavėją </w:t>
      </w:r>
      <w:r w:rsidRPr="00A80972">
        <w:rPr>
          <w:bCs/>
          <w:color w:val="000000"/>
        </w:rPr>
        <w:t>turi teisę</w:t>
      </w:r>
      <w:r w:rsidRPr="00A80972">
        <w:rPr>
          <w:color w:val="000000"/>
        </w:rPr>
        <w:t xml:space="preserve"> vienašališkai nutraukti Sutartį, jeigu</w:t>
      </w:r>
      <w:r w:rsidRPr="00A80972">
        <w:rPr>
          <w:b/>
          <w:color w:val="000000"/>
        </w:rPr>
        <w:t xml:space="preserve"> Pardavėjas </w:t>
      </w:r>
      <w:r w:rsidRPr="00A80972">
        <w:rPr>
          <w:color w:val="000000"/>
        </w:rPr>
        <w:t>yra</w:t>
      </w:r>
      <w:r w:rsidRPr="00A80972">
        <w:rPr>
          <w:b/>
          <w:color w:val="000000"/>
        </w:rPr>
        <w:t xml:space="preserve"> </w:t>
      </w:r>
      <w:r w:rsidRPr="00A80972">
        <w:rPr>
          <w:color w:val="000000"/>
          <w:lang w:eastAsia="en-US"/>
        </w:rPr>
        <w:t xml:space="preserve">likviduojamas ar kreipiamasi į teismą dėl bankroto ar restruktūrizavimo bylos iškėlimo, arba </w:t>
      </w:r>
      <w:r w:rsidRPr="00A80972">
        <w:rPr>
          <w:color w:val="000000"/>
        </w:rPr>
        <w:t>jam iškelta bankroto ar restruktūrizavimo byla,</w:t>
      </w:r>
      <w:r w:rsidRPr="00A80972">
        <w:rPr>
          <w:color w:val="000000"/>
          <w:lang w:eastAsia="en-US"/>
        </w:rPr>
        <w:t xml:space="preserve"> arba priimamas sprendimas dėl neteisminės bankroto procedūros pradėjimo.</w:t>
      </w:r>
    </w:p>
    <w:p w:rsidR="00C33D3A" w:rsidRPr="00A80972" w:rsidRDefault="00C33D3A" w:rsidP="00C33D3A">
      <w:pPr>
        <w:jc w:val="both"/>
        <w:rPr>
          <w:i/>
        </w:rPr>
      </w:pPr>
      <w:r w:rsidRPr="00A80972">
        <w:rPr>
          <w:color w:val="000000"/>
        </w:rPr>
        <w:t xml:space="preserve">9.4. Nutraukus sutartį, </w:t>
      </w:r>
      <w:r w:rsidRPr="00A80972">
        <w:rPr>
          <w:b/>
          <w:color w:val="000000"/>
        </w:rPr>
        <w:t>Pardavėjas</w:t>
      </w:r>
      <w:r w:rsidRPr="00A80972">
        <w:rPr>
          <w:color w:val="000000"/>
        </w:rPr>
        <w:t xml:space="preserve"> per 10 (dešimt) dienų nuo Sutarties nutraukimo dienos turi grąžinti </w:t>
      </w:r>
      <w:r w:rsidRPr="00A80972">
        <w:rPr>
          <w:b/>
          <w:color w:val="000000"/>
        </w:rPr>
        <w:t>Pirkėjui</w:t>
      </w:r>
      <w:r w:rsidRPr="00A80972">
        <w:rPr>
          <w:color w:val="000000"/>
        </w:rPr>
        <w:t xml:space="preserve"> jo sumokėtą avansą (jei toks buvo sumokėtas</w:t>
      </w:r>
      <w:r w:rsidRPr="00A80972">
        <w:t xml:space="preserve">) už prekes, kurios nebuvo pristatytos. </w:t>
      </w:r>
    </w:p>
    <w:p w:rsidR="00706E7E" w:rsidRPr="00A80972" w:rsidRDefault="00706E7E" w:rsidP="00EB04AE">
      <w:pPr>
        <w:jc w:val="both"/>
      </w:pPr>
    </w:p>
    <w:p w:rsidR="00EB04AE" w:rsidRPr="00A80972" w:rsidRDefault="00EB04AE" w:rsidP="00EB04AE">
      <w:pPr>
        <w:rPr>
          <w:b/>
        </w:rPr>
      </w:pPr>
      <w:r w:rsidRPr="00A80972">
        <w:rPr>
          <w:b/>
        </w:rPr>
        <w:t>10. Ginčų sprendimo tvarka</w:t>
      </w:r>
    </w:p>
    <w:p w:rsidR="00EB04AE" w:rsidRPr="00A80972" w:rsidRDefault="00EB04AE" w:rsidP="00EB04AE">
      <w:r w:rsidRPr="00A80972">
        <w:t>10.1. Sutartis sudaryta ir turi būti aiškinama pagal Lietuvos Respublikos teisę.</w:t>
      </w:r>
    </w:p>
    <w:p w:rsidR="00855F30" w:rsidRPr="00A80972" w:rsidRDefault="00EB04AE" w:rsidP="00855F30">
      <w:pPr>
        <w:jc w:val="both"/>
      </w:pPr>
      <w:r w:rsidRPr="00A8097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A80972">
        <w:rPr>
          <w:b/>
        </w:rPr>
        <w:t>Pirkėjo</w:t>
      </w:r>
      <w:r w:rsidR="00DE5488" w:rsidRPr="00A80972">
        <w:t xml:space="preserve"> </w:t>
      </w:r>
      <w:r w:rsidR="002B3381" w:rsidRPr="00A80972">
        <w:t xml:space="preserve">(arba jeigu </w:t>
      </w:r>
      <w:r w:rsidR="002B3381" w:rsidRPr="00A80972">
        <w:rPr>
          <w:b/>
        </w:rPr>
        <w:t>Pirkėjas</w:t>
      </w:r>
      <w:r w:rsidR="002B3381" w:rsidRPr="00A80972">
        <w:t xml:space="preserve"> ne </w:t>
      </w:r>
      <w:r w:rsidR="00142A15" w:rsidRPr="00A80972">
        <w:t xml:space="preserve">juridinis asmuo, o </w:t>
      </w:r>
      <w:r w:rsidR="002B3381" w:rsidRPr="00A80972">
        <w:t>Lietuvos kariuomenė</w:t>
      </w:r>
      <w:r w:rsidR="00142A15" w:rsidRPr="00A80972">
        <w:t>s padalinys</w:t>
      </w:r>
      <w:r w:rsidR="00067FB9" w:rsidRPr="00A80972">
        <w:t xml:space="preserve"> </w:t>
      </w:r>
      <w:r w:rsidR="002B3381" w:rsidRPr="00A80972">
        <w:rPr>
          <w:i/>
        </w:rPr>
        <w:t>„pagal juridinio asmens – Lietuvos kariuomenės</w:t>
      </w:r>
      <w:r w:rsidR="00AF3D5D" w:rsidRPr="00A80972">
        <w:rPr>
          <w:i/>
        </w:rPr>
        <w:t>“</w:t>
      </w:r>
      <w:r w:rsidR="00AF3D5D" w:rsidRPr="00A80972">
        <w:t>)</w:t>
      </w:r>
      <w:r w:rsidR="00221422" w:rsidRPr="00A80972">
        <w:t xml:space="preserve"> </w:t>
      </w:r>
      <w:r w:rsidR="00855F30" w:rsidRPr="00A80972">
        <w:t>buveinės vietą.</w:t>
      </w:r>
    </w:p>
    <w:p w:rsidR="00DB2A11" w:rsidRPr="00A80972" w:rsidRDefault="00DB2A11" w:rsidP="00EB04AE">
      <w:pPr>
        <w:jc w:val="both"/>
      </w:pPr>
    </w:p>
    <w:p w:rsidR="00EB04AE" w:rsidRPr="00A80972" w:rsidRDefault="00EB04AE" w:rsidP="00EB04AE">
      <w:pPr>
        <w:jc w:val="both"/>
        <w:rPr>
          <w:b/>
        </w:rPr>
      </w:pPr>
      <w:r w:rsidRPr="00A80972">
        <w:rPr>
          <w:b/>
        </w:rPr>
        <w:t>11. Atsakomybė</w:t>
      </w:r>
    </w:p>
    <w:p w:rsidR="00EB04AE" w:rsidRPr="00A80972" w:rsidRDefault="00EB04AE" w:rsidP="00EB04AE">
      <w:pPr>
        <w:jc w:val="both"/>
      </w:pPr>
      <w:r w:rsidRPr="00A80972">
        <w:t xml:space="preserve">11.1. Pavėlavęs pristatyti prekes per Sutarties specialiojoje dalyje nurodytą terminą, </w:t>
      </w:r>
      <w:r w:rsidRPr="00A80972">
        <w:rPr>
          <w:b/>
        </w:rPr>
        <w:t>Pardavėjas</w:t>
      </w:r>
      <w:r w:rsidRPr="00A80972">
        <w:t xml:space="preserve"> moka </w:t>
      </w:r>
      <w:r w:rsidRPr="00A80972">
        <w:rPr>
          <w:b/>
        </w:rPr>
        <w:t xml:space="preserve">Pirkėjui </w:t>
      </w:r>
      <w:r w:rsidR="00AF66A6" w:rsidRPr="00A80972">
        <w:t>nuo 0,05</w:t>
      </w:r>
      <w:r w:rsidR="00E21B83" w:rsidRPr="00A80972">
        <w:t xml:space="preserve"> iki 0,2 % dydžio </w:t>
      </w:r>
      <w:r w:rsidR="00E21B83" w:rsidRPr="00A80972">
        <w:rPr>
          <w:i/>
        </w:rPr>
        <w:t>(konkr</w:t>
      </w:r>
      <w:r w:rsidR="00000003" w:rsidRPr="00A80972">
        <w:rPr>
          <w:i/>
        </w:rPr>
        <w:t>etus dydis nurodomas Sutarties S</w:t>
      </w:r>
      <w:r w:rsidR="00E21B83" w:rsidRPr="00A80972">
        <w:rPr>
          <w:i/>
        </w:rPr>
        <w:t>pecialiojoje dalyje)</w:t>
      </w:r>
      <w:r w:rsidR="00E21B83" w:rsidRPr="00A80972">
        <w:t xml:space="preserve"> </w:t>
      </w:r>
      <w:r w:rsidRPr="00A80972">
        <w:t xml:space="preserve">nuo nepristatytų prekių </w:t>
      </w:r>
      <w:r w:rsidR="00254816" w:rsidRPr="00A80972">
        <w:t xml:space="preserve">kainos </w:t>
      </w:r>
      <w:r w:rsidR="0062140A" w:rsidRPr="00A80972">
        <w:t xml:space="preserve">be PVM </w:t>
      </w:r>
      <w:r w:rsidRPr="00A80972">
        <w:t>už kiekvieną uždelstą dieną</w:t>
      </w:r>
      <w:r w:rsidR="005679DC" w:rsidRPr="00A80972">
        <w:t>/valandą (</w:t>
      </w:r>
      <w:r w:rsidR="005679DC" w:rsidRPr="00A80972">
        <w:rPr>
          <w:i/>
        </w:rPr>
        <w:t>taikoma priklausomai nuo to, kaip įsipareigojimo terminas</w:t>
      </w:r>
      <w:r w:rsidR="007552A0" w:rsidRPr="00A80972">
        <w:rPr>
          <w:i/>
        </w:rPr>
        <w:t xml:space="preserve"> (dienomis ar valandomis) </w:t>
      </w:r>
      <w:r w:rsidR="00000003" w:rsidRPr="00A80972">
        <w:rPr>
          <w:i/>
        </w:rPr>
        <w:t>yra skaičiuojamas Sutarties S</w:t>
      </w:r>
      <w:r w:rsidR="005679DC" w:rsidRPr="00A80972">
        <w:rPr>
          <w:i/>
        </w:rPr>
        <w:t>pecialiojoje dalyje</w:t>
      </w:r>
      <w:r w:rsidR="005679DC" w:rsidRPr="00A80972">
        <w:t>)</w:t>
      </w:r>
      <w:r w:rsidRPr="00A80972">
        <w:t xml:space="preserve"> Šalių iš anksto sutartus minimalius nuostolius, kurių sumokėjimas neatleidžia </w:t>
      </w:r>
      <w:r w:rsidRPr="00A80972">
        <w:rPr>
          <w:b/>
          <w:bCs/>
        </w:rPr>
        <w:t>Pardavėjo</w:t>
      </w:r>
      <w:r w:rsidRPr="00A80972">
        <w:t xml:space="preserve"> nuo pareigos atlyginti visus </w:t>
      </w:r>
      <w:r w:rsidRPr="00A80972">
        <w:rPr>
          <w:b/>
          <w:bCs/>
        </w:rPr>
        <w:t>Pirkėjo</w:t>
      </w:r>
      <w:r w:rsidRPr="00A80972">
        <w:rPr>
          <w:b/>
        </w:rPr>
        <w:t xml:space="preserve"> </w:t>
      </w:r>
      <w:r w:rsidRPr="00A80972">
        <w:t xml:space="preserve">patirtus nuostolius </w:t>
      </w:r>
      <w:r w:rsidRPr="00A80972">
        <w:rPr>
          <w:b/>
        </w:rPr>
        <w:t>Pardavėjui</w:t>
      </w:r>
      <w:r w:rsidRPr="00A80972">
        <w:t xml:space="preserve"> nevykdant arba netinkamai vykdant </w:t>
      </w:r>
      <w:r w:rsidR="000C291B" w:rsidRPr="00A80972">
        <w:t>Sutartį</w:t>
      </w:r>
      <w:r w:rsidRPr="00A80972">
        <w:t xml:space="preserve">. Šalių iš anksto sutartus minimalius nuostolius </w:t>
      </w:r>
      <w:r w:rsidRPr="00A80972">
        <w:rPr>
          <w:b/>
        </w:rPr>
        <w:t>Pardavėjas</w:t>
      </w:r>
      <w:r w:rsidRPr="00A80972">
        <w:t xml:space="preserve"> įsipareigoja sumokėti ne vėliau kaip per sąskaitoje faktūroje ar pareikalavime nurodytą terminą.</w:t>
      </w:r>
    </w:p>
    <w:p w:rsidR="00EB04AE" w:rsidRPr="00A80972" w:rsidRDefault="00EB04AE" w:rsidP="002F65A5">
      <w:pPr>
        <w:jc w:val="both"/>
      </w:pPr>
      <w:r w:rsidRPr="00A80972">
        <w:t>11.2</w:t>
      </w:r>
      <w:r w:rsidRPr="00A80972">
        <w:rPr>
          <w:i/>
        </w:rPr>
        <w:t xml:space="preserve">. </w:t>
      </w:r>
      <w:r w:rsidR="002F65A5" w:rsidRPr="00A80972">
        <w:t>Kokybės garantijos</w:t>
      </w:r>
      <w:r w:rsidR="00EA4DE9" w:rsidRPr="00A80972">
        <w:t xml:space="preserve"> </w:t>
      </w:r>
      <w:r w:rsidR="006F008D" w:rsidRPr="00A80972">
        <w:t>termino</w:t>
      </w:r>
      <w:r w:rsidRPr="00A80972">
        <w:t xml:space="preserve"> metu </w:t>
      </w:r>
      <w:r w:rsidR="00E14B51" w:rsidRPr="00A80972">
        <w:t>pavėlavęs per Sutarties S</w:t>
      </w:r>
      <w:r w:rsidR="00A9352E" w:rsidRPr="00A80972">
        <w:t>pecialioje dalyje nustat</w:t>
      </w:r>
      <w:r w:rsidR="00E14B51" w:rsidRPr="00A80972">
        <w:t>ytą terminą įvykdyti Sutarties B</w:t>
      </w:r>
      <w:r w:rsidR="00A9352E" w:rsidRPr="00A80972">
        <w:t xml:space="preserve">endrosios dalies 6.2 punkte nustatytus </w:t>
      </w:r>
      <w:r w:rsidR="00D1015D" w:rsidRPr="00A80972">
        <w:t xml:space="preserve">įsipareigojimus, </w:t>
      </w:r>
      <w:r w:rsidRPr="00A80972">
        <w:rPr>
          <w:b/>
        </w:rPr>
        <w:t>Pardavėjas</w:t>
      </w:r>
      <w:r w:rsidRPr="00A80972">
        <w:t xml:space="preserve"> moka </w:t>
      </w:r>
      <w:r w:rsidRPr="00A80972">
        <w:rPr>
          <w:b/>
        </w:rPr>
        <w:t xml:space="preserve">Pirkėjui </w:t>
      </w:r>
      <w:r w:rsidR="00AF66A6" w:rsidRPr="00A80972">
        <w:t>nuo 0,05</w:t>
      </w:r>
      <w:r w:rsidR="00E21B83" w:rsidRPr="00A80972">
        <w:t xml:space="preserve"> iki 0,2 % </w:t>
      </w:r>
      <w:r w:rsidR="00E21B83" w:rsidRPr="00A80972">
        <w:rPr>
          <w:i/>
        </w:rPr>
        <w:t>dydžio (konkr</w:t>
      </w:r>
      <w:r w:rsidR="00E14B51" w:rsidRPr="00A80972">
        <w:rPr>
          <w:i/>
        </w:rPr>
        <w:t>etus dydis nurodomas Sutarties S</w:t>
      </w:r>
      <w:r w:rsidR="00E21B83" w:rsidRPr="00A80972">
        <w:rPr>
          <w:i/>
        </w:rPr>
        <w:t>pecialiojoje dalyje)</w:t>
      </w:r>
      <w:r w:rsidRPr="00A80972">
        <w:t xml:space="preserve"> nuo prekių, </w:t>
      </w:r>
      <w:r w:rsidR="00291B15" w:rsidRPr="00A80972">
        <w:t>kurioms yra nesuteiktos pakaitinės prekės</w:t>
      </w:r>
      <w:r w:rsidRPr="00A80972">
        <w:t xml:space="preserve">, </w:t>
      </w:r>
      <w:r w:rsidR="00254816" w:rsidRPr="00A80972">
        <w:t>kainos</w:t>
      </w:r>
      <w:r w:rsidR="00D96A77" w:rsidRPr="00A80972">
        <w:t>/įkainių</w:t>
      </w:r>
      <w:r w:rsidR="0062140A" w:rsidRPr="00A80972">
        <w:rPr>
          <w:color w:val="FF0000"/>
        </w:rPr>
        <w:t xml:space="preserve"> </w:t>
      </w:r>
      <w:r w:rsidR="0062140A" w:rsidRPr="00A80972">
        <w:t xml:space="preserve">be PVM </w:t>
      </w:r>
      <w:r w:rsidRPr="00A80972">
        <w:t>už kiekvieną uždelstą dieną</w:t>
      </w:r>
      <w:r w:rsidR="00E6025E" w:rsidRPr="00A80972">
        <w:t>/valandą</w:t>
      </w:r>
      <w:r w:rsidR="00E6025E" w:rsidRPr="00A80972">
        <w:rPr>
          <w:i/>
        </w:rPr>
        <w:t xml:space="preserve"> </w:t>
      </w:r>
      <w:r w:rsidRPr="00A80972">
        <w:t>Šalių iš anksto sutartus minimalius nuostolius,</w:t>
      </w:r>
      <w:r w:rsidRPr="00A80972">
        <w:rPr>
          <w:bCs/>
        </w:rPr>
        <w:t xml:space="preserve"> kurių sumokėjimas neatleidžia </w:t>
      </w:r>
      <w:r w:rsidRPr="00A80972">
        <w:rPr>
          <w:b/>
          <w:bCs/>
        </w:rPr>
        <w:t xml:space="preserve">Pardavėjo </w:t>
      </w:r>
      <w:r w:rsidRPr="00A80972">
        <w:rPr>
          <w:bCs/>
        </w:rPr>
        <w:t xml:space="preserve">nuo pareigos </w:t>
      </w:r>
      <w:r w:rsidRPr="00A80972">
        <w:rPr>
          <w:bCs/>
        </w:rPr>
        <w:lastRenderedPageBreak/>
        <w:t xml:space="preserve">atlyginti </w:t>
      </w:r>
      <w:r w:rsidR="000B3B27" w:rsidRPr="00A80972">
        <w:rPr>
          <w:bCs/>
        </w:rPr>
        <w:t xml:space="preserve">visus </w:t>
      </w:r>
      <w:r w:rsidRPr="00A80972">
        <w:rPr>
          <w:b/>
          <w:bCs/>
        </w:rPr>
        <w:t>Pirkėjo</w:t>
      </w:r>
      <w:r w:rsidRPr="00A80972">
        <w:rPr>
          <w:bCs/>
        </w:rPr>
        <w:t xml:space="preserve"> patirtus nuostolius</w:t>
      </w:r>
      <w:r w:rsidRPr="00A80972">
        <w:t xml:space="preserve"> </w:t>
      </w:r>
      <w:r w:rsidRPr="00A80972">
        <w:rPr>
          <w:b/>
        </w:rPr>
        <w:t>Pardavėjui</w:t>
      </w:r>
      <w:r w:rsidRPr="00A80972">
        <w:t xml:space="preserve"> nevykdant arba netinkamai vykdant savo įsipareigojimus,</w:t>
      </w:r>
      <w:r w:rsidR="0046634F" w:rsidRPr="00A80972">
        <w:t xml:space="preserve"> susijusius su prekių garantija/tinkamumo naudoti terminu.</w:t>
      </w:r>
    </w:p>
    <w:p w:rsidR="002F65A5" w:rsidRPr="00A80972" w:rsidRDefault="002F65A5" w:rsidP="002F65A5">
      <w:pPr>
        <w:jc w:val="both"/>
      </w:pPr>
      <w:r w:rsidRPr="00A80972">
        <w:t>11.3. Garantinio/tinkamumo naudoti termin</w:t>
      </w:r>
      <w:r w:rsidR="000B6D72" w:rsidRPr="00A80972">
        <w:t>o metu pavėlavęs per Sutarties S</w:t>
      </w:r>
      <w:r w:rsidRPr="00A80972">
        <w:t>pecialioje dalyje nustat</w:t>
      </w:r>
      <w:r w:rsidR="000B6D72" w:rsidRPr="00A80972">
        <w:t>ytą terminą įvykdyti Sutarties B</w:t>
      </w:r>
      <w:r w:rsidRPr="00A80972">
        <w:t xml:space="preserve">endrosios dalies 6.3 punkte nustatytus įsipareigojimus, </w:t>
      </w:r>
      <w:r w:rsidRPr="00A80972">
        <w:rPr>
          <w:b/>
        </w:rPr>
        <w:t>Pardavėjas</w:t>
      </w:r>
      <w:r w:rsidRPr="00A80972">
        <w:t xml:space="preserve"> moka Pirkėjui </w:t>
      </w:r>
      <w:r w:rsidR="00AF66A6" w:rsidRPr="00A80972">
        <w:t>nuo 0,05</w:t>
      </w:r>
      <w:r w:rsidR="00E21B83" w:rsidRPr="00A80972">
        <w:t xml:space="preserve"> iki 0,2 % dydžio </w:t>
      </w:r>
      <w:r w:rsidR="00E21B83" w:rsidRPr="00A80972">
        <w:rPr>
          <w:i/>
        </w:rPr>
        <w:t>(konkr</w:t>
      </w:r>
      <w:r w:rsidR="000B6D72" w:rsidRPr="00A80972">
        <w:rPr>
          <w:i/>
        </w:rPr>
        <w:t>etus dydis nurodomas Sutarties S</w:t>
      </w:r>
      <w:r w:rsidR="00E21B83" w:rsidRPr="00A80972">
        <w:rPr>
          <w:i/>
        </w:rPr>
        <w:t>pecialiojoje dalyje)</w:t>
      </w:r>
      <w:r w:rsidRPr="00A80972">
        <w:t xml:space="preserve"> nuo prekių, kurių trūkumai nepašalinti, ar prekių, kurios yra nepakeistos, </w:t>
      </w:r>
      <w:r w:rsidR="00254816" w:rsidRPr="00A80972">
        <w:t>kainos</w:t>
      </w:r>
      <w:r w:rsidR="00254816" w:rsidRPr="00A80972">
        <w:rPr>
          <w:color w:val="FF0000"/>
        </w:rPr>
        <w:t xml:space="preserve"> </w:t>
      </w:r>
      <w:r w:rsidR="0062140A" w:rsidRPr="00A80972">
        <w:t xml:space="preserve">be PVM </w:t>
      </w:r>
      <w:r w:rsidRPr="00A80972">
        <w:t>už kiekvieną uždelstą dieną/valandą</w:t>
      </w:r>
      <w:r w:rsidRPr="00A80972">
        <w:rPr>
          <w:i/>
        </w:rPr>
        <w:t xml:space="preserve"> </w:t>
      </w:r>
      <w:r w:rsidRPr="00A80972">
        <w:t>Šalių iš anksto sutartus minimalius nuostolius,</w:t>
      </w:r>
      <w:r w:rsidRPr="00A80972">
        <w:rPr>
          <w:bCs/>
        </w:rPr>
        <w:t xml:space="preserve"> kurių sumokėjimas neatleidžia </w:t>
      </w:r>
      <w:r w:rsidRPr="00A80972">
        <w:rPr>
          <w:b/>
          <w:bCs/>
        </w:rPr>
        <w:t xml:space="preserve">Pardavėjo </w:t>
      </w:r>
      <w:r w:rsidRPr="00A80972">
        <w:rPr>
          <w:bCs/>
        </w:rPr>
        <w:t xml:space="preserve">nuo pareigos atlyginti visus </w:t>
      </w:r>
      <w:r w:rsidRPr="00A80972">
        <w:rPr>
          <w:b/>
          <w:bCs/>
        </w:rPr>
        <w:t>Pirkėjo</w:t>
      </w:r>
      <w:r w:rsidRPr="00A80972">
        <w:rPr>
          <w:bCs/>
        </w:rPr>
        <w:t xml:space="preserve"> patirtus nuostolius</w:t>
      </w:r>
      <w:r w:rsidRPr="00A80972">
        <w:t xml:space="preserve"> </w:t>
      </w:r>
      <w:r w:rsidRPr="00A80972">
        <w:rPr>
          <w:b/>
        </w:rPr>
        <w:t>Pardavėjui</w:t>
      </w:r>
      <w:r w:rsidRPr="00A80972">
        <w:t xml:space="preserve"> nevykdant arba netinkamai vykdant savo įsipareigojimus, susijusius su prekių garantija/tinkamumo naudoti terminu.</w:t>
      </w:r>
    </w:p>
    <w:p w:rsidR="00EB04AE" w:rsidRPr="00A80972" w:rsidRDefault="0046634F" w:rsidP="00EB04AE">
      <w:pPr>
        <w:jc w:val="both"/>
      </w:pPr>
      <w:r w:rsidRPr="00A80972">
        <w:t>11.</w:t>
      </w:r>
      <w:r w:rsidR="002F65A5" w:rsidRPr="00A80972">
        <w:t>4</w:t>
      </w:r>
      <w:r w:rsidRPr="00A80972">
        <w:t>. Nutraukus Sutartį dėl S</w:t>
      </w:r>
      <w:r w:rsidR="000B6D72" w:rsidRPr="00A80972">
        <w:t>utarties B</w:t>
      </w:r>
      <w:r w:rsidR="00EB04AE" w:rsidRPr="00A80972">
        <w:t>endrojoje dalyje 9.2</w:t>
      </w:r>
      <w:r w:rsidRPr="00A80972">
        <w:t>.1, 9.2.2, 9.2.</w:t>
      </w:r>
      <w:r w:rsidR="005B742C" w:rsidRPr="00A80972">
        <w:t>3</w:t>
      </w:r>
      <w:r w:rsidRPr="00A80972">
        <w:t xml:space="preserve">, 9.2.5, </w:t>
      </w:r>
      <w:r w:rsidR="005B742C" w:rsidRPr="00A80972">
        <w:t xml:space="preserve">9.2.6, </w:t>
      </w:r>
      <w:r w:rsidRPr="00A80972">
        <w:t>9.2.</w:t>
      </w:r>
      <w:r w:rsidR="005B742C" w:rsidRPr="00A80972">
        <w:t>7</w:t>
      </w:r>
      <w:r w:rsidR="00F64068" w:rsidRPr="00A80972">
        <w:t xml:space="preserve">, </w:t>
      </w:r>
      <w:r w:rsidR="000F6744" w:rsidRPr="00A80972">
        <w:t xml:space="preserve"> </w:t>
      </w:r>
      <w:r w:rsidR="00E24E38" w:rsidRPr="00A80972">
        <w:t xml:space="preserve">9.3 </w:t>
      </w:r>
      <w:r w:rsidR="00EB04AE" w:rsidRPr="00A80972">
        <w:t xml:space="preserve">punktuose </w:t>
      </w:r>
      <w:r w:rsidR="00E21B83" w:rsidRPr="00A80972">
        <w:t>ar kitų Sutarties specialiojoje dalyje</w:t>
      </w:r>
      <w:r w:rsidR="00E21B83" w:rsidRPr="00A80972">
        <w:rPr>
          <w:b/>
        </w:rPr>
        <w:t xml:space="preserve"> </w:t>
      </w:r>
      <w:r w:rsidR="00EB04AE" w:rsidRPr="00A80972">
        <w:t xml:space="preserve">išvardintų priežasčių, </w:t>
      </w:r>
      <w:r w:rsidR="00EB04AE" w:rsidRPr="00A80972">
        <w:rPr>
          <w:b/>
        </w:rPr>
        <w:t>Pardavėjas</w:t>
      </w:r>
      <w:r w:rsidR="000B3B27" w:rsidRPr="00A80972">
        <w:t xml:space="preserve"> per 14 (keturiolika) dienų</w:t>
      </w:r>
      <w:r w:rsidR="00AE446D" w:rsidRPr="00A80972">
        <w:t xml:space="preserve"> (skaičiuojant nuo S</w:t>
      </w:r>
      <w:r w:rsidR="00EB04AE" w:rsidRPr="00A80972">
        <w:t>utarties nutraukimo dienos) turi sumokėti</w:t>
      </w:r>
      <w:r w:rsidR="00EB04AE" w:rsidRPr="00A80972">
        <w:rPr>
          <w:b/>
          <w:bCs/>
        </w:rPr>
        <w:t xml:space="preserve"> Pirkėjui</w:t>
      </w:r>
      <w:r w:rsidR="00EB04AE" w:rsidRPr="00A80972">
        <w:rPr>
          <w:b/>
        </w:rPr>
        <w:t xml:space="preserve"> </w:t>
      </w:r>
      <w:r w:rsidR="005739F8" w:rsidRPr="00A80972">
        <w:t>ne mažiau kaip</w:t>
      </w:r>
      <w:r w:rsidR="005739F8" w:rsidRPr="00A80972">
        <w:rPr>
          <w:b/>
        </w:rPr>
        <w:t xml:space="preserve"> </w:t>
      </w:r>
      <w:r w:rsidR="00037EF0" w:rsidRPr="00A80972">
        <w:t>5-</w:t>
      </w:r>
      <w:r w:rsidR="00EB04AE" w:rsidRPr="00A80972">
        <w:t>7</w:t>
      </w:r>
      <w:r w:rsidR="00E6025E" w:rsidRPr="00A80972">
        <w:t xml:space="preserve">  </w:t>
      </w:r>
      <w:r w:rsidR="00EB04AE" w:rsidRPr="00A80972">
        <w:t xml:space="preserve">% </w:t>
      </w:r>
      <w:r w:rsidR="00D46716" w:rsidRPr="00A80972">
        <w:t xml:space="preserve">Sutarties </w:t>
      </w:r>
      <w:r w:rsidR="00EB04AE" w:rsidRPr="00A80972">
        <w:t xml:space="preserve">kainos </w:t>
      </w:r>
      <w:r w:rsidR="0062140A" w:rsidRPr="00A80972">
        <w:t xml:space="preserve">be PVM </w:t>
      </w:r>
      <w:r w:rsidR="00E6025E" w:rsidRPr="00A80972">
        <w:t>(</w:t>
      </w:r>
      <w:r w:rsidR="0062140A" w:rsidRPr="00A80972">
        <w:t>arba bendros pasiūlymo kainos</w:t>
      </w:r>
      <w:r w:rsidR="00D46716" w:rsidRPr="00A80972">
        <w:t xml:space="preserve"> be PVM</w:t>
      </w:r>
      <w:r w:rsidR="00037EF0" w:rsidRPr="00A80972">
        <w:t xml:space="preserve"> arba bendros užsakymo kainos</w:t>
      </w:r>
      <w:r w:rsidR="00D21A4B" w:rsidRPr="00A80972">
        <w:t xml:space="preserve"> be PVM</w:t>
      </w:r>
      <w:r w:rsidR="0062140A" w:rsidRPr="00A80972">
        <w:t xml:space="preserve">) </w:t>
      </w:r>
      <w:r w:rsidR="0079744B" w:rsidRPr="00A80972">
        <w:rPr>
          <w:i/>
        </w:rPr>
        <w:t xml:space="preserve">(konkretus procentinis dydis </w:t>
      </w:r>
      <w:r w:rsidR="00AE446D" w:rsidRPr="00A80972">
        <w:rPr>
          <w:i/>
        </w:rPr>
        <w:t xml:space="preserve">arba </w:t>
      </w:r>
      <w:r w:rsidR="0079744B" w:rsidRPr="00A80972">
        <w:rPr>
          <w:i/>
        </w:rPr>
        <w:t xml:space="preserve">konkreti fiksuota suma nurodoma </w:t>
      </w:r>
      <w:r w:rsidR="000B6D72" w:rsidRPr="00A80972">
        <w:rPr>
          <w:i/>
        </w:rPr>
        <w:t>Sutarties S</w:t>
      </w:r>
      <w:r w:rsidR="00F50F65" w:rsidRPr="00A80972">
        <w:rPr>
          <w:i/>
        </w:rPr>
        <w:t>pecialioje dalyje</w:t>
      </w:r>
      <w:r w:rsidR="0079744B" w:rsidRPr="00A80972">
        <w:rPr>
          <w:i/>
        </w:rPr>
        <w:t>)</w:t>
      </w:r>
      <w:r w:rsidR="00F50F65" w:rsidRPr="00A80972">
        <w:rPr>
          <w:i/>
        </w:rPr>
        <w:t xml:space="preserve"> </w:t>
      </w:r>
      <w:r w:rsidR="00EB04AE" w:rsidRPr="00A80972">
        <w:rPr>
          <w:bCs/>
        </w:rPr>
        <w:t xml:space="preserve">Šalių </w:t>
      </w:r>
      <w:r w:rsidR="00EB04AE" w:rsidRPr="00A80972">
        <w:t xml:space="preserve">iš anksto sutartų minimalių nuostolių, bet ne daugiau kaip visų pagal šią Sutartį neįvykdytų įsipareigojimų </w:t>
      </w:r>
      <w:r w:rsidR="00254816" w:rsidRPr="00A80972">
        <w:t>kainos</w:t>
      </w:r>
      <w:r w:rsidR="0062140A" w:rsidRPr="00A80972">
        <w:t xml:space="preserve"> be PVM</w:t>
      </w:r>
      <w:r w:rsidR="00EB04AE" w:rsidRPr="00A80972">
        <w:t xml:space="preserve">. Šalių iš anksto sutartų minimalių nuostolių sumokėjimas neatleidžia </w:t>
      </w:r>
      <w:r w:rsidR="00EB04AE" w:rsidRPr="00A80972">
        <w:rPr>
          <w:b/>
        </w:rPr>
        <w:t>Pardavėjo</w:t>
      </w:r>
      <w:r w:rsidR="00EB04AE" w:rsidRPr="00A80972">
        <w:t xml:space="preserve"> nuo pareigos atlyginti visus </w:t>
      </w:r>
      <w:r w:rsidR="00EB04AE" w:rsidRPr="00A80972">
        <w:rPr>
          <w:b/>
          <w:bCs/>
        </w:rPr>
        <w:t>Pirkėjo</w:t>
      </w:r>
      <w:r w:rsidR="00EB04AE" w:rsidRPr="00A80972">
        <w:t xml:space="preserve"> patirtus nuostolius, </w:t>
      </w:r>
      <w:r w:rsidR="00EB04AE" w:rsidRPr="00A80972">
        <w:rPr>
          <w:b/>
        </w:rPr>
        <w:t>Pardavėjui</w:t>
      </w:r>
      <w:r w:rsidR="00EB04AE" w:rsidRPr="00A80972">
        <w:t xml:space="preserve"> nevykdant ar netinkamai vykdant sutartį.</w:t>
      </w:r>
      <w:r w:rsidR="006E29C3" w:rsidRPr="00A80972">
        <w:t xml:space="preserve"> Šalių iš anksto sutartus minimalius nuostolius </w:t>
      </w:r>
      <w:r w:rsidR="006E29C3" w:rsidRPr="00A80972">
        <w:rPr>
          <w:b/>
        </w:rPr>
        <w:t>Pardavėjas</w:t>
      </w:r>
      <w:r w:rsidR="006E29C3" w:rsidRPr="00A80972">
        <w:t xml:space="preserve"> įsipareigoja sumokėti ne vėliau kaip per sąskaitoje faktūroje ar pareikalavime nurodytą terminą.</w:t>
      </w:r>
    </w:p>
    <w:p w:rsidR="00E6025E" w:rsidRPr="00A80972" w:rsidRDefault="00AE446D" w:rsidP="00E6025E">
      <w:pPr>
        <w:jc w:val="both"/>
        <w:rPr>
          <w:b/>
        </w:rPr>
      </w:pPr>
      <w:r w:rsidRPr="00A80972">
        <w:t>11.</w:t>
      </w:r>
      <w:r w:rsidR="002F65A5" w:rsidRPr="00A80972">
        <w:t>5</w:t>
      </w:r>
      <w:r w:rsidRPr="00A80972">
        <w:t>. Nutraukus Sutartį dėl S</w:t>
      </w:r>
      <w:r w:rsidR="00E6025E" w:rsidRPr="00A80972">
        <w:t>utarties bendrojoje dalyje 9.2.</w:t>
      </w:r>
      <w:r w:rsidR="005B742C" w:rsidRPr="00A80972">
        <w:t>4</w:t>
      </w:r>
      <w:r w:rsidR="00E6025E" w:rsidRPr="00A80972">
        <w:t xml:space="preserve"> punkte </w:t>
      </w:r>
      <w:r w:rsidR="000B3B27" w:rsidRPr="00A80972">
        <w:t>nurodytos priežasties</w:t>
      </w:r>
      <w:r w:rsidR="00E6025E" w:rsidRPr="00A80972">
        <w:t xml:space="preserve">, </w:t>
      </w:r>
      <w:r w:rsidR="00E6025E" w:rsidRPr="00A80972">
        <w:rPr>
          <w:b/>
        </w:rPr>
        <w:t>Pardavėjas</w:t>
      </w:r>
      <w:r w:rsidR="00E6025E" w:rsidRPr="00A80972">
        <w:t xml:space="preserve"> per 7 (septynias) dienas (skai</w:t>
      </w:r>
      <w:r w:rsidRPr="00A80972">
        <w:t>čiuojant nuo S</w:t>
      </w:r>
      <w:r w:rsidR="00E6025E" w:rsidRPr="00A80972">
        <w:t>utarties nutraukimo dienos) turi sumokėti</w:t>
      </w:r>
      <w:r w:rsidR="00E6025E" w:rsidRPr="00A80972">
        <w:rPr>
          <w:b/>
          <w:bCs/>
        </w:rPr>
        <w:t xml:space="preserve"> Pirkėjui</w:t>
      </w:r>
      <w:r w:rsidR="00E6025E" w:rsidRPr="00A80972">
        <w:rPr>
          <w:b/>
        </w:rPr>
        <w:t xml:space="preserve"> </w:t>
      </w:r>
      <w:r w:rsidR="00E6025E" w:rsidRPr="00A80972">
        <w:t>prekių su trūkumai</w:t>
      </w:r>
      <w:r w:rsidR="002857F9" w:rsidRPr="00A80972">
        <w:t>s</w:t>
      </w:r>
      <w:r w:rsidR="00E6025E" w:rsidRPr="00A80972">
        <w:t xml:space="preserve"> įsigijimo </w:t>
      </w:r>
      <w:r w:rsidR="00254816" w:rsidRPr="00A80972">
        <w:t xml:space="preserve">kainos </w:t>
      </w:r>
      <w:r w:rsidR="0062140A" w:rsidRPr="00A80972">
        <w:t xml:space="preserve">be PVM </w:t>
      </w:r>
      <w:r w:rsidR="00E6025E" w:rsidRPr="00A80972">
        <w:t>dy</w:t>
      </w:r>
      <w:r w:rsidR="005639C2" w:rsidRPr="00A80972">
        <w:t>d</w:t>
      </w:r>
      <w:r w:rsidR="00E6025E" w:rsidRPr="00A80972">
        <w:t>žio</w:t>
      </w:r>
      <w:r w:rsidR="00E6025E" w:rsidRPr="00A80972">
        <w:rPr>
          <w:b/>
        </w:rPr>
        <w:t xml:space="preserve"> </w:t>
      </w:r>
      <w:r w:rsidR="00E6025E" w:rsidRPr="00A80972">
        <w:rPr>
          <w:bCs/>
        </w:rPr>
        <w:t xml:space="preserve">Šalių </w:t>
      </w:r>
      <w:r w:rsidR="00E6025E" w:rsidRPr="00A80972">
        <w:t>iš anksto sutart</w:t>
      </w:r>
      <w:r w:rsidR="003B319E" w:rsidRPr="00A80972">
        <w:t>us</w:t>
      </w:r>
      <w:r w:rsidR="00E6025E" w:rsidRPr="00A80972">
        <w:t xml:space="preserve"> minimali</w:t>
      </w:r>
      <w:r w:rsidR="003B319E" w:rsidRPr="00A80972">
        <w:t>us</w:t>
      </w:r>
      <w:r w:rsidR="00E6025E" w:rsidRPr="00A80972">
        <w:t xml:space="preserve"> nuostoli</w:t>
      </w:r>
      <w:r w:rsidR="003B319E" w:rsidRPr="00A80972">
        <w:t>us</w:t>
      </w:r>
      <w:r w:rsidR="00E6025E" w:rsidRPr="00A80972">
        <w:t xml:space="preserve">, bet ne daugiau kaip visų pagal šią Sutartį neįvykdytų įsipareigojimų </w:t>
      </w:r>
      <w:r w:rsidR="00254816" w:rsidRPr="00A80972">
        <w:t>kainos</w:t>
      </w:r>
      <w:r w:rsidR="0062140A" w:rsidRPr="00A80972">
        <w:t xml:space="preserve"> be PVM</w:t>
      </w:r>
      <w:r w:rsidR="00E6025E" w:rsidRPr="00A80972">
        <w:t xml:space="preserve">. Šalių iš anksto sutartų minimalių nuostolių sumokėjimas neatleidžia </w:t>
      </w:r>
      <w:r w:rsidR="00E6025E" w:rsidRPr="00A80972">
        <w:rPr>
          <w:b/>
        </w:rPr>
        <w:t>Pardavėjo</w:t>
      </w:r>
      <w:r w:rsidR="00E6025E" w:rsidRPr="00A80972">
        <w:t xml:space="preserve"> nuo pareigos atlyginti visus </w:t>
      </w:r>
      <w:r w:rsidR="00E6025E" w:rsidRPr="00A80972">
        <w:rPr>
          <w:b/>
          <w:bCs/>
        </w:rPr>
        <w:t>Pirkėjo</w:t>
      </w:r>
      <w:r w:rsidR="00E6025E" w:rsidRPr="00A80972">
        <w:t xml:space="preserve"> patirtus nuostolius, </w:t>
      </w:r>
      <w:r w:rsidR="00E6025E" w:rsidRPr="00A80972">
        <w:rPr>
          <w:b/>
        </w:rPr>
        <w:t>Pardavėjui</w:t>
      </w:r>
      <w:r w:rsidR="00E6025E" w:rsidRPr="00A80972">
        <w:t xml:space="preserve"> nevykdant ar netinkamai vykdant </w:t>
      </w:r>
      <w:r w:rsidR="00D46716" w:rsidRPr="00A80972">
        <w:t>Sutartį</w:t>
      </w:r>
      <w:r w:rsidR="00E6025E" w:rsidRPr="00A80972">
        <w:t xml:space="preserve">. </w:t>
      </w:r>
    </w:p>
    <w:p w:rsidR="00E6025E" w:rsidRPr="00A80972" w:rsidRDefault="005639C2" w:rsidP="00EB04AE">
      <w:pPr>
        <w:jc w:val="both"/>
      </w:pPr>
      <w:r w:rsidRPr="00A80972">
        <w:t>11.</w:t>
      </w:r>
      <w:r w:rsidR="002F65A5" w:rsidRPr="00A80972">
        <w:t>6</w:t>
      </w:r>
      <w:r w:rsidRPr="00A80972">
        <w:t xml:space="preserve">. Kiti sutartinės atsakomybės taikymo </w:t>
      </w:r>
      <w:r w:rsidRPr="00A80972">
        <w:rPr>
          <w:b/>
        </w:rPr>
        <w:t>Pardavėjui</w:t>
      </w:r>
      <w:r w:rsidR="000B6D72" w:rsidRPr="00A80972">
        <w:t xml:space="preserve"> atvejai nurodyti Sutarties S</w:t>
      </w:r>
      <w:r w:rsidRPr="00A80972">
        <w:t>pecialiojoje</w:t>
      </w:r>
      <w:r w:rsidR="00AE446D" w:rsidRPr="00A80972">
        <w:t xml:space="preserve"> dalyje</w:t>
      </w:r>
      <w:r w:rsidR="00425E86" w:rsidRPr="00A80972">
        <w:t>.</w:t>
      </w:r>
    </w:p>
    <w:p w:rsidR="00EB04AE" w:rsidRPr="00A80972" w:rsidRDefault="005639C2" w:rsidP="00EB04AE">
      <w:pPr>
        <w:pStyle w:val="BodyTextIndent2"/>
        <w:ind w:left="0" w:firstLine="0"/>
        <w:jc w:val="both"/>
        <w:rPr>
          <w:i w:val="0"/>
          <w:color w:val="auto"/>
          <w:sz w:val="24"/>
          <w:szCs w:val="24"/>
          <w:lang w:val="lt-LT"/>
        </w:rPr>
      </w:pPr>
      <w:r w:rsidRPr="00A80972">
        <w:rPr>
          <w:i w:val="0"/>
          <w:color w:val="auto"/>
          <w:sz w:val="24"/>
          <w:szCs w:val="24"/>
          <w:lang w:val="lt-LT"/>
        </w:rPr>
        <w:t>11.</w:t>
      </w:r>
      <w:r w:rsidR="002F65A5" w:rsidRPr="00A80972">
        <w:rPr>
          <w:i w:val="0"/>
          <w:color w:val="auto"/>
          <w:sz w:val="24"/>
          <w:szCs w:val="24"/>
          <w:lang w:val="lt-LT"/>
        </w:rPr>
        <w:t>7</w:t>
      </w:r>
      <w:r w:rsidR="00EB04AE" w:rsidRPr="00A80972">
        <w:rPr>
          <w:i w:val="0"/>
          <w:color w:val="auto"/>
          <w:sz w:val="24"/>
          <w:szCs w:val="24"/>
          <w:lang w:val="lt-LT"/>
        </w:rPr>
        <w:t xml:space="preserve">. </w:t>
      </w:r>
      <w:r w:rsidR="008D6949" w:rsidRPr="00A80972">
        <w:rPr>
          <w:i w:val="0"/>
          <w:sz w:val="24"/>
          <w:szCs w:val="24"/>
          <w:lang w:val="lt-LT"/>
        </w:rPr>
        <w:t>Vadovaujantis Lietuvos Respublikos civilinio kodekso 6.253 str</w:t>
      </w:r>
      <w:r w:rsidR="00465D89" w:rsidRPr="00A80972">
        <w:rPr>
          <w:i w:val="0"/>
          <w:sz w:val="24"/>
          <w:szCs w:val="24"/>
          <w:lang w:val="lt-LT"/>
        </w:rPr>
        <w:t>aipsnio</w:t>
      </w:r>
      <w:r w:rsidR="008D6949" w:rsidRPr="00A80972">
        <w:rPr>
          <w:i w:val="0"/>
          <w:sz w:val="24"/>
          <w:szCs w:val="24"/>
          <w:lang w:val="lt-LT"/>
        </w:rPr>
        <w:t xml:space="preserve"> 1 ir 3 dalimis,</w:t>
      </w:r>
      <w:r w:rsidR="008D6949" w:rsidRPr="00A80972">
        <w:rPr>
          <w:i w:val="0"/>
          <w:color w:val="auto"/>
          <w:sz w:val="24"/>
          <w:szCs w:val="24"/>
          <w:lang w:val="lt-LT"/>
        </w:rPr>
        <w:t xml:space="preserve"> f</w:t>
      </w:r>
      <w:r w:rsidR="00EB04AE" w:rsidRPr="00A80972">
        <w:rPr>
          <w:i w:val="0"/>
          <w:color w:val="auto"/>
          <w:sz w:val="24"/>
          <w:szCs w:val="24"/>
          <w:lang w:val="lt-LT"/>
        </w:rPr>
        <w:t xml:space="preserve">inansavimo vėlavimas iš biudžeto yra sąlyga visiškai atleidžianti </w:t>
      </w:r>
      <w:r w:rsidR="00EB04AE" w:rsidRPr="00A80972">
        <w:rPr>
          <w:b/>
          <w:i w:val="0"/>
          <w:color w:val="auto"/>
          <w:sz w:val="24"/>
          <w:szCs w:val="24"/>
          <w:lang w:val="lt-LT"/>
        </w:rPr>
        <w:t xml:space="preserve">Pirkėją </w:t>
      </w:r>
      <w:r w:rsidR="00EB04AE" w:rsidRPr="00A80972">
        <w:rPr>
          <w:i w:val="0"/>
          <w:color w:val="auto"/>
          <w:sz w:val="24"/>
          <w:szCs w:val="24"/>
          <w:lang w:val="lt-LT"/>
        </w:rPr>
        <w:t xml:space="preserve">nuo civilinės atsakomybės ir palūkanų mokėjimo </w:t>
      </w:r>
      <w:r w:rsidR="00A00CBB" w:rsidRPr="00A80972">
        <w:rPr>
          <w:b/>
          <w:i w:val="0"/>
          <w:color w:val="auto"/>
          <w:sz w:val="24"/>
          <w:szCs w:val="24"/>
          <w:lang w:val="lt-LT"/>
        </w:rPr>
        <w:t>Pardavėjui</w:t>
      </w:r>
      <w:r w:rsidR="00A00CBB" w:rsidRPr="00A80972">
        <w:rPr>
          <w:i w:val="0"/>
          <w:color w:val="auto"/>
          <w:sz w:val="24"/>
          <w:szCs w:val="24"/>
          <w:lang w:val="lt-LT"/>
        </w:rPr>
        <w:t xml:space="preserve"> </w:t>
      </w:r>
      <w:r w:rsidR="00EB04AE" w:rsidRPr="00A80972">
        <w:rPr>
          <w:i w:val="0"/>
          <w:color w:val="auto"/>
          <w:sz w:val="24"/>
          <w:szCs w:val="24"/>
          <w:lang w:val="lt-LT"/>
        </w:rPr>
        <w:t>už pavėluotą atsiskaitymą.</w:t>
      </w:r>
    </w:p>
    <w:p w:rsidR="00B33C8A" w:rsidRPr="00D50103" w:rsidRDefault="00B33C8A" w:rsidP="00EB04AE">
      <w:pPr>
        <w:jc w:val="both"/>
        <w:rPr>
          <w:highlight w:val="yellow"/>
        </w:rPr>
      </w:pPr>
    </w:p>
    <w:p w:rsidR="00EB04AE" w:rsidRPr="00A80972" w:rsidRDefault="00EB04AE" w:rsidP="00EB04AE">
      <w:pPr>
        <w:jc w:val="both"/>
        <w:rPr>
          <w:b/>
        </w:rPr>
      </w:pPr>
      <w:r w:rsidRPr="00A80972">
        <w:rPr>
          <w:b/>
        </w:rPr>
        <w:t>12. Sutarties galiojimas</w:t>
      </w:r>
    </w:p>
    <w:p w:rsidR="00E56ED2" w:rsidRPr="00A80972" w:rsidRDefault="00EB04AE" w:rsidP="00E56ED2">
      <w:pPr>
        <w:jc w:val="both"/>
      </w:pPr>
      <w:r w:rsidRPr="00A80972">
        <w:t xml:space="preserve">12.1. Sutartis įsigalioja abiem Šalims ją pasirašius ir </w:t>
      </w:r>
      <w:r w:rsidRPr="00A80972">
        <w:rPr>
          <w:b/>
        </w:rPr>
        <w:t>Pardavėjui</w:t>
      </w:r>
      <w:r w:rsidRPr="00A80972">
        <w:t xml:space="preserve"> pateikus </w:t>
      </w:r>
      <w:r w:rsidRPr="00A80972">
        <w:rPr>
          <w:b/>
        </w:rPr>
        <w:t xml:space="preserve">Pirkėjui </w:t>
      </w:r>
      <w:r w:rsidR="00E56ED2" w:rsidRPr="00A80972">
        <w:t>S</w:t>
      </w:r>
      <w:r w:rsidRPr="00A80972">
        <w:t>utarties įvykdymo užtikrinimo banko garantiją ar draudimo bendrovės</w:t>
      </w:r>
      <w:r w:rsidR="00E56ED2" w:rsidRPr="00A80972">
        <w:t xml:space="preserve"> laidavimo raštą</w:t>
      </w:r>
      <w:r w:rsidR="00C83425" w:rsidRPr="00A80972">
        <w:t xml:space="preserve"> </w:t>
      </w:r>
      <w:r w:rsidR="006F5433" w:rsidRPr="00A80972">
        <w:rPr>
          <w:i/>
        </w:rPr>
        <w:t>(</w:t>
      </w:r>
      <w:r w:rsidR="008B3237" w:rsidRPr="00A80972">
        <w:rPr>
          <w:i/>
        </w:rPr>
        <w:t xml:space="preserve">ši </w:t>
      </w:r>
      <w:r w:rsidR="00155988" w:rsidRPr="00A80972">
        <w:rPr>
          <w:i/>
        </w:rPr>
        <w:t>Sutarties įsigaliojimo</w:t>
      </w:r>
      <w:r w:rsidR="008B3237" w:rsidRPr="00A80972">
        <w:rPr>
          <w:i/>
        </w:rPr>
        <w:t>,</w:t>
      </w:r>
      <w:r w:rsidR="00155988" w:rsidRPr="00A80972">
        <w:rPr>
          <w:i/>
        </w:rPr>
        <w:t xml:space="preserve"> kai pateikiamas užtikrinimas</w:t>
      </w:r>
      <w:r w:rsidR="008B3237" w:rsidRPr="00A80972">
        <w:rPr>
          <w:i/>
        </w:rPr>
        <w:t>,</w:t>
      </w:r>
      <w:r w:rsidR="00155988" w:rsidRPr="00A80972">
        <w:rPr>
          <w:i/>
        </w:rPr>
        <w:t xml:space="preserve"> sąlyga taikoma, jeigu Sutarties</w:t>
      </w:r>
      <w:r w:rsidR="008B3237" w:rsidRPr="00A80972">
        <w:rPr>
          <w:i/>
        </w:rPr>
        <w:t xml:space="preserve"> Specialiojoje</w:t>
      </w:r>
      <w:r w:rsidR="00155988" w:rsidRPr="00A80972">
        <w:rPr>
          <w:i/>
        </w:rPr>
        <w:t xml:space="preserve"> dalyje nurodyta, kad Sutarties vykdymas bus užtikrintas laidavimu arba banko garantija)</w:t>
      </w:r>
      <w:r w:rsidR="00E56ED2" w:rsidRPr="00A80972">
        <w:t>, užtikrinantį S</w:t>
      </w:r>
      <w:r w:rsidR="008B3237" w:rsidRPr="00A80972">
        <w:t>utarties B</w:t>
      </w:r>
      <w:r w:rsidRPr="00A80972">
        <w:t>endrosios dalies 11.</w:t>
      </w:r>
      <w:r w:rsidR="005B742C" w:rsidRPr="00A80972">
        <w:t>4</w:t>
      </w:r>
      <w:r w:rsidRPr="00A80972">
        <w:t xml:space="preserve"> punkte nurodytos sumos sumokėjimą</w:t>
      </w:r>
      <w:r w:rsidR="00C83425" w:rsidRPr="00A80972">
        <w:t>.</w:t>
      </w:r>
      <w:r w:rsidR="00A3091D" w:rsidRPr="00A80972">
        <w:t xml:space="preserve"> </w:t>
      </w:r>
      <w:r w:rsidR="002E07D6" w:rsidRPr="00A80972">
        <w:t>Banko garantijoje ar draudimo bendrovės laidavimo rašte garantas/laiduotojas turi į</w:t>
      </w:r>
      <w:r w:rsidR="00EA6C05" w:rsidRPr="00A80972">
        <w:t>sipareigoti sumokėti Sutarties B</w:t>
      </w:r>
      <w:r w:rsidR="002E07D6" w:rsidRPr="00A80972">
        <w:t xml:space="preserve">endrosios dalies 11.4 punkte nurodytą sumą </w:t>
      </w:r>
      <w:r w:rsidR="00E56ED2" w:rsidRPr="00A80972">
        <w:rPr>
          <w:b/>
        </w:rPr>
        <w:t xml:space="preserve">Pirkėjui </w:t>
      </w:r>
      <w:r w:rsidR="00E56ED2" w:rsidRPr="00A80972">
        <w:t>nutraukus Sutartį dėl bent vienos iš 9.2.1- 9.2.</w:t>
      </w:r>
      <w:r w:rsidR="00C33D3A" w:rsidRPr="00A80972">
        <w:t>7, 9.3</w:t>
      </w:r>
      <w:r w:rsidR="00E56ED2" w:rsidRPr="00A80972">
        <w:t xml:space="preserve"> punktuose </w:t>
      </w:r>
      <w:r w:rsidR="00EA6C05" w:rsidRPr="00A80972">
        <w:t>ar kitų Sutarties S</w:t>
      </w:r>
      <w:r w:rsidR="00E21B83" w:rsidRPr="00A80972">
        <w:t>pecialiojoje dalyje</w:t>
      </w:r>
      <w:r w:rsidR="00E21B83" w:rsidRPr="00A80972">
        <w:rPr>
          <w:b/>
        </w:rPr>
        <w:t xml:space="preserve"> </w:t>
      </w:r>
      <w:r w:rsidR="00E56ED2" w:rsidRPr="00A80972">
        <w:t>išvardintų priežasčių</w:t>
      </w:r>
      <w:r w:rsidR="002E07D6" w:rsidRPr="00A80972">
        <w:t>.</w:t>
      </w:r>
      <w:r w:rsidR="00E56ED2" w:rsidRPr="00A80972">
        <w:t xml:space="preserve"> </w:t>
      </w:r>
      <w:r w:rsidR="00862F43" w:rsidRPr="00A80972">
        <w:t>Banko g</w:t>
      </w:r>
      <w:r w:rsidR="00E56ED2" w:rsidRPr="00A80972">
        <w:t>arantijos ar laidavimo raštas, kuriame nurodoma, kad garantas ar laiduotojas atsako tik už tiesioginių nuostolių atlyginimą nebus priimam</w:t>
      </w:r>
      <w:r w:rsidR="00777F64" w:rsidRPr="00A80972">
        <w:t>as</w:t>
      </w:r>
      <w:r w:rsidR="00E56ED2" w:rsidRPr="00A80972">
        <w:t>, kadangi turi būti įsipareigojama atlyginti konkrečią Sutarties įvykdymo užtikrini</w:t>
      </w:r>
      <w:r w:rsidR="00211E52" w:rsidRPr="00A80972">
        <w:t xml:space="preserve">mo sumą, nurodytą </w:t>
      </w:r>
      <w:r w:rsidR="00862F43" w:rsidRPr="00A80972">
        <w:t xml:space="preserve">Sutarties </w:t>
      </w:r>
      <w:r w:rsidR="00211E52" w:rsidRPr="00A80972">
        <w:t>11.</w:t>
      </w:r>
      <w:r w:rsidR="005B742C" w:rsidRPr="00A80972">
        <w:t>4</w:t>
      </w:r>
      <w:r w:rsidR="00E56ED2" w:rsidRPr="00A80972">
        <w:t xml:space="preserve"> punkte</w:t>
      </w:r>
      <w:r w:rsidR="00F47684" w:rsidRPr="00A80972">
        <w:t>.</w:t>
      </w:r>
    </w:p>
    <w:p w:rsidR="00E56ED2" w:rsidRPr="00A80972" w:rsidRDefault="00E56ED2" w:rsidP="00E56ED2">
      <w:pPr>
        <w:jc w:val="both"/>
      </w:pPr>
      <w:r w:rsidRPr="00A80972">
        <w:t xml:space="preserve">12.2. Garantas/laiduotojas turi neatšaukiamai ir besąlygiškai įsipareigoti </w:t>
      </w:r>
      <w:r w:rsidR="00211E52" w:rsidRPr="00A80972">
        <w:t xml:space="preserve">ne vėliau kaip </w:t>
      </w:r>
      <w:r w:rsidRPr="00A80972">
        <w:t xml:space="preserve">per 14 (keturiolika) dienų nuo raštiško pranešimo, patvirtinančio Sutarties nutraukimą dėl Sutartyje numatytų pagrindų esant </w:t>
      </w:r>
      <w:r w:rsidRPr="00A80972">
        <w:rPr>
          <w:b/>
        </w:rPr>
        <w:t xml:space="preserve">Pardavėjo </w:t>
      </w:r>
      <w:r w:rsidRPr="00A80972">
        <w:t xml:space="preserve">kaltei, įvykdyti prievolę ir sumokėti įsipareigotą sumą, pinigus pervedant į </w:t>
      </w:r>
      <w:r w:rsidR="00211E52" w:rsidRPr="00A80972">
        <w:rPr>
          <w:b/>
        </w:rPr>
        <w:t>Pirkėjo</w:t>
      </w:r>
      <w:r w:rsidR="00211E52" w:rsidRPr="00A80972">
        <w:t xml:space="preserve"> sąskaitą</w:t>
      </w:r>
      <w:r w:rsidR="00C7180C" w:rsidRPr="00A80972">
        <w:t>.</w:t>
      </w:r>
    </w:p>
    <w:p w:rsidR="00EB04AE" w:rsidRPr="00A80972" w:rsidRDefault="00E56ED2" w:rsidP="00EB04AE">
      <w:pPr>
        <w:jc w:val="both"/>
        <w:rPr>
          <w:b/>
        </w:rPr>
      </w:pPr>
      <w:r w:rsidRPr="00A80972">
        <w:t>12.3.</w:t>
      </w:r>
      <w:r w:rsidRPr="00A80972">
        <w:rPr>
          <w:b/>
        </w:rPr>
        <w:t xml:space="preserve"> </w:t>
      </w:r>
      <w:r w:rsidR="00EB04AE" w:rsidRPr="00A80972">
        <w:rPr>
          <w:b/>
        </w:rPr>
        <w:t>Pardavėjas</w:t>
      </w:r>
      <w:r w:rsidR="00EB04AE" w:rsidRPr="00A80972">
        <w:t xml:space="preserve"> ne vėliau kaip</w:t>
      </w:r>
      <w:r w:rsidR="00EB04AE" w:rsidRPr="00A80972">
        <w:rPr>
          <w:b/>
        </w:rPr>
        <w:t xml:space="preserve"> </w:t>
      </w:r>
      <w:r w:rsidR="00115837" w:rsidRPr="00A80972">
        <w:t>per 5 (penkias</w:t>
      </w:r>
      <w:r w:rsidR="00EB04AE" w:rsidRPr="00A80972">
        <w:t xml:space="preserve">) </w:t>
      </w:r>
      <w:r w:rsidR="00211E52" w:rsidRPr="00A80972">
        <w:t xml:space="preserve">darbo </w:t>
      </w:r>
      <w:r w:rsidR="00EB04AE" w:rsidRPr="00A80972">
        <w:t xml:space="preserve">dienas po Sutarties pasirašymo pateikia </w:t>
      </w:r>
      <w:r w:rsidR="00EB04AE" w:rsidRPr="00A80972">
        <w:rPr>
          <w:b/>
        </w:rPr>
        <w:t xml:space="preserve">Pirkėjui </w:t>
      </w:r>
      <w:r w:rsidR="00EB04AE" w:rsidRPr="00A80972">
        <w:t>Sutarties bendrosi</w:t>
      </w:r>
      <w:r w:rsidRPr="00A80972">
        <w:t>os dalies 12.1 punkte nurodytą S</w:t>
      </w:r>
      <w:r w:rsidR="00EB04AE" w:rsidRPr="00A80972">
        <w:t xml:space="preserve">utarties įvykdymo užtikrinimo banko garantiją arba draudimo bendrovės laidavimo raštą, kuris galiotų dviem </w:t>
      </w:r>
      <w:r w:rsidR="00EA6C05" w:rsidRPr="00A80972">
        <w:t>mėnesiais ilgiau nei Sutarties S</w:t>
      </w:r>
      <w:r w:rsidR="00EB04AE" w:rsidRPr="00A80972">
        <w:t>pecialiojoje dalyje nurodytas prekių tiekimo terminas</w:t>
      </w:r>
      <w:r w:rsidR="00A478B9" w:rsidRPr="00A80972">
        <w:t xml:space="preserve"> ar Sutarties galiojimo terminas.</w:t>
      </w:r>
      <w:r w:rsidR="00155B77" w:rsidRPr="00A80972">
        <w:t xml:space="preserve"> </w:t>
      </w:r>
      <w:r w:rsidR="00155B77" w:rsidRPr="00A80972">
        <w:rPr>
          <w:b/>
        </w:rPr>
        <w:t>Pardavėjas</w:t>
      </w:r>
      <w:r w:rsidR="00155B77" w:rsidRPr="00A80972">
        <w:t xml:space="preserve"> taip pat turi pateikti patvirtinimą iš draudimo bendrovės</w:t>
      </w:r>
      <w:r w:rsidR="00AF66A6" w:rsidRPr="00A80972">
        <w:t xml:space="preserve"> </w:t>
      </w:r>
      <w:r w:rsidR="00AF66A6" w:rsidRPr="00A80972">
        <w:rPr>
          <w:color w:val="000000"/>
        </w:rPr>
        <w:t>(apmokėjimą įrodantį dokumentą ar pan.)</w:t>
      </w:r>
      <w:r w:rsidR="00155B77" w:rsidRPr="00A80972">
        <w:t>, kad laidavimo raštas yra galiojantis</w:t>
      </w:r>
      <w:r w:rsidR="00155B77" w:rsidRPr="00A80972">
        <w:rPr>
          <w:i/>
        </w:rPr>
        <w:t>.</w:t>
      </w:r>
      <w:r w:rsidR="00A478B9" w:rsidRPr="00A80972">
        <w:t xml:space="preserve"> </w:t>
      </w:r>
      <w:r w:rsidR="00EB04AE" w:rsidRPr="00A80972">
        <w:t xml:space="preserve">Sutarties įvykdymo užtikrinimo banko garantijoje arba draudimo bendrovės </w:t>
      </w:r>
      <w:r w:rsidR="00EB04AE" w:rsidRPr="00A80972">
        <w:lastRenderedPageBreak/>
        <w:t xml:space="preserve">laidavimo rašte nurodytos sumos sumokėjimas neturi būti siejamas su visišku </w:t>
      </w:r>
      <w:r w:rsidR="00EB04AE" w:rsidRPr="00A80972">
        <w:rPr>
          <w:b/>
        </w:rPr>
        <w:t>Pirkėjo</w:t>
      </w:r>
      <w:r w:rsidR="00EB04AE" w:rsidRPr="00A80972">
        <w:t xml:space="preserve"> patirtų nuostolių atlyginimu ir neatleidžia </w:t>
      </w:r>
      <w:r w:rsidR="00EB04AE" w:rsidRPr="00A80972">
        <w:rPr>
          <w:b/>
        </w:rPr>
        <w:t>Pardavėjo</w:t>
      </w:r>
      <w:r w:rsidR="00EB04AE" w:rsidRPr="00A80972">
        <w:t xml:space="preserve"> nuo pareigos juos atlyginti pilnai</w:t>
      </w:r>
      <w:r w:rsidR="006573EA" w:rsidRPr="00A80972">
        <w:t xml:space="preserve">. </w:t>
      </w:r>
    </w:p>
    <w:p w:rsidR="00EB04AE" w:rsidRPr="00A80972" w:rsidRDefault="00E56ED2" w:rsidP="004E00C2">
      <w:pPr>
        <w:jc w:val="both"/>
      </w:pPr>
      <w:r w:rsidRPr="00A80972">
        <w:t>12.4</w:t>
      </w:r>
      <w:r w:rsidR="00EB04AE" w:rsidRPr="00A80972">
        <w:t xml:space="preserve">. Jei </w:t>
      </w:r>
      <w:r w:rsidR="00CF052C" w:rsidRPr="00A80972">
        <w:t xml:space="preserve">Sutarties </w:t>
      </w:r>
      <w:r w:rsidR="00EB04AE" w:rsidRPr="00A80972">
        <w:t xml:space="preserve">vykdymo metu </w:t>
      </w:r>
      <w:r w:rsidR="00CF052C" w:rsidRPr="00A80972">
        <w:t>S</w:t>
      </w:r>
      <w:r w:rsidR="00EB04AE" w:rsidRPr="00A80972">
        <w:t>utarties įvykdymo užtikrinimą išdavęs juridinis asmuo (bankas ar draudimo bendrovė) negali vykdyti savo įsipareigojimų</w:t>
      </w:r>
      <w:r w:rsidR="004752BE" w:rsidRPr="00A80972">
        <w:t xml:space="preserve"> (sustabdoma veikla, paskelbiamas moratoriumas ir pan.)</w:t>
      </w:r>
      <w:r w:rsidR="00EB04AE" w:rsidRPr="00A80972">
        <w:t xml:space="preserve">, </w:t>
      </w:r>
      <w:r w:rsidR="00EB04AE" w:rsidRPr="00A80972">
        <w:rPr>
          <w:b/>
        </w:rPr>
        <w:t>Pardavėjas</w:t>
      </w:r>
      <w:r w:rsidR="00EB04AE" w:rsidRPr="00A80972">
        <w:t xml:space="preserve"> per 10 (dešimt) dienų pateikia naują Sutarties vykdymo užtikrinimą, tokiomis pačiomis sąlygomis kaip ir ankstesnysis. Jei </w:t>
      </w:r>
      <w:r w:rsidR="00EB04AE" w:rsidRPr="00A80972">
        <w:rPr>
          <w:b/>
        </w:rPr>
        <w:t xml:space="preserve">Pardavėjas </w:t>
      </w:r>
      <w:r w:rsidRPr="00A80972">
        <w:t>nepateikia naujo S</w:t>
      </w:r>
      <w:r w:rsidR="00EB04AE" w:rsidRPr="00A80972">
        <w:t xml:space="preserve">utarties įvykdymo užtikrinimo, </w:t>
      </w:r>
      <w:r w:rsidR="00EB04AE" w:rsidRPr="00A80972">
        <w:rPr>
          <w:b/>
        </w:rPr>
        <w:t>Pirkėjas</w:t>
      </w:r>
      <w:r w:rsidR="00EB04AE" w:rsidRPr="00A80972">
        <w:t xml:space="preserve"> turi teisę nutraukti Sutartį, Sutarties</w:t>
      </w:r>
      <w:r w:rsidR="00EA6C05" w:rsidRPr="00A80972">
        <w:t xml:space="preserve"> B</w:t>
      </w:r>
      <w:r w:rsidR="00EB04AE" w:rsidRPr="00A80972">
        <w:t>endrosios dalies 9.2.</w:t>
      </w:r>
      <w:r w:rsidR="005322FC" w:rsidRPr="00A80972">
        <w:t>5</w:t>
      </w:r>
      <w:r w:rsidR="00EB04AE" w:rsidRPr="00A80972">
        <w:t xml:space="preserve"> punkte nustatyta tvarka.</w:t>
      </w:r>
    </w:p>
    <w:p w:rsidR="00EB04AE" w:rsidRPr="00A80972" w:rsidRDefault="00E56ED2" w:rsidP="00EB04AE">
      <w:pPr>
        <w:jc w:val="both"/>
      </w:pPr>
      <w:r w:rsidRPr="00A80972">
        <w:t>12.5</w:t>
      </w:r>
      <w:r w:rsidR="00EB04AE" w:rsidRPr="00A80972">
        <w:t xml:space="preserve">. Sutarties įvykdymo užtikrinimas grąžinamas per 10 (dešimt) dienų nuo šio užtikrinimo galiojimo termino pabaigos </w:t>
      </w:r>
      <w:r w:rsidR="00EB04AE" w:rsidRPr="00A80972">
        <w:rPr>
          <w:b/>
        </w:rPr>
        <w:t>Pardavėjui</w:t>
      </w:r>
      <w:r w:rsidR="00EB04AE" w:rsidRPr="00A80972">
        <w:t xml:space="preserve"> pateikus raštišką prašymą</w:t>
      </w:r>
      <w:r w:rsidR="001238E7" w:rsidRPr="00A80972">
        <w:t>.</w:t>
      </w:r>
    </w:p>
    <w:p w:rsidR="00F94CFB" w:rsidRPr="00A80972" w:rsidRDefault="00F94CFB" w:rsidP="00F94CFB">
      <w:pPr>
        <w:jc w:val="both"/>
      </w:pPr>
      <w:r w:rsidRPr="00A80972">
        <w:t xml:space="preserve">12.6. Sutarties sąlygos </w:t>
      </w:r>
      <w:r w:rsidR="00CB1D2A" w:rsidRPr="00A80972">
        <w:t>Sutarties</w:t>
      </w:r>
      <w:r w:rsidRPr="00A80972">
        <w:t xml:space="preserve"> galiojimo laikotarpiu negali būti keičiamos, išskyrus</w:t>
      </w:r>
      <w:r w:rsidR="00CF052C" w:rsidRPr="00A80972">
        <w:t xml:space="preserve"> a</w:t>
      </w:r>
      <w:r w:rsidRPr="00A80972">
        <w:t>tvejus, kai pakeitimas yra galimas vadovaujantis Viešųjų pirkimų įstatymo 89 straipsnio nuostatomis</w:t>
      </w:r>
      <w:r w:rsidR="00CF052C" w:rsidRPr="00A80972">
        <w:t>/Viešųjų pirkimų, atliekamų gynybos ir saugumo srityje, įstatymo 53 straipsnio nuostatomis</w:t>
      </w:r>
      <w:r w:rsidRPr="00A80972">
        <w:t xml:space="preserve"> ir neprieštarauja pagrindiniams viešųjų pirkimų principa</w:t>
      </w:r>
      <w:r w:rsidR="00CB1D2A" w:rsidRPr="00A80972">
        <w:t>m</w:t>
      </w:r>
      <w:r w:rsidRPr="00A80972">
        <w:t xml:space="preserve">s bei tikslui. </w:t>
      </w:r>
    </w:p>
    <w:p w:rsidR="00202F29" w:rsidRPr="00A80972" w:rsidRDefault="00202F29" w:rsidP="00202F29">
      <w:pPr>
        <w:pStyle w:val="BodyText"/>
        <w:tabs>
          <w:tab w:val="left" w:pos="-360"/>
          <w:tab w:val="left" w:pos="0"/>
          <w:tab w:val="left" w:pos="1701"/>
        </w:tabs>
        <w:spacing w:after="0"/>
        <w:jc w:val="both"/>
      </w:pPr>
      <w:r w:rsidRPr="00A8097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A80972">
        <w:t>.</w:t>
      </w:r>
      <w:r w:rsidR="004E00C2" w:rsidRPr="00A80972">
        <w:t xml:space="preserve"> </w:t>
      </w:r>
      <w:r w:rsidRPr="00A80972">
        <w:t xml:space="preserve">Toks </w:t>
      </w:r>
      <w:r w:rsidR="00CB1D2A" w:rsidRPr="00A80972">
        <w:t xml:space="preserve">Sutarties </w:t>
      </w:r>
      <w:r w:rsidRPr="00A80972">
        <w:t>sąlygų patikslinimas nebus laikomas Sutarties sąlygų keitimu.</w:t>
      </w:r>
    </w:p>
    <w:p w:rsidR="007B6B19" w:rsidRPr="00A80972" w:rsidRDefault="00202F29" w:rsidP="00E226B0">
      <w:pPr>
        <w:jc w:val="both"/>
      </w:pPr>
      <w:r w:rsidRPr="00A80972">
        <w:t>12.8</w:t>
      </w:r>
      <w:r w:rsidR="00AE153C" w:rsidRPr="00A80972">
        <w:t xml:space="preserve">. Sutartis gali būti pratęsta Sutarties </w:t>
      </w:r>
      <w:r w:rsidR="00643E01" w:rsidRPr="00A80972">
        <w:t>S</w:t>
      </w:r>
      <w:r w:rsidR="00AE153C" w:rsidRPr="00A80972">
        <w:t>pecialiojoje dalyje nustatytomis sąlygomis</w:t>
      </w:r>
      <w:r w:rsidR="00973664" w:rsidRPr="00A80972">
        <w:t>.</w:t>
      </w:r>
    </w:p>
    <w:p w:rsidR="00E226B0" w:rsidRPr="00A80972" w:rsidRDefault="007B6B19" w:rsidP="00E226B0">
      <w:pPr>
        <w:jc w:val="both"/>
      </w:pPr>
      <w:r w:rsidRPr="00A80972">
        <w:t>12.9.</w:t>
      </w:r>
      <w:r w:rsidR="00E226B0" w:rsidRPr="00A80972">
        <w:t xml:space="preserve"> </w:t>
      </w:r>
      <w:r w:rsidRPr="00A80972">
        <w:t>E</w:t>
      </w:r>
      <w:r w:rsidR="00E226B0" w:rsidRPr="00A80972">
        <w:t xml:space="preserve">sant poreikiui, </w:t>
      </w:r>
      <w:r w:rsidR="00E226B0" w:rsidRPr="00A80972">
        <w:rPr>
          <w:b/>
        </w:rPr>
        <w:t>Pirkėjas</w:t>
      </w:r>
      <w:r w:rsidR="00E226B0" w:rsidRPr="00A80972">
        <w:t xml:space="preserve"> turi teisę įsigyti Sutartyje ir jos prieduose nenurodytų, tačiau su pirkimo objektu susijusių prekių neviršijant 10 procentų </w:t>
      </w:r>
      <w:r w:rsidR="00643E01" w:rsidRPr="00A80972">
        <w:t>Sutarties S</w:t>
      </w:r>
      <w:r w:rsidR="00E226B0" w:rsidRPr="00A80972">
        <w:t>pecialiosios dalies 2 punkte nurodytos maksimalios Sutarties kainos</w:t>
      </w:r>
      <w:r w:rsidRPr="00A80972">
        <w:t>/bendros pasiūlymo kainos</w:t>
      </w:r>
      <w:r w:rsidR="00E226B0" w:rsidRPr="00A80972">
        <w:t xml:space="preserve">. Sutartyje ir jos </w:t>
      </w:r>
      <w:r w:rsidRPr="00A80972">
        <w:t>priede (-</w:t>
      </w:r>
      <w:proofErr w:type="spellStart"/>
      <w:r w:rsidRPr="00A80972">
        <w:t>uose</w:t>
      </w:r>
      <w:proofErr w:type="spellEnd"/>
      <w:r w:rsidRPr="00A80972">
        <w:t xml:space="preserve">) </w:t>
      </w:r>
      <w:r w:rsidR="00E226B0" w:rsidRPr="00A80972">
        <w:t>nenurodytas, tačiau su pirkimo objektu susijusias prekes</w:t>
      </w:r>
      <w:r w:rsidR="00E226B0" w:rsidRPr="00A80972">
        <w:rPr>
          <w:b/>
        </w:rPr>
        <w:t xml:space="preserve"> Pardavėjas</w:t>
      </w:r>
      <w:r w:rsidR="00E226B0" w:rsidRPr="00A80972">
        <w:t xml:space="preserve"> gali tiekti tik ne didesnėmis nei užsakymo dieną </w:t>
      </w:r>
      <w:r w:rsidRPr="00A80972">
        <w:rPr>
          <w:b/>
        </w:rPr>
        <w:t xml:space="preserve">Pardavėjo </w:t>
      </w:r>
      <w:r w:rsidR="00E226B0" w:rsidRPr="00A80972">
        <w:t xml:space="preserve">prekybos vietoje, kataloge ar interneto svetainėje nurodytomis galiojančiomis šių prekių kainomis arba, jei tokios kainos neskelbiamos, </w:t>
      </w:r>
      <w:r w:rsidRPr="00A80972">
        <w:rPr>
          <w:b/>
        </w:rPr>
        <w:t>Pardavėjo</w:t>
      </w:r>
      <w:r w:rsidRPr="00A80972">
        <w:t xml:space="preserve"> </w:t>
      </w:r>
      <w:r w:rsidR="00E226B0" w:rsidRPr="00A80972">
        <w:t xml:space="preserve">pasiūlytomis, konkurencingomis ir rinką atitinkančiomis kainomis. Esant poreikiui įsigyti Sutartyje ir jos </w:t>
      </w:r>
      <w:r w:rsidRPr="00A80972">
        <w:t>priede (-</w:t>
      </w:r>
      <w:proofErr w:type="spellStart"/>
      <w:r w:rsidRPr="00A80972">
        <w:t>uose</w:t>
      </w:r>
      <w:proofErr w:type="spellEnd"/>
      <w:r w:rsidRPr="00A80972">
        <w:t xml:space="preserve">) </w:t>
      </w:r>
      <w:r w:rsidR="00E226B0" w:rsidRPr="00A80972">
        <w:t xml:space="preserve">nenurodytų, tačiau su pirkimo objektu susijusių prekių </w:t>
      </w:r>
      <w:r w:rsidR="00E226B0" w:rsidRPr="00A80972">
        <w:rPr>
          <w:b/>
        </w:rPr>
        <w:t>Pirkėjas</w:t>
      </w:r>
      <w:r w:rsidR="00E226B0" w:rsidRPr="00A80972">
        <w:t xml:space="preserve"> ir </w:t>
      </w:r>
      <w:r w:rsidR="00E226B0" w:rsidRPr="00A80972">
        <w:rPr>
          <w:b/>
        </w:rPr>
        <w:t>Pardavėjas</w:t>
      </w:r>
      <w:r w:rsidR="00E226B0" w:rsidRPr="00A80972">
        <w:t xml:space="preserve"> sudaro papildomą rašytinį susitarimą, kurio sąlygos privalo būti analogiškos Sutarties sąlygoms, atitinkamai jas pritaikant prie naujai perkamų prekių</w:t>
      </w:r>
      <w:r w:rsidRPr="00A80972">
        <w:t xml:space="preserve"> </w:t>
      </w:r>
      <w:r w:rsidRPr="00A80972">
        <w:rPr>
          <w:i/>
        </w:rPr>
        <w:t xml:space="preserve">(jei </w:t>
      </w:r>
      <w:r w:rsidR="00043B64" w:rsidRPr="00A80972">
        <w:rPr>
          <w:i/>
        </w:rPr>
        <w:t>Sutarties S</w:t>
      </w:r>
      <w:r w:rsidRPr="00A80972">
        <w:rPr>
          <w:i/>
        </w:rPr>
        <w:t>pec</w:t>
      </w:r>
      <w:r w:rsidR="00043B64" w:rsidRPr="00A80972">
        <w:rPr>
          <w:i/>
        </w:rPr>
        <w:t>ialiojoje</w:t>
      </w:r>
      <w:r w:rsidRPr="00A80972">
        <w:rPr>
          <w:i/>
        </w:rPr>
        <w:t xml:space="preserve"> dalyje nurodyta, kad ši sąlyga taikoma)</w:t>
      </w:r>
      <w:r w:rsidR="00E226B0" w:rsidRPr="00A80972">
        <w:t>.</w:t>
      </w:r>
    </w:p>
    <w:p w:rsidR="00325DC7" w:rsidRPr="00A80972" w:rsidRDefault="00325DC7" w:rsidP="00325DC7">
      <w:pPr>
        <w:jc w:val="both"/>
      </w:pPr>
      <w:r w:rsidRPr="00A80972">
        <w:t>12.</w:t>
      </w:r>
      <w:r w:rsidR="00973664" w:rsidRPr="00A80972">
        <w:t>10</w:t>
      </w:r>
      <w:r w:rsidRPr="00A80972">
        <w:t>. Sutarties</w:t>
      </w:r>
      <w:r w:rsidR="00043B64" w:rsidRPr="00A80972">
        <w:t xml:space="preserve"> S</w:t>
      </w:r>
      <w:r w:rsidRPr="00A80972">
        <w:t>pecialiojoje dalyje numatyta Sutarties galiojimo termino pabaiga nereiškia Šalių prievolių pagal Sutartį pabaigos ir neatleidžia Šalių nuo civilinės atsakomybės už Sutarties pažeidimą.</w:t>
      </w:r>
    </w:p>
    <w:p w:rsidR="000134F5" w:rsidRPr="00A80972" w:rsidRDefault="000134F5" w:rsidP="00EB04AE">
      <w:pPr>
        <w:jc w:val="both"/>
        <w:rPr>
          <w:b/>
        </w:rPr>
      </w:pPr>
    </w:p>
    <w:p w:rsidR="00560D10" w:rsidRPr="00A80972" w:rsidRDefault="00560D10" w:rsidP="00560D10">
      <w:pPr>
        <w:pStyle w:val="BodyText"/>
        <w:spacing w:after="0"/>
        <w:ind w:right="125"/>
        <w:jc w:val="both"/>
        <w:rPr>
          <w:b/>
          <w:bCs/>
        </w:rPr>
      </w:pPr>
      <w:r w:rsidRPr="00A80972">
        <w:rPr>
          <w:b/>
          <w:bCs/>
        </w:rPr>
        <w:t>13. Susirašinėjimas</w:t>
      </w:r>
    </w:p>
    <w:p w:rsidR="00560D10" w:rsidRPr="00A80972" w:rsidRDefault="00560D10" w:rsidP="009E52B0">
      <w:pPr>
        <w:pStyle w:val="BodyText"/>
        <w:spacing w:after="0"/>
        <w:ind w:right="125"/>
        <w:jc w:val="both"/>
      </w:pPr>
      <w:r w:rsidRPr="00A80972">
        <w:t xml:space="preserve">13.1. </w:t>
      </w:r>
      <w:r w:rsidRPr="00A80972">
        <w:rPr>
          <w:b/>
        </w:rPr>
        <w:t>Pirkėjo</w:t>
      </w:r>
      <w:r w:rsidRPr="00A80972">
        <w:t xml:space="preserve"> ir </w:t>
      </w:r>
      <w:r w:rsidRPr="00A80972">
        <w:rPr>
          <w:b/>
        </w:rPr>
        <w:t>Pardavėjo</w:t>
      </w:r>
      <w:r w:rsidRPr="00A80972">
        <w:t xml:space="preserve"> vienas kitam siunčiami pranešimai lietuvių/anglų</w:t>
      </w:r>
      <w:r w:rsidR="00484AC2" w:rsidRPr="00A80972">
        <w:t xml:space="preserve"> (</w:t>
      </w:r>
      <w:r w:rsidR="00484AC2" w:rsidRPr="00A80972">
        <w:rPr>
          <w:i/>
        </w:rPr>
        <w:t>taikoma, jeigu sutartis sudaroma anglų kalba</w:t>
      </w:r>
      <w:r w:rsidR="00484AC2" w:rsidRPr="00A80972">
        <w:t>)</w:t>
      </w:r>
      <w:r w:rsidRPr="00A80972">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A80972" w:rsidRDefault="00560D10" w:rsidP="009E52B0">
      <w:pPr>
        <w:jc w:val="both"/>
      </w:pPr>
      <w:r w:rsidRPr="00A80972">
        <w:t xml:space="preserve">13.2. </w:t>
      </w:r>
      <w:r w:rsidR="00CF390E" w:rsidRPr="00A80972">
        <w:t xml:space="preserve">Šalys įsipareigoja ne vėliau kaip per 3 (tris) darbo </w:t>
      </w:r>
      <w:r w:rsidR="0036276B" w:rsidRPr="00A80972">
        <w:t xml:space="preserve">dienas </w:t>
      </w:r>
      <w:r w:rsidR="00CF390E" w:rsidRPr="00A8097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A80972" w:rsidRDefault="00560D10" w:rsidP="00EB04AE">
      <w:pPr>
        <w:jc w:val="both"/>
        <w:rPr>
          <w:b/>
        </w:rPr>
      </w:pPr>
    </w:p>
    <w:p w:rsidR="00AD421D" w:rsidRPr="00A80972" w:rsidRDefault="009C351C" w:rsidP="00AD421D">
      <w:pPr>
        <w:jc w:val="both"/>
        <w:rPr>
          <w:b/>
          <w:bCs/>
          <w:lang w:eastAsia="en-US"/>
        </w:rPr>
      </w:pPr>
      <w:r w:rsidRPr="00A80972">
        <w:rPr>
          <w:b/>
        </w:rPr>
        <w:t xml:space="preserve">14. </w:t>
      </w:r>
      <w:r w:rsidR="00AD421D" w:rsidRPr="00A80972">
        <w:rPr>
          <w:b/>
          <w:bCs/>
          <w:lang w:eastAsia="en-US"/>
        </w:rPr>
        <w:t>Informacijos konfidencialumas</w:t>
      </w:r>
      <w:r w:rsidR="00FC485B" w:rsidRPr="00A80972">
        <w:rPr>
          <w:b/>
          <w:bCs/>
          <w:lang w:eastAsia="en-US"/>
        </w:rPr>
        <w:t xml:space="preserve"> ir asmens duomenys</w:t>
      </w:r>
    </w:p>
    <w:p w:rsidR="009C351C" w:rsidRPr="00A80972" w:rsidRDefault="009C351C" w:rsidP="009C351C">
      <w:pPr>
        <w:jc w:val="both"/>
        <w:rPr>
          <w:b/>
          <w:bCs/>
          <w:lang w:eastAsia="en-US"/>
        </w:rPr>
      </w:pPr>
    </w:p>
    <w:p w:rsidR="008E64FC" w:rsidRPr="00A80972" w:rsidRDefault="008E64FC" w:rsidP="008E64FC">
      <w:pPr>
        <w:jc w:val="both"/>
      </w:pPr>
      <w:r w:rsidRPr="00A80972">
        <w:t xml:space="preserve">14.1. Šalys privalo užtikrinti, kad informacija, kurią jos perduoda viena kitai, bus naudojama tik vykdant Sutartį ir nebus naudojama tokiu būdu, kuris pakenktų informaciją perdavusiai Šaliai. </w:t>
      </w:r>
    </w:p>
    <w:p w:rsidR="00070442" w:rsidRPr="00A80972" w:rsidRDefault="008E64FC" w:rsidP="008E64FC">
      <w:pPr>
        <w:jc w:val="both"/>
      </w:pPr>
      <w:r w:rsidRPr="00A80972">
        <w:t>14.2. Šalys įsipareigoja užtikrinti visos joms žinomos ir (ar) patikėtos informacijos slaptumą Sutarties galiojimo metu ir pasibaigus Sutarties galiojimo laikotarpiui ar ją nutraukus</w:t>
      </w:r>
      <w:r w:rsidR="00FC485B" w:rsidRPr="00A80972">
        <w:t>.</w:t>
      </w:r>
    </w:p>
    <w:p w:rsidR="00070442" w:rsidRPr="00A80972" w:rsidRDefault="008E64FC" w:rsidP="008E64FC">
      <w:pPr>
        <w:jc w:val="both"/>
      </w:pPr>
      <w:r w:rsidRPr="00A80972">
        <w:rPr>
          <w:bCs/>
        </w:rPr>
        <w:lastRenderedPageBreak/>
        <w:t>14.3.</w:t>
      </w:r>
      <w:r w:rsidRPr="00A80972">
        <w:rPr>
          <w:b/>
          <w:bCs/>
        </w:rPr>
        <w:t xml:space="preserve"> Pardavėjas</w:t>
      </w:r>
      <w:r w:rsidRPr="00A80972">
        <w:t xml:space="preserve"> įsipareigoja be </w:t>
      </w:r>
      <w:r w:rsidRPr="00A80972">
        <w:rPr>
          <w:b/>
          <w:bCs/>
        </w:rPr>
        <w:t>Pirkėjo</w:t>
      </w:r>
      <w:r w:rsidRPr="00A80972">
        <w:t xml:space="preserve"> išankstinio rašytinio sutikimo nenaudoti </w:t>
      </w:r>
      <w:r w:rsidR="001B1F64" w:rsidRPr="00A80972">
        <w:rPr>
          <w:b/>
        </w:rPr>
        <w:t>Pirkėjo</w:t>
      </w:r>
      <w:r w:rsidR="001B1F64" w:rsidRPr="00A80972">
        <w:t xml:space="preserve"> </w:t>
      </w:r>
      <w:r w:rsidRPr="00A80972">
        <w:t>jam pateiktos informacijos nei savo, nei bet kokių trečiųjų asmenų naudai, neatskleisti tokios informacijos kitiems asmenims, išskyrus Lietuvos Respublikos teisės aktų numatytus atvejus.</w:t>
      </w:r>
    </w:p>
    <w:p w:rsidR="00FC485B" w:rsidRPr="00A80972" w:rsidRDefault="00FC485B" w:rsidP="008E64FC">
      <w:pPr>
        <w:jc w:val="both"/>
      </w:pPr>
      <w:r w:rsidRPr="00A80972">
        <w:t xml:space="preserve">14.4. Sutartyje ir jos prieduose nurodyti asmens duomenys (vardai, pavardės, </w:t>
      </w:r>
      <w:r w:rsidR="00734852" w:rsidRPr="00A80972">
        <w:t xml:space="preserve">pareigos, el. paštas, </w:t>
      </w:r>
      <w:r w:rsidR="00391FF9" w:rsidRPr="00A80972">
        <w:t xml:space="preserve">ar </w:t>
      </w:r>
      <w:r w:rsidR="00734852" w:rsidRPr="00A80972">
        <w:t>telefono numeris</w:t>
      </w:r>
      <w:r w:rsidRPr="00A80972">
        <w:t xml:space="preserve">) gali būti naudojami tik nustatant Šalių </w:t>
      </w:r>
      <w:r w:rsidR="00B95EDC" w:rsidRPr="00A80972">
        <w:t xml:space="preserve">ar </w:t>
      </w:r>
      <w:r w:rsidR="00B95EDC" w:rsidRPr="00A80972">
        <w:rPr>
          <w:b/>
        </w:rPr>
        <w:t>Gavėjo</w:t>
      </w:r>
      <w:r w:rsidR="00B95EDC" w:rsidRPr="00A80972">
        <w:t xml:space="preserve"> </w:t>
      </w:r>
      <w:r w:rsidRPr="00A80972">
        <w:t>atsakingus asmenis už Sutarties vykdymą ir bendrauti Sutarties vykdymo klausimais.</w:t>
      </w:r>
      <w:r w:rsidR="00E12B16" w:rsidRPr="00A80972">
        <w:t xml:space="preserve"> Jei Sutarties vykdymo metu yra tvarkomi kokie nors papildomi asmens duomenys, šie duomenys ir jų tvarkymo tikslas yra įvardinami S</w:t>
      </w:r>
      <w:r w:rsidR="00D46F6E" w:rsidRPr="00A80972">
        <w:t>utarties S</w:t>
      </w:r>
      <w:r w:rsidR="00E12B16" w:rsidRPr="00A80972">
        <w:t>pecialiosios dalies 9 punkte.</w:t>
      </w:r>
    </w:p>
    <w:p w:rsidR="005870CD" w:rsidRPr="00A80972" w:rsidRDefault="005870CD" w:rsidP="008E64FC">
      <w:pPr>
        <w:jc w:val="both"/>
      </w:pPr>
      <w:r w:rsidRPr="00A80972">
        <w:t xml:space="preserve">14.5. Sutarties šalys užtikrina, kad su asmens duomenimis tvarkomais vykdant Sutartį susipažins tik tie asmenys, kuriems tai yra būtina vykdant įsipareigojimus pagal Sutartį. </w:t>
      </w:r>
    </w:p>
    <w:p w:rsidR="00FC485B" w:rsidRPr="00A80972" w:rsidRDefault="00637894" w:rsidP="008E64FC">
      <w:pPr>
        <w:jc w:val="both"/>
      </w:pPr>
      <w:r w:rsidRPr="00A80972">
        <w:t>14.6</w:t>
      </w:r>
      <w:r w:rsidR="00FC485B" w:rsidRPr="00A80972">
        <w:t xml:space="preserve">. Sutartyje ir jos prieduose nurodyti asmens duomenys </w:t>
      </w:r>
      <w:r w:rsidR="005870CD" w:rsidRPr="00A80972">
        <w:t xml:space="preserve">be atskiro kitos </w:t>
      </w:r>
      <w:r w:rsidR="00030FA7" w:rsidRPr="00A80972">
        <w:t xml:space="preserve">Šalies </w:t>
      </w:r>
      <w:r w:rsidR="005870CD" w:rsidRPr="00A80972">
        <w:t xml:space="preserve">sutikimo </w:t>
      </w:r>
      <w:r w:rsidR="00FC485B" w:rsidRPr="00A80972">
        <w:t xml:space="preserve">negali būti perduoti tretiesiems asmenims, išskyrus </w:t>
      </w:r>
      <w:r w:rsidR="002862BA" w:rsidRPr="00A80972">
        <w:rPr>
          <w:b/>
        </w:rPr>
        <w:t>Pardavėjo</w:t>
      </w:r>
      <w:r w:rsidR="002862BA" w:rsidRPr="00A80972">
        <w:t xml:space="preserve"> įvardintus subtiekėjus</w:t>
      </w:r>
      <w:r w:rsidR="005870CD" w:rsidRPr="00A80972">
        <w:t xml:space="preserve"> ir </w:t>
      </w:r>
      <w:r w:rsidR="005870CD" w:rsidRPr="00A80972">
        <w:rPr>
          <w:b/>
        </w:rPr>
        <w:t>Gavėją</w:t>
      </w:r>
      <w:r w:rsidR="005870CD" w:rsidRPr="00A80972">
        <w:t xml:space="preserve"> (jei toks nurodytas)</w:t>
      </w:r>
      <w:r w:rsidR="002862BA" w:rsidRPr="00A80972">
        <w:t xml:space="preserve">, kurie yra pasitelkiami </w:t>
      </w:r>
      <w:r w:rsidR="00030FA7" w:rsidRPr="00A80972">
        <w:t xml:space="preserve">Sutarties </w:t>
      </w:r>
      <w:r w:rsidR="002862BA" w:rsidRPr="00A80972">
        <w:t xml:space="preserve">vykdymui ir tik tais atvejais, kai tai yra būtina Sutarties vykdymui </w:t>
      </w:r>
      <w:r w:rsidR="00B95EDC" w:rsidRPr="00A80972">
        <w:t>arba tokių duomenų neatskleidimas sukeltų itin didelius sunkumus vykdant Sutartį.</w:t>
      </w:r>
      <w:r w:rsidR="00216206" w:rsidRPr="00A80972">
        <w:t xml:space="preserve"> </w:t>
      </w:r>
      <w:r w:rsidR="005870CD" w:rsidRPr="00A80972">
        <w:t xml:space="preserve">Jei subtiekėjas Specialiosios dalies numatyta tvarka yra keičiamas, turi būti gautas </w:t>
      </w:r>
      <w:r w:rsidR="0027708C" w:rsidRPr="00A80972">
        <w:t xml:space="preserve">atskiras </w:t>
      </w:r>
      <w:r w:rsidR="005870CD" w:rsidRPr="00A80972">
        <w:t xml:space="preserve">kitos Šalies sutikimas dėl duomenų perdavimo. </w:t>
      </w:r>
    </w:p>
    <w:p w:rsidR="00216206" w:rsidRPr="00A80972" w:rsidRDefault="00637894" w:rsidP="008E64FC">
      <w:pPr>
        <w:jc w:val="both"/>
      </w:pPr>
      <w:r w:rsidRPr="00A80972">
        <w:t>14.7</w:t>
      </w:r>
      <w:r w:rsidR="00216206" w:rsidRPr="00A80972">
        <w:t xml:space="preserve">. Jei Sutarties vykdymo metu paaiškėja, kad yra tvarkomi asmens duomenys, kurie nėra aptarti Sutarties sąlygose, Sutarties šalys turi nedelsiant informuoti kitą </w:t>
      </w:r>
      <w:r w:rsidR="00030FA7" w:rsidRPr="00A80972">
        <w:t xml:space="preserve">Šalį </w:t>
      </w:r>
      <w:r w:rsidR="00216206" w:rsidRPr="00A80972">
        <w:t>dėl tokių duomenų ir išlaikyti šių duomenų konfidencialumą. Nustačius</w:t>
      </w:r>
      <w:r w:rsidR="00505806" w:rsidRPr="00A80972">
        <w:t>, kad yra tvarkomi Sutartyje nenumatyti asmens duomenys</w:t>
      </w:r>
      <w:r w:rsidR="00216206" w:rsidRPr="00A80972">
        <w:t xml:space="preserve">, yra pildomas </w:t>
      </w:r>
      <w:r w:rsidR="00030FA7" w:rsidRPr="00A80972">
        <w:t>S</w:t>
      </w:r>
      <w:r w:rsidR="00D46F6E" w:rsidRPr="00A80972">
        <w:t>utarties S</w:t>
      </w:r>
      <w:r w:rsidR="00030FA7" w:rsidRPr="00A80972">
        <w:t xml:space="preserve">pecialiosios </w:t>
      </w:r>
      <w:r w:rsidR="00DB4167" w:rsidRPr="00A80972">
        <w:t>dalies</w:t>
      </w:r>
      <w:r w:rsidR="00216206" w:rsidRPr="00A80972">
        <w:t xml:space="preserve"> 9 punktas. </w:t>
      </w:r>
    </w:p>
    <w:p w:rsidR="00B95EDC" w:rsidRPr="00A80972" w:rsidRDefault="00637894" w:rsidP="008E64FC">
      <w:pPr>
        <w:jc w:val="both"/>
      </w:pPr>
      <w:r w:rsidRPr="00A80972">
        <w:t>14.8</w:t>
      </w:r>
      <w:r w:rsidR="00B95EDC" w:rsidRPr="00A80972">
        <w:t xml:space="preserve">. Visi asmens duomenys, kurie buvo tvarkomi siekiant įvykdyti Sutartyje numatytus įsipareigojimus, </w:t>
      </w:r>
      <w:r w:rsidR="002D356E" w:rsidRPr="00A80972">
        <w:t>gali būti tvarkomi iki to momento, kai pasibaigia Šalių prievol</w:t>
      </w:r>
      <w:r w:rsidR="00DB4167" w:rsidRPr="00A80972">
        <w:t>ės pagal Sutartį</w:t>
      </w:r>
      <w:r w:rsidR="002D356E" w:rsidRPr="00A80972">
        <w:t>. Gali būti nenaikinami tik tokie asmens duomenys, kurių sunaikinimas reikštų neprotingai didel</w:t>
      </w:r>
      <w:r w:rsidR="00DB4167" w:rsidRPr="00A80972">
        <w:t xml:space="preserve">es laiko ar finansines sąnaudas ar būtų nepateisinamas </w:t>
      </w:r>
      <w:r w:rsidR="00030FA7" w:rsidRPr="00A80972">
        <w:t xml:space="preserve">Sutarties </w:t>
      </w:r>
      <w:r w:rsidR="00DB4167" w:rsidRPr="00A80972">
        <w:t xml:space="preserve">rezultato naudojimo tikslais. </w:t>
      </w:r>
    </w:p>
    <w:p w:rsidR="00AC5C25" w:rsidRPr="00A80972" w:rsidRDefault="00637894" w:rsidP="008E64FC">
      <w:pPr>
        <w:jc w:val="both"/>
      </w:pPr>
      <w:r w:rsidRPr="00A80972">
        <w:t>14.9</w:t>
      </w:r>
      <w:r w:rsidR="00216206" w:rsidRPr="00A80972">
        <w:t xml:space="preserve">. Šalys </w:t>
      </w:r>
      <w:r w:rsidR="00DB4167" w:rsidRPr="00A80972">
        <w:t>privalo imtis pakankamų techninių ir organizacinių priemonių</w:t>
      </w:r>
      <w:r w:rsidR="00216206" w:rsidRPr="00A80972">
        <w:t xml:space="preserve"> informacijos saugumui ir konfidencialumui užtikrinti. Apie bet kokį </w:t>
      </w:r>
      <w:r w:rsidR="00DB4167" w:rsidRPr="00A80972">
        <w:t>pagal Sutartį tvarkomų</w:t>
      </w:r>
      <w:r w:rsidR="00216206" w:rsidRPr="00A80972">
        <w:t xml:space="preserve"> </w:t>
      </w:r>
      <w:r w:rsidR="00DB4167" w:rsidRPr="00A80972">
        <w:t xml:space="preserve">asmens </w:t>
      </w:r>
      <w:r w:rsidR="00216206" w:rsidRPr="00A80972">
        <w:t xml:space="preserve">duomenų pažeidimą, Šalys viena kitą informuoja per 1 </w:t>
      </w:r>
      <w:r w:rsidR="00EE0C57" w:rsidRPr="00A80972">
        <w:t xml:space="preserve">(vieną) </w:t>
      </w:r>
      <w:r w:rsidR="00216206" w:rsidRPr="00A80972">
        <w:t>darbo dieną.</w:t>
      </w:r>
      <w:r w:rsidR="005870CD" w:rsidRPr="00A80972">
        <w:t xml:space="preserve"> Pranešime apie pažeidimą privalo būti nurodytas pažeidimo pobūdis, galimos pažeidimo pasekmės</w:t>
      </w:r>
      <w:r w:rsidR="00AC5C25" w:rsidRPr="00A80972">
        <w:t xml:space="preserve"> ir priemonės, kurių buvo imtasi</w:t>
      </w:r>
      <w:r w:rsidR="00DB4167" w:rsidRPr="00A80972">
        <w:t xml:space="preserve"> pažeidimo padariniams panaikinti ar sušvelninti</w:t>
      </w:r>
      <w:r w:rsidR="00AC5C25" w:rsidRPr="00A80972">
        <w:t>.</w:t>
      </w:r>
    </w:p>
    <w:p w:rsidR="0044059A" w:rsidRPr="00A80972" w:rsidRDefault="00637894" w:rsidP="008E64FC">
      <w:pPr>
        <w:jc w:val="both"/>
      </w:pPr>
      <w:r w:rsidRPr="00A80972">
        <w:t>14.10. Šalys neatlygina viena kitos patirtų išlaidų ir nuostolių dėl asmens duomenų tvarkymo įsipareigojimų pagal šią Sutartį vykdymo.</w:t>
      </w:r>
    </w:p>
    <w:p w:rsidR="00216206" w:rsidRPr="00A80972" w:rsidRDefault="0044059A" w:rsidP="008E64FC">
      <w:pPr>
        <w:jc w:val="both"/>
      </w:pPr>
      <w:r w:rsidRPr="00A80972">
        <w:t xml:space="preserve">14.11. Pažeidęs </w:t>
      </w:r>
      <w:r w:rsidR="00EE0C57" w:rsidRPr="00A80972">
        <w:t>Sutarties b</w:t>
      </w:r>
      <w:r w:rsidRPr="00A80972">
        <w:t xml:space="preserve">endrosios dalies 14.3 punkte numatytą įsipareigojimą </w:t>
      </w:r>
      <w:r w:rsidRPr="00A80972">
        <w:rPr>
          <w:b/>
        </w:rPr>
        <w:t xml:space="preserve">Pardavėjas </w:t>
      </w:r>
      <w:r w:rsidRPr="00A80972">
        <w:t>privalo</w:t>
      </w:r>
      <w:r w:rsidRPr="00A80972">
        <w:rPr>
          <w:b/>
        </w:rPr>
        <w:t xml:space="preserve"> Pirkėjui </w:t>
      </w:r>
      <w:r w:rsidRPr="00A80972">
        <w:t xml:space="preserve">sumokėti 10 proc. dydžio maksimalios </w:t>
      </w:r>
      <w:r w:rsidR="00030FA7" w:rsidRPr="00A80972">
        <w:t xml:space="preserve">Sutarties </w:t>
      </w:r>
      <w:r w:rsidRPr="00A80972">
        <w:t>vertės</w:t>
      </w:r>
      <w:r w:rsidR="005003D7" w:rsidRPr="00A80972">
        <w:t>/pasiūlymo</w:t>
      </w:r>
      <w:r w:rsidR="005003D7" w:rsidRPr="00A80972">
        <w:rPr>
          <w:b/>
        </w:rPr>
        <w:t xml:space="preserve"> </w:t>
      </w:r>
      <w:r w:rsidR="005003D7" w:rsidRPr="00A80972">
        <w:t xml:space="preserve">kainos </w:t>
      </w:r>
      <w:r w:rsidRPr="00A80972">
        <w:t>be PVM Šalių iš anksto sutartų minimalių nuostolių dydžio sumą ir atlyginti kitus dėl tokio pažeidimo padarytus nuostolius</w:t>
      </w:r>
      <w:r w:rsidR="00030FA7" w:rsidRPr="00A80972">
        <w:t>.</w:t>
      </w:r>
    </w:p>
    <w:p w:rsidR="008F29B4" w:rsidRPr="00A80972" w:rsidRDefault="008F29B4" w:rsidP="00560D10">
      <w:pPr>
        <w:jc w:val="both"/>
        <w:rPr>
          <w:b/>
        </w:rPr>
      </w:pPr>
    </w:p>
    <w:p w:rsidR="00560D10" w:rsidRPr="00A80972" w:rsidRDefault="00560D10" w:rsidP="00560D10">
      <w:pPr>
        <w:jc w:val="both"/>
        <w:rPr>
          <w:b/>
        </w:rPr>
      </w:pPr>
      <w:r w:rsidRPr="00A80972">
        <w:rPr>
          <w:b/>
        </w:rPr>
        <w:t>1</w:t>
      </w:r>
      <w:r w:rsidR="009C351C" w:rsidRPr="00A80972">
        <w:rPr>
          <w:b/>
        </w:rPr>
        <w:t>5</w:t>
      </w:r>
      <w:r w:rsidRPr="00A80972">
        <w:rPr>
          <w:b/>
        </w:rPr>
        <w:t>. Baigiamosios nuostatos</w:t>
      </w:r>
    </w:p>
    <w:p w:rsidR="00560D10" w:rsidRPr="00A80972" w:rsidRDefault="00560D10" w:rsidP="00560D10">
      <w:pPr>
        <w:jc w:val="both"/>
      </w:pPr>
      <w:r w:rsidRPr="00A80972">
        <w:t>1</w:t>
      </w:r>
      <w:r w:rsidR="009C351C" w:rsidRPr="00A80972">
        <w:t>5</w:t>
      </w:r>
      <w:r w:rsidRPr="00A80972">
        <w:t>.1. Sutartis sudaryta lietuvių/anglų</w:t>
      </w:r>
      <w:r w:rsidR="009D706B" w:rsidRPr="00A80972">
        <w:t xml:space="preserve">, </w:t>
      </w:r>
      <w:r w:rsidRPr="00A80972">
        <w:t>lietuvių ir anglų kalba dviem/keturiais egzemplioriais (po vieną/du kiekvienai Šaliai) (</w:t>
      </w:r>
      <w:r w:rsidRPr="00A80972">
        <w:rPr>
          <w:i/>
        </w:rPr>
        <w:t>taikoma priklausomai nuo to</w:t>
      </w:r>
      <w:r w:rsidRPr="00A80972">
        <w:t xml:space="preserve"> </w:t>
      </w:r>
      <w:r w:rsidRPr="00A80972">
        <w:rPr>
          <w:i/>
        </w:rPr>
        <w:t>kokiomis kalbomis bus sudaroma sutartis</w:t>
      </w:r>
      <w:r w:rsidRPr="00A80972">
        <w:t xml:space="preserve">). Abu tekstai autentiški ir turi vienodą teisinę galią. Atsiradus </w:t>
      </w:r>
      <w:proofErr w:type="spellStart"/>
      <w:r w:rsidRPr="00A80972">
        <w:t>neatitikimams</w:t>
      </w:r>
      <w:proofErr w:type="spellEnd"/>
      <w:r w:rsidRPr="00A80972">
        <w:t xml:space="preserve"> tarp tekstų lietuvių ir anglų kalbomis, pirmenybė teikiama tekstui anglų kalba (</w:t>
      </w:r>
      <w:r w:rsidR="00DF18D4" w:rsidRPr="00A80972">
        <w:t xml:space="preserve">taikoma, jeigu sutartis sudaroma su </w:t>
      </w:r>
      <w:r w:rsidR="001112AB" w:rsidRPr="00A80972">
        <w:t xml:space="preserve">užsienio pardavėju </w:t>
      </w:r>
      <w:r w:rsidR="00201C02" w:rsidRPr="00A80972">
        <w:t>lietuvių ir anglų kalba</w:t>
      </w:r>
      <w:r w:rsidR="00DF18D4" w:rsidRPr="00A80972">
        <w:t>).</w:t>
      </w:r>
    </w:p>
    <w:p w:rsidR="00F93DEC" w:rsidRPr="00A80972" w:rsidRDefault="00560D10" w:rsidP="00560D10">
      <w:pPr>
        <w:jc w:val="both"/>
      </w:pPr>
      <w:r w:rsidRPr="00A80972">
        <w:t>1</w:t>
      </w:r>
      <w:r w:rsidR="009C351C" w:rsidRPr="00A80972">
        <w:t>5</w:t>
      </w:r>
      <w:r w:rsidRPr="00A80972">
        <w:t xml:space="preserve">.2. </w:t>
      </w:r>
      <w:r w:rsidR="00F93DEC" w:rsidRPr="00A80972">
        <w:t xml:space="preserve">Šią </w:t>
      </w:r>
      <w:r w:rsidR="005003D7" w:rsidRPr="00A80972">
        <w:t xml:space="preserve">Sutartį </w:t>
      </w:r>
      <w:r w:rsidR="00F93DEC" w:rsidRPr="00A80972">
        <w:t xml:space="preserve">sudaro Sutarties bendroji ir specialioji dalys bei </w:t>
      </w:r>
      <w:r w:rsidR="005003D7" w:rsidRPr="00A80972">
        <w:t xml:space="preserve">Sutarties </w:t>
      </w:r>
      <w:r w:rsidR="001458AF" w:rsidRPr="00A80972">
        <w:t>priedas (-ai)</w:t>
      </w:r>
      <w:r w:rsidR="00F93DEC" w:rsidRPr="00A80972">
        <w:t xml:space="preserve">. Visi šios Sutarties priedai yra neatskiriama Sutarties dalis. </w:t>
      </w:r>
    </w:p>
    <w:p w:rsidR="00560D10" w:rsidRPr="00A80972" w:rsidRDefault="00560D10" w:rsidP="00560D10">
      <w:pPr>
        <w:jc w:val="both"/>
      </w:pPr>
      <w:r w:rsidRPr="00A80972">
        <w:t>1</w:t>
      </w:r>
      <w:r w:rsidR="009C351C" w:rsidRPr="00A80972">
        <w:t>5</w:t>
      </w:r>
      <w:r w:rsidRPr="00A80972">
        <w:t>.3. Nė viena iš Šalių neturi teisės perduoti trečiajam asmeniui teisių ir įsipareigojimų pagal šią Sutartį be išankstinio raštiško kitos Šalies sutikimo.</w:t>
      </w:r>
    </w:p>
    <w:p w:rsidR="00174CEB" w:rsidRPr="00A80972" w:rsidRDefault="00174CEB" w:rsidP="00560D10">
      <w:pPr>
        <w:jc w:val="both"/>
      </w:pPr>
      <w:r w:rsidRPr="00A80972">
        <w:t>15.4.</w:t>
      </w:r>
      <w:r w:rsidR="005F673C" w:rsidRPr="00A80972">
        <w:t xml:space="preserve"> Pažeidęs </w:t>
      </w:r>
      <w:r w:rsidR="007E3835" w:rsidRPr="00A80972">
        <w:t xml:space="preserve">šios sutarties dalies </w:t>
      </w:r>
      <w:r w:rsidR="005F673C" w:rsidRPr="00A80972">
        <w:t xml:space="preserve">15.3 punkte nurodytą įpareigojimą </w:t>
      </w:r>
      <w:r w:rsidR="005F673C" w:rsidRPr="00A80972">
        <w:rPr>
          <w:b/>
        </w:rPr>
        <w:t>Pardavėjas</w:t>
      </w:r>
      <w:r w:rsidR="005F673C" w:rsidRPr="00A80972">
        <w:t xml:space="preserve"> moka </w:t>
      </w:r>
      <w:r w:rsidR="005F673C" w:rsidRPr="00A80972">
        <w:rPr>
          <w:b/>
        </w:rPr>
        <w:t xml:space="preserve">Pirkėjui </w:t>
      </w:r>
      <w:r w:rsidR="005F673C" w:rsidRPr="00A80972">
        <w:t xml:space="preserve">5 proc. </w:t>
      </w:r>
      <w:r w:rsidR="005003D7" w:rsidRPr="00A80972">
        <w:t>maksimalios Sutarties</w:t>
      </w:r>
      <w:r w:rsidR="005F673C" w:rsidRPr="00A80972">
        <w:t>/pasiūlymo</w:t>
      </w:r>
      <w:r w:rsidR="005F673C" w:rsidRPr="00A80972">
        <w:rPr>
          <w:b/>
        </w:rPr>
        <w:t xml:space="preserve"> </w:t>
      </w:r>
      <w:r w:rsidR="005F673C" w:rsidRPr="00A80972">
        <w:t>kainos</w:t>
      </w:r>
      <w:r w:rsidR="007F7359" w:rsidRPr="00A80972">
        <w:t xml:space="preserve"> be PVM </w:t>
      </w:r>
      <w:r w:rsidR="005F673C" w:rsidRPr="00A80972">
        <w:t xml:space="preserve">dydžio šalių iš anksto sutartų minimalių nuostolių sumą, jeigu </w:t>
      </w:r>
      <w:r w:rsidR="00EE0C57" w:rsidRPr="00A80972">
        <w:t xml:space="preserve">Sutarties specialiojoje </w:t>
      </w:r>
      <w:r w:rsidR="005F673C" w:rsidRPr="00A80972">
        <w:t>dalyje nenustatyta kitaip.</w:t>
      </w:r>
    </w:p>
    <w:p w:rsidR="00560D10" w:rsidRPr="00A80972" w:rsidRDefault="009C351C" w:rsidP="00560D10">
      <w:pPr>
        <w:jc w:val="both"/>
      </w:pPr>
      <w:r w:rsidRPr="00A80972">
        <w:t>15</w:t>
      </w:r>
      <w:r w:rsidR="00560D10" w:rsidRPr="00A80972">
        <w:t>.</w:t>
      </w:r>
      <w:r w:rsidR="00174CEB" w:rsidRPr="00A80972">
        <w:t>5</w:t>
      </w:r>
      <w:r w:rsidR="00560D10" w:rsidRPr="00A80972">
        <w:t xml:space="preserve">. </w:t>
      </w:r>
      <w:r w:rsidR="00560D10" w:rsidRPr="00A80972">
        <w:rPr>
          <w:b/>
        </w:rPr>
        <w:t>Pardavėjas</w:t>
      </w:r>
      <w:r w:rsidR="00560D10" w:rsidRPr="00A80972">
        <w:t xml:space="preserve"> garantuoja, kad turi visas Sutarties įvykdymui reikalingas licencijas. </w:t>
      </w:r>
      <w:r w:rsidR="00560D10" w:rsidRPr="00A80972">
        <w:rPr>
          <w:b/>
        </w:rPr>
        <w:t>Pardavėjas</w:t>
      </w:r>
      <w:r w:rsidR="00560D10" w:rsidRPr="00A80972">
        <w:t xml:space="preserve"> įsipareigoja atlyginti </w:t>
      </w:r>
      <w:r w:rsidR="00560D10" w:rsidRPr="00A80972">
        <w:rPr>
          <w:b/>
        </w:rPr>
        <w:t xml:space="preserve">Pirkėjui </w:t>
      </w:r>
      <w:r w:rsidR="00560D10" w:rsidRPr="00A80972">
        <w:t>nuostolius, jeigu P</w:t>
      </w:r>
      <w:r w:rsidR="00560D10" w:rsidRPr="00A80972">
        <w:rPr>
          <w:b/>
        </w:rPr>
        <w:t>irkėjui</w:t>
      </w:r>
      <w:r w:rsidR="00560D10" w:rsidRPr="00A80972">
        <w:t xml:space="preserve"> būtų pateikta pretenzijų ar iškelta bylų dėl </w:t>
      </w:r>
      <w:r w:rsidR="00C52D42" w:rsidRPr="00A80972">
        <w:t xml:space="preserve">patentų ar </w:t>
      </w:r>
      <w:r w:rsidR="00560D10" w:rsidRPr="00A80972">
        <w:t xml:space="preserve">licencijų pažeidimų, kylančių iš Sutarties ar padarytų ją vykdant. </w:t>
      </w:r>
    </w:p>
    <w:p w:rsidR="00560D10" w:rsidRPr="00A80972" w:rsidRDefault="009C351C" w:rsidP="00560D10">
      <w:pPr>
        <w:pStyle w:val="BodyText"/>
        <w:tabs>
          <w:tab w:val="left" w:pos="-360"/>
          <w:tab w:val="left" w:pos="0"/>
          <w:tab w:val="left" w:pos="1701"/>
        </w:tabs>
        <w:spacing w:after="0"/>
        <w:jc w:val="both"/>
      </w:pPr>
      <w:r w:rsidRPr="00A80972">
        <w:lastRenderedPageBreak/>
        <w:t>15</w:t>
      </w:r>
      <w:r w:rsidR="000C7166" w:rsidRPr="00A80972">
        <w:t>.</w:t>
      </w:r>
      <w:r w:rsidR="00174CEB" w:rsidRPr="00A80972">
        <w:t>6</w:t>
      </w:r>
      <w:r w:rsidR="00560D10" w:rsidRPr="00A80972">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A80972" w:rsidRDefault="00C33D3A" w:rsidP="00C33D3A">
      <w:pPr>
        <w:jc w:val="both"/>
        <w:rPr>
          <w:bCs/>
          <w:color w:val="000000"/>
        </w:rPr>
      </w:pPr>
      <w:r w:rsidRPr="00A80972">
        <w:rPr>
          <w:color w:val="000000"/>
        </w:rPr>
        <w:t xml:space="preserve">15.7. </w:t>
      </w:r>
      <w:r w:rsidRPr="00A80972">
        <w:rPr>
          <w:bCs/>
          <w:color w:val="000000"/>
        </w:rPr>
        <w:t xml:space="preserve">Sutarties vykdymas gali būti aiškinamas Šalių raštišku sutarimu nekeičiant </w:t>
      </w:r>
      <w:r w:rsidR="005003D7" w:rsidRPr="00A80972">
        <w:rPr>
          <w:bCs/>
          <w:color w:val="000000"/>
        </w:rPr>
        <w:t xml:space="preserve">Sutarties </w:t>
      </w:r>
      <w:r w:rsidRPr="00A80972">
        <w:rPr>
          <w:bCs/>
          <w:color w:val="000000"/>
        </w:rPr>
        <w:t>sąlygų.</w:t>
      </w:r>
    </w:p>
    <w:p w:rsidR="00C33D3A" w:rsidRPr="00A80972" w:rsidRDefault="00C33D3A" w:rsidP="00C33D3A">
      <w:pPr>
        <w:jc w:val="both"/>
        <w:rPr>
          <w:color w:val="000000"/>
        </w:rPr>
      </w:pPr>
      <w:r w:rsidRPr="00A80972">
        <w:rPr>
          <w:bCs/>
          <w:color w:val="000000"/>
        </w:rPr>
        <w:t xml:space="preserve">15.8. </w:t>
      </w:r>
      <w:r w:rsidRPr="00A80972">
        <w:rPr>
          <w:color w:val="000000"/>
        </w:rPr>
        <w:t>Subtiekėjo (-ų)/</w:t>
      </w:r>
      <w:proofErr w:type="spellStart"/>
      <w:r w:rsidRPr="00A80972">
        <w:rPr>
          <w:color w:val="000000"/>
        </w:rPr>
        <w:t>subteikėjo</w:t>
      </w:r>
      <w:proofErr w:type="spellEnd"/>
      <w:r w:rsidRPr="00A80972">
        <w:rPr>
          <w:color w:val="000000"/>
        </w:rPr>
        <w:t xml:space="preserve"> pavadinimas, jo (-ų) vykdomų sutartinių įsipareigojimų dalis yra nurodyti Sutarties specialiojoje dalyje.</w:t>
      </w:r>
    </w:p>
    <w:p w:rsidR="00C33D3A" w:rsidRPr="00A80972" w:rsidRDefault="00C33D3A" w:rsidP="00560D10">
      <w:pPr>
        <w:jc w:val="both"/>
        <w:rPr>
          <w:color w:val="000000"/>
        </w:rPr>
      </w:pPr>
      <w:r w:rsidRPr="00A80972">
        <w:rPr>
          <w:color w:val="000000"/>
        </w:rPr>
        <w:t xml:space="preserve">15.9. </w:t>
      </w:r>
      <w:r w:rsidR="005B7473" w:rsidRPr="00A80972">
        <w:rPr>
          <w:color w:val="000000"/>
        </w:rPr>
        <w:t>Sutart</w:t>
      </w:r>
      <w:r w:rsidR="004D0529" w:rsidRPr="00A80972">
        <w:rPr>
          <w:color w:val="000000"/>
        </w:rPr>
        <w:t>i</w:t>
      </w:r>
      <w:r w:rsidR="005B7473" w:rsidRPr="00A80972">
        <w:rPr>
          <w:color w:val="000000"/>
        </w:rPr>
        <w:t xml:space="preserve">es vykdymo metu </w:t>
      </w:r>
      <w:r w:rsidR="005B7473" w:rsidRPr="00A80972">
        <w:t>Sutartyje nurodytas (-i) subtiekėjas (-ai)/</w:t>
      </w:r>
      <w:proofErr w:type="spellStart"/>
      <w:r w:rsidR="005B7473" w:rsidRPr="00A80972">
        <w:t>subteikėjas</w:t>
      </w:r>
      <w:proofErr w:type="spellEnd"/>
      <w:r w:rsidR="005B7473" w:rsidRPr="00A80972">
        <w:t xml:space="preserve"> (-ai) gali būti keičiamas (-i) kitu (-</w:t>
      </w:r>
      <w:proofErr w:type="spellStart"/>
      <w:r w:rsidR="005B7473" w:rsidRPr="00A80972">
        <w:t>ais</w:t>
      </w:r>
      <w:proofErr w:type="spellEnd"/>
      <w:r w:rsidR="005B7473" w:rsidRPr="00A80972">
        <w:t>) subtiekėju (-</w:t>
      </w:r>
      <w:proofErr w:type="spellStart"/>
      <w:r w:rsidR="005B7473" w:rsidRPr="00A80972">
        <w:t>ais</w:t>
      </w:r>
      <w:proofErr w:type="spellEnd"/>
      <w:r w:rsidR="005B7473" w:rsidRPr="00A80972">
        <w:t>)/</w:t>
      </w:r>
      <w:proofErr w:type="spellStart"/>
      <w:r w:rsidR="005B7473" w:rsidRPr="00A80972">
        <w:t>subteikėju</w:t>
      </w:r>
      <w:proofErr w:type="spellEnd"/>
      <w:r w:rsidR="005B7473" w:rsidRPr="00A80972">
        <w:t xml:space="preserve"> (-</w:t>
      </w:r>
      <w:proofErr w:type="spellStart"/>
      <w:r w:rsidR="005B7473" w:rsidRPr="00A80972">
        <w:t>ais</w:t>
      </w:r>
      <w:proofErr w:type="spellEnd"/>
      <w:r w:rsidR="005B7473" w:rsidRPr="00A80972">
        <w:t xml:space="preserve">) dėl objektyvių aplinkybių, kurių </w:t>
      </w:r>
      <w:r w:rsidR="00566BC8" w:rsidRPr="00A80972">
        <w:rPr>
          <w:b/>
        </w:rPr>
        <w:t>Pardavėjui</w:t>
      </w:r>
      <w:r w:rsidR="00566BC8" w:rsidRPr="00A80972">
        <w:t xml:space="preserve"> </w:t>
      </w:r>
      <w:r w:rsidR="005B7473" w:rsidRPr="00A80972">
        <w:t xml:space="preserve">nebuvo galima numatyti paraiškos/pasiūlymo pateikimo momentu. Sutartyje nustatyto subtiekėjo (-ų)/ </w:t>
      </w:r>
      <w:proofErr w:type="spellStart"/>
      <w:r w:rsidR="005B7473" w:rsidRPr="00A80972">
        <w:t>subteikėjo</w:t>
      </w:r>
      <w:proofErr w:type="spellEnd"/>
      <w:r w:rsidR="005B7473" w:rsidRPr="00A80972">
        <w:t xml:space="preserve"> (-ų) keitimas kitu galimas tik iš anksto raštu suderinus su </w:t>
      </w:r>
      <w:r w:rsidR="005B7473" w:rsidRPr="00A80972">
        <w:rPr>
          <w:b/>
        </w:rPr>
        <w:t>Pirkėju</w:t>
      </w:r>
      <w:r w:rsidR="005B7473" w:rsidRPr="00A80972">
        <w:t xml:space="preserve">.  Prašymas dėl Sutartyje nustatyto subtiekėjo (ų)/ </w:t>
      </w:r>
      <w:proofErr w:type="spellStart"/>
      <w:r w:rsidR="005B7473" w:rsidRPr="00A80972">
        <w:t>subteikėjo</w:t>
      </w:r>
      <w:proofErr w:type="spellEnd"/>
      <w:r w:rsidR="005B7473" w:rsidRPr="00A80972">
        <w:t xml:space="preserve"> (-ų) keitimo kitu </w:t>
      </w:r>
      <w:r w:rsidR="005B7473" w:rsidRPr="00A80972">
        <w:rPr>
          <w:b/>
        </w:rPr>
        <w:t xml:space="preserve">Pirkėjui </w:t>
      </w:r>
      <w:r w:rsidR="005B7473" w:rsidRPr="00A80972">
        <w:t>pateikiamas raštu, nurodant tokio keitimo priežastis, kartu pateikiant pagrindžiančius dokumentus, kad naujas subtiekėjas (-ai)/</w:t>
      </w:r>
      <w:proofErr w:type="spellStart"/>
      <w:r w:rsidR="005B7473" w:rsidRPr="00A80972">
        <w:t>subteikėjas</w:t>
      </w:r>
      <w:proofErr w:type="spellEnd"/>
      <w:r w:rsidR="005B7473" w:rsidRPr="00A80972">
        <w:t xml:space="preserve"> (ai) atitinka visus subtiekėjui (-</w:t>
      </w:r>
      <w:proofErr w:type="spellStart"/>
      <w:r w:rsidR="005B7473" w:rsidRPr="00A80972">
        <w:t>ams</w:t>
      </w:r>
      <w:proofErr w:type="spellEnd"/>
      <w:r w:rsidR="005B7473" w:rsidRPr="00A80972">
        <w:t>)/</w:t>
      </w:r>
      <w:proofErr w:type="spellStart"/>
      <w:r w:rsidR="005B7473" w:rsidRPr="00A80972">
        <w:t>su</w:t>
      </w:r>
      <w:r w:rsidR="00566BC8" w:rsidRPr="00A80972">
        <w:t>b</w:t>
      </w:r>
      <w:r w:rsidR="005B7473" w:rsidRPr="00A80972">
        <w:t>teikėjui</w:t>
      </w:r>
      <w:proofErr w:type="spellEnd"/>
      <w:r w:rsidR="005B7473" w:rsidRPr="00A80972">
        <w:t xml:space="preserve"> (-</w:t>
      </w:r>
      <w:proofErr w:type="spellStart"/>
      <w:r w:rsidR="005B7473" w:rsidRPr="00A80972">
        <w:t>ams</w:t>
      </w:r>
      <w:proofErr w:type="spellEnd"/>
      <w:r w:rsidR="005B7473" w:rsidRPr="00A80972">
        <w:t>)  viešojo pirkimo, kurio pagrindu pasirašyta ši Sutartis, dokumentuose nustatytus reikalavimus</w:t>
      </w:r>
      <w:r w:rsidR="00255DF4" w:rsidRPr="00A80972">
        <w:t xml:space="preserve">, o </w:t>
      </w:r>
      <w:r w:rsidR="00255DF4" w:rsidRPr="00A80972">
        <w:rPr>
          <w:b/>
        </w:rPr>
        <w:t xml:space="preserve">Pardavėjas </w:t>
      </w:r>
      <w:r w:rsidR="00255DF4" w:rsidRPr="00A80972">
        <w:t>dėl subtiekėjo pasikeitimo neprarado pirkimo dokumentuose nustatytos minimalios kvalifikacijos</w:t>
      </w:r>
      <w:r w:rsidR="005B7473" w:rsidRPr="00A80972">
        <w:rPr>
          <w:i/>
        </w:rPr>
        <w:t xml:space="preserve">. </w:t>
      </w:r>
      <w:r w:rsidRPr="00A80972">
        <w:rPr>
          <w:color w:val="000000"/>
        </w:rPr>
        <w:t>Sutartyje nustatyto subtiekėjo (-ų)/</w:t>
      </w:r>
      <w:proofErr w:type="spellStart"/>
      <w:r w:rsidRPr="00A80972">
        <w:rPr>
          <w:color w:val="000000"/>
        </w:rPr>
        <w:t>subteikėjo</w:t>
      </w:r>
      <w:proofErr w:type="spellEnd"/>
      <w:r w:rsidRPr="00A80972">
        <w:rPr>
          <w:color w:val="000000"/>
        </w:rPr>
        <w:t xml:space="preserve"> (-ų) pakeitimas kitu subtiekėju (-</w:t>
      </w:r>
      <w:proofErr w:type="spellStart"/>
      <w:r w:rsidRPr="00A80972">
        <w:rPr>
          <w:color w:val="000000"/>
        </w:rPr>
        <w:t>ais</w:t>
      </w:r>
      <w:proofErr w:type="spellEnd"/>
      <w:r w:rsidRPr="00A80972">
        <w:rPr>
          <w:color w:val="000000"/>
        </w:rPr>
        <w:t xml:space="preserve">)/ </w:t>
      </w:r>
      <w:proofErr w:type="spellStart"/>
      <w:r w:rsidRPr="00A80972">
        <w:rPr>
          <w:color w:val="000000"/>
        </w:rPr>
        <w:t>subteikėju</w:t>
      </w:r>
      <w:proofErr w:type="spellEnd"/>
      <w:r w:rsidRPr="00A80972">
        <w:rPr>
          <w:color w:val="000000"/>
        </w:rPr>
        <w:t xml:space="preserve"> (-</w:t>
      </w:r>
      <w:proofErr w:type="spellStart"/>
      <w:r w:rsidRPr="00A80972">
        <w:rPr>
          <w:color w:val="000000"/>
        </w:rPr>
        <w:t>ais</w:t>
      </w:r>
      <w:proofErr w:type="spellEnd"/>
      <w:r w:rsidRPr="00A80972">
        <w:rPr>
          <w:color w:val="000000"/>
        </w:rPr>
        <w:t>) įforminamas rašytiniu Sutarties pakeitimu (</w:t>
      </w:r>
      <w:r w:rsidRPr="00A80972">
        <w:rPr>
          <w:i/>
          <w:color w:val="000000"/>
        </w:rPr>
        <w:t xml:space="preserve">taikoma, jei </w:t>
      </w:r>
      <w:r w:rsidRPr="00A80972">
        <w:rPr>
          <w:b/>
          <w:i/>
          <w:color w:val="000000"/>
        </w:rPr>
        <w:t>Pardavėjas</w:t>
      </w:r>
      <w:r w:rsidRPr="00A80972">
        <w:rPr>
          <w:i/>
          <w:color w:val="000000"/>
        </w:rPr>
        <w:t xml:space="preserve"> juos numato pasitelkti</w:t>
      </w:r>
      <w:r w:rsidRPr="00A80972">
        <w:rPr>
          <w:color w:val="000000"/>
        </w:rPr>
        <w:t>).</w:t>
      </w:r>
    </w:p>
    <w:p w:rsidR="00560D10" w:rsidRPr="00A80972" w:rsidRDefault="009C351C" w:rsidP="00560D10">
      <w:pPr>
        <w:jc w:val="both"/>
      </w:pPr>
      <w:r w:rsidRPr="00A80972">
        <w:t>15</w:t>
      </w:r>
      <w:r w:rsidR="008E64FC" w:rsidRPr="00A80972">
        <w:t>.</w:t>
      </w:r>
      <w:r w:rsidR="00C33D3A" w:rsidRPr="00A80972">
        <w:t>10</w:t>
      </w:r>
      <w:r w:rsidR="00560D10" w:rsidRPr="00A80972">
        <w:t>.</w:t>
      </w:r>
      <w:r w:rsidR="00560D10" w:rsidRPr="00A80972">
        <w:rPr>
          <w:b/>
        </w:rPr>
        <w:t xml:space="preserve"> Pardavėjo </w:t>
      </w:r>
      <w:r w:rsidR="00560D10" w:rsidRPr="00A80972">
        <w:t>paskirtas asmuo/asmenys, kurie atstovauja</w:t>
      </w:r>
      <w:r w:rsidR="00560D10" w:rsidRPr="00A80972">
        <w:rPr>
          <w:b/>
        </w:rPr>
        <w:t xml:space="preserve"> Pardavėjui</w:t>
      </w:r>
      <w:r w:rsidR="00560D10" w:rsidRPr="00A80972">
        <w:t>,</w:t>
      </w:r>
      <w:r w:rsidR="00560D10" w:rsidRPr="00A80972">
        <w:rPr>
          <w:b/>
        </w:rPr>
        <w:t xml:space="preserve"> </w:t>
      </w:r>
      <w:r w:rsidR="00560D10" w:rsidRPr="00A80972">
        <w:t>priiminėja ir tvirtina</w:t>
      </w:r>
      <w:r w:rsidR="00560D10" w:rsidRPr="00A80972">
        <w:rPr>
          <w:b/>
        </w:rPr>
        <w:t xml:space="preserve"> Pirkėjo </w:t>
      </w:r>
      <w:r w:rsidR="00560D10" w:rsidRPr="00A80972">
        <w:t xml:space="preserve">teikiamus prekių užsakymus, tiekiamų prekių sąmatą, dalyvauja susitikimuose su </w:t>
      </w:r>
      <w:r w:rsidR="00560D10" w:rsidRPr="00A80972">
        <w:rPr>
          <w:b/>
        </w:rPr>
        <w:t xml:space="preserve">Pirkėju </w:t>
      </w:r>
      <w:r w:rsidR="00560D10" w:rsidRPr="00A80972">
        <w:t xml:space="preserve">ir atlieka kitus veiksmus, būtinus tinkamam šios Sutarties vykdymui yra nurodyti Sutarties specialiojoje dalyje. </w:t>
      </w:r>
    </w:p>
    <w:p w:rsidR="00560D10" w:rsidRPr="00A80972" w:rsidRDefault="009C351C" w:rsidP="00560D10">
      <w:pPr>
        <w:jc w:val="both"/>
      </w:pPr>
      <w:r w:rsidRPr="00A80972">
        <w:t>15</w:t>
      </w:r>
      <w:r w:rsidR="008E64FC" w:rsidRPr="00A80972">
        <w:t>.</w:t>
      </w:r>
      <w:r w:rsidR="00C33D3A" w:rsidRPr="00A80972">
        <w:t>11</w:t>
      </w:r>
      <w:r w:rsidR="006F008D" w:rsidRPr="00A80972">
        <w:t>.</w:t>
      </w:r>
      <w:r w:rsidR="00560D10" w:rsidRPr="00A80972">
        <w:t xml:space="preserve"> </w:t>
      </w:r>
      <w:r w:rsidR="00560D10" w:rsidRPr="00A80972">
        <w:rPr>
          <w:b/>
        </w:rPr>
        <w:t xml:space="preserve">Pirkėjo </w:t>
      </w:r>
      <w:r w:rsidR="00560D10" w:rsidRPr="00A80972">
        <w:t>paskirti asmuo/asmenys, kurie atstovauja</w:t>
      </w:r>
      <w:r w:rsidR="00560D10" w:rsidRPr="00A80972">
        <w:rPr>
          <w:b/>
        </w:rPr>
        <w:t xml:space="preserve"> Pirkėjui, </w:t>
      </w:r>
      <w:r w:rsidR="00560D10" w:rsidRPr="00A80972">
        <w:t>teikia</w:t>
      </w:r>
      <w:r w:rsidR="00560D10" w:rsidRPr="00A80972">
        <w:rPr>
          <w:b/>
        </w:rPr>
        <w:t xml:space="preserve"> Pardavėjui </w:t>
      </w:r>
      <w:r w:rsidR="00560D10" w:rsidRPr="00A80972">
        <w:t>prekių užsakymus, prekių sąmatą, dalyvauja susitikimuose su</w:t>
      </w:r>
      <w:r w:rsidR="00560D10" w:rsidRPr="00A80972">
        <w:rPr>
          <w:b/>
        </w:rPr>
        <w:t xml:space="preserve"> Pardavėju </w:t>
      </w:r>
      <w:r w:rsidR="00560D10" w:rsidRPr="00A80972">
        <w:t xml:space="preserve">ir atlieka kitus veiksmus, būtinus tinkamam šios Sutarties vykdymui, yra nurodyti Sutarties specialiojoje dalyje. </w:t>
      </w:r>
    </w:p>
    <w:p w:rsidR="00560D10" w:rsidRPr="00A80972" w:rsidRDefault="00560D10" w:rsidP="00EB04AE">
      <w:pPr>
        <w:jc w:val="both"/>
        <w:rPr>
          <w:b/>
        </w:rPr>
      </w:pPr>
    </w:p>
    <w:p w:rsidR="00EB04AE" w:rsidRPr="00A80972" w:rsidRDefault="00EB04AE" w:rsidP="00646DC6">
      <w:pPr>
        <w:jc w:val="both"/>
      </w:pPr>
    </w:p>
    <w:p w:rsidR="003B1F71" w:rsidRPr="00A80972" w:rsidRDefault="003B1F71" w:rsidP="00646DC6">
      <w:pPr>
        <w:jc w:val="both"/>
      </w:pPr>
    </w:p>
    <w:p w:rsidR="003B1F71" w:rsidRPr="00A80972" w:rsidRDefault="003B1F71" w:rsidP="003B1F71">
      <w:pPr>
        <w:pStyle w:val="BodyText1"/>
        <w:ind w:firstLine="0"/>
        <w:rPr>
          <w:rFonts w:ascii="Times New Roman" w:hAnsi="Times New Roman"/>
          <w:sz w:val="24"/>
          <w:szCs w:val="24"/>
          <w:lang w:val="lt-LT"/>
        </w:rPr>
      </w:pPr>
      <w:r w:rsidRPr="00A80972">
        <w:rPr>
          <w:rFonts w:ascii="Times New Roman" w:hAnsi="Times New Roman"/>
          <w:sz w:val="24"/>
          <w:szCs w:val="24"/>
          <w:lang w:val="lt-LT"/>
        </w:rPr>
        <w:t>PIRKĖJAS</w:t>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r>
      <w:r w:rsidRPr="00A80972">
        <w:rPr>
          <w:rFonts w:ascii="Times New Roman" w:hAnsi="Times New Roman"/>
          <w:sz w:val="24"/>
          <w:szCs w:val="24"/>
          <w:lang w:val="lt-LT"/>
        </w:rPr>
        <w:tab/>
        <w:t>PARDAVĖJAS</w:t>
      </w:r>
    </w:p>
    <w:p w:rsidR="003B1F71" w:rsidRPr="00A80972" w:rsidRDefault="003B1F71" w:rsidP="003B1F71">
      <w:pPr>
        <w:rPr>
          <w:b/>
        </w:rPr>
      </w:pPr>
    </w:p>
    <w:p w:rsidR="003B1F71" w:rsidRPr="00A80972" w:rsidRDefault="003B1F71" w:rsidP="003B1F71">
      <w:pPr>
        <w:rPr>
          <w:b/>
        </w:rPr>
      </w:pPr>
    </w:p>
    <w:p w:rsidR="003B1F71" w:rsidRPr="00A80972" w:rsidRDefault="003B1F71" w:rsidP="003B1F71">
      <w:pPr>
        <w:rPr>
          <w:b/>
        </w:rPr>
      </w:pPr>
    </w:p>
    <w:p w:rsidR="003B1F71" w:rsidRPr="00A80972" w:rsidRDefault="003B1F71" w:rsidP="003B1F71">
      <w:r w:rsidRPr="00A80972">
        <w:t xml:space="preserve">A.V. </w:t>
      </w:r>
    </w:p>
    <w:p w:rsidR="00EA3C13" w:rsidRPr="00D50103" w:rsidRDefault="00EA3C13">
      <w:pPr>
        <w:rPr>
          <w:highlight w:val="yellow"/>
        </w:rPr>
      </w:pPr>
      <w:r w:rsidRPr="00D50103">
        <w:rPr>
          <w:highlight w:val="yellow"/>
        </w:rPr>
        <w:br w:type="page"/>
      </w:r>
    </w:p>
    <w:p w:rsidR="00EA3C13" w:rsidRPr="00A80972" w:rsidRDefault="00EA3C13" w:rsidP="00EA3C13">
      <w:pPr>
        <w:ind w:left="5387"/>
        <w:rPr>
          <w:sz w:val="20"/>
          <w:szCs w:val="20"/>
        </w:rPr>
      </w:pPr>
      <w:r w:rsidRPr="00A80972">
        <w:lastRenderedPageBreak/>
        <w:t xml:space="preserve">Prekių viešojo pirkimo – pardavimo Sutarties Nr.      </w:t>
      </w:r>
    </w:p>
    <w:p w:rsidR="00EA3C13" w:rsidRPr="00A80972" w:rsidRDefault="00EA3C13" w:rsidP="00EA3C13">
      <w:pPr>
        <w:ind w:left="4667" w:firstLine="720"/>
      </w:pPr>
      <w:r w:rsidRPr="00A80972">
        <w:t>1 priedas</w:t>
      </w:r>
    </w:p>
    <w:p w:rsidR="002A524E" w:rsidRDefault="002A524E" w:rsidP="002A524E">
      <w:pPr>
        <w:ind w:firstLine="710"/>
        <w:jc w:val="center"/>
        <w:rPr>
          <w:rFonts w:eastAsia="Tahoma"/>
          <w:b/>
          <w:caps/>
          <w:color w:val="000000"/>
          <w:sz w:val="22"/>
          <w:szCs w:val="22"/>
          <w:highlight w:val="yellow"/>
        </w:rPr>
      </w:pPr>
    </w:p>
    <w:p w:rsidR="007B2B5C" w:rsidRPr="007B2B5C" w:rsidRDefault="003F7A97" w:rsidP="007B2B5C">
      <w:pPr>
        <w:ind w:firstLine="710"/>
        <w:jc w:val="center"/>
        <w:rPr>
          <w:rFonts w:eastAsia="Tahoma"/>
          <w:b/>
          <w:caps/>
          <w:color w:val="000000"/>
        </w:rPr>
      </w:pPr>
      <w:r w:rsidRPr="003F7A97">
        <w:rPr>
          <w:rFonts w:eastAsia="Tahoma"/>
          <w:b/>
          <w:caps/>
          <w:color w:val="000000"/>
        </w:rPr>
        <w:t xml:space="preserve">NEPERTRAUKIAMO MAITINIMO ŠALTINIO </w:t>
      </w:r>
      <w:r w:rsidR="007B2B5C" w:rsidRPr="007B2B5C">
        <w:rPr>
          <w:rFonts w:eastAsia="Tahoma"/>
          <w:b/>
          <w:caps/>
          <w:color w:val="000000"/>
        </w:rPr>
        <w:t>techninė specifikacija</w:t>
      </w:r>
    </w:p>
    <w:p w:rsidR="003F7A97" w:rsidRPr="00F51084" w:rsidRDefault="003F7A97" w:rsidP="003F7A97">
      <w:pPr>
        <w:rPr>
          <w:rFonts w:eastAsia="Tahoma"/>
          <w:b/>
          <w:cap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356"/>
      </w:tblGrid>
      <w:tr w:rsidR="003F7A97" w:rsidRPr="00F51084" w:rsidTr="00D82B97">
        <w:trPr>
          <w:trHeight w:val="410"/>
        </w:trPr>
        <w:tc>
          <w:tcPr>
            <w:tcW w:w="993" w:type="dxa"/>
            <w:noWrap/>
            <w:hideMark/>
          </w:tcPr>
          <w:p w:rsidR="003F7A97" w:rsidRPr="00F51084" w:rsidRDefault="003F7A97" w:rsidP="00D82B97">
            <w:pPr>
              <w:suppressAutoHyphens/>
              <w:rPr>
                <w:b/>
                <w:lang w:eastAsia="ar-SA"/>
              </w:rPr>
            </w:pPr>
            <w:r w:rsidRPr="00F51084">
              <w:rPr>
                <w:b/>
                <w:lang w:eastAsia="ar-SA"/>
              </w:rPr>
              <w:t>I.</w:t>
            </w:r>
          </w:p>
        </w:tc>
        <w:tc>
          <w:tcPr>
            <w:tcW w:w="9356" w:type="dxa"/>
            <w:hideMark/>
          </w:tcPr>
          <w:p w:rsidR="003F7A97" w:rsidRPr="00F51084" w:rsidRDefault="003F7A97" w:rsidP="00D82B97">
            <w:pPr>
              <w:tabs>
                <w:tab w:val="left" w:pos="390"/>
                <w:tab w:val="left" w:pos="1035"/>
                <w:tab w:val="left" w:pos="1500"/>
              </w:tabs>
              <w:suppressAutoHyphens/>
              <w:rPr>
                <w:b/>
                <w:bCs/>
                <w:lang w:eastAsia="ar-SA"/>
              </w:rPr>
            </w:pPr>
            <w:r w:rsidRPr="00F51084">
              <w:rPr>
                <w:b/>
                <w:bCs/>
                <w:lang w:eastAsia="ar-SA"/>
              </w:rPr>
              <w:t>BENDRIEJI REIKALAVIMAI ĮRANGAI:</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1.1.</w:t>
            </w:r>
          </w:p>
        </w:tc>
        <w:tc>
          <w:tcPr>
            <w:tcW w:w="9356" w:type="dxa"/>
            <w:hideMark/>
          </w:tcPr>
          <w:p w:rsidR="003F7A97" w:rsidRPr="00F51084" w:rsidRDefault="003F7A97" w:rsidP="00D82B97">
            <w:pPr>
              <w:tabs>
                <w:tab w:val="left" w:pos="390"/>
                <w:tab w:val="left" w:pos="1035"/>
                <w:tab w:val="left" w:pos="1500"/>
              </w:tabs>
              <w:suppressAutoHyphens/>
              <w:rPr>
                <w:b/>
                <w:bCs/>
                <w:lang w:eastAsia="ar-SA"/>
              </w:rPr>
            </w:pPr>
            <w:r w:rsidRPr="00F51084">
              <w:rPr>
                <w:rFonts w:eastAsiaTheme="minorHAnsi"/>
                <w:bCs/>
                <w:lang w:eastAsia="en-US"/>
              </w:rPr>
              <w:t xml:space="preserve">visa pateikiama nepertraukiamo maitinimo šaltinių (NMŠ) įranga privalo būti nauja ir nenaudota </w:t>
            </w:r>
            <w:r w:rsidRPr="00F51084">
              <w:rPr>
                <w:rFonts w:eastAsiaTheme="minorHAnsi"/>
                <w:lang w:eastAsia="en-US"/>
              </w:rPr>
              <w:t>(</w:t>
            </w:r>
            <w:r w:rsidRPr="00F51084">
              <w:rPr>
                <w:rFonts w:eastAsiaTheme="minorHAnsi"/>
              </w:rPr>
              <w:t xml:space="preserve">negali būti atnaujinta, restauruota, angl. </w:t>
            </w:r>
            <w:proofErr w:type="spellStart"/>
            <w:r w:rsidRPr="00F51084">
              <w:rPr>
                <w:rFonts w:eastAsiaTheme="minorHAnsi"/>
                <w:i/>
                <w:iCs/>
              </w:rPr>
              <w:t>refurbished</w:t>
            </w:r>
            <w:proofErr w:type="spellEnd"/>
            <w:r w:rsidRPr="00F51084">
              <w:rPr>
                <w:rFonts w:eastAsiaTheme="minorHAnsi"/>
              </w:rPr>
              <w:t>), nepažeistose gamintojo pakuotėse;</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1.2.</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tiekėjas į savo pasiūlymą turi įtraukti visą aparatinę ir programinę įrangą, medžiagas ir įdiegimo bei suderinimo paslaugas, reikalingas šioje specifikacijoje nurodytiems reikalavimams įvykdyti;</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1.3.</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siūlomos NMŠ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1.4.</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 xml:space="preserve">tiekėjas turi užtikrinti, kad gamintojas nėra paskelbęs žinios apie siūlomos NMŠ įrangos gamybos arba tobulinimo nutraukimą (angl. </w:t>
            </w:r>
            <w:proofErr w:type="spellStart"/>
            <w:r w:rsidRPr="00F51084">
              <w:rPr>
                <w:bCs/>
                <w:i/>
                <w:lang w:eastAsia="ar-SA"/>
              </w:rPr>
              <w:t>end</w:t>
            </w:r>
            <w:proofErr w:type="spellEnd"/>
            <w:r w:rsidRPr="00F51084">
              <w:rPr>
                <w:bCs/>
                <w:i/>
                <w:lang w:eastAsia="ar-SA"/>
              </w:rPr>
              <w:t xml:space="preserve"> </w:t>
            </w:r>
            <w:proofErr w:type="spellStart"/>
            <w:r w:rsidRPr="00F51084">
              <w:rPr>
                <w:bCs/>
                <w:i/>
                <w:lang w:eastAsia="ar-SA"/>
              </w:rPr>
              <w:t>of</w:t>
            </w:r>
            <w:proofErr w:type="spellEnd"/>
            <w:r w:rsidRPr="00F51084">
              <w:rPr>
                <w:bCs/>
                <w:i/>
                <w:lang w:eastAsia="ar-SA"/>
              </w:rPr>
              <w:t xml:space="preserve"> </w:t>
            </w:r>
            <w:proofErr w:type="spellStart"/>
            <w:r w:rsidRPr="00F51084">
              <w:rPr>
                <w:bCs/>
                <w:i/>
                <w:lang w:eastAsia="ar-SA"/>
              </w:rPr>
              <w:t>life</w:t>
            </w:r>
            <w:proofErr w:type="spellEnd"/>
            <w:r w:rsidRPr="00F51084">
              <w:rPr>
                <w:bCs/>
                <w:i/>
                <w:lang w:eastAsia="ar-SA"/>
              </w:rPr>
              <w:t xml:space="preserve"> </w:t>
            </w:r>
            <w:proofErr w:type="spellStart"/>
            <w:r w:rsidRPr="00F51084">
              <w:rPr>
                <w:bCs/>
                <w:i/>
                <w:lang w:eastAsia="ar-SA"/>
              </w:rPr>
              <w:t>time</w:t>
            </w:r>
            <w:proofErr w:type="spellEnd"/>
            <w:r w:rsidRPr="00F51084">
              <w:rPr>
                <w:bCs/>
                <w:i/>
                <w:lang w:eastAsia="ar-SA"/>
              </w:rPr>
              <w:t xml:space="preserve"> ar </w:t>
            </w:r>
            <w:proofErr w:type="spellStart"/>
            <w:r w:rsidRPr="00F51084">
              <w:rPr>
                <w:bCs/>
                <w:i/>
                <w:lang w:eastAsia="ar-SA"/>
              </w:rPr>
              <w:t>Discontinued</w:t>
            </w:r>
            <w:proofErr w:type="spellEnd"/>
            <w:r w:rsidRPr="00F51084">
              <w:rPr>
                <w:bCs/>
                <w:lang w:eastAsia="ar-SA"/>
              </w:rPr>
              <w:t>);</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1.5.</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 xml:space="preserve">jeigu nenurodyta kitaip, NMŠ įrangos tiekėjas turi turėti įsteigtą aptarnavimo centrą Lietuvoje techniniam aptarnavimui. </w:t>
            </w:r>
            <w:proofErr w:type="spellStart"/>
            <w:r w:rsidRPr="00F51084">
              <w:rPr>
                <w:bCs/>
                <w:lang w:eastAsia="ar-SA"/>
              </w:rPr>
              <w:t>Grantiniu</w:t>
            </w:r>
            <w:proofErr w:type="spellEnd"/>
            <w:r w:rsidRPr="00F51084">
              <w:rPr>
                <w:bCs/>
                <w:lang w:eastAsia="ar-SA"/>
              </w:rPr>
              <w:t xml:space="preserve"> laikotarpiu įrangos remontą atliks įrangos gamintojas ar gamintojo sertifikuoti specialistai. Reikalavimas netaikomas programinei įrangai;</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1.6.</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NMŠ įrangos dokumentacija turi būti lietuvių arba anglų kalba. Programinė įranga sisteminiai pranešimai turi būti anglų arba lietuvių kalba. Gamintojo interneto svetainėje tvarkyklių ir dokumentų paieška turi būti pateikiama anglų arba lietuvių kalba. Užrašai ant NMŠ įrenginių ir jų dalių turi būti anglų arba lietuvių kalba;</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1.7.</w:t>
            </w:r>
          </w:p>
        </w:tc>
        <w:tc>
          <w:tcPr>
            <w:tcW w:w="9356" w:type="dxa"/>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jeigu nenurodyta kitaip, visos programinės įrangos licencija turi būti suteikiama neribotam laikui;</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1.8.</w:t>
            </w:r>
          </w:p>
        </w:tc>
        <w:tc>
          <w:tcPr>
            <w:tcW w:w="9356" w:type="dxa"/>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pardavėjas turi pateikti nuorodą į gamintojo interneto puslapį, kuriame yra tiksli pasiūlymą atitinkančios techninės ar programinės NMŠ įrangos techninė specifikacija;</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1.9.</w:t>
            </w:r>
          </w:p>
        </w:tc>
        <w:tc>
          <w:tcPr>
            <w:tcW w:w="9356" w:type="dxa"/>
            <w:hideMark/>
          </w:tcPr>
          <w:p w:rsidR="003F7A97" w:rsidRPr="00F51084" w:rsidRDefault="003F7A97" w:rsidP="00D82B97">
            <w:pPr>
              <w:tabs>
                <w:tab w:val="left" w:pos="390"/>
                <w:tab w:val="left" w:pos="1035"/>
                <w:tab w:val="left" w:pos="1500"/>
              </w:tabs>
              <w:suppressAutoHyphens/>
              <w:rPr>
                <w:bCs/>
                <w:lang w:eastAsia="ar-SA"/>
              </w:rPr>
            </w:pPr>
            <w:r w:rsidRPr="00F51084">
              <w:rPr>
                <w:bCs/>
                <w:lang w:eastAsia="ar-SA"/>
              </w:rPr>
              <w:t>tiekėjas turi užtikrinti, kad įsigyjamoje NMŠ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F7A97" w:rsidRPr="00F51084" w:rsidRDefault="003F7A97" w:rsidP="00D82B97">
            <w:pPr>
              <w:tabs>
                <w:tab w:val="left" w:pos="390"/>
                <w:tab w:val="left" w:pos="1035"/>
                <w:tab w:val="left" w:pos="1500"/>
              </w:tabs>
              <w:suppressAutoHyphens/>
              <w:rPr>
                <w:bCs/>
                <w:lang w:eastAsia="ar-SA"/>
              </w:rPr>
            </w:pPr>
            <w:r w:rsidRPr="00F51084">
              <w:rPr>
                <w:bCs/>
                <w:lang w:eastAsia="ar-SA"/>
              </w:rPr>
              <w:t>-</w:t>
            </w:r>
            <w:r w:rsidRPr="00F51084">
              <w:rPr>
                <w:bCs/>
                <w:lang w:eastAsia="ar-SA"/>
              </w:rPr>
              <w:tab/>
              <w:t>NMŠ įranga grąžinama tiekėjui arba keičiama nauja lygiaverte ar geresne, tačiau saugumo reikalavimus atitinkančia įranga;</w:t>
            </w:r>
          </w:p>
          <w:p w:rsidR="003F7A97" w:rsidRPr="00F51084" w:rsidRDefault="003F7A97" w:rsidP="00D82B97">
            <w:pPr>
              <w:tabs>
                <w:tab w:val="left" w:pos="390"/>
                <w:tab w:val="left" w:pos="1035"/>
                <w:tab w:val="left" w:pos="1500"/>
              </w:tabs>
              <w:suppressAutoHyphens/>
              <w:rPr>
                <w:bCs/>
                <w:lang w:eastAsia="ar-SA"/>
              </w:rPr>
            </w:pPr>
            <w:r w:rsidRPr="00F51084">
              <w:rPr>
                <w:bCs/>
                <w:lang w:eastAsia="ar-SA"/>
              </w:rPr>
              <w:t>- tiekėjas padengia pirkėjo patirtą materialinę žalą;</w:t>
            </w:r>
          </w:p>
        </w:tc>
      </w:tr>
      <w:tr w:rsidR="003F7A97" w:rsidRPr="00F51084" w:rsidTr="00D82B97">
        <w:trPr>
          <w:trHeight w:val="57"/>
        </w:trPr>
        <w:tc>
          <w:tcPr>
            <w:tcW w:w="993" w:type="dxa"/>
            <w:noWrap/>
          </w:tcPr>
          <w:p w:rsidR="003F7A97" w:rsidRPr="00F51084" w:rsidRDefault="003F7A97" w:rsidP="00D82B97">
            <w:pPr>
              <w:suppressAutoHyphens/>
              <w:rPr>
                <w:lang w:eastAsia="ar-SA"/>
              </w:rPr>
            </w:pPr>
            <w:r w:rsidRPr="00F51084">
              <w:rPr>
                <w:lang w:eastAsia="ar-SA"/>
              </w:rPr>
              <w:t>1.1</w:t>
            </w:r>
            <w:r>
              <w:rPr>
                <w:lang w:eastAsia="ar-SA"/>
              </w:rPr>
              <w:t>0</w:t>
            </w:r>
            <w:r w:rsidRPr="00F51084">
              <w:rPr>
                <w:lang w:eastAsia="ar-SA"/>
              </w:rPr>
              <w:t>.</w:t>
            </w:r>
          </w:p>
        </w:tc>
        <w:tc>
          <w:tcPr>
            <w:tcW w:w="9356" w:type="dxa"/>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 xml:space="preserve">NMŠ įranga turi turėti stebėjimo galimybę iš pirkėjo turimos </w:t>
            </w:r>
            <w:proofErr w:type="spellStart"/>
            <w:r w:rsidRPr="00F51084">
              <w:rPr>
                <w:bCs/>
                <w:lang w:eastAsia="ar-SA"/>
              </w:rPr>
              <w:t>StruxureWare</w:t>
            </w:r>
            <w:proofErr w:type="spellEnd"/>
            <w:r w:rsidRPr="00F51084">
              <w:rPr>
                <w:bCs/>
                <w:lang w:eastAsia="ar-SA"/>
              </w:rPr>
              <w:t xml:space="preserve"> Data </w:t>
            </w:r>
            <w:proofErr w:type="spellStart"/>
            <w:r w:rsidRPr="00F51084">
              <w:rPr>
                <w:bCs/>
                <w:lang w:eastAsia="ar-SA"/>
              </w:rPr>
              <w:t>Center</w:t>
            </w:r>
            <w:proofErr w:type="spellEnd"/>
            <w:r w:rsidRPr="00F51084">
              <w:rPr>
                <w:bCs/>
                <w:lang w:eastAsia="ar-SA"/>
              </w:rPr>
              <w:t xml:space="preserve"> </w:t>
            </w:r>
            <w:proofErr w:type="spellStart"/>
            <w:r w:rsidRPr="00F51084">
              <w:rPr>
                <w:bCs/>
                <w:lang w:eastAsia="ar-SA"/>
              </w:rPr>
              <w:t>Expert</w:t>
            </w:r>
            <w:proofErr w:type="spellEnd"/>
            <w:r w:rsidRPr="00F51084">
              <w:rPr>
                <w:bCs/>
                <w:lang w:eastAsia="ar-SA"/>
              </w:rPr>
              <w:t xml:space="preserve"> programinės įrangos. Tiekėjas privalo integruoti NMŠ įrangą į pirkėjo turimą </w:t>
            </w:r>
            <w:proofErr w:type="spellStart"/>
            <w:r w:rsidRPr="00F51084">
              <w:rPr>
                <w:bCs/>
                <w:lang w:eastAsia="ar-SA"/>
              </w:rPr>
              <w:t>StruxureWare</w:t>
            </w:r>
            <w:proofErr w:type="spellEnd"/>
            <w:r w:rsidRPr="00F51084">
              <w:rPr>
                <w:bCs/>
                <w:lang w:eastAsia="ar-SA"/>
              </w:rPr>
              <w:t xml:space="preserve"> Data </w:t>
            </w:r>
            <w:proofErr w:type="spellStart"/>
            <w:r w:rsidRPr="00F51084">
              <w:rPr>
                <w:bCs/>
                <w:lang w:eastAsia="ar-SA"/>
              </w:rPr>
              <w:t>Center</w:t>
            </w:r>
            <w:proofErr w:type="spellEnd"/>
            <w:r w:rsidRPr="00F51084">
              <w:rPr>
                <w:bCs/>
                <w:lang w:eastAsia="ar-SA"/>
              </w:rPr>
              <w:t xml:space="preserve"> </w:t>
            </w:r>
            <w:proofErr w:type="spellStart"/>
            <w:r w:rsidRPr="00F51084">
              <w:rPr>
                <w:bCs/>
                <w:lang w:eastAsia="ar-SA"/>
              </w:rPr>
              <w:t>Expert</w:t>
            </w:r>
            <w:proofErr w:type="spellEnd"/>
            <w:r w:rsidRPr="00F51084">
              <w:rPr>
                <w:bCs/>
                <w:lang w:eastAsia="ar-SA"/>
              </w:rPr>
              <w:t xml:space="preserve"> programinę įrangą;</w:t>
            </w:r>
          </w:p>
        </w:tc>
      </w:tr>
      <w:tr w:rsidR="003F7A97" w:rsidRPr="00F51084" w:rsidTr="00D82B97">
        <w:trPr>
          <w:trHeight w:val="57"/>
        </w:trPr>
        <w:tc>
          <w:tcPr>
            <w:tcW w:w="993" w:type="dxa"/>
            <w:noWrap/>
          </w:tcPr>
          <w:p w:rsidR="003F7A97" w:rsidRPr="00F51084" w:rsidRDefault="003F7A97" w:rsidP="00D82B97">
            <w:pPr>
              <w:suppressAutoHyphens/>
              <w:rPr>
                <w:lang w:eastAsia="ar-SA"/>
              </w:rPr>
            </w:pPr>
            <w:r w:rsidRPr="00F51084">
              <w:rPr>
                <w:lang w:eastAsia="ar-SA"/>
              </w:rPr>
              <w:t>1.1</w:t>
            </w:r>
            <w:r>
              <w:rPr>
                <w:lang w:eastAsia="ar-SA"/>
              </w:rPr>
              <w:t>1</w:t>
            </w:r>
            <w:r w:rsidRPr="00F51084">
              <w:rPr>
                <w:lang w:eastAsia="ar-SA"/>
              </w:rPr>
              <w:t>.</w:t>
            </w:r>
          </w:p>
        </w:tc>
        <w:tc>
          <w:tcPr>
            <w:tcW w:w="9356" w:type="dxa"/>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prieš gabenant iš gamyklos, NMŠ įranga turi būti patikrinta ir ištestuota.</w:t>
            </w:r>
          </w:p>
        </w:tc>
      </w:tr>
      <w:tr w:rsidR="003F7A97" w:rsidRPr="00F51084" w:rsidTr="00D82B97">
        <w:trPr>
          <w:trHeight w:val="57"/>
        </w:trPr>
        <w:tc>
          <w:tcPr>
            <w:tcW w:w="993" w:type="dxa"/>
            <w:noWrap/>
            <w:hideMark/>
          </w:tcPr>
          <w:p w:rsidR="003F7A97" w:rsidRPr="00F51084" w:rsidRDefault="003F7A97" w:rsidP="00D82B97">
            <w:pPr>
              <w:suppressAutoHyphens/>
              <w:rPr>
                <w:lang w:eastAsia="ar-SA"/>
              </w:rPr>
            </w:pPr>
            <w:r w:rsidRPr="00F51084">
              <w:rPr>
                <w:lang w:eastAsia="ar-SA"/>
              </w:rPr>
              <w:t>1.1</w:t>
            </w:r>
            <w:r>
              <w:rPr>
                <w:lang w:eastAsia="ar-SA"/>
              </w:rPr>
              <w:t>2</w:t>
            </w:r>
            <w:r w:rsidRPr="00F51084">
              <w:rPr>
                <w:lang w:eastAsia="ar-SA"/>
              </w:rPr>
              <w:t>.</w:t>
            </w:r>
          </w:p>
        </w:tc>
        <w:tc>
          <w:tcPr>
            <w:tcW w:w="9356" w:type="dxa"/>
            <w:hideMark/>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 xml:space="preserve">jeigu nenurodyta kitaip, </w:t>
            </w:r>
            <w:r>
              <w:rPr>
                <w:bCs/>
                <w:lang w:eastAsia="ar-SA"/>
              </w:rPr>
              <w:t xml:space="preserve">nepertraukiamo maitinimo šaltiniui </w:t>
            </w:r>
            <w:r w:rsidRPr="00F51084">
              <w:rPr>
                <w:bCs/>
                <w:lang w:eastAsia="ar-SA"/>
              </w:rPr>
              <w:t>privalo būti suteikta ne trumpesnė kaip 36 mėnesių garantija</w:t>
            </w:r>
            <w:r>
              <w:rPr>
                <w:bCs/>
                <w:lang w:eastAsia="ar-SA"/>
              </w:rPr>
              <w:t>, o baterijoms ne trumpesnė nei 24 mėnesių garantija</w:t>
            </w:r>
            <w:r w:rsidRPr="00F51084">
              <w:rPr>
                <w:bCs/>
                <w:lang w:eastAsia="ar-SA"/>
              </w:rPr>
              <w:t>;</w:t>
            </w:r>
          </w:p>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garantinio remonto trukmė – ne ilgiau kaip 5 kalendorines dienas. Jei sugedusios įrangos per šį laikotarpį pataisyti neįmanoma, ji pakeičiama ekvivalentiška nauja;</w:t>
            </w:r>
          </w:p>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siūlomos įrangos techninė priežiūra turi būti atliekama tik įrangos gamintojo sertifikuotuose techninės priežiūros centruose;</w:t>
            </w:r>
          </w:p>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lastRenderedPageBreak/>
              <w:t>garantinis laikotarpis skaičiuojamas nuo priėmimo–perdavimo akto pasirašymo dienos. Garantiniu laikotarpiu tiekėjas privalo atlikti darbus savo lėšomis, įskaitant transportavimo išlaidas;</w:t>
            </w:r>
          </w:p>
        </w:tc>
      </w:tr>
    </w:tbl>
    <w:p w:rsidR="003F7A97" w:rsidRPr="00F51084" w:rsidRDefault="003F7A97" w:rsidP="003F7A97">
      <w:pPr>
        <w:jc w:val="center"/>
        <w:rPr>
          <w:rFonts w:eastAsia="Tahoma"/>
          <w:b/>
          <w:caps/>
        </w:rPr>
      </w:pPr>
    </w:p>
    <w:p w:rsidR="003F7A97" w:rsidRPr="00F51084" w:rsidRDefault="003F7A97" w:rsidP="003F7A97">
      <w:pPr>
        <w:jc w:val="center"/>
        <w:rPr>
          <w:rFonts w:eastAsia="Tahoma"/>
          <w:b/>
          <w:caps/>
        </w:rPr>
      </w:pPr>
    </w:p>
    <w:p w:rsidR="003F7A97" w:rsidRPr="00F51084" w:rsidRDefault="003F7A97" w:rsidP="003F7A97">
      <w:pPr>
        <w:autoSpaceDE w:val="0"/>
        <w:ind w:hanging="426"/>
        <w:outlineLvl w:val="0"/>
        <w:rPr>
          <w:rFonts w:eastAsiaTheme="minorHAnsi"/>
          <w:b/>
          <w:lang w:eastAsia="en-US"/>
        </w:rPr>
      </w:pPr>
      <w:r w:rsidRPr="00F51084">
        <w:rPr>
          <w:rFonts w:eastAsiaTheme="minorHAnsi"/>
          <w:b/>
          <w:bCs/>
          <w:lang w:eastAsia="en-US"/>
        </w:rPr>
        <w:t>II. Nepertraukiamo maitinimo šaltinis</w:t>
      </w:r>
    </w:p>
    <w:p w:rsidR="003F7A97" w:rsidRPr="00F51084" w:rsidRDefault="003F7A97" w:rsidP="003F7A97">
      <w:pPr>
        <w:rPr>
          <w:rFonts w:eastAsia="Tahoma"/>
          <w:b/>
          <w:caps/>
        </w:rPr>
      </w:pPr>
    </w:p>
    <w:p w:rsidR="003F7A97" w:rsidRPr="00F51084" w:rsidRDefault="003F7A97" w:rsidP="003F7A97">
      <w:pPr>
        <w:rPr>
          <w:rFonts w:eastAsia="Tahoma"/>
          <w:b/>
          <w:caps/>
        </w:rPr>
      </w:pPr>
    </w:p>
    <w:tbl>
      <w:tblPr>
        <w:tblW w:w="103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59"/>
        <w:gridCol w:w="34"/>
        <w:gridCol w:w="3238"/>
        <w:gridCol w:w="5976"/>
        <w:gridCol w:w="118"/>
      </w:tblGrid>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2.1</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įrenginys surenkamas standartinėje 4U aukščio 19 colių skydų sistemoje;</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2.2.</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 xml:space="preserve">NMŠ sistema turi būti nauja su dvigubos konversijos </w:t>
            </w:r>
            <w:proofErr w:type="spellStart"/>
            <w:r w:rsidRPr="00F51084">
              <w:rPr>
                <w:bCs/>
                <w:lang w:eastAsia="ar-SA"/>
              </w:rPr>
              <w:t>topologija</w:t>
            </w:r>
            <w:proofErr w:type="spellEnd"/>
            <w:r w:rsidRPr="00F51084">
              <w:rPr>
                <w:bCs/>
                <w:lang w:eastAsia="ar-SA"/>
              </w:rPr>
              <w:t>;</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2.3.</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turi būti su ekonominio režimo technologija, leidžiančia pasiekti aukštą veiklos efektyvumą;</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2.4.</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įranga tiekiama kartu su automatiniu ir rankiniu perjungikliu išjungimui iš grandinės, nenutraukiant elektros energijos tiekimo vartotojams;</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2.5.</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sistemoje turi būti įrengta periodinė automatinė akumuliatorių testavimo funkcija, kuri skirta ankstyvojoje stadijoje nustatyti galimus jų gedimus;</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2.6.</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 xml:space="preserve">akumuliatoriaus įkrovimo grandinėje turi būti įdiegta sistema, reguliuojanti akumuliatorių įkrovimą taip </w:t>
            </w:r>
            <w:proofErr w:type="spellStart"/>
            <w:r w:rsidRPr="00F51084">
              <w:rPr>
                <w:bCs/>
                <w:lang w:eastAsia="ar-SA"/>
              </w:rPr>
              <w:t>optimizuotjant</w:t>
            </w:r>
            <w:proofErr w:type="spellEnd"/>
            <w:r w:rsidRPr="00F51084">
              <w:rPr>
                <w:bCs/>
                <w:lang w:eastAsia="ar-SA"/>
              </w:rPr>
              <w:t xml:space="preserve"> ir prailginant jų tarnavimo ciklą;</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2.7.</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akumuliatorių keitimas turi būti galimas be papildomų įrankių per t</w:t>
            </w:r>
            <w:r>
              <w:rPr>
                <w:bCs/>
                <w:lang w:eastAsia="ar-SA"/>
              </w:rPr>
              <w:t>rumpiausią įmanomą laiką;</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2.8.</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valdymo programinė įranga turi leisti vartotojui valdyti NMŠ funkcijas, suplanuoti automatinį išjungimą ir stebėti parametrus per interaktyvią sąsają;</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2.9.</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NMŠ privalo turėti avarinio išjungimo funkciją EPO: jai suveikus, visi NMŠ komponentai išjungiami iš išorinės ir vidinės elektros grandinės;</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r w:rsidRPr="00F51084">
              <w:rPr>
                <w:lang w:eastAsia="ar-SA"/>
              </w:rPr>
              <w:t>2.10.</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r w:rsidRPr="00F51084">
              <w:rPr>
                <w:bCs/>
                <w:lang w:eastAsia="ar-SA"/>
              </w:rPr>
              <w:t>sistemą turi būti įmanoma stebėti ir valdyti nuotoliniu WEB/SNMP būdu 24/7 režimu;</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p>
          <w:p w:rsidR="003F7A97" w:rsidRPr="00F51084" w:rsidRDefault="003F7A97" w:rsidP="00D82B97">
            <w:pPr>
              <w:suppressAutoHyphens/>
              <w:rPr>
                <w:b/>
                <w:lang w:eastAsia="ar-SA"/>
              </w:rPr>
            </w:pPr>
            <w:r w:rsidRPr="00F51084">
              <w:rPr>
                <w:b/>
                <w:lang w:eastAsia="ar-SA"/>
              </w:rPr>
              <w:t>III.</w:t>
            </w: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p>
          <w:p w:rsidR="003F7A97" w:rsidRPr="00F51084" w:rsidRDefault="003F7A97" w:rsidP="00D82B97">
            <w:pPr>
              <w:tabs>
                <w:tab w:val="left" w:pos="390"/>
                <w:tab w:val="left" w:pos="1035"/>
                <w:tab w:val="left" w:pos="1500"/>
              </w:tabs>
              <w:suppressAutoHyphens/>
              <w:contextualSpacing/>
              <w:rPr>
                <w:b/>
                <w:bCs/>
                <w:lang w:eastAsia="ar-SA"/>
              </w:rPr>
            </w:pPr>
            <w:r w:rsidRPr="00F51084">
              <w:rPr>
                <w:b/>
                <w:bCs/>
                <w:lang w:eastAsia="ar-SA"/>
              </w:rPr>
              <w:t>Techniniai NMŠ reikalavimai:</w:t>
            </w:r>
          </w:p>
        </w:tc>
      </w:tr>
      <w:tr w:rsidR="003F7A97" w:rsidRPr="00F51084" w:rsidTr="00D82B97">
        <w:trPr>
          <w:trHeight w:val="57"/>
        </w:trPr>
        <w:tc>
          <w:tcPr>
            <w:tcW w:w="993" w:type="dxa"/>
            <w:gridSpan w:val="2"/>
            <w:noWrap/>
          </w:tcPr>
          <w:p w:rsidR="003F7A97" w:rsidRPr="00F51084" w:rsidRDefault="003F7A97" w:rsidP="00D82B97">
            <w:pPr>
              <w:suppressAutoHyphens/>
              <w:rPr>
                <w:lang w:eastAsia="ar-SA"/>
              </w:rPr>
            </w:pPr>
          </w:p>
        </w:tc>
        <w:tc>
          <w:tcPr>
            <w:tcW w:w="9366" w:type="dxa"/>
            <w:gridSpan w:val="4"/>
          </w:tcPr>
          <w:p w:rsidR="003F7A97" w:rsidRPr="00F51084" w:rsidRDefault="003F7A97" w:rsidP="00D82B97">
            <w:pPr>
              <w:tabs>
                <w:tab w:val="left" w:pos="390"/>
                <w:tab w:val="left" w:pos="1035"/>
                <w:tab w:val="left" w:pos="1500"/>
              </w:tabs>
              <w:suppressAutoHyphens/>
              <w:contextualSpacing/>
              <w:rPr>
                <w:bCs/>
                <w:lang w:eastAsia="ar-SA"/>
              </w:rPr>
            </w:pPr>
          </w:p>
        </w:tc>
      </w:tr>
      <w:tr w:rsidR="003F7A97" w:rsidRPr="00784239" w:rsidTr="00D82B97">
        <w:tblPrEx>
          <w:jc w:val="center"/>
          <w:tblInd w:w="0" w:type="dxa"/>
        </w:tblPrEx>
        <w:trPr>
          <w:gridBefore w:val="1"/>
          <w:gridAfter w:val="1"/>
          <w:wBefore w:w="34" w:type="dxa"/>
          <w:wAfter w:w="118" w:type="dxa"/>
          <w:jc w:val="center"/>
        </w:trPr>
        <w:tc>
          <w:tcPr>
            <w:tcW w:w="993" w:type="dxa"/>
            <w:gridSpan w:val="2"/>
            <w:hideMark/>
          </w:tcPr>
          <w:p w:rsidR="003F7A97" w:rsidRPr="00784239" w:rsidRDefault="003F7A97" w:rsidP="00D82B97">
            <w:pPr>
              <w:spacing w:line="256" w:lineRule="auto"/>
              <w:jc w:val="center"/>
              <w:rPr>
                <w:b/>
                <w:lang w:eastAsia="en-US"/>
              </w:rPr>
            </w:pPr>
            <w:r w:rsidRPr="00784239">
              <w:rPr>
                <w:b/>
                <w:lang w:eastAsia="en-US"/>
              </w:rPr>
              <w:t>Eil. Nr.</w:t>
            </w:r>
          </w:p>
        </w:tc>
        <w:tc>
          <w:tcPr>
            <w:tcW w:w="3238" w:type="dxa"/>
            <w:hideMark/>
          </w:tcPr>
          <w:p w:rsidR="003F7A97" w:rsidRPr="00784239" w:rsidRDefault="003F7A97" w:rsidP="00D82B97">
            <w:pPr>
              <w:spacing w:line="256" w:lineRule="auto"/>
              <w:jc w:val="center"/>
              <w:rPr>
                <w:b/>
                <w:lang w:eastAsia="en-US"/>
              </w:rPr>
            </w:pPr>
            <w:r w:rsidRPr="00784239">
              <w:rPr>
                <w:b/>
                <w:lang w:eastAsia="en-US"/>
              </w:rPr>
              <w:t>Techniniai parametrai ir reikalavimai</w:t>
            </w:r>
          </w:p>
        </w:tc>
        <w:tc>
          <w:tcPr>
            <w:tcW w:w="5976" w:type="dxa"/>
            <w:hideMark/>
          </w:tcPr>
          <w:p w:rsidR="003F7A97" w:rsidRPr="00784239" w:rsidRDefault="003F7A97" w:rsidP="00D82B97">
            <w:pPr>
              <w:spacing w:line="256" w:lineRule="auto"/>
              <w:jc w:val="center"/>
              <w:rPr>
                <w:b/>
                <w:lang w:eastAsia="en-US"/>
              </w:rPr>
            </w:pPr>
            <w:r w:rsidRPr="00784239">
              <w:rPr>
                <w:b/>
                <w:lang w:eastAsia="en-US"/>
              </w:rPr>
              <w:t>Dydis, sąlyga</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tcPr>
          <w:p w:rsidR="003F7A97" w:rsidRPr="00784239" w:rsidRDefault="003F7A97" w:rsidP="00D82B97">
            <w:pPr>
              <w:spacing w:line="256" w:lineRule="auto"/>
              <w:rPr>
                <w:lang w:eastAsia="en-US"/>
              </w:rPr>
            </w:pPr>
            <w:r w:rsidRPr="00784239">
              <w:rPr>
                <w:lang w:eastAsia="en-US"/>
              </w:rPr>
              <w:t>Gamintojas</w:t>
            </w:r>
          </w:p>
        </w:tc>
        <w:tc>
          <w:tcPr>
            <w:tcW w:w="5976" w:type="dxa"/>
          </w:tcPr>
          <w:p w:rsidR="003F7A97" w:rsidRPr="00784239" w:rsidRDefault="003F7A97" w:rsidP="00D82B97">
            <w:pPr>
              <w:spacing w:line="256" w:lineRule="auto"/>
              <w:contextualSpacing/>
              <w:rPr>
                <w:lang w:eastAsia="en-US"/>
              </w:rPr>
            </w:pPr>
            <w:r w:rsidRPr="00784239">
              <w:rPr>
                <w:lang w:eastAsia="en-US"/>
              </w:rPr>
              <w:t>Nurodyti</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tcPr>
          <w:p w:rsidR="003F7A97" w:rsidRPr="00784239" w:rsidRDefault="003F7A97" w:rsidP="00D82B97">
            <w:pPr>
              <w:spacing w:line="256" w:lineRule="auto"/>
              <w:rPr>
                <w:lang w:eastAsia="en-US"/>
              </w:rPr>
            </w:pPr>
            <w:r w:rsidRPr="00784239">
              <w:rPr>
                <w:lang w:eastAsia="en-US"/>
              </w:rPr>
              <w:t>Modelis ir modelio modifikacija</w:t>
            </w:r>
          </w:p>
        </w:tc>
        <w:tc>
          <w:tcPr>
            <w:tcW w:w="5976" w:type="dxa"/>
          </w:tcPr>
          <w:p w:rsidR="003F7A97" w:rsidRPr="00784239" w:rsidRDefault="003F7A97" w:rsidP="00D82B97">
            <w:pPr>
              <w:spacing w:line="256" w:lineRule="auto"/>
              <w:contextualSpacing/>
              <w:rPr>
                <w:lang w:eastAsia="en-US"/>
              </w:rPr>
            </w:pPr>
            <w:r w:rsidRPr="00784239">
              <w:rPr>
                <w:lang w:eastAsia="en-US"/>
              </w:rPr>
              <w:t>Nurodyti</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NMŠ sistema, pagrindinė komplektacija</w:t>
            </w:r>
          </w:p>
        </w:tc>
        <w:tc>
          <w:tcPr>
            <w:tcW w:w="5976" w:type="dxa"/>
            <w:hideMark/>
          </w:tcPr>
          <w:p w:rsidR="003F7A97" w:rsidRPr="00784239" w:rsidRDefault="003F7A97" w:rsidP="003F7A97">
            <w:pPr>
              <w:numPr>
                <w:ilvl w:val="0"/>
                <w:numId w:val="24"/>
              </w:numPr>
              <w:spacing w:line="256" w:lineRule="auto"/>
              <w:contextualSpacing/>
              <w:rPr>
                <w:lang w:eastAsia="en-US"/>
              </w:rPr>
            </w:pPr>
            <w:r w:rsidRPr="00784239">
              <w:rPr>
                <w:lang w:eastAsia="en-US"/>
              </w:rPr>
              <w:t>NMŠ įrenginys;</w:t>
            </w:r>
          </w:p>
          <w:p w:rsidR="003F7A97" w:rsidRPr="00784239" w:rsidRDefault="003F7A97" w:rsidP="003F7A97">
            <w:pPr>
              <w:numPr>
                <w:ilvl w:val="0"/>
                <w:numId w:val="24"/>
              </w:numPr>
              <w:spacing w:line="256" w:lineRule="auto"/>
              <w:contextualSpacing/>
              <w:rPr>
                <w:lang w:eastAsia="en-US"/>
              </w:rPr>
            </w:pPr>
            <w:r w:rsidRPr="00784239">
              <w:rPr>
                <w:lang w:eastAsia="en-US"/>
              </w:rPr>
              <w:t>Akumuliatorių blokas (XLBP, du moduliai);</w:t>
            </w:r>
          </w:p>
          <w:p w:rsidR="003F7A97" w:rsidRPr="00784239" w:rsidRDefault="003F7A97" w:rsidP="003F7A97">
            <w:pPr>
              <w:numPr>
                <w:ilvl w:val="0"/>
                <w:numId w:val="24"/>
              </w:numPr>
              <w:spacing w:line="256" w:lineRule="auto"/>
              <w:contextualSpacing/>
              <w:rPr>
                <w:lang w:eastAsia="en-US"/>
              </w:rPr>
            </w:pPr>
            <w:r w:rsidRPr="00784239">
              <w:rPr>
                <w:lang w:eastAsia="en-US"/>
              </w:rPr>
              <w:t>Priekinis rėmelis;</w:t>
            </w:r>
          </w:p>
          <w:p w:rsidR="003F7A97" w:rsidRPr="00784239" w:rsidRDefault="003F7A97" w:rsidP="003F7A97">
            <w:pPr>
              <w:numPr>
                <w:ilvl w:val="0"/>
                <w:numId w:val="24"/>
              </w:numPr>
              <w:spacing w:line="256" w:lineRule="auto"/>
              <w:contextualSpacing/>
              <w:rPr>
                <w:color w:val="000000" w:themeColor="text1"/>
                <w:lang w:eastAsia="en-US"/>
              </w:rPr>
            </w:pPr>
            <w:r w:rsidRPr="00784239">
              <w:rPr>
                <w:color w:val="000000" w:themeColor="text1"/>
                <w:lang w:eastAsia="en-US"/>
              </w:rPr>
              <w:t>Tvirtinimo detalės, laikikliai;</w:t>
            </w:r>
          </w:p>
          <w:p w:rsidR="003F7A97" w:rsidRPr="00784239" w:rsidRDefault="003F7A97" w:rsidP="003F7A97">
            <w:pPr>
              <w:numPr>
                <w:ilvl w:val="0"/>
                <w:numId w:val="24"/>
              </w:numPr>
              <w:spacing w:line="256" w:lineRule="auto"/>
              <w:contextualSpacing/>
              <w:rPr>
                <w:color w:val="000000" w:themeColor="text1"/>
                <w:lang w:eastAsia="en-US"/>
              </w:rPr>
            </w:pPr>
            <w:r w:rsidRPr="00784239">
              <w:rPr>
                <w:color w:val="000000" w:themeColor="text1"/>
                <w:lang w:eastAsia="en-US"/>
              </w:rPr>
              <w:t>Atraminiai bėgeliai;</w:t>
            </w:r>
          </w:p>
          <w:p w:rsidR="003F7A97" w:rsidRPr="00784239" w:rsidRDefault="003F7A97" w:rsidP="003F7A97">
            <w:pPr>
              <w:numPr>
                <w:ilvl w:val="0"/>
                <w:numId w:val="24"/>
              </w:numPr>
              <w:spacing w:line="256" w:lineRule="auto"/>
              <w:contextualSpacing/>
              <w:rPr>
                <w:color w:val="000000" w:themeColor="text1"/>
                <w:lang w:eastAsia="en-US"/>
              </w:rPr>
            </w:pPr>
            <w:r w:rsidRPr="00784239">
              <w:rPr>
                <w:color w:val="000000" w:themeColor="text1"/>
                <w:lang w:eastAsia="en-US"/>
              </w:rPr>
              <w:t>USB kabelis;</w:t>
            </w:r>
          </w:p>
          <w:p w:rsidR="003F7A97" w:rsidRPr="00784239" w:rsidRDefault="003F7A97" w:rsidP="003F7A97">
            <w:pPr>
              <w:numPr>
                <w:ilvl w:val="0"/>
                <w:numId w:val="24"/>
              </w:numPr>
              <w:spacing w:line="256" w:lineRule="auto"/>
              <w:contextualSpacing/>
              <w:rPr>
                <w:color w:val="000000" w:themeColor="text1"/>
                <w:lang w:eastAsia="en-US"/>
              </w:rPr>
            </w:pPr>
            <w:r>
              <w:rPr>
                <w:color w:val="000000" w:themeColor="text1"/>
                <w:lang w:eastAsia="en-US"/>
              </w:rPr>
              <w:t>XLBP kabelis</w:t>
            </w:r>
            <w:r w:rsidRPr="00784239">
              <w:rPr>
                <w:color w:val="000000" w:themeColor="text1"/>
                <w:lang w:val="en-US" w:eastAsia="en-US"/>
              </w:rPr>
              <w:t>;</w:t>
            </w:r>
          </w:p>
          <w:p w:rsidR="003F7A97" w:rsidRPr="00784239" w:rsidRDefault="003F7A97" w:rsidP="003F7A97">
            <w:pPr>
              <w:numPr>
                <w:ilvl w:val="0"/>
                <w:numId w:val="24"/>
              </w:numPr>
              <w:spacing w:line="256" w:lineRule="auto"/>
              <w:contextualSpacing/>
              <w:rPr>
                <w:color w:val="000000" w:themeColor="text1"/>
                <w:lang w:eastAsia="en-US"/>
              </w:rPr>
            </w:pPr>
            <w:r w:rsidRPr="00784239">
              <w:rPr>
                <w:color w:val="000000" w:themeColor="text1"/>
                <w:lang w:val="en-US" w:eastAsia="en-US"/>
              </w:rPr>
              <w:t xml:space="preserve">DB9 </w:t>
            </w:r>
            <w:proofErr w:type="spellStart"/>
            <w:r w:rsidRPr="00784239">
              <w:rPr>
                <w:color w:val="000000" w:themeColor="text1"/>
                <w:lang w:val="en-US" w:eastAsia="en-US"/>
              </w:rPr>
              <w:t>kabelis</w:t>
            </w:r>
            <w:proofErr w:type="spellEnd"/>
            <w:r w:rsidRPr="00784239">
              <w:rPr>
                <w:color w:val="000000" w:themeColor="text1"/>
                <w:lang w:val="en-US" w:eastAsia="en-US"/>
              </w:rPr>
              <w:t>;</w:t>
            </w:r>
          </w:p>
          <w:p w:rsidR="003F7A97" w:rsidRPr="00784239" w:rsidRDefault="003F7A97" w:rsidP="003F7A97">
            <w:pPr>
              <w:numPr>
                <w:ilvl w:val="0"/>
                <w:numId w:val="24"/>
              </w:numPr>
              <w:spacing w:line="256" w:lineRule="auto"/>
              <w:contextualSpacing/>
              <w:rPr>
                <w:color w:val="000000" w:themeColor="text1"/>
                <w:lang w:eastAsia="en-US"/>
              </w:rPr>
            </w:pPr>
            <w:r>
              <w:rPr>
                <w:color w:val="000000" w:themeColor="text1"/>
                <w:lang w:eastAsia="en-US"/>
              </w:rPr>
              <w:t>2 vnt. maitinimo kabelių</w:t>
            </w:r>
            <w:r w:rsidRPr="00784239">
              <w:rPr>
                <w:color w:val="000000" w:themeColor="text1"/>
                <w:lang w:val="en-US" w:eastAsia="en-US"/>
              </w:rPr>
              <w:t>;</w:t>
            </w:r>
          </w:p>
          <w:p w:rsidR="003F7A97" w:rsidRPr="00784239" w:rsidRDefault="003F7A97" w:rsidP="003F7A97">
            <w:pPr>
              <w:numPr>
                <w:ilvl w:val="0"/>
                <w:numId w:val="24"/>
              </w:numPr>
              <w:spacing w:line="256" w:lineRule="auto"/>
              <w:contextualSpacing/>
              <w:rPr>
                <w:color w:val="000000" w:themeColor="text1"/>
                <w:lang w:eastAsia="en-US"/>
              </w:rPr>
            </w:pPr>
            <w:r w:rsidRPr="00784239">
              <w:rPr>
                <w:color w:val="000000" w:themeColor="text1"/>
                <w:lang w:val="en-US" w:eastAsia="en-US"/>
              </w:rPr>
              <w:t xml:space="preserve">EPO </w:t>
            </w:r>
            <w:proofErr w:type="spellStart"/>
            <w:r w:rsidRPr="00784239">
              <w:rPr>
                <w:color w:val="000000" w:themeColor="text1"/>
                <w:lang w:val="en-US" w:eastAsia="en-US"/>
              </w:rPr>
              <w:t>blokas</w:t>
            </w:r>
            <w:proofErr w:type="spellEnd"/>
            <w:r w:rsidRPr="00784239">
              <w:rPr>
                <w:color w:val="000000" w:themeColor="text1"/>
                <w:lang w:val="en-US" w:eastAsia="en-US"/>
              </w:rPr>
              <w:t>;</w:t>
            </w:r>
          </w:p>
          <w:p w:rsidR="003F7A97" w:rsidRPr="00784239" w:rsidRDefault="003F7A97" w:rsidP="003F7A97">
            <w:pPr>
              <w:numPr>
                <w:ilvl w:val="0"/>
                <w:numId w:val="24"/>
              </w:numPr>
              <w:spacing w:line="256" w:lineRule="auto"/>
              <w:contextualSpacing/>
              <w:rPr>
                <w:lang w:eastAsia="en-US"/>
              </w:rPr>
            </w:pPr>
            <w:r w:rsidRPr="00784239">
              <w:rPr>
                <w:lang w:eastAsia="en-US"/>
              </w:rPr>
              <w:t>Temperatūrinis zondas su kabeliu;</w:t>
            </w:r>
          </w:p>
          <w:p w:rsidR="003F7A97" w:rsidRPr="00784239" w:rsidRDefault="003F7A97" w:rsidP="003F7A97">
            <w:pPr>
              <w:numPr>
                <w:ilvl w:val="0"/>
                <w:numId w:val="24"/>
              </w:numPr>
              <w:spacing w:line="256" w:lineRule="auto"/>
              <w:contextualSpacing/>
              <w:rPr>
                <w:lang w:eastAsia="en-US"/>
              </w:rPr>
            </w:pPr>
            <w:r w:rsidRPr="00784239">
              <w:rPr>
                <w:lang w:eastAsia="en-US"/>
              </w:rPr>
              <w:t>WEB/SNMP plokštė;</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tcPr>
          <w:p w:rsidR="003F7A97" w:rsidRPr="00784239" w:rsidRDefault="003F7A97" w:rsidP="00D82B97">
            <w:pPr>
              <w:spacing w:line="256" w:lineRule="auto"/>
              <w:rPr>
                <w:lang w:eastAsia="en-US"/>
              </w:rPr>
            </w:pPr>
            <w:r w:rsidRPr="00784239">
              <w:rPr>
                <w:lang w:eastAsia="en-US"/>
              </w:rPr>
              <w:t>NMŠ atitikimas standartams ir sertifikatams:</w:t>
            </w:r>
          </w:p>
          <w:p w:rsidR="003F7A97" w:rsidRPr="00784239" w:rsidRDefault="003F7A97" w:rsidP="00D82B97">
            <w:pPr>
              <w:spacing w:line="256" w:lineRule="auto"/>
              <w:rPr>
                <w:lang w:eastAsia="en-US"/>
              </w:rPr>
            </w:pPr>
          </w:p>
        </w:tc>
        <w:tc>
          <w:tcPr>
            <w:tcW w:w="5976" w:type="dxa"/>
            <w:hideMark/>
          </w:tcPr>
          <w:p w:rsidR="003F7A97" w:rsidRPr="00784239" w:rsidRDefault="003F7A97" w:rsidP="003F7A97">
            <w:pPr>
              <w:numPr>
                <w:ilvl w:val="0"/>
                <w:numId w:val="24"/>
              </w:numPr>
              <w:spacing w:line="256" w:lineRule="auto"/>
              <w:contextualSpacing/>
              <w:rPr>
                <w:lang w:eastAsia="en-US"/>
              </w:rPr>
            </w:pPr>
            <w:r w:rsidRPr="00784239">
              <w:rPr>
                <w:lang w:eastAsia="en-US"/>
              </w:rPr>
              <w:t>LST EN 62040-1</w:t>
            </w:r>
          </w:p>
          <w:p w:rsidR="003F7A97" w:rsidRPr="00784239" w:rsidRDefault="003F7A97" w:rsidP="003F7A97">
            <w:pPr>
              <w:numPr>
                <w:ilvl w:val="0"/>
                <w:numId w:val="24"/>
              </w:numPr>
              <w:spacing w:line="256" w:lineRule="auto"/>
              <w:contextualSpacing/>
              <w:rPr>
                <w:lang w:eastAsia="en-US"/>
              </w:rPr>
            </w:pPr>
            <w:r w:rsidRPr="00784239">
              <w:rPr>
                <w:lang w:eastAsia="en-US"/>
              </w:rPr>
              <w:t>LST EN 62040-1</w:t>
            </w:r>
          </w:p>
          <w:p w:rsidR="003F7A97" w:rsidRPr="00784239" w:rsidRDefault="003F7A97" w:rsidP="003F7A97">
            <w:pPr>
              <w:numPr>
                <w:ilvl w:val="0"/>
                <w:numId w:val="24"/>
              </w:numPr>
              <w:spacing w:line="256" w:lineRule="auto"/>
              <w:contextualSpacing/>
              <w:rPr>
                <w:lang w:eastAsia="en-US"/>
              </w:rPr>
            </w:pPr>
            <w:r w:rsidRPr="00784239">
              <w:rPr>
                <w:lang w:eastAsia="en-US"/>
              </w:rPr>
              <w:t>LST EN 60320-</w:t>
            </w:r>
            <w:r w:rsidRPr="00784239">
              <w:rPr>
                <w:lang w:val="en-US" w:eastAsia="en-US"/>
              </w:rPr>
              <w:t xml:space="preserve">1, C13, C19 </w:t>
            </w:r>
            <w:proofErr w:type="spellStart"/>
            <w:r w:rsidRPr="00784239">
              <w:rPr>
                <w:lang w:val="en-US" w:eastAsia="en-US"/>
              </w:rPr>
              <w:t>reikalavimai</w:t>
            </w:r>
            <w:proofErr w:type="spellEnd"/>
          </w:p>
          <w:p w:rsidR="003F7A97" w:rsidRPr="00784239" w:rsidRDefault="003F7A97" w:rsidP="003F7A97">
            <w:pPr>
              <w:numPr>
                <w:ilvl w:val="0"/>
                <w:numId w:val="24"/>
              </w:numPr>
              <w:spacing w:line="256" w:lineRule="auto"/>
              <w:contextualSpacing/>
              <w:rPr>
                <w:lang w:eastAsia="en-US"/>
              </w:rPr>
            </w:pPr>
            <w:r w:rsidRPr="00784239">
              <w:rPr>
                <w:lang w:eastAsia="en-US"/>
              </w:rPr>
              <w:t>LST EN 55024</w:t>
            </w:r>
          </w:p>
          <w:p w:rsidR="003F7A97" w:rsidRPr="00784239" w:rsidRDefault="003F7A97" w:rsidP="003F7A97">
            <w:pPr>
              <w:numPr>
                <w:ilvl w:val="0"/>
                <w:numId w:val="24"/>
              </w:numPr>
              <w:spacing w:line="256" w:lineRule="auto"/>
              <w:contextualSpacing/>
              <w:rPr>
                <w:lang w:eastAsia="en-US"/>
              </w:rPr>
            </w:pPr>
            <w:r w:rsidRPr="00784239">
              <w:rPr>
                <w:lang w:eastAsia="en-US"/>
              </w:rPr>
              <w:t>LST EN 61000-3-2</w:t>
            </w:r>
          </w:p>
          <w:p w:rsidR="003F7A97" w:rsidRPr="00784239" w:rsidRDefault="003F7A97" w:rsidP="003F7A97">
            <w:pPr>
              <w:numPr>
                <w:ilvl w:val="0"/>
                <w:numId w:val="24"/>
              </w:numPr>
              <w:spacing w:line="256" w:lineRule="auto"/>
              <w:contextualSpacing/>
              <w:rPr>
                <w:lang w:eastAsia="en-US"/>
              </w:rPr>
            </w:pPr>
            <w:r w:rsidRPr="00784239">
              <w:rPr>
                <w:lang w:eastAsia="en-US"/>
              </w:rPr>
              <w:t>LST EN 61000-3-3</w:t>
            </w:r>
          </w:p>
          <w:p w:rsidR="003F7A97" w:rsidRPr="00784239" w:rsidRDefault="003F7A97" w:rsidP="003F7A97">
            <w:pPr>
              <w:numPr>
                <w:ilvl w:val="0"/>
                <w:numId w:val="24"/>
              </w:numPr>
              <w:spacing w:line="256" w:lineRule="auto"/>
              <w:contextualSpacing/>
              <w:rPr>
                <w:lang w:eastAsia="en-US"/>
              </w:rPr>
            </w:pPr>
            <w:proofErr w:type="spellStart"/>
            <w:r w:rsidRPr="00784239">
              <w:rPr>
                <w:lang w:val="en-US" w:eastAsia="en-US"/>
              </w:rPr>
              <w:lastRenderedPageBreak/>
              <w:t>REACh</w:t>
            </w:r>
            <w:proofErr w:type="spellEnd"/>
            <w:r w:rsidRPr="00784239">
              <w:rPr>
                <w:lang w:val="en-US" w:eastAsia="en-US"/>
              </w:rPr>
              <w:t xml:space="preserve"> </w:t>
            </w:r>
            <w:proofErr w:type="spellStart"/>
            <w:r w:rsidRPr="00784239">
              <w:rPr>
                <w:lang w:val="en-US" w:eastAsia="en-US"/>
              </w:rPr>
              <w:t>deklaracija</w:t>
            </w:r>
            <w:proofErr w:type="spellEnd"/>
            <w:r w:rsidRPr="00784239">
              <w:rPr>
                <w:lang w:val="en-US" w:eastAsia="en-US"/>
              </w:rPr>
              <w:t>;</w:t>
            </w:r>
          </w:p>
          <w:p w:rsidR="003F7A97" w:rsidRPr="00784239" w:rsidRDefault="003F7A97" w:rsidP="003F7A97">
            <w:pPr>
              <w:numPr>
                <w:ilvl w:val="0"/>
                <w:numId w:val="24"/>
              </w:numPr>
              <w:spacing w:line="256" w:lineRule="auto"/>
              <w:contextualSpacing/>
              <w:rPr>
                <w:lang w:eastAsia="en-US"/>
              </w:rPr>
            </w:pPr>
            <w:r w:rsidRPr="00784239">
              <w:rPr>
                <w:lang w:val="en-US" w:eastAsia="en-US"/>
              </w:rPr>
              <w:t xml:space="preserve">EU RoHS </w:t>
            </w:r>
            <w:proofErr w:type="spellStart"/>
            <w:r w:rsidRPr="00784239">
              <w:rPr>
                <w:lang w:val="en-US" w:eastAsia="en-US"/>
              </w:rPr>
              <w:t>deklaracija</w:t>
            </w:r>
            <w:proofErr w:type="spellEnd"/>
          </w:p>
          <w:p w:rsidR="003F7A97" w:rsidRPr="00784239" w:rsidRDefault="003F7A97" w:rsidP="003F7A97">
            <w:pPr>
              <w:numPr>
                <w:ilvl w:val="0"/>
                <w:numId w:val="24"/>
              </w:numPr>
              <w:spacing w:line="256" w:lineRule="auto"/>
              <w:contextualSpacing/>
              <w:rPr>
                <w:lang w:eastAsia="en-US"/>
              </w:rPr>
            </w:pPr>
            <w:r w:rsidRPr="00784239">
              <w:rPr>
                <w:lang w:val="en-US" w:eastAsia="en-US"/>
              </w:rPr>
              <w:t xml:space="preserve">WEEE </w:t>
            </w:r>
            <w:proofErr w:type="spellStart"/>
            <w:r w:rsidRPr="00784239">
              <w:rPr>
                <w:lang w:val="en-US" w:eastAsia="en-US"/>
              </w:rPr>
              <w:t>direktyva</w:t>
            </w:r>
            <w:proofErr w:type="spellEnd"/>
          </w:p>
          <w:p w:rsidR="003F7A97" w:rsidRPr="00784239" w:rsidRDefault="003F7A97" w:rsidP="003F7A97">
            <w:pPr>
              <w:numPr>
                <w:ilvl w:val="0"/>
                <w:numId w:val="24"/>
              </w:numPr>
              <w:spacing w:line="256" w:lineRule="auto"/>
              <w:contextualSpacing/>
              <w:rPr>
                <w:lang w:eastAsia="en-US"/>
              </w:rPr>
            </w:pPr>
            <w:r w:rsidRPr="00784239">
              <w:rPr>
                <w:lang w:val="en-US" w:eastAsia="en-US"/>
              </w:rPr>
              <w:t xml:space="preserve">VDE </w:t>
            </w:r>
            <w:proofErr w:type="spellStart"/>
            <w:r w:rsidRPr="00784239">
              <w:rPr>
                <w:lang w:val="en-US" w:eastAsia="en-US"/>
              </w:rPr>
              <w:t>sertifikatas</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NMŠ ar jų pakuotė pažymėti ženklu</w:t>
            </w:r>
          </w:p>
        </w:tc>
        <w:tc>
          <w:tcPr>
            <w:tcW w:w="5976" w:type="dxa"/>
            <w:hideMark/>
          </w:tcPr>
          <w:p w:rsidR="003F7A97" w:rsidRPr="00784239" w:rsidRDefault="003F7A97" w:rsidP="00D82B97">
            <w:pPr>
              <w:spacing w:line="256" w:lineRule="auto"/>
              <w:contextualSpacing/>
              <w:rPr>
                <w:lang w:eastAsia="en-US"/>
              </w:rPr>
            </w:pPr>
            <w:r w:rsidRPr="00784239">
              <w:rPr>
                <w:lang w:val="en-US" w:eastAsia="en-US"/>
              </w:rPr>
              <w:t xml:space="preserve">CE, </w:t>
            </w:r>
            <w:r w:rsidRPr="00784239">
              <w:rPr>
                <w:lang w:eastAsia="en-US"/>
              </w:rPr>
              <w:t>QR žymė</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proofErr w:type="spellStart"/>
            <w:r w:rsidRPr="00784239">
              <w:rPr>
                <w:lang w:eastAsia="en-US"/>
              </w:rPr>
              <w:t>Topologija</w:t>
            </w:r>
            <w:proofErr w:type="spellEnd"/>
          </w:p>
        </w:tc>
        <w:tc>
          <w:tcPr>
            <w:tcW w:w="5976" w:type="dxa"/>
            <w:hideMark/>
          </w:tcPr>
          <w:p w:rsidR="003F7A97" w:rsidRPr="00784239" w:rsidRDefault="003F7A97" w:rsidP="00D82B97">
            <w:pPr>
              <w:spacing w:line="256" w:lineRule="auto"/>
              <w:contextualSpacing/>
              <w:rPr>
                <w:color w:val="000000" w:themeColor="text1"/>
                <w:lang w:eastAsia="en-US"/>
              </w:rPr>
            </w:pPr>
            <w:proofErr w:type="spellStart"/>
            <w:r w:rsidRPr="00784239">
              <w:rPr>
                <w:color w:val="000000" w:themeColor="text1"/>
                <w:lang w:val="en-US" w:eastAsia="en-US"/>
              </w:rPr>
              <w:t>Dviguba</w:t>
            </w:r>
            <w:proofErr w:type="spellEnd"/>
            <w:r w:rsidRPr="00784239">
              <w:rPr>
                <w:color w:val="000000" w:themeColor="text1"/>
                <w:lang w:val="en-US" w:eastAsia="en-US"/>
              </w:rPr>
              <w:t xml:space="preserve"> </w:t>
            </w:r>
            <w:proofErr w:type="spellStart"/>
            <w:r w:rsidRPr="00784239">
              <w:rPr>
                <w:color w:val="000000" w:themeColor="text1"/>
                <w:lang w:val="en-US" w:eastAsia="en-US"/>
              </w:rPr>
              <w:t>konversija</w:t>
            </w:r>
            <w:proofErr w:type="spellEnd"/>
            <w:r w:rsidRPr="00784239">
              <w:rPr>
                <w:color w:val="000000" w:themeColor="text1"/>
                <w:lang w:val="en-US" w:eastAsia="en-US"/>
              </w:rPr>
              <w:t xml:space="preserve"> </w:t>
            </w:r>
            <w:proofErr w:type="spellStart"/>
            <w:r w:rsidRPr="00784239">
              <w:rPr>
                <w:color w:val="000000" w:themeColor="text1"/>
                <w:lang w:val="en-US" w:eastAsia="en-US"/>
              </w:rPr>
              <w:t>su</w:t>
            </w:r>
            <w:proofErr w:type="spellEnd"/>
            <w:r w:rsidRPr="00784239">
              <w:rPr>
                <w:color w:val="000000" w:themeColor="text1"/>
                <w:lang w:val="en-US" w:eastAsia="en-US"/>
              </w:rPr>
              <w:t xml:space="preserve"> </w:t>
            </w:r>
            <w:proofErr w:type="spellStart"/>
            <w:r w:rsidRPr="00784239">
              <w:rPr>
                <w:color w:val="000000" w:themeColor="text1"/>
                <w:lang w:val="en-US" w:eastAsia="en-US"/>
              </w:rPr>
              <w:t>tiesioginio</w:t>
            </w:r>
            <w:proofErr w:type="spellEnd"/>
            <w:r w:rsidRPr="00784239">
              <w:rPr>
                <w:color w:val="000000" w:themeColor="text1"/>
                <w:lang w:val="en-US" w:eastAsia="en-US"/>
              </w:rPr>
              <w:t xml:space="preserve"> </w:t>
            </w:r>
            <w:proofErr w:type="spellStart"/>
            <w:r w:rsidRPr="00784239">
              <w:rPr>
                <w:color w:val="000000" w:themeColor="text1"/>
                <w:lang w:val="en-US" w:eastAsia="en-US"/>
              </w:rPr>
              <w:t>apkrovos</w:t>
            </w:r>
            <w:proofErr w:type="spellEnd"/>
            <w:r w:rsidRPr="00784239">
              <w:rPr>
                <w:color w:val="000000" w:themeColor="text1"/>
                <w:lang w:val="en-US" w:eastAsia="en-US"/>
              </w:rPr>
              <w:t xml:space="preserve"> </w:t>
            </w:r>
            <w:proofErr w:type="spellStart"/>
            <w:r w:rsidRPr="00784239">
              <w:rPr>
                <w:color w:val="000000" w:themeColor="text1"/>
                <w:lang w:val="en-US" w:eastAsia="en-US"/>
              </w:rPr>
              <w:t>pajungimu</w:t>
            </w:r>
            <w:proofErr w:type="spellEnd"/>
            <w:r w:rsidRPr="00784239">
              <w:rPr>
                <w:color w:val="000000" w:themeColor="text1"/>
                <w:lang w:val="en-US" w:eastAsia="en-US"/>
              </w:rPr>
              <w:t xml:space="preserve"> </w:t>
            </w:r>
            <w:r w:rsidRPr="00784239">
              <w:rPr>
                <w:color w:val="000000" w:themeColor="text1"/>
                <w:lang w:eastAsia="en-US"/>
              </w:rPr>
              <w:t>į tinklą</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Standartinė NMŠ galia</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 xml:space="preserve">6 kW / kVA </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color w:val="000000" w:themeColor="text1"/>
                <w:lang w:eastAsia="en-US"/>
              </w:rPr>
              <w:t>Galios faktorius</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0.9</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000000" w:themeColor="text1"/>
                <w:lang w:eastAsia="en-US"/>
              </w:rPr>
            </w:pPr>
            <w:r w:rsidRPr="00784239">
              <w:rPr>
                <w:lang w:eastAsia="en-US"/>
              </w:rPr>
              <w:t>NMŠ akumuliatorių darbo laikas</w:t>
            </w:r>
          </w:p>
        </w:tc>
        <w:tc>
          <w:tcPr>
            <w:tcW w:w="5976" w:type="dxa"/>
            <w:hideMark/>
          </w:tcPr>
          <w:p w:rsidR="003F7A97" w:rsidRPr="00784239" w:rsidRDefault="003F7A97" w:rsidP="003F7A97">
            <w:pPr>
              <w:numPr>
                <w:ilvl w:val="0"/>
                <w:numId w:val="25"/>
              </w:numPr>
              <w:spacing w:line="256" w:lineRule="auto"/>
              <w:contextualSpacing/>
              <w:rPr>
                <w:color w:val="000000" w:themeColor="text1"/>
                <w:lang w:eastAsia="en-US"/>
              </w:rPr>
            </w:pPr>
            <w:r>
              <w:rPr>
                <w:color w:val="000000" w:themeColor="text1"/>
                <w:lang w:val="en-US" w:eastAsia="en-US"/>
              </w:rPr>
              <w:t xml:space="preserve">Ne </w:t>
            </w:r>
            <w:proofErr w:type="spellStart"/>
            <w:r>
              <w:rPr>
                <w:color w:val="000000" w:themeColor="text1"/>
                <w:lang w:val="en-US" w:eastAsia="en-US"/>
              </w:rPr>
              <w:t>mažiau</w:t>
            </w:r>
            <w:proofErr w:type="spellEnd"/>
            <w:r>
              <w:rPr>
                <w:color w:val="000000" w:themeColor="text1"/>
                <w:lang w:val="en-US" w:eastAsia="en-US"/>
              </w:rPr>
              <w:t xml:space="preserve"> 2.4</w:t>
            </w:r>
            <w:r w:rsidRPr="00784239">
              <w:rPr>
                <w:color w:val="000000" w:themeColor="text1"/>
                <w:lang w:val="en-US" w:eastAsia="en-US"/>
              </w:rPr>
              <w:t xml:space="preserve"> min. </w:t>
            </w:r>
            <w:proofErr w:type="spellStart"/>
            <w:r w:rsidRPr="00784239">
              <w:rPr>
                <w:color w:val="000000" w:themeColor="text1"/>
                <w:lang w:val="en-US" w:eastAsia="en-US"/>
              </w:rPr>
              <w:t>prie</w:t>
            </w:r>
            <w:proofErr w:type="spellEnd"/>
            <w:r w:rsidRPr="00784239">
              <w:rPr>
                <w:color w:val="000000" w:themeColor="text1"/>
                <w:lang w:val="en-US" w:eastAsia="en-US"/>
              </w:rPr>
              <w:t xml:space="preserve"> </w:t>
            </w:r>
            <w:r w:rsidRPr="00784239">
              <w:rPr>
                <w:color w:val="000000" w:themeColor="text1"/>
                <w:lang w:eastAsia="en-US"/>
              </w:rPr>
              <w:t>100% apkrovos</w:t>
            </w:r>
          </w:p>
          <w:p w:rsidR="003F7A97" w:rsidRPr="00784239" w:rsidRDefault="003F7A97" w:rsidP="003F7A97">
            <w:pPr>
              <w:numPr>
                <w:ilvl w:val="0"/>
                <w:numId w:val="25"/>
              </w:numPr>
              <w:spacing w:line="256" w:lineRule="auto"/>
              <w:contextualSpacing/>
              <w:rPr>
                <w:color w:val="000000" w:themeColor="text1"/>
                <w:lang w:val="en-US" w:eastAsia="en-US"/>
              </w:rPr>
            </w:pPr>
            <w:r>
              <w:rPr>
                <w:color w:val="000000" w:themeColor="text1"/>
                <w:lang w:val="en-US" w:eastAsia="en-US"/>
              </w:rPr>
              <w:t xml:space="preserve">Ne </w:t>
            </w:r>
            <w:proofErr w:type="spellStart"/>
            <w:r>
              <w:rPr>
                <w:color w:val="000000" w:themeColor="text1"/>
                <w:lang w:val="en-US" w:eastAsia="en-US"/>
              </w:rPr>
              <w:t>mažiau</w:t>
            </w:r>
            <w:proofErr w:type="spellEnd"/>
            <w:r>
              <w:rPr>
                <w:color w:val="000000" w:themeColor="text1"/>
                <w:lang w:val="en-US" w:eastAsia="en-US"/>
              </w:rPr>
              <w:t xml:space="preserve"> </w:t>
            </w:r>
            <w:r w:rsidRPr="00784239">
              <w:rPr>
                <w:color w:val="000000" w:themeColor="text1"/>
                <w:lang w:val="en-US" w:eastAsia="en-US"/>
              </w:rPr>
              <w:t xml:space="preserve">8.7 min. </w:t>
            </w:r>
            <w:proofErr w:type="spellStart"/>
            <w:r w:rsidRPr="00784239">
              <w:rPr>
                <w:color w:val="000000" w:themeColor="text1"/>
                <w:lang w:val="en-US" w:eastAsia="en-US"/>
              </w:rPr>
              <w:t>prie</w:t>
            </w:r>
            <w:proofErr w:type="spellEnd"/>
            <w:r w:rsidRPr="00784239">
              <w:rPr>
                <w:color w:val="000000" w:themeColor="text1"/>
                <w:lang w:val="en-US" w:eastAsia="en-US"/>
              </w:rPr>
              <w:t xml:space="preserve"> 5</w:t>
            </w:r>
            <w:r w:rsidRPr="00784239">
              <w:rPr>
                <w:color w:val="000000" w:themeColor="text1"/>
                <w:lang w:eastAsia="en-US"/>
              </w:rPr>
              <w:t>0% apkrovos</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Nominali įėjimo/išėjimo įtampa</w:t>
            </w:r>
          </w:p>
        </w:tc>
        <w:tc>
          <w:tcPr>
            <w:tcW w:w="5976" w:type="dxa"/>
            <w:hideMark/>
          </w:tcPr>
          <w:p w:rsidR="003F7A97" w:rsidRPr="00784239" w:rsidRDefault="003F7A97" w:rsidP="00D82B97">
            <w:pPr>
              <w:spacing w:line="256" w:lineRule="auto"/>
              <w:contextualSpacing/>
              <w:rPr>
                <w:lang w:val="en-US" w:eastAsia="en-US"/>
              </w:rPr>
            </w:pPr>
            <w:r w:rsidRPr="00784239">
              <w:rPr>
                <w:lang w:val="en-US" w:eastAsia="en-US"/>
              </w:rPr>
              <w:t xml:space="preserve">230 V </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 xml:space="preserve">Įėjimo/išėjimo srovė prie </w:t>
            </w:r>
            <w:r w:rsidRPr="00784239">
              <w:rPr>
                <w:lang w:val="ru-RU" w:eastAsia="en-US"/>
              </w:rPr>
              <w:t xml:space="preserve">100% </w:t>
            </w:r>
            <w:proofErr w:type="spellStart"/>
            <w:r w:rsidRPr="00784239">
              <w:rPr>
                <w:lang w:val="en-US" w:eastAsia="en-US"/>
              </w:rPr>
              <w:t>apkrovos</w:t>
            </w:r>
            <w:proofErr w:type="spellEnd"/>
          </w:p>
        </w:tc>
        <w:tc>
          <w:tcPr>
            <w:tcW w:w="5976" w:type="dxa"/>
            <w:hideMark/>
          </w:tcPr>
          <w:p w:rsidR="003F7A97" w:rsidRPr="00784239" w:rsidRDefault="003F7A97" w:rsidP="00D82B97">
            <w:pPr>
              <w:spacing w:line="256" w:lineRule="auto"/>
              <w:contextualSpacing/>
              <w:rPr>
                <w:lang w:val="en-US" w:eastAsia="en-US"/>
              </w:rPr>
            </w:pPr>
            <w:r>
              <w:rPr>
                <w:lang w:val="en-US" w:eastAsia="en-US"/>
              </w:rPr>
              <w:t>30 A / 28</w:t>
            </w:r>
            <w:r w:rsidRPr="00784239">
              <w:rPr>
                <w:lang w:val="en-US" w:eastAsia="en-US"/>
              </w:rPr>
              <w:t xml:space="preserve"> A</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FF0000"/>
                <w:lang w:eastAsia="en-US"/>
              </w:rPr>
            </w:pPr>
            <w:r w:rsidRPr="00784239">
              <w:rPr>
                <w:lang w:eastAsia="en-US"/>
              </w:rPr>
              <w:t xml:space="preserve">NMŠ efektyvumas prie </w:t>
            </w:r>
            <w:r w:rsidRPr="00784239">
              <w:rPr>
                <w:lang w:val="ru-RU" w:eastAsia="en-US"/>
              </w:rPr>
              <w:t xml:space="preserve">100% </w:t>
            </w:r>
            <w:proofErr w:type="spellStart"/>
            <w:r w:rsidRPr="00784239">
              <w:rPr>
                <w:lang w:val="en-US" w:eastAsia="en-US"/>
              </w:rPr>
              <w:t>apkrovos</w:t>
            </w:r>
            <w:proofErr w:type="spellEnd"/>
          </w:p>
        </w:tc>
        <w:tc>
          <w:tcPr>
            <w:tcW w:w="5976" w:type="dxa"/>
            <w:hideMark/>
          </w:tcPr>
          <w:p w:rsidR="003F7A97" w:rsidRPr="00784239" w:rsidRDefault="003F7A97" w:rsidP="00D82B97">
            <w:pPr>
              <w:spacing w:line="256" w:lineRule="auto"/>
              <w:rPr>
                <w:color w:val="FF0000"/>
                <w:lang w:eastAsia="en-US"/>
              </w:rPr>
            </w:pPr>
            <w:r w:rsidRPr="00784239">
              <w:rPr>
                <w:color w:val="000000" w:themeColor="text1"/>
                <w:lang w:eastAsia="en-US"/>
              </w:rPr>
              <w:t>9</w:t>
            </w:r>
            <w:r w:rsidRPr="00784239">
              <w:rPr>
                <w:color w:val="000000" w:themeColor="text1"/>
                <w:lang w:val="en-US" w:eastAsia="en-US"/>
              </w:rPr>
              <w:t xml:space="preserve">4% </w:t>
            </w:r>
            <w:proofErr w:type="spellStart"/>
            <w:r w:rsidRPr="00784239">
              <w:rPr>
                <w:color w:val="000000" w:themeColor="text1"/>
                <w:lang w:val="en-US" w:eastAsia="en-US"/>
              </w:rPr>
              <w:t>ir</w:t>
            </w:r>
            <w:proofErr w:type="spellEnd"/>
            <w:r w:rsidRPr="00784239">
              <w:rPr>
                <w:color w:val="000000" w:themeColor="text1"/>
                <w:lang w:val="en-US" w:eastAsia="en-US"/>
              </w:rPr>
              <w:t xml:space="preserve"> 98% </w:t>
            </w:r>
            <w:proofErr w:type="spellStart"/>
            <w:r w:rsidRPr="00784239">
              <w:rPr>
                <w:color w:val="000000" w:themeColor="text1"/>
                <w:lang w:val="en-US" w:eastAsia="en-US"/>
              </w:rPr>
              <w:t>dirbant</w:t>
            </w:r>
            <w:proofErr w:type="spellEnd"/>
            <w:r w:rsidRPr="00784239">
              <w:rPr>
                <w:color w:val="000000" w:themeColor="text1"/>
                <w:lang w:val="en-US" w:eastAsia="en-US"/>
              </w:rPr>
              <w:t xml:space="preserve"> </w:t>
            </w:r>
            <w:proofErr w:type="spellStart"/>
            <w:r w:rsidRPr="00784239">
              <w:rPr>
                <w:color w:val="000000" w:themeColor="text1"/>
                <w:lang w:val="en-US" w:eastAsia="en-US"/>
              </w:rPr>
              <w:t>ekonominiu</w:t>
            </w:r>
            <w:proofErr w:type="spellEnd"/>
            <w:r w:rsidRPr="00784239">
              <w:rPr>
                <w:color w:val="000000" w:themeColor="text1"/>
                <w:lang w:val="en-US" w:eastAsia="en-US"/>
              </w:rPr>
              <w:t xml:space="preserve"> re</w:t>
            </w:r>
            <w:proofErr w:type="spellStart"/>
            <w:r w:rsidRPr="00784239">
              <w:rPr>
                <w:color w:val="000000" w:themeColor="text1"/>
                <w:lang w:eastAsia="en-US"/>
              </w:rPr>
              <w:t>žimu</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color w:val="000000" w:themeColor="text1"/>
                <w:lang w:eastAsia="en-US"/>
              </w:rPr>
              <w:t>Akumuliatorių tipas</w:t>
            </w:r>
          </w:p>
        </w:tc>
        <w:tc>
          <w:tcPr>
            <w:tcW w:w="5976" w:type="dxa"/>
            <w:hideMark/>
          </w:tcPr>
          <w:p w:rsidR="003F7A97" w:rsidRPr="00784239" w:rsidRDefault="003F7A97" w:rsidP="003F7A97">
            <w:pPr>
              <w:numPr>
                <w:ilvl w:val="0"/>
                <w:numId w:val="26"/>
              </w:numPr>
              <w:spacing w:line="256" w:lineRule="auto"/>
              <w:contextualSpacing/>
              <w:rPr>
                <w:color w:val="000000" w:themeColor="text1"/>
                <w:lang w:val="en-US" w:eastAsia="en-US"/>
              </w:rPr>
            </w:pPr>
            <w:r w:rsidRPr="00784239">
              <w:rPr>
                <w:color w:val="000000" w:themeColor="text1"/>
                <w:lang w:eastAsia="en-US"/>
              </w:rPr>
              <w:t xml:space="preserve">Švino-rūgštiniai, </w:t>
            </w:r>
            <w:proofErr w:type="spellStart"/>
            <w:r w:rsidRPr="00784239">
              <w:rPr>
                <w:color w:val="000000" w:themeColor="text1"/>
                <w:lang w:val="en-US" w:eastAsia="en-US"/>
              </w:rPr>
              <w:t>hermeti</w:t>
            </w:r>
            <w:r w:rsidRPr="00784239">
              <w:rPr>
                <w:color w:val="000000" w:themeColor="text1"/>
                <w:lang w:eastAsia="en-US"/>
              </w:rPr>
              <w:t>ški</w:t>
            </w:r>
            <w:proofErr w:type="spellEnd"/>
            <w:r w:rsidRPr="00784239">
              <w:rPr>
                <w:color w:val="000000" w:themeColor="text1"/>
                <w:lang w:eastAsia="en-US"/>
              </w:rPr>
              <w:t xml:space="preserve"> (XLBP)</w:t>
            </w:r>
          </w:p>
          <w:p w:rsidR="003F7A97" w:rsidRPr="00784239" w:rsidRDefault="003F7A97" w:rsidP="003F7A97">
            <w:pPr>
              <w:numPr>
                <w:ilvl w:val="0"/>
                <w:numId w:val="26"/>
              </w:numPr>
              <w:spacing w:line="256" w:lineRule="auto"/>
              <w:contextualSpacing/>
              <w:rPr>
                <w:color w:val="000000" w:themeColor="text1"/>
                <w:lang w:val="en-US" w:eastAsia="en-US"/>
              </w:rPr>
            </w:pPr>
            <w:r w:rsidRPr="00784239">
              <w:rPr>
                <w:color w:val="000000" w:themeColor="text1"/>
                <w:lang w:val="en-US" w:eastAsia="en-US"/>
              </w:rPr>
              <w:t xml:space="preserve">Du </w:t>
            </w:r>
            <w:proofErr w:type="spellStart"/>
            <w:r w:rsidRPr="00784239">
              <w:rPr>
                <w:color w:val="000000" w:themeColor="text1"/>
                <w:lang w:val="en-US" w:eastAsia="en-US"/>
              </w:rPr>
              <w:t>moduliai</w:t>
            </w:r>
            <w:proofErr w:type="spellEnd"/>
            <w:r w:rsidRPr="00784239">
              <w:rPr>
                <w:color w:val="000000" w:themeColor="text1"/>
                <w:lang w:val="en-US" w:eastAsia="en-US"/>
              </w:rPr>
              <w:t>;</w:t>
            </w:r>
          </w:p>
          <w:p w:rsidR="003F7A97" w:rsidRPr="00784239" w:rsidRDefault="003F7A97" w:rsidP="003F7A97">
            <w:pPr>
              <w:numPr>
                <w:ilvl w:val="0"/>
                <w:numId w:val="26"/>
              </w:numPr>
              <w:spacing w:line="256" w:lineRule="auto"/>
              <w:contextualSpacing/>
              <w:rPr>
                <w:color w:val="000000" w:themeColor="text1"/>
                <w:lang w:val="en-US" w:eastAsia="en-US"/>
              </w:rPr>
            </w:pPr>
            <w:proofErr w:type="spellStart"/>
            <w:r w:rsidRPr="00784239">
              <w:rPr>
                <w:color w:val="000000" w:themeColor="text1"/>
                <w:lang w:val="en-US" w:eastAsia="en-US"/>
              </w:rPr>
              <w:t>Nepralaidūs</w:t>
            </w:r>
            <w:proofErr w:type="spellEnd"/>
            <w:r w:rsidRPr="00784239">
              <w:rPr>
                <w:color w:val="000000" w:themeColor="text1"/>
                <w:lang w:val="en-US" w:eastAsia="en-US"/>
              </w:rPr>
              <w:t xml:space="preserve"> </w:t>
            </w:r>
            <w:proofErr w:type="spellStart"/>
            <w:r w:rsidRPr="00784239">
              <w:rPr>
                <w:color w:val="000000" w:themeColor="text1"/>
                <w:lang w:val="en-US" w:eastAsia="en-US"/>
              </w:rPr>
              <w:t>drėgmei</w:t>
            </w:r>
            <w:proofErr w:type="spellEnd"/>
            <w:r w:rsidRPr="00784239">
              <w:rPr>
                <w:color w:val="000000" w:themeColor="text1"/>
                <w:lang w:val="en-US" w:eastAsia="en-US"/>
              </w:rPr>
              <w:t>;</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000000" w:themeColor="text1"/>
                <w:lang w:eastAsia="en-US"/>
              </w:rPr>
            </w:pPr>
            <w:r w:rsidRPr="00784239">
              <w:rPr>
                <w:lang w:eastAsia="en-US"/>
              </w:rPr>
              <w:t>Valdymo ekranas</w:t>
            </w:r>
          </w:p>
        </w:tc>
        <w:tc>
          <w:tcPr>
            <w:tcW w:w="5976" w:type="dxa"/>
            <w:hideMark/>
          </w:tcPr>
          <w:p w:rsidR="003F7A97" w:rsidRPr="00784239" w:rsidRDefault="003F7A97" w:rsidP="00D82B97">
            <w:pPr>
              <w:spacing w:line="256" w:lineRule="auto"/>
              <w:contextualSpacing/>
              <w:rPr>
                <w:color w:val="000000" w:themeColor="text1"/>
                <w:lang w:eastAsia="en-US"/>
              </w:rPr>
            </w:pPr>
            <w:r w:rsidRPr="00784239">
              <w:rPr>
                <w:lang w:eastAsia="en-US"/>
              </w:rPr>
              <w:t>Spalvotas priekinis daugiafunkcinis lietimui jautrus LCD ekranas su valdymo ir nustatymo funkcijomis</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Skydo sistemos aukštis</w:t>
            </w:r>
          </w:p>
        </w:tc>
        <w:tc>
          <w:tcPr>
            <w:tcW w:w="5976" w:type="dxa"/>
            <w:hideMark/>
          </w:tcPr>
          <w:p w:rsidR="003F7A97" w:rsidRPr="00784239" w:rsidRDefault="003F7A97" w:rsidP="00D82B97">
            <w:pPr>
              <w:spacing w:line="256" w:lineRule="auto"/>
              <w:rPr>
                <w:lang w:eastAsia="en-US"/>
              </w:rPr>
            </w:pPr>
            <w:r w:rsidRPr="00784239">
              <w:rPr>
                <w:lang w:val="en-US" w:eastAsia="en-US"/>
              </w:rPr>
              <w:t>4U</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color w:val="000000" w:themeColor="text1"/>
                <w:lang w:eastAsia="en-US"/>
              </w:rPr>
              <w:t>Valdymo programinė įranga</w:t>
            </w:r>
          </w:p>
        </w:tc>
        <w:tc>
          <w:tcPr>
            <w:tcW w:w="5976" w:type="dxa"/>
            <w:hideMark/>
          </w:tcPr>
          <w:p w:rsidR="003F7A97" w:rsidRPr="00784239" w:rsidRDefault="003F7A97" w:rsidP="00D82B97">
            <w:pPr>
              <w:spacing w:line="256" w:lineRule="auto"/>
              <w:rPr>
                <w:lang w:eastAsia="en-US"/>
              </w:rPr>
            </w:pPr>
            <w:proofErr w:type="spellStart"/>
            <w:r w:rsidRPr="00784239">
              <w:rPr>
                <w:color w:val="000000" w:themeColor="text1"/>
                <w:lang w:val="en-US" w:eastAsia="en-US"/>
              </w:rPr>
              <w:t>Integruota</w:t>
            </w:r>
            <w:proofErr w:type="spellEnd"/>
            <w:r w:rsidRPr="00784239">
              <w:rPr>
                <w:color w:val="000000" w:themeColor="text1"/>
                <w:lang w:val="en-US" w:eastAsia="en-US"/>
              </w:rPr>
              <w:t xml:space="preserve">, NMŠ </w:t>
            </w:r>
            <w:proofErr w:type="spellStart"/>
            <w:r w:rsidRPr="00784239">
              <w:rPr>
                <w:color w:val="000000" w:themeColor="text1"/>
                <w:lang w:val="en-US" w:eastAsia="en-US"/>
              </w:rPr>
              <w:t>funkcijoms</w:t>
            </w:r>
            <w:proofErr w:type="spellEnd"/>
            <w:r w:rsidRPr="00784239">
              <w:rPr>
                <w:color w:val="000000" w:themeColor="text1"/>
                <w:lang w:val="en-US" w:eastAsia="en-US"/>
              </w:rPr>
              <w:t xml:space="preserve"> </w:t>
            </w:r>
            <w:proofErr w:type="spellStart"/>
            <w:r w:rsidRPr="00784239">
              <w:rPr>
                <w:color w:val="000000" w:themeColor="text1"/>
                <w:lang w:val="en-US" w:eastAsia="en-US"/>
              </w:rPr>
              <w:t>valdyti</w:t>
            </w:r>
            <w:proofErr w:type="spellEnd"/>
            <w:r w:rsidRPr="00784239">
              <w:rPr>
                <w:color w:val="000000" w:themeColor="text1"/>
                <w:lang w:val="en-US" w:eastAsia="en-US"/>
              </w:rPr>
              <w:t xml:space="preserve"> </w:t>
            </w:r>
            <w:proofErr w:type="spellStart"/>
            <w:r w:rsidRPr="00784239">
              <w:rPr>
                <w:color w:val="000000" w:themeColor="text1"/>
                <w:lang w:val="en-US" w:eastAsia="en-US"/>
              </w:rPr>
              <w:t>ir</w:t>
            </w:r>
            <w:proofErr w:type="spellEnd"/>
            <w:r w:rsidRPr="00784239">
              <w:rPr>
                <w:color w:val="000000" w:themeColor="text1"/>
                <w:lang w:val="en-US" w:eastAsia="en-US"/>
              </w:rPr>
              <w:t xml:space="preserve"> </w:t>
            </w:r>
            <w:r w:rsidRPr="00784239">
              <w:rPr>
                <w:color w:val="000000" w:themeColor="text1"/>
                <w:lang w:val="en-US" w:eastAsia="en-US"/>
              </w:rPr>
              <w:tab/>
            </w:r>
            <w:proofErr w:type="spellStart"/>
            <w:r w:rsidRPr="00784239">
              <w:rPr>
                <w:color w:val="000000" w:themeColor="text1"/>
                <w:lang w:val="en-US" w:eastAsia="en-US"/>
              </w:rPr>
              <w:t>param</w:t>
            </w:r>
            <w:r>
              <w:rPr>
                <w:color w:val="000000" w:themeColor="text1"/>
                <w:lang w:val="en-US" w:eastAsia="en-US"/>
              </w:rPr>
              <w:t>etrams</w:t>
            </w:r>
            <w:proofErr w:type="spellEnd"/>
            <w:r>
              <w:rPr>
                <w:color w:val="000000" w:themeColor="text1"/>
                <w:lang w:val="en-US" w:eastAsia="en-US"/>
              </w:rPr>
              <w:t xml:space="preserve"> </w:t>
            </w:r>
            <w:proofErr w:type="spellStart"/>
            <w:r>
              <w:rPr>
                <w:color w:val="000000" w:themeColor="text1"/>
                <w:lang w:val="en-US" w:eastAsia="en-US"/>
              </w:rPr>
              <w:t>stebėti</w:t>
            </w:r>
            <w:proofErr w:type="spellEnd"/>
            <w:r>
              <w:rPr>
                <w:color w:val="000000" w:themeColor="text1"/>
                <w:lang w:val="en-US" w:eastAsia="en-US"/>
              </w:rPr>
              <w:t xml:space="preserve"> per HTTP, SNMP</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Ekonominis režimas</w:t>
            </w:r>
          </w:p>
        </w:tc>
        <w:tc>
          <w:tcPr>
            <w:tcW w:w="5976" w:type="dxa"/>
            <w:hideMark/>
          </w:tcPr>
          <w:p w:rsidR="003F7A97" w:rsidRPr="00784239" w:rsidRDefault="003F7A97" w:rsidP="00D82B97">
            <w:pPr>
              <w:spacing w:line="256" w:lineRule="auto"/>
              <w:rPr>
                <w:lang w:eastAsia="en-US"/>
              </w:rPr>
            </w:pPr>
            <w:proofErr w:type="spellStart"/>
            <w:r w:rsidRPr="00784239">
              <w:rPr>
                <w:lang w:val="en-US" w:eastAsia="en-US"/>
              </w:rPr>
              <w:t>Integ</w:t>
            </w:r>
            <w:r>
              <w:rPr>
                <w:lang w:val="en-US" w:eastAsia="en-US"/>
              </w:rPr>
              <w:t>ruotas</w:t>
            </w:r>
            <w:proofErr w:type="spellEnd"/>
            <w:r>
              <w:rPr>
                <w:lang w:val="en-US" w:eastAsia="en-US"/>
              </w:rPr>
              <w:t xml:space="preserve"> “Green mode” </w:t>
            </w:r>
            <w:proofErr w:type="spellStart"/>
            <w:r>
              <w:rPr>
                <w:lang w:val="en-US" w:eastAsia="en-US"/>
              </w:rPr>
              <w:t>ekonominis</w:t>
            </w:r>
            <w:proofErr w:type="spellEnd"/>
            <w:r>
              <w:rPr>
                <w:lang w:val="en-US" w:eastAsia="en-US"/>
              </w:rPr>
              <w:t xml:space="preserve"> </w:t>
            </w:r>
            <w:r w:rsidRPr="00784239">
              <w:rPr>
                <w:lang w:val="en-US" w:eastAsia="en-US"/>
              </w:rPr>
              <w:t>re</w:t>
            </w:r>
            <w:proofErr w:type="spellStart"/>
            <w:r w:rsidRPr="00784239">
              <w:rPr>
                <w:lang w:eastAsia="en-US"/>
              </w:rPr>
              <w:t>žimas</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Avarinis išjungimas</w:t>
            </w:r>
          </w:p>
        </w:tc>
        <w:tc>
          <w:tcPr>
            <w:tcW w:w="5976" w:type="dxa"/>
            <w:hideMark/>
          </w:tcPr>
          <w:p w:rsidR="003F7A97" w:rsidRPr="00784239" w:rsidRDefault="003F7A97" w:rsidP="00D82B97">
            <w:pPr>
              <w:spacing w:line="256" w:lineRule="auto"/>
              <w:rPr>
                <w:lang w:eastAsia="en-US"/>
              </w:rPr>
            </w:pPr>
            <w:proofErr w:type="spellStart"/>
            <w:r w:rsidRPr="00784239">
              <w:rPr>
                <w:lang w:val="en-US" w:eastAsia="en-US"/>
              </w:rPr>
              <w:t>Integruota</w:t>
            </w:r>
            <w:proofErr w:type="spellEnd"/>
            <w:r w:rsidRPr="00784239">
              <w:rPr>
                <w:lang w:val="en-US" w:eastAsia="en-US"/>
              </w:rPr>
              <w:t xml:space="preserve"> </w:t>
            </w:r>
            <w:proofErr w:type="spellStart"/>
            <w:r w:rsidRPr="00784239">
              <w:rPr>
                <w:lang w:val="en-US" w:eastAsia="en-US"/>
              </w:rPr>
              <w:t>avarinio</w:t>
            </w:r>
            <w:proofErr w:type="spellEnd"/>
            <w:r w:rsidRPr="00784239">
              <w:rPr>
                <w:lang w:val="en-US" w:eastAsia="en-US"/>
              </w:rPr>
              <w:t xml:space="preserve"> </w:t>
            </w:r>
            <w:proofErr w:type="spellStart"/>
            <w:r w:rsidRPr="00784239">
              <w:rPr>
                <w:lang w:val="en-US" w:eastAsia="en-US"/>
              </w:rPr>
              <w:t>išjungimo</w:t>
            </w:r>
            <w:proofErr w:type="spellEnd"/>
            <w:r w:rsidRPr="00784239">
              <w:rPr>
                <w:lang w:val="en-US" w:eastAsia="en-US"/>
              </w:rPr>
              <w:t xml:space="preserve"> </w:t>
            </w:r>
            <w:proofErr w:type="spellStart"/>
            <w:r w:rsidRPr="00784239">
              <w:rPr>
                <w:lang w:val="en-US" w:eastAsia="en-US"/>
              </w:rPr>
              <w:t>funkcija</w:t>
            </w:r>
            <w:proofErr w:type="spellEnd"/>
            <w:r w:rsidRPr="00784239">
              <w:rPr>
                <w:lang w:val="en-US" w:eastAsia="en-US"/>
              </w:rPr>
              <w:t xml:space="preserve"> EPO</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FF0000"/>
                <w:lang w:eastAsia="en-US"/>
              </w:rPr>
            </w:pPr>
            <w:r w:rsidRPr="00784239">
              <w:rPr>
                <w:lang w:eastAsia="en-US"/>
              </w:rPr>
              <w:t>Energetinių parametrų matavimai</w:t>
            </w:r>
          </w:p>
        </w:tc>
        <w:tc>
          <w:tcPr>
            <w:tcW w:w="5976" w:type="dxa"/>
            <w:hideMark/>
          </w:tcPr>
          <w:p w:rsidR="003F7A97" w:rsidRPr="00784239" w:rsidRDefault="003F7A97" w:rsidP="00D82B97">
            <w:pPr>
              <w:spacing w:line="256" w:lineRule="auto"/>
              <w:rPr>
                <w:lang w:val="en-US" w:eastAsia="en-US"/>
              </w:rPr>
            </w:pPr>
            <w:proofErr w:type="spellStart"/>
            <w:r w:rsidRPr="00784239">
              <w:rPr>
                <w:lang w:val="en-US" w:eastAsia="en-US"/>
              </w:rPr>
              <w:t>Integruoti</w:t>
            </w:r>
            <w:proofErr w:type="spellEnd"/>
            <w:r w:rsidRPr="00784239">
              <w:rPr>
                <w:lang w:val="en-US" w:eastAsia="en-US"/>
              </w:rPr>
              <w:t xml:space="preserve"> NMŠ </w:t>
            </w:r>
            <w:proofErr w:type="spellStart"/>
            <w:r w:rsidRPr="00784239">
              <w:rPr>
                <w:lang w:val="en-US" w:eastAsia="en-US"/>
              </w:rPr>
              <w:t>įrenginyje</w:t>
            </w:r>
            <w:proofErr w:type="spellEnd"/>
            <w:r w:rsidRPr="00784239">
              <w:rPr>
                <w:lang w:val="en-US" w:eastAsia="en-US"/>
              </w:rPr>
              <w:t xml:space="preserve">; </w:t>
            </w:r>
          </w:p>
          <w:p w:rsidR="003F7A97" w:rsidRPr="00784239" w:rsidRDefault="003F7A97" w:rsidP="00D82B97">
            <w:pPr>
              <w:spacing w:line="256" w:lineRule="auto"/>
              <w:rPr>
                <w:color w:val="FF0000"/>
                <w:lang w:val="en-US" w:eastAsia="en-US"/>
              </w:rPr>
            </w:pPr>
            <w:proofErr w:type="spellStart"/>
            <w:r w:rsidRPr="00784239">
              <w:rPr>
                <w:lang w:val="en-US" w:eastAsia="en-US"/>
              </w:rPr>
              <w:t>Turi</w:t>
            </w:r>
            <w:proofErr w:type="spellEnd"/>
            <w:r w:rsidRPr="00784239">
              <w:rPr>
                <w:lang w:val="en-US" w:eastAsia="en-US"/>
              </w:rPr>
              <w:t xml:space="preserve"> </w:t>
            </w:r>
            <w:proofErr w:type="spellStart"/>
            <w:r w:rsidRPr="00784239">
              <w:rPr>
                <w:lang w:val="en-US" w:eastAsia="en-US"/>
              </w:rPr>
              <w:t>rodyti</w:t>
            </w:r>
            <w:proofErr w:type="spellEnd"/>
            <w:r w:rsidRPr="00784239">
              <w:rPr>
                <w:lang w:val="en-US" w:eastAsia="en-US"/>
              </w:rPr>
              <w:t xml:space="preserve"> </w:t>
            </w:r>
            <w:proofErr w:type="spellStart"/>
            <w:r w:rsidRPr="00784239">
              <w:rPr>
                <w:lang w:val="en-US" w:eastAsia="en-US"/>
              </w:rPr>
              <w:t>gal</w:t>
            </w:r>
            <w:r>
              <w:rPr>
                <w:lang w:val="en-US" w:eastAsia="en-US"/>
              </w:rPr>
              <w:t>ios</w:t>
            </w:r>
            <w:proofErr w:type="spellEnd"/>
            <w:r>
              <w:rPr>
                <w:lang w:val="en-US" w:eastAsia="en-US"/>
              </w:rPr>
              <w:t xml:space="preserve"> </w:t>
            </w:r>
            <w:proofErr w:type="spellStart"/>
            <w:r>
              <w:rPr>
                <w:lang w:val="en-US" w:eastAsia="en-US"/>
              </w:rPr>
              <w:t>koeficiento</w:t>
            </w:r>
            <w:proofErr w:type="spellEnd"/>
            <w:r>
              <w:rPr>
                <w:lang w:val="en-US" w:eastAsia="en-US"/>
              </w:rPr>
              <w:t xml:space="preserve"> </w:t>
            </w:r>
            <w:proofErr w:type="spellStart"/>
            <w:r>
              <w:rPr>
                <w:lang w:val="en-US" w:eastAsia="en-US"/>
              </w:rPr>
              <w:t>reikšmes</w:t>
            </w:r>
            <w:proofErr w:type="spellEnd"/>
            <w:r>
              <w:rPr>
                <w:lang w:val="en-US" w:eastAsia="en-US"/>
              </w:rPr>
              <w:t xml:space="preserve"> </w:t>
            </w:r>
            <w:proofErr w:type="spellStart"/>
            <w:r>
              <w:rPr>
                <w:lang w:val="en-US" w:eastAsia="en-US"/>
              </w:rPr>
              <w:t>prie</w:t>
            </w:r>
            <w:proofErr w:type="spellEnd"/>
            <w:r>
              <w:rPr>
                <w:lang w:val="en-US" w:eastAsia="en-US"/>
              </w:rPr>
              <w:t xml:space="preserve"> </w:t>
            </w:r>
            <w:proofErr w:type="spellStart"/>
            <w:r w:rsidRPr="00784239">
              <w:rPr>
                <w:lang w:val="en-US" w:eastAsia="en-US"/>
              </w:rPr>
              <w:t>įvairių</w:t>
            </w:r>
            <w:proofErr w:type="spellEnd"/>
            <w:r w:rsidRPr="00784239">
              <w:rPr>
                <w:lang w:val="en-US" w:eastAsia="en-US"/>
              </w:rPr>
              <w:t xml:space="preserve"> </w:t>
            </w:r>
            <w:proofErr w:type="spellStart"/>
            <w:r w:rsidRPr="00784239">
              <w:rPr>
                <w:lang w:val="en-US" w:eastAsia="en-US"/>
              </w:rPr>
              <w:t>apkrovų</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Maksimalus NMŠ triukšmo lygis</w:t>
            </w:r>
          </w:p>
        </w:tc>
        <w:tc>
          <w:tcPr>
            <w:tcW w:w="5976" w:type="dxa"/>
            <w:hideMark/>
          </w:tcPr>
          <w:p w:rsidR="003F7A97" w:rsidRPr="00784239" w:rsidRDefault="003F7A97" w:rsidP="00D82B97">
            <w:pPr>
              <w:spacing w:line="256" w:lineRule="auto"/>
              <w:rPr>
                <w:lang w:val="en-US" w:eastAsia="en-US"/>
              </w:rPr>
            </w:pPr>
            <w:proofErr w:type="spellStart"/>
            <w:r w:rsidRPr="00784239">
              <w:rPr>
                <w:color w:val="000000" w:themeColor="text1"/>
                <w:lang w:eastAsia="en-US"/>
              </w:rPr>
              <w:t>maks</w:t>
            </w:r>
            <w:proofErr w:type="spellEnd"/>
            <w:r w:rsidRPr="00784239">
              <w:rPr>
                <w:color w:val="000000" w:themeColor="text1"/>
                <w:lang w:eastAsia="en-US"/>
              </w:rPr>
              <w:t xml:space="preserve">. 55 </w:t>
            </w:r>
            <w:proofErr w:type="spellStart"/>
            <w:r w:rsidRPr="00784239">
              <w:rPr>
                <w:color w:val="000000" w:themeColor="text1"/>
                <w:lang w:eastAsia="en-US"/>
              </w:rPr>
              <w:t>dBA</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NMŠ matmenys G x A x P</w:t>
            </w:r>
          </w:p>
        </w:tc>
        <w:tc>
          <w:tcPr>
            <w:tcW w:w="5976" w:type="dxa"/>
            <w:hideMark/>
          </w:tcPr>
          <w:p w:rsidR="003F7A97" w:rsidRPr="00784239" w:rsidRDefault="003F7A97" w:rsidP="00D82B97">
            <w:pPr>
              <w:spacing w:line="256" w:lineRule="auto"/>
              <w:rPr>
                <w:lang w:val="en-US" w:eastAsia="en-US"/>
              </w:rPr>
            </w:pPr>
            <w:proofErr w:type="spellStart"/>
            <w:proofErr w:type="gramStart"/>
            <w:r w:rsidRPr="00784239">
              <w:rPr>
                <w:lang w:val="en-US" w:eastAsia="en-US"/>
              </w:rPr>
              <w:t>maks</w:t>
            </w:r>
            <w:proofErr w:type="spellEnd"/>
            <w:proofErr w:type="gramEnd"/>
            <w:r w:rsidRPr="00784239">
              <w:rPr>
                <w:lang w:val="en-US" w:eastAsia="en-US"/>
              </w:rPr>
              <w:t>. 71.94 cm x 17.4 cm x 43.2 cm</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NMŠ masė</w:t>
            </w:r>
          </w:p>
        </w:tc>
        <w:tc>
          <w:tcPr>
            <w:tcW w:w="5976" w:type="dxa"/>
            <w:hideMark/>
          </w:tcPr>
          <w:p w:rsidR="003F7A97" w:rsidRPr="00784239" w:rsidRDefault="003F7A97" w:rsidP="00D82B97">
            <w:pPr>
              <w:spacing w:line="256" w:lineRule="auto"/>
              <w:rPr>
                <w:lang w:val="en-US" w:eastAsia="en-US"/>
              </w:rPr>
            </w:pPr>
            <w:proofErr w:type="spellStart"/>
            <w:proofErr w:type="gramStart"/>
            <w:r w:rsidRPr="00784239">
              <w:rPr>
                <w:lang w:val="en-US" w:eastAsia="en-US"/>
              </w:rPr>
              <w:t>maks</w:t>
            </w:r>
            <w:proofErr w:type="spellEnd"/>
            <w:proofErr w:type="gramEnd"/>
            <w:r w:rsidRPr="00784239">
              <w:rPr>
                <w:lang w:val="en-US" w:eastAsia="en-US"/>
              </w:rPr>
              <w:t>. 60 kg</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IP klasė, santykinė drėgmė, temperatūra</w:t>
            </w:r>
          </w:p>
        </w:tc>
        <w:tc>
          <w:tcPr>
            <w:tcW w:w="5976" w:type="dxa"/>
            <w:hideMark/>
          </w:tcPr>
          <w:p w:rsidR="003F7A97" w:rsidRPr="00784239" w:rsidRDefault="003F7A97" w:rsidP="00D82B97">
            <w:pPr>
              <w:spacing w:line="256" w:lineRule="auto"/>
              <w:rPr>
                <w:lang w:val="en-US" w:eastAsia="en-US"/>
              </w:rPr>
            </w:pPr>
            <w:r w:rsidRPr="00784239">
              <w:rPr>
                <w:lang w:val="en-US" w:eastAsia="en-US"/>
              </w:rPr>
              <w:t>IP20, 0 - 95%, 0 - 40 °C</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000000" w:themeColor="text1"/>
                <w:lang w:eastAsia="en-US"/>
              </w:rPr>
            </w:pPr>
            <w:r w:rsidRPr="00784239">
              <w:rPr>
                <w:color w:val="000000" w:themeColor="text1"/>
                <w:lang w:eastAsia="en-US"/>
              </w:rPr>
              <w:t>Išorinio automatinio jungiklio vardinė srovė</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50 A</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color w:val="000000" w:themeColor="text1"/>
                <w:lang w:eastAsia="en-US"/>
              </w:rPr>
            </w:pPr>
            <w:r w:rsidRPr="00784239">
              <w:rPr>
                <w:color w:val="000000" w:themeColor="text1"/>
                <w:lang w:eastAsia="en-US"/>
              </w:rPr>
              <w:t xml:space="preserve">NMŠ jungtys ir </w:t>
            </w:r>
            <w:proofErr w:type="spellStart"/>
            <w:r w:rsidRPr="00784239">
              <w:rPr>
                <w:color w:val="000000" w:themeColor="text1"/>
                <w:lang w:eastAsia="en-US"/>
              </w:rPr>
              <w:t>portai</w:t>
            </w:r>
            <w:proofErr w:type="spellEnd"/>
          </w:p>
        </w:tc>
        <w:tc>
          <w:tcPr>
            <w:tcW w:w="5976" w:type="dxa"/>
            <w:hideMark/>
          </w:tcPr>
          <w:p w:rsidR="003F7A97" w:rsidRPr="00784239" w:rsidRDefault="003F7A97" w:rsidP="003F7A97">
            <w:pPr>
              <w:numPr>
                <w:ilvl w:val="0"/>
                <w:numId w:val="27"/>
              </w:numPr>
              <w:spacing w:line="256" w:lineRule="auto"/>
              <w:contextualSpacing/>
              <w:rPr>
                <w:color w:val="000000" w:themeColor="text1"/>
                <w:lang w:val="en-US" w:eastAsia="en-US"/>
              </w:rPr>
            </w:pPr>
            <w:r>
              <w:rPr>
                <w:color w:val="000000" w:themeColor="text1"/>
                <w:lang w:val="en-US" w:eastAsia="en-US"/>
              </w:rPr>
              <w:t xml:space="preserve">XLBP </w:t>
            </w:r>
            <w:proofErr w:type="spellStart"/>
            <w:r>
              <w:rPr>
                <w:color w:val="000000" w:themeColor="text1"/>
                <w:lang w:val="en-US" w:eastAsia="en-US"/>
              </w:rPr>
              <w:t>jungtis</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r w:rsidRPr="00784239">
              <w:rPr>
                <w:color w:val="000000" w:themeColor="text1"/>
                <w:lang w:val="en-US" w:eastAsia="en-US"/>
              </w:rPr>
              <w:t xml:space="preserve">Serial COM, </w:t>
            </w:r>
            <w:proofErr w:type="spellStart"/>
            <w:r w:rsidRPr="00784239">
              <w:rPr>
                <w:color w:val="000000" w:themeColor="text1"/>
                <w:lang w:val="en-US" w:eastAsia="en-US"/>
              </w:rPr>
              <w:t>komunikacijai</w:t>
            </w:r>
            <w:proofErr w:type="spellEnd"/>
            <w:r w:rsidRPr="00784239">
              <w:rPr>
                <w:color w:val="000000" w:themeColor="text1"/>
                <w:lang w:val="en-US" w:eastAsia="en-US"/>
              </w:rPr>
              <w:t xml:space="preserve"> </w:t>
            </w:r>
            <w:proofErr w:type="spellStart"/>
            <w:r w:rsidRPr="00784239">
              <w:rPr>
                <w:color w:val="000000" w:themeColor="text1"/>
                <w:lang w:val="en-US" w:eastAsia="en-US"/>
              </w:rPr>
              <w:t>su</w:t>
            </w:r>
            <w:proofErr w:type="spellEnd"/>
            <w:r w:rsidRPr="00784239">
              <w:rPr>
                <w:color w:val="000000" w:themeColor="text1"/>
                <w:lang w:val="en-US" w:eastAsia="en-US"/>
              </w:rPr>
              <w:t xml:space="preserve"> NMŠ;</w:t>
            </w:r>
          </w:p>
          <w:p w:rsidR="003F7A97" w:rsidRPr="00784239" w:rsidRDefault="003F7A97" w:rsidP="003F7A97">
            <w:pPr>
              <w:numPr>
                <w:ilvl w:val="0"/>
                <w:numId w:val="27"/>
              </w:numPr>
              <w:spacing w:line="256" w:lineRule="auto"/>
              <w:contextualSpacing/>
              <w:rPr>
                <w:color w:val="000000" w:themeColor="text1"/>
                <w:lang w:val="en-US" w:eastAsia="en-US"/>
              </w:rPr>
            </w:pPr>
            <w:r w:rsidRPr="00784239">
              <w:rPr>
                <w:color w:val="000000" w:themeColor="text1"/>
                <w:lang w:val="en-US" w:eastAsia="en-US"/>
              </w:rPr>
              <w:t xml:space="preserve">USB </w:t>
            </w:r>
            <w:proofErr w:type="spellStart"/>
            <w:r w:rsidRPr="00784239">
              <w:rPr>
                <w:color w:val="000000" w:themeColor="text1"/>
                <w:lang w:val="en-US" w:eastAsia="en-US"/>
              </w:rPr>
              <w:t>portas</w:t>
            </w:r>
            <w:proofErr w:type="spellEnd"/>
            <w:r w:rsidRPr="00784239">
              <w:rPr>
                <w:color w:val="000000" w:themeColor="text1"/>
                <w:lang w:val="en-US" w:eastAsia="en-US"/>
              </w:rPr>
              <w:t xml:space="preserve">, </w:t>
            </w:r>
            <w:proofErr w:type="spellStart"/>
            <w:r w:rsidRPr="00784239">
              <w:rPr>
                <w:color w:val="000000" w:themeColor="text1"/>
                <w:lang w:val="en-US" w:eastAsia="en-US"/>
              </w:rPr>
              <w:t>programinei</w:t>
            </w:r>
            <w:proofErr w:type="spellEnd"/>
            <w:r w:rsidRPr="00784239">
              <w:rPr>
                <w:color w:val="000000" w:themeColor="text1"/>
                <w:lang w:val="en-US" w:eastAsia="en-US"/>
              </w:rPr>
              <w:t xml:space="preserve"> </w:t>
            </w:r>
            <w:proofErr w:type="spellStart"/>
            <w:r w:rsidRPr="00784239">
              <w:rPr>
                <w:color w:val="000000" w:themeColor="text1"/>
                <w:lang w:val="en-US" w:eastAsia="en-US"/>
              </w:rPr>
              <w:t>įrangai</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r w:rsidRPr="00784239">
              <w:rPr>
                <w:color w:val="000000" w:themeColor="text1"/>
                <w:lang w:val="en-US" w:eastAsia="en-US"/>
              </w:rPr>
              <w:t xml:space="preserve">I/O </w:t>
            </w:r>
            <w:proofErr w:type="spellStart"/>
            <w:r w:rsidRPr="00784239">
              <w:rPr>
                <w:color w:val="000000" w:themeColor="text1"/>
                <w:lang w:val="en-US" w:eastAsia="en-US"/>
              </w:rPr>
              <w:t>universalus</w:t>
            </w:r>
            <w:proofErr w:type="spellEnd"/>
            <w:r w:rsidRPr="00784239">
              <w:rPr>
                <w:color w:val="000000" w:themeColor="text1"/>
                <w:lang w:val="en-US" w:eastAsia="en-US"/>
              </w:rPr>
              <w:t xml:space="preserve"> </w:t>
            </w:r>
            <w:proofErr w:type="spellStart"/>
            <w:r w:rsidRPr="00784239">
              <w:rPr>
                <w:color w:val="000000" w:themeColor="text1"/>
                <w:lang w:val="en-US" w:eastAsia="en-US"/>
              </w:rPr>
              <w:t>portas</w:t>
            </w:r>
            <w:proofErr w:type="spellEnd"/>
            <w:r w:rsidRPr="00784239">
              <w:rPr>
                <w:color w:val="000000" w:themeColor="text1"/>
                <w:lang w:val="en-US" w:eastAsia="en-US"/>
              </w:rPr>
              <w:t xml:space="preserve">, </w:t>
            </w:r>
            <w:proofErr w:type="spellStart"/>
            <w:r w:rsidRPr="00784239">
              <w:rPr>
                <w:color w:val="000000" w:themeColor="text1"/>
                <w:lang w:val="en-US" w:eastAsia="en-US"/>
              </w:rPr>
              <w:t>temperatūriniam</w:t>
            </w:r>
            <w:proofErr w:type="spellEnd"/>
            <w:r w:rsidRPr="00784239">
              <w:rPr>
                <w:color w:val="000000" w:themeColor="text1"/>
                <w:lang w:val="en-US" w:eastAsia="en-US"/>
              </w:rPr>
              <w:t xml:space="preserve"> </w:t>
            </w:r>
            <w:proofErr w:type="spellStart"/>
            <w:r w:rsidRPr="00784239">
              <w:rPr>
                <w:color w:val="000000" w:themeColor="text1"/>
                <w:lang w:val="en-US" w:eastAsia="en-US"/>
              </w:rPr>
              <w:t>zondui</w:t>
            </w:r>
            <w:proofErr w:type="spellEnd"/>
            <w:r w:rsidRPr="00784239">
              <w:rPr>
                <w:color w:val="000000" w:themeColor="text1"/>
                <w:lang w:val="en-US" w:eastAsia="en-US"/>
              </w:rPr>
              <w:t xml:space="preserve"> </w:t>
            </w:r>
            <w:proofErr w:type="spellStart"/>
            <w:r w:rsidRPr="00784239">
              <w:rPr>
                <w:color w:val="000000" w:themeColor="text1"/>
                <w:lang w:val="en-US" w:eastAsia="en-US"/>
              </w:rPr>
              <w:t>pajungti</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proofErr w:type="spellStart"/>
            <w:r w:rsidRPr="00784239">
              <w:rPr>
                <w:color w:val="000000" w:themeColor="text1"/>
                <w:lang w:val="en-US" w:eastAsia="en-US"/>
              </w:rPr>
              <w:t>Portas</w:t>
            </w:r>
            <w:proofErr w:type="spellEnd"/>
            <w:r w:rsidRPr="00784239">
              <w:rPr>
                <w:color w:val="000000" w:themeColor="text1"/>
                <w:lang w:val="en-US" w:eastAsia="en-US"/>
              </w:rPr>
              <w:t xml:space="preserve"> </w:t>
            </w:r>
            <w:proofErr w:type="spellStart"/>
            <w:r w:rsidRPr="00784239">
              <w:rPr>
                <w:color w:val="000000" w:themeColor="text1"/>
                <w:lang w:val="en-US" w:eastAsia="en-US"/>
              </w:rPr>
              <w:t>tinklo</w:t>
            </w:r>
            <w:proofErr w:type="spellEnd"/>
            <w:r w:rsidRPr="00784239">
              <w:rPr>
                <w:color w:val="000000" w:themeColor="text1"/>
                <w:lang w:val="en-US" w:eastAsia="en-US"/>
              </w:rPr>
              <w:t xml:space="preserve"> </w:t>
            </w:r>
            <w:proofErr w:type="spellStart"/>
            <w:r w:rsidRPr="00784239">
              <w:rPr>
                <w:color w:val="000000" w:themeColor="text1"/>
                <w:lang w:val="en-US" w:eastAsia="en-US"/>
              </w:rPr>
              <w:t>konfigūravimui</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proofErr w:type="spellStart"/>
            <w:r w:rsidRPr="00784239">
              <w:rPr>
                <w:color w:val="000000" w:themeColor="text1"/>
                <w:lang w:val="en-US" w:eastAsia="en-US"/>
              </w:rPr>
              <w:t>Tinklo</w:t>
            </w:r>
            <w:proofErr w:type="spellEnd"/>
            <w:r w:rsidRPr="00784239">
              <w:rPr>
                <w:color w:val="000000" w:themeColor="text1"/>
                <w:lang w:val="en-US" w:eastAsia="en-US"/>
              </w:rPr>
              <w:t xml:space="preserve"> </w:t>
            </w:r>
            <w:proofErr w:type="spellStart"/>
            <w:r w:rsidRPr="00784239">
              <w:rPr>
                <w:color w:val="000000" w:themeColor="text1"/>
                <w:lang w:val="en-US" w:eastAsia="en-US"/>
              </w:rPr>
              <w:t>portas</w:t>
            </w:r>
            <w:proofErr w:type="spellEnd"/>
            <w:r w:rsidRPr="00784239">
              <w:rPr>
                <w:color w:val="000000" w:themeColor="text1"/>
                <w:lang w:val="en-US" w:eastAsia="en-US"/>
              </w:rPr>
              <w:t xml:space="preserve"> NMŠ </w:t>
            </w:r>
            <w:proofErr w:type="spellStart"/>
            <w:r w:rsidRPr="00784239">
              <w:rPr>
                <w:color w:val="000000" w:themeColor="text1"/>
                <w:lang w:val="en-US" w:eastAsia="en-US"/>
              </w:rPr>
              <w:t>pajungimui</w:t>
            </w:r>
            <w:proofErr w:type="spellEnd"/>
            <w:r w:rsidRPr="00784239">
              <w:rPr>
                <w:color w:val="000000" w:themeColor="text1"/>
                <w:lang w:val="en-US" w:eastAsia="en-US"/>
              </w:rPr>
              <w:t xml:space="preserve"> </w:t>
            </w:r>
            <w:proofErr w:type="spellStart"/>
            <w:r w:rsidRPr="00784239">
              <w:rPr>
                <w:color w:val="000000" w:themeColor="text1"/>
                <w:lang w:val="en-US" w:eastAsia="en-US"/>
              </w:rPr>
              <w:t>prie</w:t>
            </w:r>
            <w:proofErr w:type="spellEnd"/>
            <w:r w:rsidRPr="00784239">
              <w:rPr>
                <w:color w:val="000000" w:themeColor="text1"/>
                <w:lang w:val="en-US" w:eastAsia="en-US"/>
              </w:rPr>
              <w:t xml:space="preserve"> </w:t>
            </w:r>
            <w:proofErr w:type="spellStart"/>
            <w:r w:rsidRPr="00784239">
              <w:rPr>
                <w:color w:val="000000" w:themeColor="text1"/>
                <w:lang w:val="en-US" w:eastAsia="en-US"/>
              </w:rPr>
              <w:t>tinklo</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r w:rsidRPr="00784239">
              <w:rPr>
                <w:color w:val="000000" w:themeColor="text1"/>
                <w:lang w:val="en-US" w:eastAsia="en-US"/>
              </w:rPr>
              <w:t xml:space="preserve">AC </w:t>
            </w:r>
            <w:proofErr w:type="spellStart"/>
            <w:r w:rsidRPr="00784239">
              <w:rPr>
                <w:color w:val="000000" w:themeColor="text1"/>
                <w:lang w:val="en-US" w:eastAsia="en-US"/>
              </w:rPr>
              <w:t>jungtis</w:t>
            </w:r>
            <w:proofErr w:type="spellEnd"/>
            <w:r w:rsidRPr="00784239">
              <w:rPr>
                <w:color w:val="000000" w:themeColor="text1"/>
                <w:lang w:val="en-US" w:eastAsia="en-US"/>
              </w:rPr>
              <w:t>;</w:t>
            </w:r>
          </w:p>
          <w:p w:rsidR="003F7A97" w:rsidRPr="00784239" w:rsidRDefault="003F7A97" w:rsidP="003F7A97">
            <w:pPr>
              <w:numPr>
                <w:ilvl w:val="0"/>
                <w:numId w:val="27"/>
              </w:numPr>
              <w:spacing w:line="256" w:lineRule="auto"/>
              <w:contextualSpacing/>
              <w:rPr>
                <w:color w:val="000000" w:themeColor="text1"/>
                <w:lang w:val="en-US" w:eastAsia="en-US"/>
              </w:rPr>
            </w:pPr>
            <w:proofErr w:type="spellStart"/>
            <w:r w:rsidRPr="00784239">
              <w:rPr>
                <w:color w:val="000000" w:themeColor="text1"/>
                <w:lang w:val="en-US" w:eastAsia="en-US"/>
              </w:rPr>
              <w:t>Nr</w:t>
            </w:r>
            <w:proofErr w:type="spellEnd"/>
            <w:r w:rsidRPr="00784239">
              <w:rPr>
                <w:color w:val="000000" w:themeColor="text1"/>
                <w:lang w:val="en-US" w:eastAsia="en-US"/>
              </w:rPr>
              <w:t xml:space="preserve">. 1 </w:t>
            </w:r>
            <w:proofErr w:type="spellStart"/>
            <w:r w:rsidRPr="00784239">
              <w:rPr>
                <w:color w:val="000000" w:themeColor="text1"/>
                <w:lang w:val="en-US" w:eastAsia="en-US"/>
              </w:rPr>
              <w:t>apkrovų</w:t>
            </w:r>
            <w:proofErr w:type="spellEnd"/>
            <w:r w:rsidRPr="00784239">
              <w:rPr>
                <w:color w:val="000000" w:themeColor="text1"/>
                <w:lang w:val="en-US" w:eastAsia="en-US"/>
              </w:rPr>
              <w:t xml:space="preserve"> </w:t>
            </w:r>
            <w:proofErr w:type="spellStart"/>
            <w:r w:rsidRPr="00784239">
              <w:rPr>
                <w:color w:val="000000" w:themeColor="text1"/>
                <w:lang w:val="en-US" w:eastAsia="en-US"/>
              </w:rPr>
              <w:t>pajungimo</w:t>
            </w:r>
            <w:proofErr w:type="spellEnd"/>
            <w:r w:rsidRPr="00784239">
              <w:rPr>
                <w:color w:val="000000" w:themeColor="text1"/>
                <w:lang w:val="en-US" w:eastAsia="en-US"/>
              </w:rPr>
              <w:t xml:space="preserve"> </w:t>
            </w:r>
            <w:proofErr w:type="spellStart"/>
            <w:r w:rsidRPr="00784239">
              <w:rPr>
                <w:color w:val="000000" w:themeColor="text1"/>
                <w:lang w:val="en-US" w:eastAsia="en-US"/>
              </w:rPr>
              <w:t>grupė</w:t>
            </w:r>
            <w:proofErr w:type="spellEnd"/>
            <w:r w:rsidRPr="00784239">
              <w:rPr>
                <w:color w:val="000000" w:themeColor="text1"/>
                <w:lang w:val="en-US" w:eastAsia="en-US"/>
              </w:rPr>
              <w:t xml:space="preserve">, 6 </w:t>
            </w:r>
            <w:proofErr w:type="spellStart"/>
            <w:r w:rsidRPr="00784239">
              <w:rPr>
                <w:color w:val="000000" w:themeColor="text1"/>
                <w:lang w:val="en-US" w:eastAsia="en-US"/>
              </w:rPr>
              <w:t>vnt</w:t>
            </w:r>
            <w:proofErr w:type="spellEnd"/>
            <w:r w:rsidRPr="00784239">
              <w:rPr>
                <w:color w:val="000000" w:themeColor="text1"/>
                <w:lang w:val="en-US" w:eastAsia="en-US"/>
              </w:rPr>
              <w:t xml:space="preserve">. </w:t>
            </w:r>
            <w:proofErr w:type="spellStart"/>
            <w:r w:rsidRPr="00784239">
              <w:rPr>
                <w:color w:val="000000" w:themeColor="text1"/>
                <w:lang w:val="en-US" w:eastAsia="en-US"/>
              </w:rPr>
              <w:t>kištukinių</w:t>
            </w:r>
            <w:proofErr w:type="spellEnd"/>
            <w:r w:rsidRPr="00784239">
              <w:rPr>
                <w:color w:val="000000" w:themeColor="text1"/>
                <w:lang w:val="en-US" w:eastAsia="en-US"/>
              </w:rPr>
              <w:t xml:space="preserve"> </w:t>
            </w:r>
            <w:proofErr w:type="spellStart"/>
            <w:r w:rsidRPr="00784239">
              <w:rPr>
                <w:color w:val="000000" w:themeColor="text1"/>
                <w:lang w:val="en-US" w:eastAsia="en-US"/>
              </w:rPr>
              <w:t>lizdų</w:t>
            </w:r>
            <w:proofErr w:type="spellEnd"/>
            <w:r w:rsidRPr="00784239">
              <w:rPr>
                <w:color w:val="000000" w:themeColor="text1"/>
                <w:lang w:val="en-US" w:eastAsia="en-US"/>
              </w:rPr>
              <w:t xml:space="preserve"> </w:t>
            </w:r>
            <w:proofErr w:type="spellStart"/>
            <w:r w:rsidRPr="00784239">
              <w:rPr>
                <w:color w:val="000000" w:themeColor="text1"/>
                <w:lang w:val="en-US" w:eastAsia="en-US"/>
              </w:rPr>
              <w:t>pagal</w:t>
            </w:r>
            <w:proofErr w:type="spellEnd"/>
            <w:r w:rsidRPr="00784239">
              <w:rPr>
                <w:color w:val="000000" w:themeColor="text1"/>
                <w:lang w:val="en-US" w:eastAsia="en-US"/>
              </w:rPr>
              <w:t xml:space="preserve"> </w:t>
            </w:r>
            <w:r w:rsidRPr="00784239">
              <w:rPr>
                <w:lang w:eastAsia="en-US"/>
              </w:rPr>
              <w:t>LST EN 60320-</w:t>
            </w:r>
            <w:r w:rsidRPr="00784239">
              <w:rPr>
                <w:lang w:val="en-US" w:eastAsia="en-US"/>
              </w:rPr>
              <w:t>1, C13;</w:t>
            </w:r>
          </w:p>
          <w:p w:rsidR="003F7A97" w:rsidRPr="00784239" w:rsidRDefault="003F7A97" w:rsidP="003F7A97">
            <w:pPr>
              <w:numPr>
                <w:ilvl w:val="0"/>
                <w:numId w:val="27"/>
              </w:numPr>
              <w:spacing w:line="256" w:lineRule="auto"/>
              <w:contextualSpacing/>
              <w:rPr>
                <w:color w:val="000000" w:themeColor="text1"/>
                <w:lang w:val="en-US" w:eastAsia="en-US"/>
              </w:rPr>
            </w:pPr>
            <w:proofErr w:type="spellStart"/>
            <w:r w:rsidRPr="00784239">
              <w:rPr>
                <w:color w:val="000000" w:themeColor="text1"/>
                <w:lang w:val="en-US" w:eastAsia="en-US"/>
              </w:rPr>
              <w:lastRenderedPageBreak/>
              <w:t>Nr</w:t>
            </w:r>
            <w:proofErr w:type="spellEnd"/>
            <w:r w:rsidRPr="00784239">
              <w:rPr>
                <w:color w:val="000000" w:themeColor="text1"/>
                <w:lang w:val="en-US" w:eastAsia="en-US"/>
              </w:rPr>
              <w:t xml:space="preserve">. 2 </w:t>
            </w:r>
            <w:proofErr w:type="spellStart"/>
            <w:r w:rsidRPr="00784239">
              <w:rPr>
                <w:color w:val="000000" w:themeColor="text1"/>
                <w:lang w:val="en-US" w:eastAsia="en-US"/>
              </w:rPr>
              <w:t>apkrovų</w:t>
            </w:r>
            <w:proofErr w:type="spellEnd"/>
            <w:r w:rsidRPr="00784239">
              <w:rPr>
                <w:color w:val="000000" w:themeColor="text1"/>
                <w:lang w:val="en-US" w:eastAsia="en-US"/>
              </w:rPr>
              <w:t xml:space="preserve"> </w:t>
            </w:r>
            <w:proofErr w:type="spellStart"/>
            <w:r w:rsidRPr="00784239">
              <w:rPr>
                <w:color w:val="000000" w:themeColor="text1"/>
                <w:lang w:val="en-US" w:eastAsia="en-US"/>
              </w:rPr>
              <w:t>pajungimo</w:t>
            </w:r>
            <w:proofErr w:type="spellEnd"/>
            <w:r w:rsidRPr="00784239">
              <w:rPr>
                <w:color w:val="000000" w:themeColor="text1"/>
                <w:lang w:val="en-US" w:eastAsia="en-US"/>
              </w:rPr>
              <w:t xml:space="preserve"> </w:t>
            </w:r>
            <w:proofErr w:type="spellStart"/>
            <w:r w:rsidRPr="00784239">
              <w:rPr>
                <w:color w:val="000000" w:themeColor="text1"/>
                <w:lang w:val="en-US" w:eastAsia="en-US"/>
              </w:rPr>
              <w:t>grupė</w:t>
            </w:r>
            <w:proofErr w:type="spellEnd"/>
            <w:r w:rsidRPr="00784239">
              <w:rPr>
                <w:color w:val="000000" w:themeColor="text1"/>
                <w:lang w:val="en-US" w:eastAsia="en-US"/>
              </w:rPr>
              <w:t xml:space="preserve">, 2 </w:t>
            </w:r>
            <w:proofErr w:type="spellStart"/>
            <w:r w:rsidRPr="00784239">
              <w:rPr>
                <w:color w:val="000000" w:themeColor="text1"/>
                <w:lang w:val="en-US" w:eastAsia="en-US"/>
              </w:rPr>
              <w:t>vnt</w:t>
            </w:r>
            <w:proofErr w:type="spellEnd"/>
            <w:r w:rsidRPr="00784239">
              <w:rPr>
                <w:color w:val="000000" w:themeColor="text1"/>
                <w:lang w:val="en-US" w:eastAsia="en-US"/>
              </w:rPr>
              <w:t xml:space="preserve">. </w:t>
            </w:r>
            <w:proofErr w:type="spellStart"/>
            <w:r w:rsidRPr="00784239">
              <w:rPr>
                <w:color w:val="000000" w:themeColor="text1"/>
                <w:lang w:val="en-US" w:eastAsia="en-US"/>
              </w:rPr>
              <w:t>kištukinių</w:t>
            </w:r>
            <w:proofErr w:type="spellEnd"/>
            <w:r w:rsidRPr="00784239">
              <w:rPr>
                <w:color w:val="000000" w:themeColor="text1"/>
                <w:lang w:val="en-US" w:eastAsia="en-US"/>
              </w:rPr>
              <w:t xml:space="preserve"> </w:t>
            </w:r>
            <w:proofErr w:type="spellStart"/>
            <w:r w:rsidRPr="00784239">
              <w:rPr>
                <w:color w:val="000000" w:themeColor="text1"/>
                <w:lang w:val="en-US" w:eastAsia="en-US"/>
              </w:rPr>
              <w:t>lizdų</w:t>
            </w:r>
            <w:proofErr w:type="spellEnd"/>
            <w:r w:rsidRPr="00784239">
              <w:rPr>
                <w:color w:val="000000" w:themeColor="text1"/>
                <w:lang w:val="en-US" w:eastAsia="en-US"/>
              </w:rPr>
              <w:t xml:space="preserve"> </w:t>
            </w:r>
            <w:proofErr w:type="spellStart"/>
            <w:r w:rsidRPr="00784239">
              <w:rPr>
                <w:color w:val="000000" w:themeColor="text1"/>
                <w:lang w:val="en-US" w:eastAsia="en-US"/>
              </w:rPr>
              <w:t>pagal</w:t>
            </w:r>
            <w:proofErr w:type="spellEnd"/>
            <w:r w:rsidRPr="00784239">
              <w:rPr>
                <w:color w:val="000000" w:themeColor="text1"/>
                <w:lang w:val="en-US" w:eastAsia="en-US"/>
              </w:rPr>
              <w:t xml:space="preserve"> </w:t>
            </w:r>
            <w:r w:rsidRPr="00784239">
              <w:rPr>
                <w:lang w:eastAsia="en-US"/>
              </w:rPr>
              <w:t>LST EN 60320-</w:t>
            </w:r>
            <w:r w:rsidRPr="00784239">
              <w:rPr>
                <w:lang w:val="en-US" w:eastAsia="en-US"/>
              </w:rPr>
              <w:t>1, C19;</w:t>
            </w:r>
          </w:p>
          <w:p w:rsidR="003F7A97" w:rsidRPr="00784239" w:rsidRDefault="003F7A97" w:rsidP="003F7A97">
            <w:pPr>
              <w:numPr>
                <w:ilvl w:val="0"/>
                <w:numId w:val="27"/>
              </w:numPr>
              <w:spacing w:line="256" w:lineRule="auto"/>
              <w:contextualSpacing/>
              <w:rPr>
                <w:color w:val="000000" w:themeColor="text1"/>
                <w:lang w:val="en-US" w:eastAsia="en-US"/>
              </w:rPr>
            </w:pPr>
            <w:proofErr w:type="spellStart"/>
            <w:r w:rsidRPr="00784239">
              <w:rPr>
                <w:color w:val="000000" w:themeColor="text1"/>
                <w:lang w:val="en-US" w:eastAsia="en-US"/>
              </w:rPr>
              <w:t>Nr</w:t>
            </w:r>
            <w:proofErr w:type="spellEnd"/>
            <w:r w:rsidRPr="00784239">
              <w:rPr>
                <w:color w:val="000000" w:themeColor="text1"/>
                <w:lang w:val="en-US" w:eastAsia="en-US"/>
              </w:rPr>
              <w:t xml:space="preserve">. 3 </w:t>
            </w:r>
            <w:proofErr w:type="spellStart"/>
            <w:r w:rsidRPr="00784239">
              <w:rPr>
                <w:color w:val="000000" w:themeColor="text1"/>
                <w:lang w:val="en-US" w:eastAsia="en-US"/>
              </w:rPr>
              <w:t>apkrovų</w:t>
            </w:r>
            <w:proofErr w:type="spellEnd"/>
            <w:r w:rsidRPr="00784239">
              <w:rPr>
                <w:color w:val="000000" w:themeColor="text1"/>
                <w:lang w:val="en-US" w:eastAsia="en-US"/>
              </w:rPr>
              <w:t xml:space="preserve"> </w:t>
            </w:r>
            <w:proofErr w:type="spellStart"/>
            <w:r w:rsidRPr="00784239">
              <w:rPr>
                <w:color w:val="000000" w:themeColor="text1"/>
                <w:lang w:val="en-US" w:eastAsia="en-US"/>
              </w:rPr>
              <w:t>pajungimo</w:t>
            </w:r>
            <w:proofErr w:type="spellEnd"/>
            <w:r w:rsidRPr="00784239">
              <w:rPr>
                <w:color w:val="000000" w:themeColor="text1"/>
                <w:lang w:val="en-US" w:eastAsia="en-US"/>
              </w:rPr>
              <w:t xml:space="preserve"> </w:t>
            </w:r>
            <w:proofErr w:type="spellStart"/>
            <w:r w:rsidRPr="00784239">
              <w:rPr>
                <w:color w:val="000000" w:themeColor="text1"/>
                <w:lang w:val="en-US" w:eastAsia="en-US"/>
              </w:rPr>
              <w:t>grupė</w:t>
            </w:r>
            <w:proofErr w:type="spellEnd"/>
            <w:r w:rsidRPr="00784239">
              <w:rPr>
                <w:color w:val="000000" w:themeColor="text1"/>
                <w:lang w:val="en-US" w:eastAsia="en-US"/>
              </w:rPr>
              <w:t xml:space="preserve">, 2 </w:t>
            </w:r>
            <w:proofErr w:type="spellStart"/>
            <w:r w:rsidRPr="00784239">
              <w:rPr>
                <w:color w:val="000000" w:themeColor="text1"/>
                <w:lang w:val="en-US" w:eastAsia="en-US"/>
              </w:rPr>
              <w:t>vnt</w:t>
            </w:r>
            <w:proofErr w:type="spellEnd"/>
            <w:r w:rsidRPr="00784239">
              <w:rPr>
                <w:color w:val="000000" w:themeColor="text1"/>
                <w:lang w:val="en-US" w:eastAsia="en-US"/>
              </w:rPr>
              <w:t xml:space="preserve">. </w:t>
            </w:r>
            <w:proofErr w:type="spellStart"/>
            <w:r w:rsidRPr="00784239">
              <w:rPr>
                <w:color w:val="000000" w:themeColor="text1"/>
                <w:lang w:val="en-US" w:eastAsia="en-US"/>
              </w:rPr>
              <w:t>kištukinių</w:t>
            </w:r>
            <w:proofErr w:type="spellEnd"/>
            <w:r w:rsidRPr="00784239">
              <w:rPr>
                <w:color w:val="000000" w:themeColor="text1"/>
                <w:lang w:val="en-US" w:eastAsia="en-US"/>
              </w:rPr>
              <w:t xml:space="preserve"> </w:t>
            </w:r>
            <w:proofErr w:type="spellStart"/>
            <w:r w:rsidRPr="00784239">
              <w:rPr>
                <w:color w:val="000000" w:themeColor="text1"/>
                <w:lang w:val="en-US" w:eastAsia="en-US"/>
              </w:rPr>
              <w:t>lizdų</w:t>
            </w:r>
            <w:proofErr w:type="spellEnd"/>
            <w:r w:rsidRPr="00784239">
              <w:rPr>
                <w:color w:val="000000" w:themeColor="text1"/>
                <w:lang w:val="en-US" w:eastAsia="en-US"/>
              </w:rPr>
              <w:t xml:space="preserve"> </w:t>
            </w:r>
            <w:proofErr w:type="spellStart"/>
            <w:r w:rsidRPr="00784239">
              <w:rPr>
                <w:color w:val="000000" w:themeColor="text1"/>
                <w:lang w:val="en-US" w:eastAsia="en-US"/>
              </w:rPr>
              <w:t>pagal</w:t>
            </w:r>
            <w:proofErr w:type="spellEnd"/>
            <w:r w:rsidRPr="00784239">
              <w:rPr>
                <w:color w:val="000000" w:themeColor="text1"/>
                <w:lang w:val="en-US" w:eastAsia="en-US"/>
              </w:rPr>
              <w:t xml:space="preserve"> </w:t>
            </w:r>
            <w:r w:rsidRPr="00784239">
              <w:rPr>
                <w:lang w:eastAsia="en-US"/>
              </w:rPr>
              <w:t>LST EN 60320-</w:t>
            </w:r>
            <w:r w:rsidRPr="00784239">
              <w:rPr>
                <w:lang w:val="en-US" w:eastAsia="en-US"/>
              </w:rPr>
              <w:t>1, C19;</w:t>
            </w:r>
          </w:p>
          <w:p w:rsidR="003F7A97" w:rsidRPr="00784239" w:rsidRDefault="003F7A97" w:rsidP="003F7A97">
            <w:pPr>
              <w:numPr>
                <w:ilvl w:val="0"/>
                <w:numId w:val="27"/>
              </w:numPr>
              <w:spacing w:line="256" w:lineRule="auto"/>
              <w:contextualSpacing/>
              <w:rPr>
                <w:color w:val="000000" w:themeColor="text1"/>
                <w:lang w:val="en-US" w:eastAsia="en-US"/>
              </w:rPr>
            </w:pPr>
            <w:r w:rsidRPr="00784239">
              <w:rPr>
                <w:color w:val="000000" w:themeColor="text1"/>
                <w:lang w:val="en-US" w:eastAsia="en-US"/>
              </w:rPr>
              <w:t xml:space="preserve">CAN </w:t>
            </w:r>
            <w:proofErr w:type="spellStart"/>
            <w:r w:rsidRPr="00784239">
              <w:rPr>
                <w:color w:val="000000" w:themeColor="text1"/>
                <w:lang w:val="en-US" w:eastAsia="en-US"/>
              </w:rPr>
              <w:t>jungtis</w:t>
            </w:r>
            <w:proofErr w:type="spellEnd"/>
            <w:r w:rsidRPr="00784239">
              <w:rPr>
                <w:color w:val="000000" w:themeColor="text1"/>
                <w:lang w:val="en-US" w:eastAsia="en-US"/>
              </w:rPr>
              <w:t xml:space="preserve"> (el. </w:t>
            </w:r>
            <w:proofErr w:type="spellStart"/>
            <w:r w:rsidRPr="00784239">
              <w:rPr>
                <w:color w:val="000000" w:themeColor="text1"/>
                <w:lang w:val="en-US" w:eastAsia="en-US"/>
              </w:rPr>
              <w:t>energijos</w:t>
            </w:r>
            <w:proofErr w:type="spellEnd"/>
            <w:r w:rsidRPr="00784239">
              <w:rPr>
                <w:color w:val="000000" w:themeColor="text1"/>
                <w:lang w:val="en-US" w:eastAsia="en-US"/>
              </w:rPr>
              <w:t xml:space="preserve"> </w:t>
            </w:r>
            <w:proofErr w:type="spellStart"/>
            <w:r w:rsidRPr="00784239">
              <w:rPr>
                <w:color w:val="000000" w:themeColor="text1"/>
                <w:lang w:val="en-US" w:eastAsia="en-US"/>
              </w:rPr>
              <w:t>paskirstymo</w:t>
            </w:r>
            <w:proofErr w:type="spellEnd"/>
            <w:r w:rsidRPr="00784239">
              <w:rPr>
                <w:color w:val="000000" w:themeColor="text1"/>
                <w:lang w:val="en-US" w:eastAsia="en-US"/>
              </w:rPr>
              <w:t xml:space="preserve"> bloke).</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D82B97">
            <w:pPr>
              <w:tabs>
                <w:tab w:val="left" w:pos="360"/>
              </w:tabs>
              <w:spacing w:line="256" w:lineRule="auto"/>
              <w:ind w:left="360"/>
              <w:rPr>
                <w:lang w:eastAsia="en-US"/>
              </w:rPr>
            </w:pPr>
          </w:p>
        </w:tc>
        <w:tc>
          <w:tcPr>
            <w:tcW w:w="9214" w:type="dxa"/>
            <w:gridSpan w:val="2"/>
            <w:hideMark/>
          </w:tcPr>
          <w:p w:rsidR="003F7A97" w:rsidRPr="00784239" w:rsidRDefault="003F7A97" w:rsidP="00D82B97">
            <w:pPr>
              <w:spacing w:line="256" w:lineRule="auto"/>
              <w:rPr>
                <w:color w:val="000000" w:themeColor="text1"/>
                <w:lang w:val="en-US" w:eastAsia="en-US"/>
              </w:rPr>
            </w:pPr>
            <w:r w:rsidRPr="00784239">
              <w:rPr>
                <w:lang w:eastAsia="en-US"/>
              </w:rPr>
              <w:t>Įėjimo parametrai</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Įėjimo dažnis</w:t>
            </w:r>
          </w:p>
        </w:tc>
        <w:tc>
          <w:tcPr>
            <w:tcW w:w="5976" w:type="dxa"/>
            <w:hideMark/>
          </w:tcPr>
          <w:p w:rsidR="003F7A97" w:rsidRPr="00784239" w:rsidRDefault="003F7A97" w:rsidP="00D82B97">
            <w:pPr>
              <w:spacing w:line="256" w:lineRule="auto"/>
              <w:contextualSpacing/>
              <w:rPr>
                <w:color w:val="000000" w:themeColor="text1"/>
                <w:lang w:eastAsia="en-US"/>
              </w:rPr>
            </w:pPr>
            <w:r w:rsidRPr="00784239">
              <w:rPr>
                <w:color w:val="000000" w:themeColor="text1"/>
                <w:lang w:val="en-US" w:eastAsia="en-US"/>
              </w:rPr>
              <w:t xml:space="preserve">40 – 70 Hz, </w:t>
            </w:r>
            <w:proofErr w:type="spellStart"/>
            <w:r w:rsidRPr="00784239">
              <w:rPr>
                <w:color w:val="000000" w:themeColor="text1"/>
                <w:lang w:val="en-US" w:eastAsia="en-US"/>
              </w:rPr>
              <w:t>automatinis</w:t>
            </w:r>
            <w:proofErr w:type="spellEnd"/>
            <w:r w:rsidRPr="00784239">
              <w:rPr>
                <w:color w:val="000000" w:themeColor="text1"/>
                <w:lang w:val="en-US" w:eastAsia="en-US"/>
              </w:rPr>
              <w:t xml:space="preserve"> </w:t>
            </w:r>
            <w:proofErr w:type="spellStart"/>
            <w:r w:rsidRPr="00784239">
              <w:rPr>
                <w:color w:val="000000" w:themeColor="text1"/>
                <w:lang w:val="en-US" w:eastAsia="en-US"/>
              </w:rPr>
              <w:t>nustatymas</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Įėjimo įtampa</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 xml:space="preserve">230 V </w:t>
            </w:r>
            <w:proofErr w:type="spellStart"/>
            <w:r w:rsidRPr="00784239">
              <w:rPr>
                <w:color w:val="000000" w:themeColor="text1"/>
                <w:lang w:val="en-US" w:eastAsia="en-US"/>
              </w:rPr>
              <w:t>vardinė</w:t>
            </w:r>
            <w:proofErr w:type="spellEnd"/>
          </w:p>
          <w:p w:rsidR="003F7A97" w:rsidRPr="00784239" w:rsidRDefault="003F7A97" w:rsidP="00D82B97">
            <w:pPr>
              <w:spacing w:line="256" w:lineRule="auto"/>
              <w:contextualSpacing/>
              <w:rPr>
                <w:color w:val="000000" w:themeColor="text1"/>
                <w:lang w:eastAsia="en-US"/>
              </w:rPr>
            </w:pPr>
            <w:r w:rsidRPr="00784239">
              <w:rPr>
                <w:color w:val="000000" w:themeColor="text1"/>
                <w:lang w:val="en-US" w:eastAsia="en-US"/>
              </w:rPr>
              <w:t xml:space="preserve">220 V, 240 V </w:t>
            </w:r>
            <w:proofErr w:type="spellStart"/>
            <w:r w:rsidRPr="00784239">
              <w:rPr>
                <w:color w:val="000000" w:themeColor="text1"/>
                <w:lang w:val="en-US" w:eastAsia="en-US"/>
              </w:rPr>
              <w:t>vartotojo</w:t>
            </w:r>
            <w:proofErr w:type="spellEnd"/>
            <w:r w:rsidRPr="00784239">
              <w:rPr>
                <w:color w:val="000000" w:themeColor="text1"/>
                <w:lang w:val="en-US" w:eastAsia="en-US"/>
              </w:rPr>
              <w:t xml:space="preserve"> </w:t>
            </w:r>
            <w:proofErr w:type="spellStart"/>
            <w:r w:rsidRPr="00784239">
              <w:rPr>
                <w:color w:val="000000" w:themeColor="text1"/>
                <w:lang w:val="en-US" w:eastAsia="en-US"/>
              </w:rPr>
              <w:t>pasirenkama</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Įėjimo įtampos ribos</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 xml:space="preserve">100 – 275 V </w:t>
            </w:r>
            <w:proofErr w:type="spellStart"/>
            <w:r w:rsidRPr="00784239">
              <w:rPr>
                <w:color w:val="000000" w:themeColor="text1"/>
                <w:lang w:val="en-US" w:eastAsia="en-US"/>
              </w:rPr>
              <w:t>prie</w:t>
            </w:r>
            <w:proofErr w:type="spellEnd"/>
            <w:r w:rsidRPr="00784239">
              <w:rPr>
                <w:color w:val="000000" w:themeColor="text1"/>
                <w:lang w:val="en-US" w:eastAsia="en-US"/>
              </w:rPr>
              <w:t xml:space="preserve"> 50% </w:t>
            </w:r>
            <w:proofErr w:type="spellStart"/>
            <w:r w:rsidRPr="00784239">
              <w:rPr>
                <w:color w:val="000000" w:themeColor="text1"/>
                <w:lang w:val="en-US" w:eastAsia="en-US"/>
              </w:rPr>
              <w:t>apkrovos</w:t>
            </w:r>
            <w:proofErr w:type="spellEnd"/>
          </w:p>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160 – 275 V</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D82B97">
            <w:pPr>
              <w:tabs>
                <w:tab w:val="left" w:pos="360"/>
              </w:tabs>
              <w:spacing w:line="256" w:lineRule="auto"/>
              <w:ind w:left="360"/>
              <w:rPr>
                <w:lang w:eastAsia="en-US"/>
              </w:rPr>
            </w:pPr>
          </w:p>
        </w:tc>
        <w:tc>
          <w:tcPr>
            <w:tcW w:w="9214" w:type="dxa"/>
            <w:gridSpan w:val="2"/>
            <w:hideMark/>
          </w:tcPr>
          <w:p w:rsidR="003F7A97" w:rsidRPr="00784239" w:rsidRDefault="003F7A97" w:rsidP="00D82B97">
            <w:pPr>
              <w:spacing w:line="256" w:lineRule="auto"/>
              <w:rPr>
                <w:color w:val="000000" w:themeColor="text1"/>
                <w:lang w:val="en-US" w:eastAsia="en-US"/>
              </w:rPr>
            </w:pPr>
            <w:r w:rsidRPr="00784239">
              <w:rPr>
                <w:lang w:eastAsia="en-US"/>
              </w:rPr>
              <w:t>Išėjimo parametrai</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val="ru-RU" w:eastAsia="en-US"/>
              </w:rPr>
            </w:pPr>
            <w:r w:rsidRPr="00784239">
              <w:rPr>
                <w:lang w:eastAsia="en-US"/>
              </w:rPr>
              <w:t>Vardinė galia</w:t>
            </w:r>
          </w:p>
        </w:tc>
        <w:tc>
          <w:tcPr>
            <w:tcW w:w="5976" w:type="dxa"/>
            <w:hideMark/>
          </w:tcPr>
          <w:p w:rsidR="003F7A97" w:rsidRPr="00784239" w:rsidRDefault="003F7A97" w:rsidP="00D82B97">
            <w:pPr>
              <w:spacing w:line="256" w:lineRule="auto"/>
              <w:contextualSpacing/>
              <w:rPr>
                <w:color w:val="000000" w:themeColor="text1"/>
                <w:lang w:val="en-US" w:eastAsia="en-US"/>
              </w:rPr>
            </w:pPr>
            <w:r w:rsidRPr="00784239">
              <w:rPr>
                <w:color w:val="000000" w:themeColor="text1"/>
                <w:lang w:val="en-US" w:eastAsia="en-US"/>
              </w:rPr>
              <w:t>6000 W</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Išėjimo dažnis</w:t>
            </w:r>
          </w:p>
        </w:tc>
        <w:tc>
          <w:tcPr>
            <w:tcW w:w="5976" w:type="dxa"/>
            <w:hideMark/>
          </w:tcPr>
          <w:p w:rsidR="003F7A97" w:rsidRPr="00784239" w:rsidRDefault="003F7A97" w:rsidP="00D82B97">
            <w:pPr>
              <w:spacing w:line="256" w:lineRule="auto"/>
              <w:contextualSpacing/>
              <w:rPr>
                <w:color w:val="000000" w:themeColor="text1"/>
                <w:lang w:eastAsia="en-US"/>
              </w:rPr>
            </w:pPr>
            <w:r w:rsidRPr="00784239">
              <w:rPr>
                <w:color w:val="000000" w:themeColor="text1"/>
                <w:lang w:val="en-US" w:eastAsia="en-US"/>
              </w:rPr>
              <w:t xml:space="preserve">50 Hz </w:t>
            </w:r>
            <w:r w:rsidRPr="00784239">
              <w:rPr>
                <w:lang w:val="en-US" w:eastAsia="en-US"/>
              </w:rPr>
              <w:t>+/-3</w:t>
            </w:r>
            <w:r w:rsidRPr="00784239">
              <w:rPr>
                <w:color w:val="000000" w:themeColor="text1"/>
                <w:lang w:val="en-US" w:eastAsia="en-US"/>
              </w:rPr>
              <w:t>%</w:t>
            </w:r>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Išėjimo vardinė įtampa</w:t>
            </w:r>
          </w:p>
        </w:tc>
        <w:tc>
          <w:tcPr>
            <w:tcW w:w="5976" w:type="dxa"/>
            <w:hideMark/>
          </w:tcPr>
          <w:p w:rsidR="003F7A97" w:rsidRPr="00784239" w:rsidRDefault="003F7A97" w:rsidP="00D82B97">
            <w:pPr>
              <w:spacing w:line="256" w:lineRule="auto"/>
              <w:contextualSpacing/>
              <w:rPr>
                <w:lang w:eastAsia="en-US"/>
              </w:rPr>
            </w:pPr>
            <w:r w:rsidRPr="00784239">
              <w:rPr>
                <w:lang w:val="en-US" w:eastAsia="en-US"/>
              </w:rPr>
              <w:t xml:space="preserve">230 V </w:t>
            </w:r>
            <w:proofErr w:type="spellStart"/>
            <w:r w:rsidRPr="00784239">
              <w:rPr>
                <w:lang w:val="en-US" w:eastAsia="en-US"/>
              </w:rPr>
              <w:t>vardin</w:t>
            </w:r>
            <w:proofErr w:type="spellEnd"/>
            <w:r w:rsidRPr="00784239">
              <w:rPr>
                <w:lang w:eastAsia="en-US"/>
              </w:rPr>
              <w:t>ė;</w:t>
            </w:r>
          </w:p>
          <w:p w:rsidR="003F7A97" w:rsidRPr="00784239" w:rsidRDefault="003F7A97" w:rsidP="00D82B97">
            <w:pPr>
              <w:spacing w:line="256" w:lineRule="auto"/>
              <w:contextualSpacing/>
              <w:rPr>
                <w:color w:val="000000" w:themeColor="text1"/>
                <w:lang w:eastAsia="en-US"/>
              </w:rPr>
            </w:pPr>
            <w:r w:rsidRPr="00784239">
              <w:rPr>
                <w:lang w:val="en-US" w:eastAsia="en-US"/>
              </w:rPr>
              <w:t xml:space="preserve">220 V; </w:t>
            </w:r>
            <w:r w:rsidRPr="00784239">
              <w:rPr>
                <w:color w:val="000000" w:themeColor="text1"/>
                <w:lang w:val="en-US" w:eastAsia="en-US"/>
              </w:rPr>
              <w:t xml:space="preserve">240 V </w:t>
            </w:r>
            <w:proofErr w:type="spellStart"/>
            <w:r w:rsidRPr="00784239">
              <w:rPr>
                <w:color w:val="000000" w:themeColor="text1"/>
                <w:lang w:val="en-US" w:eastAsia="en-US"/>
              </w:rPr>
              <w:t>vartotojo</w:t>
            </w:r>
            <w:proofErr w:type="spellEnd"/>
            <w:r w:rsidRPr="00784239">
              <w:rPr>
                <w:color w:val="000000" w:themeColor="text1"/>
                <w:lang w:val="en-US" w:eastAsia="en-US"/>
              </w:rPr>
              <w:t xml:space="preserve"> </w:t>
            </w:r>
            <w:proofErr w:type="spellStart"/>
            <w:r w:rsidRPr="00784239">
              <w:rPr>
                <w:color w:val="000000" w:themeColor="text1"/>
                <w:lang w:val="en-US" w:eastAsia="en-US"/>
              </w:rPr>
              <w:t>pasirenkama</w:t>
            </w:r>
            <w:proofErr w:type="spellEnd"/>
          </w:p>
        </w:tc>
      </w:tr>
      <w:tr w:rsidR="003F7A97" w:rsidRPr="00784239" w:rsidTr="00D82B97">
        <w:tblPrEx>
          <w:jc w:val="center"/>
          <w:tblInd w:w="0" w:type="dxa"/>
        </w:tblPrEx>
        <w:trPr>
          <w:gridBefore w:val="1"/>
          <w:gridAfter w:val="1"/>
          <w:wBefore w:w="34" w:type="dxa"/>
          <w:wAfter w:w="118" w:type="dxa"/>
          <w:jc w:val="center"/>
        </w:trPr>
        <w:tc>
          <w:tcPr>
            <w:tcW w:w="993" w:type="dxa"/>
            <w:gridSpan w:val="2"/>
          </w:tcPr>
          <w:p w:rsidR="003F7A97" w:rsidRPr="00784239" w:rsidRDefault="003F7A97" w:rsidP="003F7A97">
            <w:pPr>
              <w:numPr>
                <w:ilvl w:val="1"/>
                <w:numId w:val="23"/>
              </w:numPr>
              <w:tabs>
                <w:tab w:val="left" w:pos="360"/>
              </w:tabs>
              <w:spacing w:line="256" w:lineRule="auto"/>
              <w:rPr>
                <w:lang w:eastAsia="en-US"/>
              </w:rPr>
            </w:pPr>
          </w:p>
        </w:tc>
        <w:tc>
          <w:tcPr>
            <w:tcW w:w="3238" w:type="dxa"/>
            <w:hideMark/>
          </w:tcPr>
          <w:p w:rsidR="003F7A97" w:rsidRPr="00784239" w:rsidRDefault="003F7A97" w:rsidP="00D82B97">
            <w:pPr>
              <w:spacing w:line="256" w:lineRule="auto"/>
              <w:rPr>
                <w:lang w:eastAsia="en-US"/>
              </w:rPr>
            </w:pPr>
            <w:r w:rsidRPr="00784239">
              <w:rPr>
                <w:lang w:eastAsia="en-US"/>
              </w:rPr>
              <w:t>Išėjimo harmonikų iškraipymas</w:t>
            </w:r>
          </w:p>
        </w:tc>
        <w:tc>
          <w:tcPr>
            <w:tcW w:w="5976" w:type="dxa"/>
            <w:hideMark/>
          </w:tcPr>
          <w:p w:rsidR="003F7A97" w:rsidRPr="00784239" w:rsidRDefault="003F7A97" w:rsidP="00D82B97">
            <w:pPr>
              <w:spacing w:line="256" w:lineRule="auto"/>
              <w:rPr>
                <w:color w:val="000000" w:themeColor="text1"/>
                <w:lang w:val="en-US" w:eastAsia="en-US"/>
              </w:rPr>
            </w:pPr>
            <w:r w:rsidRPr="00784239">
              <w:rPr>
                <w:color w:val="000000" w:themeColor="text1"/>
                <w:lang w:val="en-US" w:eastAsia="en-US"/>
              </w:rPr>
              <w:t>Ma</w:t>
            </w:r>
            <w:proofErr w:type="spellStart"/>
            <w:r w:rsidRPr="00784239">
              <w:rPr>
                <w:color w:val="000000" w:themeColor="text1"/>
                <w:lang w:eastAsia="en-US"/>
              </w:rPr>
              <w:t>žiau</w:t>
            </w:r>
            <w:proofErr w:type="spellEnd"/>
            <w:r w:rsidRPr="00784239">
              <w:rPr>
                <w:color w:val="000000" w:themeColor="text1"/>
                <w:lang w:eastAsia="en-US"/>
              </w:rPr>
              <w:t xml:space="preserve"> negu </w:t>
            </w:r>
            <w:r w:rsidRPr="00784239">
              <w:rPr>
                <w:color w:val="000000" w:themeColor="text1"/>
                <w:lang w:val="en-US" w:eastAsia="en-US"/>
              </w:rPr>
              <w:t xml:space="preserve">2% THD </w:t>
            </w:r>
          </w:p>
        </w:tc>
      </w:tr>
    </w:tbl>
    <w:p w:rsidR="00A80972" w:rsidRPr="00D50103" w:rsidRDefault="00A80972" w:rsidP="002A524E">
      <w:pPr>
        <w:ind w:firstLine="710"/>
        <w:jc w:val="center"/>
        <w:rPr>
          <w:rFonts w:eastAsia="Tahoma"/>
          <w:b/>
          <w:caps/>
          <w:color w:val="000000"/>
          <w:sz w:val="22"/>
          <w:szCs w:val="22"/>
          <w:highlight w:val="yellow"/>
        </w:rPr>
      </w:pPr>
    </w:p>
    <w:p w:rsidR="0036511F" w:rsidRPr="00D50103" w:rsidRDefault="0036511F" w:rsidP="00985264">
      <w:pPr>
        <w:rPr>
          <w:rFonts w:eastAsia="Tahoma"/>
          <w:b/>
          <w:caps/>
          <w:color w:val="000000"/>
          <w:sz w:val="22"/>
          <w:szCs w:val="22"/>
          <w:highlight w:val="yellow"/>
        </w:rPr>
      </w:pPr>
    </w:p>
    <w:p w:rsidR="007D456F" w:rsidRPr="00D50103" w:rsidRDefault="007D456F">
      <w:pPr>
        <w:rPr>
          <w:highlight w:val="yellow"/>
        </w:rPr>
      </w:pPr>
      <w:r w:rsidRPr="00D50103">
        <w:rPr>
          <w:highlight w:val="yellow"/>
        </w:rPr>
        <w:br w:type="page"/>
      </w:r>
    </w:p>
    <w:p w:rsidR="00EA3C13" w:rsidRPr="00FE0868" w:rsidRDefault="00EA3C13" w:rsidP="00EA3C13">
      <w:pPr>
        <w:ind w:left="5387"/>
        <w:rPr>
          <w:sz w:val="20"/>
          <w:szCs w:val="20"/>
        </w:rPr>
      </w:pPr>
      <w:r w:rsidRPr="00FE0868">
        <w:lastRenderedPageBreak/>
        <w:t xml:space="preserve">Prekių viešojo pirkimo – pardavimo Sutarties Nr.      </w:t>
      </w:r>
    </w:p>
    <w:p w:rsidR="00EA3C13" w:rsidRPr="00FE0868" w:rsidRDefault="00EA3C13" w:rsidP="00EA3C13">
      <w:pPr>
        <w:ind w:left="4667" w:firstLine="720"/>
      </w:pPr>
      <w:r w:rsidRPr="00FE0868">
        <w:rPr>
          <w:lang w:val="en-US"/>
        </w:rPr>
        <w:t>2</w:t>
      </w:r>
      <w:r w:rsidRPr="00FE0868">
        <w:t xml:space="preserve"> priedas</w:t>
      </w:r>
    </w:p>
    <w:p w:rsidR="00EA3C13" w:rsidRPr="00D50103" w:rsidRDefault="00EA3C13" w:rsidP="00EA3C13">
      <w:pPr>
        <w:ind w:left="4667" w:firstLine="720"/>
        <w:rPr>
          <w:highlight w:val="yellow"/>
        </w:rPr>
      </w:pPr>
    </w:p>
    <w:p w:rsidR="005656FE" w:rsidRDefault="005656FE" w:rsidP="00EA3C13">
      <w:pPr>
        <w:jc w:val="center"/>
        <w:rPr>
          <w:b/>
        </w:rPr>
      </w:pPr>
    </w:p>
    <w:p w:rsidR="003B1F71" w:rsidRPr="00FE0868" w:rsidRDefault="00FE0868" w:rsidP="00EA3C13">
      <w:pPr>
        <w:jc w:val="center"/>
        <w:rPr>
          <w:b/>
        </w:rPr>
      </w:pPr>
      <w:r w:rsidRPr="00FE0868">
        <w:rPr>
          <w:b/>
        </w:rPr>
        <w:t>KAINOS</w:t>
      </w:r>
      <w:r w:rsidR="00EA3C13" w:rsidRPr="00FE0868">
        <w:rPr>
          <w:b/>
        </w:rPr>
        <w:t xml:space="preserve"> LENTELĖ</w:t>
      </w:r>
    </w:p>
    <w:p w:rsidR="00EA3C13" w:rsidRDefault="00EA3C13" w:rsidP="00EA3C13">
      <w:pPr>
        <w:jc w:val="center"/>
        <w:rPr>
          <w:b/>
          <w:highlight w:val="yellow"/>
        </w:rPr>
      </w:pPr>
    </w:p>
    <w:tbl>
      <w:tblPr>
        <w:tblW w:w="9634" w:type="dxa"/>
        <w:jc w:val="center"/>
        <w:tblLayout w:type="fixed"/>
        <w:tblLook w:val="04A0" w:firstRow="1" w:lastRow="0" w:firstColumn="1" w:lastColumn="0" w:noHBand="0" w:noVBand="1"/>
      </w:tblPr>
      <w:tblGrid>
        <w:gridCol w:w="851"/>
        <w:gridCol w:w="2470"/>
        <w:gridCol w:w="1210"/>
        <w:gridCol w:w="1701"/>
        <w:gridCol w:w="1701"/>
        <w:gridCol w:w="1701"/>
      </w:tblGrid>
      <w:tr w:rsidR="00FE0868" w:rsidRPr="00A01E6E" w:rsidTr="00D82B97">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E0868" w:rsidRPr="007267A5" w:rsidRDefault="00FE0868" w:rsidP="00D82B97">
            <w:pPr>
              <w:jc w:val="center"/>
              <w:rPr>
                <w:b/>
                <w:color w:val="D9D9D9"/>
              </w:rPr>
            </w:pPr>
            <w:r w:rsidRPr="007267A5">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rsidR="00FE0868" w:rsidRPr="007267A5" w:rsidRDefault="00FE0868" w:rsidP="00D82B97">
            <w:pPr>
              <w:jc w:val="center"/>
              <w:rPr>
                <w:b/>
              </w:rPr>
            </w:pPr>
            <w:r>
              <w:rPr>
                <w:b/>
              </w:rPr>
              <w:t>Prekės</w:t>
            </w:r>
            <w:r w:rsidRPr="007267A5">
              <w:rPr>
                <w:b/>
              </w:rPr>
              <w:t xml:space="preserve"> pavadinimas</w:t>
            </w:r>
          </w:p>
          <w:p w:rsidR="00FE0868" w:rsidRPr="007267A5" w:rsidRDefault="00FE0868" w:rsidP="00D82B97">
            <w:pPr>
              <w:jc w:val="center"/>
              <w:rPr>
                <w:b/>
              </w:rPr>
            </w:pPr>
          </w:p>
          <w:p w:rsidR="00FE0868" w:rsidRPr="007267A5" w:rsidRDefault="00FE0868" w:rsidP="00D82B97">
            <w:pPr>
              <w:jc w:val="center"/>
              <w:rPr>
                <w:b/>
                <w:u w:val="single"/>
              </w:rPr>
            </w:pPr>
          </w:p>
        </w:tc>
        <w:tc>
          <w:tcPr>
            <w:tcW w:w="1210" w:type="dxa"/>
            <w:tcBorders>
              <w:top w:val="single" w:sz="4" w:space="0" w:color="auto"/>
              <w:left w:val="nil"/>
              <w:bottom w:val="single" w:sz="4" w:space="0" w:color="auto"/>
              <w:right w:val="single" w:sz="4" w:space="0" w:color="auto"/>
            </w:tcBorders>
            <w:shd w:val="clear" w:color="auto" w:fill="D9D9D9" w:themeFill="background1" w:themeFillShade="D9"/>
          </w:tcPr>
          <w:p w:rsidR="00FE0868" w:rsidRPr="007267A5" w:rsidRDefault="00FE0868" w:rsidP="00D82B97">
            <w:pPr>
              <w:jc w:val="center"/>
              <w:rPr>
                <w:rFonts w:eastAsia="Calibri"/>
                <w:b/>
              </w:rPr>
            </w:pPr>
            <w:r w:rsidRPr="007267A5">
              <w:rPr>
                <w:rFonts w:eastAsia="Calibri"/>
                <w:b/>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jc w:val="center"/>
              <w:rPr>
                <w:rFonts w:eastAsia="Calibri"/>
                <w:b/>
                <w:bCs/>
              </w:rPr>
            </w:pPr>
            <w:r w:rsidRPr="007267A5">
              <w:rPr>
                <w:rFonts w:eastAsia="Calibri"/>
                <w:b/>
                <w:bCs/>
              </w:rPr>
              <w:t xml:space="preserve">Kaina, eurais be PVM </w:t>
            </w:r>
          </w:p>
          <w:p w:rsidR="00FE0868" w:rsidRPr="007267A5" w:rsidRDefault="00FE0868" w:rsidP="00D82B97">
            <w:pPr>
              <w:jc w:val="center"/>
              <w:rPr>
                <w:rFonts w:eastAsia="Calibri"/>
                <w:b/>
                <w:bCs/>
              </w:rPr>
            </w:pPr>
          </w:p>
          <w:p w:rsidR="00FE0868" w:rsidRPr="007267A5" w:rsidRDefault="00FE0868" w:rsidP="00D82B97">
            <w:pPr>
              <w:jc w:val="center"/>
              <w:rPr>
                <w:rFonts w:eastAsia="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jc w:val="center"/>
              <w:rPr>
                <w:rFonts w:eastAsia="Calibri"/>
                <w:b/>
                <w:bCs/>
              </w:rPr>
            </w:pPr>
            <w:r w:rsidRPr="007267A5">
              <w:rPr>
                <w:rFonts w:eastAsia="Calibri"/>
                <w:b/>
                <w:bCs/>
              </w:rPr>
              <w:t>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jc w:val="center"/>
              <w:rPr>
                <w:rFonts w:eastAsia="Calibri"/>
                <w:b/>
                <w:bCs/>
              </w:rPr>
            </w:pPr>
            <w:r w:rsidRPr="007267A5">
              <w:rPr>
                <w:b/>
                <w:bCs/>
                <w:color w:val="000000"/>
              </w:rPr>
              <w:t>Kaina, eurais su PVM</w:t>
            </w:r>
          </w:p>
        </w:tc>
      </w:tr>
      <w:tr w:rsidR="00FE0868" w:rsidRPr="00A01E6E" w:rsidTr="00D82B97">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E0868" w:rsidRPr="007267A5" w:rsidRDefault="00FE0868" w:rsidP="00D82B97">
            <w:pPr>
              <w:jc w:val="center"/>
              <w:rPr>
                <w:i/>
                <w:color w:val="000000"/>
              </w:rPr>
            </w:pPr>
            <w:r w:rsidRPr="007267A5">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rsidR="00FE0868" w:rsidRPr="007267A5" w:rsidRDefault="00FE0868" w:rsidP="00D82B97">
            <w:pPr>
              <w:jc w:val="center"/>
              <w:rPr>
                <w:i/>
                <w:color w:val="000000"/>
              </w:rPr>
            </w:pPr>
            <w:r w:rsidRPr="007267A5">
              <w:rPr>
                <w:i/>
                <w:color w:val="000000"/>
              </w:rPr>
              <w:t>2</w:t>
            </w:r>
          </w:p>
        </w:tc>
        <w:tc>
          <w:tcPr>
            <w:tcW w:w="1210" w:type="dxa"/>
            <w:tcBorders>
              <w:top w:val="single" w:sz="4" w:space="0" w:color="auto"/>
              <w:left w:val="nil"/>
              <w:bottom w:val="single" w:sz="4" w:space="0" w:color="auto"/>
              <w:right w:val="single" w:sz="4" w:space="0" w:color="auto"/>
            </w:tcBorders>
            <w:shd w:val="clear" w:color="auto" w:fill="D9D9D9" w:themeFill="background1" w:themeFillShade="D9"/>
          </w:tcPr>
          <w:p w:rsidR="00FE0868" w:rsidRPr="007267A5" w:rsidRDefault="00FE0868" w:rsidP="00D82B97">
            <w:pPr>
              <w:contextualSpacing/>
              <w:jc w:val="center"/>
              <w:rPr>
                <w:rFonts w:eastAsia="Calibri"/>
                <w:i/>
                <w:color w:val="000000"/>
              </w:rPr>
            </w:pPr>
            <w:r w:rsidRPr="007267A5">
              <w:rPr>
                <w:rFonts w:eastAsia="Calibr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contextualSpacing/>
              <w:jc w:val="center"/>
              <w:rPr>
                <w:rFonts w:eastAsia="Calibri"/>
                <w:i/>
                <w:color w:val="000000"/>
              </w:rPr>
            </w:pPr>
            <w:r w:rsidRPr="007267A5">
              <w:rPr>
                <w:rFonts w:eastAsia="Calibri"/>
                <w:i/>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contextualSpacing/>
              <w:jc w:val="center"/>
              <w:rPr>
                <w:rFonts w:eastAsia="Calibri"/>
                <w:i/>
                <w:color w:val="000000"/>
              </w:rPr>
            </w:pPr>
            <w:r w:rsidRPr="007267A5">
              <w:rPr>
                <w:rFonts w:eastAsia="Calibri"/>
                <w: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868" w:rsidRPr="007267A5" w:rsidRDefault="00FE0868" w:rsidP="00D82B97">
            <w:pPr>
              <w:contextualSpacing/>
              <w:jc w:val="center"/>
              <w:rPr>
                <w:rFonts w:eastAsia="Calibri"/>
                <w:i/>
                <w:color w:val="000000"/>
              </w:rPr>
            </w:pPr>
            <w:r w:rsidRPr="007267A5">
              <w:rPr>
                <w:rFonts w:eastAsia="Calibri"/>
                <w:i/>
                <w:color w:val="000000"/>
              </w:rPr>
              <w:t>6</w:t>
            </w:r>
          </w:p>
        </w:tc>
      </w:tr>
      <w:tr w:rsidR="00FE0868" w:rsidRPr="00A01E6E" w:rsidTr="00514575">
        <w:trPr>
          <w:trHeight w:val="300"/>
          <w:jc w:val="center"/>
        </w:trPr>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FE0868" w:rsidRPr="007267A5" w:rsidRDefault="00FE0868" w:rsidP="00D82B97">
            <w:pPr>
              <w:jc w:val="center"/>
              <w:rPr>
                <w:color w:val="000000"/>
              </w:rPr>
            </w:pPr>
            <w:r w:rsidRPr="007267A5">
              <w:rPr>
                <w:color w:val="000000"/>
              </w:rPr>
              <w:t>1.</w:t>
            </w:r>
          </w:p>
          <w:p w:rsidR="00FE0868" w:rsidRPr="007267A5" w:rsidRDefault="00FE0868" w:rsidP="00D82B97">
            <w:pPr>
              <w:jc w:val="center"/>
              <w:rPr>
                <w:color w:val="000000"/>
              </w:rPr>
            </w:pPr>
          </w:p>
        </w:tc>
        <w:tc>
          <w:tcPr>
            <w:tcW w:w="2470" w:type="dxa"/>
            <w:tcBorders>
              <w:top w:val="nil"/>
              <w:left w:val="nil"/>
              <w:bottom w:val="single" w:sz="4" w:space="0" w:color="auto"/>
              <w:right w:val="single" w:sz="4" w:space="0" w:color="auto"/>
            </w:tcBorders>
            <w:shd w:val="clear" w:color="auto" w:fill="FFFFFF" w:themeFill="background1"/>
            <w:vAlign w:val="center"/>
          </w:tcPr>
          <w:p w:rsidR="00FE0868" w:rsidRDefault="003F7A97" w:rsidP="00D82B97">
            <w:pPr>
              <w:jc w:val="center"/>
            </w:pPr>
            <w:r>
              <w:t>Nepertraukiamo maitinimo šaltinis</w:t>
            </w:r>
          </w:p>
          <w:p w:rsidR="00514575" w:rsidRDefault="00514575" w:rsidP="00D82B97">
            <w:pPr>
              <w:jc w:val="center"/>
            </w:pPr>
          </w:p>
          <w:p w:rsidR="00514575" w:rsidRDefault="00514575" w:rsidP="00514575">
            <w:pPr>
              <w:jc w:val="center"/>
            </w:pPr>
            <w:r w:rsidRPr="00514575">
              <w:rPr>
                <w:u w:val="single"/>
              </w:rPr>
              <w:t>Gamintojas:</w:t>
            </w:r>
            <w:r>
              <w:t xml:space="preserve"> </w:t>
            </w:r>
            <w:r w:rsidRPr="00514575">
              <w:t xml:space="preserve">APC </w:t>
            </w:r>
          </w:p>
          <w:p w:rsidR="00514575" w:rsidRDefault="00514575" w:rsidP="00514575">
            <w:pPr>
              <w:jc w:val="center"/>
            </w:pPr>
          </w:p>
          <w:p w:rsidR="00514575" w:rsidRPr="00514575" w:rsidRDefault="00514575" w:rsidP="00514575">
            <w:pPr>
              <w:jc w:val="center"/>
            </w:pPr>
            <w:r w:rsidRPr="00514575">
              <w:rPr>
                <w:u w:val="single"/>
              </w:rPr>
              <w:t>Produktas:</w:t>
            </w:r>
            <w:r>
              <w:t xml:space="preserve"> </w:t>
            </w:r>
            <w:r w:rsidRPr="00514575">
              <w:t xml:space="preserve">APC </w:t>
            </w:r>
            <w:proofErr w:type="spellStart"/>
            <w:r w:rsidRPr="00514575">
              <w:t>Smart</w:t>
            </w:r>
            <w:proofErr w:type="spellEnd"/>
            <w:r w:rsidRPr="00514575">
              <w:t>-UPS SRT 6000VA RM 230V</w:t>
            </w:r>
          </w:p>
        </w:tc>
        <w:tc>
          <w:tcPr>
            <w:tcW w:w="1210" w:type="dxa"/>
            <w:tcBorders>
              <w:top w:val="single" w:sz="4" w:space="0" w:color="auto"/>
              <w:left w:val="nil"/>
              <w:bottom w:val="single" w:sz="4" w:space="0" w:color="auto"/>
              <w:right w:val="single" w:sz="4" w:space="0" w:color="auto"/>
            </w:tcBorders>
            <w:shd w:val="clear" w:color="auto" w:fill="FFFFFF" w:themeFill="background1"/>
            <w:vAlign w:val="center"/>
          </w:tcPr>
          <w:p w:rsidR="00FE0868" w:rsidRPr="007267A5" w:rsidRDefault="00FE0868" w:rsidP="00265910">
            <w:pPr>
              <w:jc w:val="center"/>
              <w:rPr>
                <w:rFonts w:eastAsia="Calibri"/>
                <w:color w:val="000000"/>
              </w:rPr>
            </w:pPr>
            <w:r w:rsidRPr="00265910">
              <w:rPr>
                <w:rFonts w:eastAsia="Calibri"/>
                <w:color w:val="000000"/>
              </w:rPr>
              <w:t xml:space="preserve">1 </w:t>
            </w:r>
            <w:r w:rsidR="00265910" w:rsidRPr="00265910">
              <w:rPr>
                <w:rFonts w:eastAsia="Calibri"/>
                <w:color w:val="000000"/>
              </w:rPr>
              <w:t>vnt</w:t>
            </w:r>
            <w:r w:rsidRPr="00265910">
              <w:rPr>
                <w:rFonts w:eastAsia="Calibri"/>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E0868" w:rsidRPr="00514575" w:rsidRDefault="00514575" w:rsidP="00514575">
            <w:pPr>
              <w:contextualSpacing/>
              <w:jc w:val="center"/>
              <w:rPr>
                <w:rFonts w:eastAsia="Calibri"/>
                <w:color w:val="000000"/>
              </w:rPr>
            </w:pPr>
            <w:r w:rsidRPr="00514575">
              <w:rPr>
                <w:rFonts w:eastAsia="Calibri"/>
                <w:color w:val="000000"/>
              </w:rPr>
              <w:t>4 220,00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E0868" w:rsidRPr="00514575" w:rsidRDefault="00514575" w:rsidP="00514575">
            <w:pPr>
              <w:contextualSpacing/>
              <w:jc w:val="center"/>
              <w:rPr>
                <w:rFonts w:eastAsia="Calibri"/>
                <w:color w:val="000000"/>
              </w:rPr>
            </w:pPr>
            <w:r w:rsidRPr="00514575">
              <w:rPr>
                <w:rFonts w:eastAsia="Calibri"/>
                <w:color w:val="000000"/>
              </w:rPr>
              <w:t>886,20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E0868" w:rsidRPr="00514575" w:rsidRDefault="00514575" w:rsidP="00514575">
            <w:pPr>
              <w:contextualSpacing/>
              <w:jc w:val="center"/>
              <w:rPr>
                <w:rFonts w:eastAsia="Calibri"/>
                <w:color w:val="000000"/>
              </w:rPr>
            </w:pPr>
            <w:r w:rsidRPr="00514575">
              <w:rPr>
                <w:rFonts w:eastAsia="Calibri"/>
                <w:color w:val="000000"/>
              </w:rPr>
              <w:t>5 106,20</w:t>
            </w:r>
          </w:p>
        </w:tc>
      </w:tr>
    </w:tbl>
    <w:p w:rsidR="00EA3C13" w:rsidRPr="00EA3C13" w:rsidRDefault="00EA3C13" w:rsidP="00FE0868">
      <w:pPr>
        <w:rPr>
          <w:b/>
        </w:rPr>
      </w:pPr>
    </w:p>
    <w:sectPr w:rsidR="00EA3C13" w:rsidRPr="00EA3C13"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67" w:rsidRDefault="005B7F67">
      <w:r>
        <w:separator/>
      </w:r>
    </w:p>
  </w:endnote>
  <w:endnote w:type="continuationSeparator" w:id="0">
    <w:p w:rsidR="005B7F67" w:rsidRDefault="005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67" w:rsidRDefault="005B7F67">
      <w:r>
        <w:separator/>
      </w:r>
    </w:p>
  </w:footnote>
  <w:footnote w:type="continuationSeparator" w:id="0">
    <w:p w:rsidR="005B7F67" w:rsidRDefault="005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B97" w:rsidRDefault="00D82B9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2B97" w:rsidRDefault="00D82B97">
    <w:pPr>
      <w:pStyle w:val="Header"/>
    </w:pPr>
  </w:p>
  <w:p w:rsidR="00D82B97" w:rsidRDefault="00D82B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B97" w:rsidRDefault="00D82B97" w:rsidP="00EB04AE">
    <w:pPr>
      <w:pStyle w:val="Header"/>
      <w:framePr w:wrap="around" w:vAnchor="text" w:hAnchor="margin" w:xAlign="center" w:y="1"/>
      <w:rPr>
        <w:rStyle w:val="PageNumber"/>
      </w:rPr>
    </w:pPr>
  </w:p>
  <w:p w:rsidR="00D82B97" w:rsidRDefault="00D82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24E49"/>
    <w:multiLevelType w:val="hybridMultilevel"/>
    <w:tmpl w:val="5718BB04"/>
    <w:lvl w:ilvl="0" w:tplc="FE6AE74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AC2E35"/>
    <w:multiLevelType w:val="multilevel"/>
    <w:tmpl w:val="E7D6978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E207A1B"/>
    <w:multiLevelType w:val="hybridMultilevel"/>
    <w:tmpl w:val="5400E6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8733D7"/>
    <w:multiLevelType w:val="multilevel"/>
    <w:tmpl w:val="18E43E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62697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6" w15:restartNumberingAfterBreak="0">
    <w:nsid w:val="3FDF1152"/>
    <w:multiLevelType w:val="hybridMultilevel"/>
    <w:tmpl w:val="32A430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49EC2EEE"/>
    <w:multiLevelType w:val="hybridMultilevel"/>
    <w:tmpl w:val="60A8A1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2F4CB2"/>
    <w:multiLevelType w:val="hybridMultilevel"/>
    <w:tmpl w:val="79123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4"/>
  </w:num>
  <w:num w:numId="4">
    <w:abstractNumId w:val="20"/>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15"/>
  </w:num>
  <w:num w:numId="9">
    <w:abstractNumId w:val="6"/>
  </w:num>
  <w:num w:numId="10">
    <w:abstractNumId w:val="2"/>
  </w:num>
  <w:num w:numId="11">
    <w:abstractNumId w:val="23"/>
  </w:num>
  <w:num w:numId="12">
    <w:abstractNumId w:val="19"/>
  </w:num>
  <w:num w:numId="13">
    <w:abstractNumId w:val="9"/>
  </w:num>
  <w:num w:numId="14">
    <w:abstractNumId w:val="21"/>
  </w:num>
  <w:num w:numId="15">
    <w:abstractNumId w:val="8"/>
  </w:num>
  <w:num w:numId="16">
    <w:abstractNumId w:val="26"/>
  </w:num>
  <w:num w:numId="17">
    <w:abstractNumId w:val="4"/>
  </w:num>
  <w:num w:numId="18">
    <w:abstractNumId w:val="14"/>
  </w:num>
  <w:num w:numId="19">
    <w:abstractNumId w:val="18"/>
  </w:num>
  <w:num w:numId="20">
    <w:abstractNumId w:val="13"/>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
  </w:num>
  <w:num w:numId="25">
    <w:abstractNumId w:val="7"/>
  </w:num>
  <w:num w:numId="26">
    <w:abstractNumId w:val="2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2229"/>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772"/>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4A58"/>
    <w:rsid w:val="00106AB9"/>
    <w:rsid w:val="00107939"/>
    <w:rsid w:val="00107FA3"/>
    <w:rsid w:val="001112AB"/>
    <w:rsid w:val="00113A94"/>
    <w:rsid w:val="00115837"/>
    <w:rsid w:val="001166A2"/>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1108"/>
    <w:rsid w:val="001C5CAD"/>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5910"/>
    <w:rsid w:val="00267D03"/>
    <w:rsid w:val="00270791"/>
    <w:rsid w:val="00270AE3"/>
    <w:rsid w:val="00273403"/>
    <w:rsid w:val="00274F0A"/>
    <w:rsid w:val="00275408"/>
    <w:rsid w:val="00275922"/>
    <w:rsid w:val="002765AE"/>
    <w:rsid w:val="00276CBD"/>
    <w:rsid w:val="0027708C"/>
    <w:rsid w:val="002808B1"/>
    <w:rsid w:val="00280A96"/>
    <w:rsid w:val="00284C03"/>
    <w:rsid w:val="002857F9"/>
    <w:rsid w:val="002862BA"/>
    <w:rsid w:val="0028654C"/>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A97"/>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12E7"/>
    <w:rsid w:val="004C4E73"/>
    <w:rsid w:val="004C511C"/>
    <w:rsid w:val="004C6623"/>
    <w:rsid w:val="004D0529"/>
    <w:rsid w:val="004D07FE"/>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4575"/>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56FE"/>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5F7"/>
    <w:rsid w:val="005B6897"/>
    <w:rsid w:val="005B6F93"/>
    <w:rsid w:val="005B742C"/>
    <w:rsid w:val="005B7473"/>
    <w:rsid w:val="005B7F67"/>
    <w:rsid w:val="005C1112"/>
    <w:rsid w:val="005C316B"/>
    <w:rsid w:val="005C34F4"/>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2BDD"/>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2B5C"/>
    <w:rsid w:val="007B3672"/>
    <w:rsid w:val="007B5225"/>
    <w:rsid w:val="007B5864"/>
    <w:rsid w:val="007B607C"/>
    <w:rsid w:val="007B6AA0"/>
    <w:rsid w:val="007B6B19"/>
    <w:rsid w:val="007C174D"/>
    <w:rsid w:val="007C3926"/>
    <w:rsid w:val="007C497A"/>
    <w:rsid w:val="007C7744"/>
    <w:rsid w:val="007D1042"/>
    <w:rsid w:val="007D2759"/>
    <w:rsid w:val="007D2FDE"/>
    <w:rsid w:val="007D456F"/>
    <w:rsid w:val="007D5077"/>
    <w:rsid w:val="007D5154"/>
    <w:rsid w:val="007D57DC"/>
    <w:rsid w:val="007E1537"/>
    <w:rsid w:val="007E3835"/>
    <w:rsid w:val="007E3D31"/>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83374"/>
    <w:rsid w:val="0089280A"/>
    <w:rsid w:val="00892904"/>
    <w:rsid w:val="00895051"/>
    <w:rsid w:val="00895C2B"/>
    <w:rsid w:val="00896F39"/>
    <w:rsid w:val="008A029F"/>
    <w:rsid w:val="008A1B1E"/>
    <w:rsid w:val="008A24D9"/>
    <w:rsid w:val="008A28BF"/>
    <w:rsid w:val="008A2A2F"/>
    <w:rsid w:val="008A36E6"/>
    <w:rsid w:val="008A3B5D"/>
    <w:rsid w:val="008A5BB7"/>
    <w:rsid w:val="008B09CE"/>
    <w:rsid w:val="008B23AB"/>
    <w:rsid w:val="008B3237"/>
    <w:rsid w:val="008B46E8"/>
    <w:rsid w:val="008B5732"/>
    <w:rsid w:val="008C1E8D"/>
    <w:rsid w:val="008C68A7"/>
    <w:rsid w:val="008D27A9"/>
    <w:rsid w:val="008D6949"/>
    <w:rsid w:val="008E2070"/>
    <w:rsid w:val="008E64FC"/>
    <w:rsid w:val="008E7C0A"/>
    <w:rsid w:val="008F0586"/>
    <w:rsid w:val="008F29B4"/>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523E7"/>
    <w:rsid w:val="009525A3"/>
    <w:rsid w:val="00952AEB"/>
    <w:rsid w:val="00954320"/>
    <w:rsid w:val="00956358"/>
    <w:rsid w:val="009566DA"/>
    <w:rsid w:val="00956F4A"/>
    <w:rsid w:val="009577AC"/>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06866"/>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0972"/>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21B6"/>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28AF"/>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95C7B"/>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0103"/>
    <w:rsid w:val="00D53F2F"/>
    <w:rsid w:val="00D63C36"/>
    <w:rsid w:val="00D63E5C"/>
    <w:rsid w:val="00D657D5"/>
    <w:rsid w:val="00D67681"/>
    <w:rsid w:val="00D70CB6"/>
    <w:rsid w:val="00D73574"/>
    <w:rsid w:val="00D742A5"/>
    <w:rsid w:val="00D7482F"/>
    <w:rsid w:val="00D8002B"/>
    <w:rsid w:val="00D804D5"/>
    <w:rsid w:val="00D80F1F"/>
    <w:rsid w:val="00D82B97"/>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474E"/>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378"/>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5846"/>
    <w:rsid w:val="00FC33B4"/>
    <w:rsid w:val="00FC364A"/>
    <w:rsid w:val="00FC485B"/>
    <w:rsid w:val="00FD157B"/>
    <w:rsid w:val="00FD1A29"/>
    <w:rsid w:val="00FE0868"/>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65E571"/>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table" w:customStyle="1" w:styleId="TableGrid1">
    <w:name w:val="Table Grid1"/>
    <w:basedOn w:val="TableNormal"/>
    <w:next w:val="TableGrid"/>
    <w:uiPriority w:val="99"/>
    <w:rsid w:val="007B2B5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vydas.velicka@bluebrid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luebridge.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9D96-0683-4DD1-8DC8-7E961DB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7519</Words>
  <Characters>53185</Characters>
  <Application>Microsoft Office Word</Application>
  <DocSecurity>0</DocSecurity>
  <Lines>443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Pavel Gurskij</cp:lastModifiedBy>
  <cp:revision>10</cp:revision>
  <cp:lastPrinted>2013-04-29T10:59:00Z</cp:lastPrinted>
  <dcterms:created xsi:type="dcterms:W3CDTF">2021-09-28T10:39:00Z</dcterms:created>
  <dcterms:modified xsi:type="dcterms:W3CDTF">2021-10-14T10:51:00Z</dcterms:modified>
</cp:coreProperties>
</file>