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hanging="0"/>
        <w:jc w:val="center"/>
        <w:rPr>
          <w:sz w:val="24"/>
          <w:szCs w:val="24"/>
        </w:rPr>
      </w:pPr>
      <w:r>
        <w:rPr>
          <w:rFonts w:cs="Times New Roman" w:ascii="Times New Roman" w:hAnsi="Times New Roman"/>
          <w:b/>
          <w:sz w:val="24"/>
          <w:szCs w:val="24"/>
          <w:lang w:val="lt-LT"/>
        </w:rPr>
        <w:t>BIOLOGINIŲ ĮKALČIŲ RINKIMO PRIEMONIŲ RINKINIO</w:t>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 xml:space="preserve">  </w:t>
      </w:r>
      <w:r>
        <w:rPr>
          <w:rFonts w:cs="Times New Roman" w:ascii="Times New Roman" w:hAnsi="Times New Roman"/>
          <w:b/>
          <w:sz w:val="24"/>
          <w:szCs w:val="24"/>
          <w:lang w:val="lt-LT"/>
        </w:rPr>
        <w:t>PIRKIMO-PARDAVIMO</w:t>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SUTARTIS</w:t>
      </w:r>
    </w:p>
    <w:p>
      <w:pPr>
        <w:pStyle w:val="Normal"/>
        <w:spacing w:lineRule="auto" w:line="240" w:before="0" w:after="0"/>
        <w:ind w:firstLine="567"/>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sz w:val="24"/>
          <w:szCs w:val="24"/>
        </w:rPr>
      </w:pPr>
      <w:r>
        <w:rPr>
          <w:rFonts w:ascii="Times New Roman" w:hAnsi="Times New Roman"/>
          <w:sz w:val="24"/>
          <w:szCs w:val="24"/>
          <w:lang w:val="lt-LT"/>
        </w:rPr>
        <w:t xml:space="preserve">2021 m. lapkričio  </w:t>
      </w:r>
      <w:r>
        <w:rPr>
          <w:rFonts w:ascii="Times New Roman" w:hAnsi="Times New Roman"/>
          <w:sz w:val="24"/>
          <w:szCs w:val="24"/>
          <w:lang w:val="lt-LT"/>
        </w:rPr>
        <w:t xml:space="preserve">10 </w:t>
      </w:r>
      <w:r>
        <w:rPr>
          <w:rFonts w:ascii="Times New Roman" w:hAnsi="Times New Roman"/>
          <w:sz w:val="24"/>
          <w:szCs w:val="24"/>
          <w:lang w:val="lt-LT"/>
        </w:rPr>
        <w:t xml:space="preserve">d. Nr. </w:t>
      </w:r>
      <w:r>
        <w:rPr>
          <w:rFonts w:ascii="Times New Roman" w:hAnsi="Times New Roman"/>
          <w:sz w:val="24"/>
          <w:szCs w:val="24"/>
          <w:lang w:val="lt-LT"/>
        </w:rPr>
        <w:t>64-ST2-53</w:t>
      </w:r>
    </w:p>
    <w:p>
      <w:pPr>
        <w:pStyle w:val="Normal"/>
        <w:spacing w:lineRule="auto" w:line="240" w:before="0" w:after="0"/>
        <w:ind w:firstLine="567"/>
        <w:jc w:val="center"/>
        <w:rPr>
          <w:sz w:val="24"/>
          <w:szCs w:val="24"/>
        </w:rPr>
      </w:pPr>
      <w:r>
        <w:rPr>
          <w:rFonts w:ascii="Times New Roman" w:hAnsi="Times New Roman"/>
          <w:sz w:val="24"/>
          <w:szCs w:val="24"/>
          <w:lang w:val="lt-LT"/>
        </w:rPr>
        <w:t>Marijampolė</w:t>
      </w:r>
    </w:p>
    <w:p>
      <w:pPr>
        <w:pStyle w:val="Normal"/>
        <w:spacing w:lineRule="auto" w:line="240" w:before="0" w:after="0"/>
        <w:ind w:firstLine="567"/>
        <w:jc w:val="center"/>
        <w:rPr>
          <w:rFonts w:ascii="Times New Roman" w:hAnsi="Times New Roman" w:cs="Times New Roman"/>
          <w:i/>
          <w:i/>
          <w:sz w:val="24"/>
          <w:szCs w:val="24"/>
          <w:lang w:val="lt-LT"/>
        </w:rPr>
      </w:pPr>
      <w:r>
        <w:rPr>
          <w:rFonts w:cs="Times New Roman" w:ascii="Times New Roman" w:hAnsi="Times New Roman"/>
          <w:i/>
          <w:sz w:val="24"/>
          <w:szCs w:val="24"/>
          <w:lang w:val="lt-LT"/>
        </w:rPr>
      </w:r>
    </w:p>
    <w:p>
      <w:pPr>
        <w:pStyle w:val="Normal"/>
        <w:spacing w:lineRule="auto" w:line="240" w:before="0" w:after="0"/>
        <w:ind w:firstLine="567"/>
        <w:jc w:val="both"/>
        <w:rPr/>
      </w:pPr>
      <w:r>
        <w:rPr>
          <w:rStyle w:val="Numatytasispastraiposriftas"/>
          <w:rFonts w:cs="Times New Roman" w:ascii="Times New Roman" w:hAnsi="Times New Roman"/>
          <w:b/>
          <w:sz w:val="24"/>
          <w:szCs w:val="24"/>
          <w:lang w:val="lt-LT"/>
        </w:rPr>
        <w:t xml:space="preserve">Marijampolės apskrities vyriausiasis policijos komisariatas </w:t>
      </w:r>
      <w:r>
        <w:rPr>
          <w:rStyle w:val="Numatytasispastraiposriftas"/>
          <w:rFonts w:cs="Times New Roman" w:ascii="Times New Roman" w:hAnsi="Times New Roman"/>
          <w:sz w:val="24"/>
          <w:szCs w:val="24"/>
          <w:lang w:val="lt-LT"/>
        </w:rPr>
        <w:t xml:space="preserve">(toliau -Marijampolės apskr. VPK, arba Pirkėjas), atstovaujamas viršininko Harimanto Poškevičiaus, veikiančio pagal </w:t>
      </w:r>
      <w:r>
        <w:rPr>
          <w:rStyle w:val="Numatytasispastraiposriftas"/>
          <w:rFonts w:cs="Times New Roman" w:ascii="Times New Roman" w:hAnsi="Times New Roman"/>
          <w:color w:val="000000"/>
          <w:sz w:val="24"/>
          <w:szCs w:val="24"/>
          <w:shd w:fill="FFFFFF" w:val="clear"/>
          <w:lang w:val="lt-LT"/>
        </w:rPr>
        <w:t>Marijampolės apskrities vyriausiojo policijos komisariato nuostatus, patvirtintus Lietuvos policijos generalinio komisaro 2008 m. gegužės 29 d. įsakymu Nr. 5-V-300 (su vėlesniais pakeitimais)</w:t>
      </w:r>
      <w:r>
        <w:rPr>
          <w:rFonts w:cs="Times New Roman" w:ascii="Times New Roman" w:hAnsi="Times New Roman"/>
          <w:sz w:val="24"/>
          <w:szCs w:val="24"/>
          <w:lang w:val="lt-LT"/>
        </w:rPr>
        <w:t xml:space="preserve">,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ir</w:t>
      </w:r>
    </w:p>
    <w:p>
      <w:pPr>
        <w:pStyle w:val="Normal"/>
        <w:spacing w:lineRule="auto" w:line="240" w:before="0" w:after="0"/>
        <w:ind w:firstLine="567"/>
        <w:jc w:val="both"/>
        <w:rPr/>
      </w:pPr>
      <w:r>
        <w:rPr>
          <w:rFonts w:cs="Times New Roman" w:ascii="Times New Roman" w:hAnsi="Times New Roman"/>
          <w:b/>
          <w:bCs/>
          <w:sz w:val="24"/>
          <w:szCs w:val="24"/>
          <w:lang w:val="lt-LT"/>
        </w:rPr>
        <w:t>L. Lukoševičienės IĮ</w:t>
      </w:r>
      <w:r>
        <w:rPr>
          <w:rFonts w:cs="Times New Roman" w:ascii="Times New Roman" w:hAnsi="Times New Roman"/>
          <w:sz w:val="24"/>
          <w:szCs w:val="24"/>
          <w:lang w:val="lt-LT"/>
        </w:rPr>
        <w:t xml:space="preserve"> (toliau – Tiekėjas), atstovaujama </w:t>
      </w:r>
      <w:r>
        <w:rPr>
          <w:rFonts w:eastAsia="Times New Roman" w:cs="Times New Roman" w:ascii="Times New Roman" w:hAnsi="Times New Roman"/>
          <w:b w:val="false"/>
          <w:bCs w:val="false"/>
          <w:i w:val="false"/>
          <w:iCs w:val="false"/>
          <w:color w:val="000000"/>
          <w:sz w:val="24"/>
          <w:szCs w:val="24"/>
          <w:shd w:fill="auto" w:val="clear"/>
          <w:lang w:val="lt-LT"/>
        </w:rPr>
        <w:t>vadybininko Romučio Lukoševičiaus, veikiančio pagal 2021 m. sausio 2 d.  įgaliojimą Nr. 1</w:t>
      </w:r>
      <w:r>
        <w:rPr>
          <w:rStyle w:val="Numatytasispastraiposriftas"/>
          <w:rFonts w:eastAsia="Times New Roman" w:cs="Times New Roman" w:ascii="Times New Roman" w:hAnsi="Times New Roman"/>
          <w:b w:val="false"/>
          <w:bCs w:val="false"/>
          <w:i w:val="false"/>
          <w:iCs w:val="false"/>
          <w:color w:val="000000"/>
          <w:sz w:val="24"/>
          <w:szCs w:val="24"/>
          <w:shd w:fill="auto" w:val="clear"/>
          <w:lang w:val="lt-LT"/>
        </w:rPr>
        <w:t xml:space="preserve">, </w:t>
      </w:r>
      <w:r>
        <w:rPr>
          <w:rFonts w:cs="Times New Roman" w:ascii="Times New Roman" w:hAnsi="Times New Roman"/>
          <w:sz w:val="24"/>
          <w:szCs w:val="24"/>
          <w:lang w:val="lt-LT"/>
        </w:rPr>
        <w:t xml:space="preserve">toliau kartu vadinami Šalimis, o kiekvienas atskirai – Šalimi, vadovaudamiesi neskelbiamos apklausos  būdu atlikto viešojo ,,Biologinių įkalčių rinkimo priemonių rinkinio pirkimas“ </w:t>
      </w:r>
      <w:r>
        <w:rPr>
          <w:rFonts w:cs="Times New Roman" w:ascii="Times New Roman" w:hAnsi="Times New Roman"/>
          <w:sz w:val="24"/>
          <w:szCs w:val="24"/>
          <w:shd w:fill="auto" w:val="clear"/>
          <w:lang w:val="lt-LT"/>
        </w:rPr>
        <w:t>sąlygomis, sudarė šią biologinių įkalčių rinkimo priemonių rinkinio pirkimo–pardavimo sutartį (toliau – Sutartis):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I. SUTARTIES DALYKAS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1.1. Sutarties dalykas yra biologinių įkalčių rinkimo priemonių rinkinio pirkimas, įskaitant jo pristatymą, (toliau – Prekės arba Prekių tiekimas). Reikalavimai Prekėms yra apibrėžti  Sutarties 1 priede.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1.2. Perkamų Prekių sąrašas ir jų kiekiai yra nurodyti Sutarties 2.3 papunktyje.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1.3. Prekių BVPŽ kodas – 33954000-2 (Biologini</w:t>
      </w:r>
      <w:r>
        <w:rPr>
          <w:rFonts w:ascii="Times New Roman" w:hAnsi="Times New Roman"/>
          <w:sz w:val="24"/>
          <w:szCs w:val="24"/>
          <w:lang w:val="lt-LT"/>
        </w:rPr>
        <w:t>ų įkalčių rinkimo priemonių rinkiniai)</w:t>
      </w:r>
      <w:r>
        <w:rPr>
          <w:rFonts w:cs="Times New Roman" w:ascii="Times New Roman" w:hAnsi="Times New Roman"/>
          <w:sz w:val="24"/>
          <w:szCs w:val="24"/>
          <w:lang w:val="lt-LT"/>
        </w:rPr>
        <w:t>.</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1.4. Prekių pristatymo vieta – J. Basanavičiaus a. 2, Marijampolė.</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1.5. Tiekėjo sutartinių įsipareigojimų (prekių pristatymo ir susijusių paslaugų) vykdymo trukmė iki 2021 m. gruodžio 15 d.</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1.6. Atsiradus nenumatytų, nuo Šalių valios nepriklausančių aplinkybių (pavyzdžiui, prekės tapo nebegaminamos, nėra galimybės rinkoje įsigyti konkrečios prekės arba gamintojas atsisako tiekti prekes ir Tiekėjas, būdamas apdairus ir rūpestingas, iki Sutarties sudarymo to negalėjo sužinoti, Prekės tapo neatitinkančios Sutartyje nustatytų Prekėms keliamų reikalavimų dėl ne nuo Tiekėjo priklausančių aplinkybių, dėl kurių Tiekėjas negali pristatyti Sutarties 2.2 papunktyje ir (ar) Tiekėjo pasiūlyme nurodytų Prekių ir pateikia tai pagrindžiančius dokumentus, Pirkėjui raštu išreiškus sutikimą, nekeičiant Sutarties 2.2 papunktyje ir (ar) Tiekėjo pasiūlyme nurodytos Prekės kainos, Tiekėjas gali pristatyti kitą, Sutarties 1 priede įtvirtintus reikalavimus atitinkančią Prekę</w:t>
      </w:r>
    </w:p>
    <w:p>
      <w:pPr>
        <w:pStyle w:val="Body2"/>
        <w:spacing w:before="0" w:after="0"/>
        <w:ind w:left="786" w:hanging="0"/>
        <w:rPr>
          <w:rFonts w:ascii="Times New Roman" w:hAnsi="Times New Roman" w:eastAsia="Arial Unicode MS" w:cs="Calibri" w:cstheme="minorHAnsi"/>
          <w:color w:val="00000A"/>
          <w:sz w:val="24"/>
          <w:szCs w:val="24"/>
          <w:lang w:val="lt-LT"/>
        </w:rPr>
      </w:pPr>
      <w:r>
        <w:rPr>
          <w:rFonts w:eastAsia="Arial Unicode MS" w:cs="Calibri" w:cstheme="minorHAnsi"/>
          <w:color w:val="00000A"/>
          <w:sz w:val="24"/>
          <w:szCs w:val="24"/>
          <w:lang w:val="lt-LT"/>
        </w:rPr>
      </w:r>
    </w:p>
    <w:p>
      <w:pPr>
        <w:pStyle w:val="Body2"/>
        <w:spacing w:before="0" w:after="0"/>
        <w:ind w:left="786" w:hanging="0"/>
        <w:rPr>
          <w:rFonts w:ascii="Times New Roman" w:hAnsi="Times New Roman" w:eastAsia="Arial Unicode MS" w:cs="Calibri" w:cstheme="minorHAnsi"/>
          <w:color w:val="00000A"/>
          <w:sz w:val="24"/>
          <w:szCs w:val="24"/>
          <w:lang w:val="lt-LT"/>
        </w:rPr>
      </w:pPr>
      <w:r>
        <w:rPr>
          <w:rFonts w:eastAsia="Arial Unicode MS" w:cs="Calibri" w:cstheme="minorHAnsi"/>
          <w:color w:val="00000A"/>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 xml:space="preserve">II. SUTARTIES KAINODAROS TAISYKLĖS IR MOKĖJIMO SĄLYGOS </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2.1.Ši Sutartis yra fiksuotos kainos  sutartis.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2.2.</w:t>
        <w:tab/>
        <w:t xml:space="preserve">Sutarties kaina – </w:t>
      </w:r>
      <w:r>
        <w:rPr>
          <w:rFonts w:cs="Times New Roman" w:ascii="Times New Roman" w:hAnsi="Times New Roman"/>
          <w:b w:val="false"/>
          <w:bCs w:val="false"/>
          <w:i w:val="false"/>
          <w:iCs w:val="false"/>
          <w:color w:val="000000"/>
          <w:sz w:val="24"/>
          <w:szCs w:val="24"/>
          <w:lang w:val="lt-LT"/>
        </w:rPr>
        <w:t>5631,99</w:t>
      </w:r>
      <w:r>
        <w:rPr>
          <w:rFonts w:cs="Times New Roman" w:ascii="Times New Roman" w:hAnsi="Times New Roman"/>
          <w:sz w:val="24"/>
          <w:szCs w:val="24"/>
          <w:lang w:val="lt-LT"/>
        </w:rPr>
        <w:t xml:space="preserve"> Eur su PVM.</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2.3.</w:t>
        <w:tab/>
        <w:t>Sutarties kainą sudaro:</w:t>
      </w:r>
    </w:p>
    <w:tbl>
      <w:tblPr>
        <w:tblW w:w="9395" w:type="dxa"/>
        <w:jc w:val="left"/>
        <w:tblInd w:w="-1" w:type="dxa"/>
        <w:tblLayout w:type="fixed"/>
        <w:tblCellMar>
          <w:top w:w="0" w:type="dxa"/>
          <w:left w:w="5" w:type="dxa"/>
          <w:bottom w:w="0" w:type="dxa"/>
          <w:right w:w="93" w:type="dxa"/>
        </w:tblCellMar>
        <w:tblLook w:firstRow="0" w:noVBand="0" w:lastRow="0" w:firstColumn="0" w:lastColumn="0" w:noHBand="0" w:val="0000"/>
      </w:tblPr>
      <w:tblGrid>
        <w:gridCol w:w="678"/>
        <w:gridCol w:w="2395"/>
        <w:gridCol w:w="2936"/>
        <w:gridCol w:w="1018"/>
        <w:gridCol w:w="1079"/>
        <w:gridCol w:w="1288"/>
      </w:tblGrid>
      <w:tr>
        <w:trPr/>
        <w:tc>
          <w:tcPr>
            <w:tcW w:w="67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Eil. Nr.</w:t>
            </w:r>
          </w:p>
        </w:tc>
        <w:tc>
          <w:tcPr>
            <w:tcW w:w="2395" w:type="dxa"/>
            <w:tcBorders>
              <w:top w:val="single" w:sz="4" w:space="0" w:color="00000A"/>
              <w:left w:val="single" w:sz="4" w:space="0" w:color="00000A"/>
              <w:bottom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Prekių pavadinimas</w:t>
            </w:r>
          </w:p>
        </w:tc>
        <w:tc>
          <w:tcPr>
            <w:tcW w:w="293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Prekių  aprašymas</w:t>
            </w:r>
          </w:p>
        </w:tc>
        <w:tc>
          <w:tcPr>
            <w:tcW w:w="101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Prekių kiekis</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vnt.</w:t>
            </w:r>
          </w:p>
        </w:tc>
        <w:tc>
          <w:tcPr>
            <w:tcW w:w="107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Vieneto kaina Eur</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(be PVM)</w:t>
            </w:r>
          </w:p>
        </w:tc>
        <w:tc>
          <w:tcPr>
            <w:tcW w:w="12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Bendra kaina</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(be PVM)</w:t>
            </w:r>
          </w:p>
        </w:tc>
      </w:tr>
      <w:tr>
        <w:trPr/>
        <w:tc>
          <w:tcPr>
            <w:tcW w:w="67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1</w:t>
            </w:r>
          </w:p>
        </w:tc>
        <w:tc>
          <w:tcPr>
            <w:tcW w:w="2395" w:type="dxa"/>
            <w:tcBorders>
              <w:top w:val="single" w:sz="4" w:space="0" w:color="00000A"/>
              <w:left w:val="single" w:sz="4" w:space="0" w:color="00000A"/>
              <w:bottom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2</w:t>
            </w:r>
          </w:p>
        </w:tc>
        <w:tc>
          <w:tcPr>
            <w:tcW w:w="293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3</w:t>
            </w:r>
          </w:p>
        </w:tc>
        <w:tc>
          <w:tcPr>
            <w:tcW w:w="101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4</w:t>
            </w:r>
          </w:p>
        </w:tc>
        <w:tc>
          <w:tcPr>
            <w:tcW w:w="107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5</w:t>
            </w:r>
          </w:p>
        </w:tc>
        <w:tc>
          <w:tcPr>
            <w:tcW w:w="12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6</w:t>
            </w:r>
          </w:p>
        </w:tc>
      </w:tr>
      <w:tr>
        <w:trPr/>
        <w:tc>
          <w:tcPr>
            <w:tcW w:w="67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1.</w:t>
            </w:r>
          </w:p>
        </w:tc>
        <w:tc>
          <w:tcPr>
            <w:tcW w:w="2395" w:type="dxa"/>
            <w:tcBorders>
              <w:top w:val="single" w:sz="4" w:space="0" w:color="00000A"/>
              <w:left w:val="single" w:sz="4" w:space="0" w:color="00000A"/>
              <w:bottom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Pincetas</w:t>
            </w:r>
          </w:p>
        </w:tc>
        <w:tc>
          <w:tcPr>
            <w:tcW w:w="293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left"/>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Vienkartinis sterilus plastikinis pincetas, 10-15 cm ilgio. Įpakuotas į sterilią popierinę ar plastikinę pakuotę. Pinceto ir pakuotės sterilumą būtina įrodyti gamintojo sertifikatu, jei tai nėra pažymėta ant gaminio.</w:t>
            </w:r>
          </w:p>
        </w:tc>
        <w:tc>
          <w:tcPr>
            <w:tcW w:w="101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150</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7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0,18</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2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27</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r>
      <w:tr>
        <w:trPr/>
        <w:tc>
          <w:tcPr>
            <w:tcW w:w="67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2.</w:t>
            </w:r>
          </w:p>
        </w:tc>
        <w:tc>
          <w:tcPr>
            <w:tcW w:w="2395" w:type="dxa"/>
            <w:tcBorders>
              <w:top w:val="single" w:sz="4" w:space="0" w:color="00000A"/>
              <w:left w:val="single" w:sz="4" w:space="0" w:color="00000A"/>
              <w:bottom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Skalpelis</w:t>
            </w:r>
          </w:p>
        </w:tc>
        <w:tc>
          <w:tcPr>
            <w:tcW w:w="293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Vienkartinis sterilus skalpelis. Bendras geležtės ir rankenos ilgis 10-20 cm. Įpakuotas į sterilią popierinę ar plastikinę pakuotę. Skalpelio ir pakuotės sterilumą būtina įrodyti gamintojo sertifikatu, jei tai nėra pažymėta ant gaminio.</w:t>
            </w:r>
          </w:p>
        </w:tc>
        <w:tc>
          <w:tcPr>
            <w:tcW w:w="101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100</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7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0,38</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2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38</w:t>
            </w:r>
          </w:p>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r>
      <w:tr>
        <w:trPr/>
        <w:tc>
          <w:tcPr>
            <w:tcW w:w="678" w:type="dxa"/>
            <w:tcBorders>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3.</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Sterilus 0,9 % natrio chlorido tirpalas</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both"/>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Pateikta plastikinėse ampulėse. Tirpalo kiekis ampulėje 1-5 ml. Natrio chlorido tirpalo sterilumą būtina įrodyti gamintojo sertifikatu, jei tai nėra pažymėta ant gaminio.</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464</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0,29</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134,56</w:t>
            </w:r>
          </w:p>
        </w:tc>
      </w:tr>
      <w:tr>
        <w:trPr/>
        <w:tc>
          <w:tcPr>
            <w:tcW w:w="678" w:type="dxa"/>
            <w:tcBorders>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4.</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sz w:val="24"/>
                <w:szCs w:val="24"/>
              </w:rPr>
            </w:pPr>
            <w:r>
              <w:rPr>
                <w:rFonts w:ascii="Times New Roman" w:hAnsi="Times New Roman"/>
                <w:b w:val="false"/>
                <w:bCs w:val="false"/>
                <w:i w:val="false"/>
                <w:iCs w:val="false"/>
                <w:color w:val="000000"/>
                <w:sz w:val="24"/>
                <w:szCs w:val="24"/>
                <w:lang w:val="lt-LT"/>
              </w:rPr>
              <w:t>Gipsas</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jc w:val="both"/>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masė - 1000 g (+/- 15 g);</w:t>
            </w:r>
          </w:p>
          <w:p>
            <w:pPr>
              <w:pStyle w:val="Normal"/>
              <w:widowControl w:val="false"/>
              <w:bidi w:val="0"/>
              <w:jc w:val="both"/>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strike w:val="false"/>
                <w:dstrike w:val="false"/>
                <w:outline w:val="false"/>
                <w:shadow w:val="false"/>
                <w:color w:val="000000"/>
                <w:sz w:val="24"/>
                <w:szCs w:val="24"/>
                <w:u w:val="none"/>
                <w:em w:val="none"/>
                <w:lang w:val="lt-LT"/>
              </w:rPr>
              <w:t>odontologinis šviesiai gelsvos spalvos, III klasės;</w:t>
            </w:r>
          </w:p>
          <w:p>
            <w:pPr>
              <w:pStyle w:val="Normal"/>
              <w:widowControl w:val="false"/>
              <w:bidi w:val="0"/>
              <w:spacing w:before="0" w:after="160"/>
              <w:jc w:val="both"/>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strike w:val="false"/>
                <w:dstrike w:val="false"/>
                <w:outline w:val="false"/>
                <w:shadow w:val="false"/>
                <w:color w:val="000000"/>
                <w:sz w:val="24"/>
                <w:szCs w:val="24"/>
                <w:u w:val="none"/>
                <w:em w:val="none"/>
                <w:lang w:val="lt-LT"/>
              </w:rPr>
              <w:t>maišant santykiu 30 ml vandens / 100 g miltelių maišymo laikas (rankinis): nedidesnis kaip 20 sekundžių; maišymo laikas (vakuumas): nedidesnis kaip 60 sekundžių; darbo laikas: nedidesnis kaip 7 minutės; stingimo laikas: nedidesnis kaip 10 minučių; plėtimosi koeficientas: nedidesnis kaip 0,20% po 2 val.; stipris gniuždant: nemažesnis kaip 30 Mpa po 1 h.; kietumas: nemažesnis kaip 80 MPa po 24 h.</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40</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1,82</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72,8</w:t>
            </w:r>
          </w:p>
        </w:tc>
      </w:tr>
      <w:tr>
        <w:trPr/>
        <w:tc>
          <w:tcPr>
            <w:tcW w:w="678" w:type="dxa"/>
            <w:tcBorders>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5.</w:t>
            </w:r>
          </w:p>
        </w:tc>
        <w:tc>
          <w:tcPr>
            <w:tcW w:w="2395" w:type="dxa"/>
            <w:tcBorders>
              <w:left w:val="single" w:sz="4" w:space="0" w:color="00000A"/>
              <w:bottom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Skaidrios daktiloskopinės plokštelės</w:t>
            </w:r>
          </w:p>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Pakuotėje: 10-12 vnt.</w:t>
            </w:r>
          </w:p>
          <w:p>
            <w:pPr>
              <w:pStyle w:val="Normal"/>
              <w:widowControl w:val="false"/>
              <w:bidi w:val="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strike w:val="false"/>
                <w:dstrike w:val="false"/>
                <w:outline w:val="false"/>
                <w:shadow w:val="false"/>
                <w:color w:val="000000"/>
                <w:sz w:val="24"/>
                <w:szCs w:val="24"/>
                <w:u w:val="none"/>
                <w:em w:val="none"/>
                <w:lang w:val="lt-LT"/>
              </w:rPr>
              <w:t>Plokštelių matmenys:</w:t>
            </w:r>
          </w:p>
          <w:p>
            <w:pPr>
              <w:pStyle w:val="Normal"/>
              <w:widowControl w:val="false"/>
              <w:bidi w:val="0"/>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strike w:val="false"/>
                <w:dstrike w:val="false"/>
                <w:outline w:val="false"/>
                <w:shadow w:val="false"/>
                <w:color w:val="000000"/>
                <w:sz w:val="24"/>
                <w:szCs w:val="24"/>
                <w:u w:val="none"/>
                <w:em w:val="none"/>
                <w:lang w:val="lt-LT"/>
              </w:rPr>
              <w:t>plotis – 130 mm, ilgis – 180 mm (+/- 5 mm). Plokštelių kopijuojantis sluoksnis – juodas, apsauginis sluoksnis – skaidrus.</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24,7</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568,1</w:t>
            </w:r>
          </w:p>
        </w:tc>
      </w:tr>
      <w:tr>
        <w:trPr/>
        <w:tc>
          <w:tcPr>
            <w:tcW w:w="678" w:type="dxa"/>
            <w:tcBorders>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t>6.</w:t>
            </w:r>
          </w:p>
        </w:tc>
        <w:tc>
          <w:tcPr>
            <w:tcW w:w="2395" w:type="dxa"/>
            <w:tcBorders>
              <w:left w:val="single" w:sz="4" w:space="0" w:color="00000A"/>
              <w:bottom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Juodos daktiloskopinės plokštelės</w:t>
            </w:r>
          </w:p>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jc w:val="left"/>
              <w:rPr>
                <w:rFonts w:ascii="Times New Roman" w:hAnsi="Times New Roman"/>
                <w:sz w:val="24"/>
                <w:szCs w:val="24"/>
              </w:rPr>
            </w:pPr>
            <w:r>
              <w:rPr>
                <w:rFonts w:ascii="Times New Roman" w:hAnsi="Times New Roman"/>
                <w:b w:val="false"/>
                <w:bCs w:val="false"/>
                <w:i w:val="false"/>
                <w:iCs w:val="false"/>
                <w:color w:val="000000"/>
                <w:sz w:val="24"/>
                <w:szCs w:val="24"/>
                <w:lang w:val="lt-LT"/>
              </w:rPr>
              <w:t xml:space="preserve">Pakuotėje: 10-12 vnt. </w:t>
            </w:r>
            <w:r>
              <w:rPr>
                <w:rFonts w:ascii="Times New Roman" w:hAnsi="Times New Roman"/>
                <w:b w:val="false"/>
                <w:bCs w:val="false"/>
                <w:i w:val="false"/>
                <w:iCs w:val="false"/>
                <w:strike w:val="false"/>
                <w:dstrike w:val="false"/>
                <w:outline w:val="false"/>
                <w:shadow w:val="false"/>
                <w:color w:val="000000"/>
                <w:sz w:val="24"/>
                <w:szCs w:val="24"/>
                <w:u w:val="none"/>
                <w:em w:val="none"/>
                <w:lang w:val="lt-LT"/>
              </w:rPr>
              <w:t>Plokštelių matmenys:</w:t>
            </w:r>
          </w:p>
          <w:p>
            <w:pPr>
              <w:pStyle w:val="Normal"/>
              <w:widowControl w:val="false"/>
              <w:bidi w:val="0"/>
              <w:spacing w:before="0" w:after="160"/>
              <w:jc w:val="left"/>
              <w:rPr>
                <w:rFonts w:ascii="Times New Roman" w:hAnsi="Times New Roman"/>
                <w:b w:val="false"/>
                <w:b w:val="false"/>
                <w:bCs w:val="false"/>
                <w:i w:val="false"/>
                <w:i w:val="false"/>
                <w:iCs w:val="false"/>
                <w:sz w:val="24"/>
                <w:szCs w:val="24"/>
                <w:lang w:val="lt-LT"/>
              </w:rPr>
            </w:pPr>
            <w:r>
              <w:rPr>
                <w:rFonts w:ascii="Times New Roman" w:hAnsi="Times New Roman"/>
                <w:b w:val="false"/>
                <w:bCs w:val="false"/>
                <w:i w:val="false"/>
                <w:iCs w:val="false"/>
                <w:strike w:val="false"/>
                <w:dstrike w:val="false"/>
                <w:outline w:val="false"/>
                <w:shadow w:val="false"/>
                <w:color w:val="000000"/>
                <w:sz w:val="24"/>
                <w:szCs w:val="24"/>
                <w:u w:val="none"/>
                <w:em w:val="none"/>
                <w:lang w:val="lt-LT"/>
              </w:rPr>
              <w:t>plotis – 130 mm, ilgis – 180 mm (+/- 5 mm). Plokštelių kopijuojantis sluoksnis – juodas, apsauginis sluoksnis – skaidrus.</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24,7</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568,1</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7.</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Daktiloskopinis šepetėlis natūralaus plauko, dėkle</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Apvalus, natūralaus voverės plauko. Šerelio ilgis – apie 40-50 mm, bendras šepetėlio ilgis ne mažiau 170 mm. Šepetėlis skirtas rankų pėdsakų ryškinimui daktiloskopiniais milteliais. Dėklas uždaromas, plastikinis, skaidrus, dėklo ilgis ne daugiau 195 mm. Šepetėlis turi tilpti į dėklą.</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46</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11</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506</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8</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Daktiloskopinis šepetėlis magnetinis dėkle</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Su miltelių pritraukimo ir „išlaisvinimo“ magnetiniu mechanizmu. Dėklas uždaromas, plastikinis, skaidrus, dėklo ilgis ne daugiau 195 mm. Šepetėlis turi tilpti į dėklą.</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16</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368</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9</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Daktiloskopiniai milteliai, juodi</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Juodi nemagnetiniai milteliai, suodžių pagrindu, kiekis – 50-60 ml; sufasuoti sandariai uždaromame plastikiniame indelyje, kurio aukštis – ne daugiau 40 mm, angos skersmuo – ne mažiau 40 mm. Ant indelio turi būti nurodytas miltelių pavadinimas (pažymėta, kad milteliai juodi nemagnetiniai).</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9,8</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225,4</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10</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Daktiloskopiniai milteliai, balti</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Nemagnetiniai balti milteliai, kiekis – 50-60 ml; sufasuoti sandariai uždaromame plastikiniame indelyje, kurio aukštis – ne daugiau 40 mm, angos skersmuo – ne mažiau 40 mm. Ant indelio turi būti nurodytas miltelių pavadinimas (pažymėta, kad milteliai balti nemagnetinai).</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9,8</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225,4</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11</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Daktiloskopiniai milteliai, juodi, magnetiniai</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Juodi magnetiniai milteliai, kiekis – 80-120 g; sufasuoti sandariai uždaromame plastikiniame indelyje, kurio aukštis – ne daugiau 40 mm, angos skersmuo – ne mažiau 40 mm. Ant indelio turi būti nurodytas miltelių pavadinimas (pažymėta, kad milteliai juodi magnetiniai).</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9,8</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225,4</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12</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Daktiloskopiniai milteliai, balti, magnetiniai</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Magnetiniai balti milteliai, kiekis – 80-120 g; sufasuoti sandariai uždaromame plastikiniame indelyje, kurio aukštis – ne daugiau 40 mm, angos skersmuo – ne mažiau 40 mm. Ant indelio turi būti nurodytas miltelių pavadinimas (pažymėta, kad milteliai balti magnetinai).</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9,8</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225,4</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13</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Žirklės</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Plastmasinėmis rankenomis, žirklių ilgis nuo 150 mm iki 180 mm.</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3</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69</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14</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Kriminalistinė liniuotė</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Plastmasinė mastelinė liniuotė, 150 mm ilgio, tiesi, viena pusė balta (juodi skaitmenys ir padalos), kita – juoda (balti skaitmenys ir padalos).</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2,83</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65,09</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15</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Universalus rašiklis, mėlynas</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Rašymui ant popieriaus, kartono, plastiko, permanentinis, 0,7-1 mm storio.</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16</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Apsauginės veido kaukės</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Skirtos uždengti nosį ir burną, iš polipropileno, ne mažiau kaip 3 sluoksnių. Tvirtinasi su guma. Sudėtos į maišelį.</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69</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0,14</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9,66</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17</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Vienkartinės pirštinės</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Nitrilinės, sudėtos į plastikinį maišelį užspaudžiamu kraštu.</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276</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0,15</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41,4</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18</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Trumpa atmintinė</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,,Daktiloskopinių priemonių naudojimo atmintinė“ atspausdinta ant vieno balto ne didesnio nei A4 formato lapo (pridedama).</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0,07</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1,61</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19</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Dėžutė su dangteliu, plastikinė</w:t>
            </w:r>
          </w:p>
        </w:tc>
        <w:tc>
          <w:tcPr>
            <w:tcW w:w="2936"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Matmenys: ilgis 230 mm (± 5 mm), plotis 170 mm (± 5 mm), aukštis nuo 95 mm iki 120 mm (be dangtelio). Dėžutė skaidraus plastiko, keturkampio formos.</w:t>
            </w:r>
          </w:p>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Sandariai uždaroma plastikiniu dangteliu. Dangtelis turi turėti papildomą užfiksavimo apsaugą, kad atsitiktinai neatsidarytų.</w:t>
            </w:r>
          </w:p>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Pastaba. Į uždarytą dėžutę turi tilpti visos išvardintos priemonės, įdėta atmintinė, rinkinio sąrašas turi būti užklijuotas ant dangtelio vidinės pusės, ant dėžutes dangtelio išorinės pusės užklijuotas lipdukas su užrašu ,,RINKINYS DAKTILOSKOPIJAI“.</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9</w:t>
            </w:r>
          </w:p>
        </w:tc>
        <w:tc>
          <w:tcPr>
            <w:tcW w:w="1288"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trike w:val="false"/>
                <w:dstrike w:val="false"/>
                <w:outline w:val="false"/>
                <w:shadow w:val="false"/>
                <w:color w:val="000000"/>
                <w:sz w:val="24"/>
                <w:szCs w:val="24"/>
                <w:u w:val="none"/>
                <w:em w:val="none"/>
                <w:lang w:val="lt-LT"/>
              </w:rPr>
              <w:t>207</w:t>
            </w:r>
          </w:p>
          <w:p>
            <w:pPr>
              <w:pStyle w:val="Normal"/>
              <w:widowControl w:val="false"/>
              <w:bidi w:val="0"/>
              <w:spacing w:lineRule="auto" w:line="240" w:before="0" w:after="0"/>
              <w:jc w:val="center"/>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20</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Daktiloskopavimo dažai</w:t>
            </w:r>
          </w:p>
        </w:tc>
        <w:tc>
          <w:tcPr>
            <w:tcW w:w="2936"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10</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10,8</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108</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21</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Daktiloskopavimo volelis</w:t>
            </w:r>
          </w:p>
        </w:tc>
        <w:tc>
          <w:tcPr>
            <w:tcW w:w="2936"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5</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9,1</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45,5</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22</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Mikrosil pasta balta 200g</w:t>
            </w:r>
          </w:p>
        </w:tc>
        <w:tc>
          <w:tcPr>
            <w:tcW w:w="2936"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10</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24,56</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245,6</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23</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Mikrosil pasta juoda 200g</w:t>
            </w:r>
          </w:p>
        </w:tc>
        <w:tc>
          <w:tcPr>
            <w:tcW w:w="2936"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5</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24,56</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122,8</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24</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Mikrosil pasta ruda 200g</w:t>
            </w:r>
          </w:p>
        </w:tc>
        <w:tc>
          <w:tcPr>
            <w:tcW w:w="2936"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5</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24,56</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122,8</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25</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Testas preliminariajam kraujo nustatymui</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(Kastle-Meyer arba Hemastix)</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27,67</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27,67</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26</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Reagentas Kraujo nustatymui</w:t>
            </w:r>
          </w:p>
        </w:tc>
        <w:tc>
          <w:tcPr>
            <w:tcW w:w="2936"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(Bluestar Forensic)</w:t>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148</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296,0</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27</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Kūgis trasaloginių pėdsakų apsaugai</w:t>
            </w:r>
          </w:p>
        </w:tc>
        <w:tc>
          <w:tcPr>
            <w:tcW w:w="2936"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15</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4,79</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71,85</w:t>
            </w:r>
          </w:p>
        </w:tc>
      </w:tr>
      <w:tr>
        <w:trPr/>
        <w:tc>
          <w:tcPr>
            <w:tcW w:w="67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28</w:t>
            </w:r>
          </w:p>
        </w:tc>
        <w:tc>
          <w:tcPr>
            <w:tcW w:w="2395" w:type="dxa"/>
            <w:tcBorders>
              <w:left w:val="single" w:sz="4" w:space="0" w:color="00000A"/>
              <w:bottom w:val="single" w:sz="4" w:space="0" w:color="00000A"/>
            </w:tcBorders>
            <w:shd w:fill="auto" w:val="clear"/>
          </w:tcPr>
          <w:p>
            <w:pPr>
              <w:pStyle w:val="Lentelsturinys"/>
              <w:widowControl w:val="false"/>
              <w:spacing w:before="0" w:after="160"/>
              <w:jc w:val="lef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Liniuotė 1m.</w:t>
            </w:r>
          </w:p>
        </w:tc>
        <w:tc>
          <w:tcPr>
            <w:tcW w:w="2936" w:type="dxa"/>
            <w:tcBorders>
              <w:left w:val="single" w:sz="4" w:space="0" w:color="00000A"/>
              <w:bottom w:val="single" w:sz="4" w:space="0" w:color="00000A"/>
              <w:right w:val="single" w:sz="4" w:space="0" w:color="00000A"/>
            </w:tcBorders>
            <w:shd w:fill="auto" w:val="clear"/>
          </w:tcPr>
          <w:p>
            <w:pPr>
              <w:pStyle w:val="Normal"/>
              <w:widowControl w:val="false"/>
              <w:bidi w:val="0"/>
              <w:spacing w:lineRule="auto" w:line="240" w:before="0" w:after="0"/>
              <w:jc w:val="both"/>
              <w:rPr>
                <w:rFonts w:ascii="Times New Roman" w:hAnsi="Times New Roman" w:cs="Times New Roman"/>
                <w:b w:val="false"/>
                <w:b w:val="false"/>
                <w:bCs w:val="false"/>
                <w:i w:val="false"/>
                <w:i w:val="false"/>
                <w:iCs w:val="false"/>
                <w:sz w:val="24"/>
                <w:szCs w:val="24"/>
                <w:lang w:val="lt-LT"/>
              </w:rPr>
            </w:pPr>
            <w:r>
              <w:rPr>
                <w:rFonts w:cs="Times New Roman" w:ascii="Times New Roman" w:hAnsi="Times New Roman"/>
                <w:b w:val="false"/>
                <w:bCs w:val="false"/>
                <w:i w:val="false"/>
                <w:iCs w:val="false"/>
                <w:sz w:val="24"/>
                <w:szCs w:val="24"/>
                <w:lang w:val="lt-LT"/>
              </w:rPr>
            </w:r>
          </w:p>
        </w:tc>
        <w:tc>
          <w:tcPr>
            <w:tcW w:w="101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w:t>
            </w:r>
          </w:p>
        </w:tc>
        <w:tc>
          <w:tcPr>
            <w:tcW w:w="1079"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13,4</w:t>
            </w:r>
          </w:p>
        </w:tc>
        <w:tc>
          <w:tcPr>
            <w:tcW w:w="1288" w:type="dxa"/>
            <w:tcBorders>
              <w:left w:val="single" w:sz="4" w:space="0" w:color="00000A"/>
              <w:bottom w:val="single" w:sz="4" w:space="0" w:color="00000A"/>
              <w:right w:val="single" w:sz="4" w:space="0" w:color="00000A"/>
            </w:tcBorders>
            <w:shd w:fill="auto" w:val="clear"/>
          </w:tcPr>
          <w:p>
            <w:pPr>
              <w:pStyle w:val="Lentelsturinys"/>
              <w:widowControl w:val="false"/>
              <w:spacing w:before="0" w:after="160"/>
              <w:jc w:val="center"/>
              <w:rPr>
                <w:rFonts w:ascii="Times New Roman" w:hAnsi="Times New Roman"/>
                <w:b w:val="false"/>
                <w:b w:val="false"/>
                <w:bCs w:val="false"/>
                <w:i w:val="false"/>
                <w:i w:val="false"/>
                <w:iCs w:val="false"/>
                <w:color w:val="000000"/>
                <w:sz w:val="24"/>
                <w:szCs w:val="24"/>
                <w:lang w:val="lt-LT"/>
              </w:rPr>
            </w:pPr>
            <w:r>
              <w:rPr>
                <w:rFonts w:ascii="Times New Roman" w:hAnsi="Times New Roman"/>
                <w:b w:val="false"/>
                <w:bCs w:val="false"/>
                <w:i w:val="false"/>
                <w:iCs w:val="false"/>
                <w:color w:val="000000"/>
                <w:sz w:val="24"/>
                <w:szCs w:val="24"/>
                <w:lang w:val="lt-LT"/>
              </w:rPr>
              <w:t>13,4</w:t>
            </w:r>
          </w:p>
        </w:tc>
      </w:tr>
      <w:tr>
        <w:trPr>
          <w:trHeight w:val="306" w:hRule="atLeast"/>
        </w:trPr>
        <w:tc>
          <w:tcPr>
            <w:tcW w:w="8106" w:type="dxa"/>
            <w:gridSpan w:val="5"/>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right"/>
              <w:rPr>
                <w:rFonts w:ascii="Times New Roman" w:hAnsi="Times New Roman"/>
                <w:b w:val="false"/>
                <w:b w:val="false"/>
                <w:bCs w:val="false"/>
                <w:sz w:val="24"/>
                <w:szCs w:val="24"/>
                <w:lang w:val="lt-LT"/>
              </w:rPr>
            </w:pPr>
            <w:r>
              <w:rPr>
                <w:rFonts w:cs="Times New Roman" w:ascii="Times New Roman" w:hAnsi="Times New Roman"/>
                <w:b w:val="false"/>
                <w:bCs w:val="false"/>
                <w:sz w:val="24"/>
                <w:szCs w:val="24"/>
                <w:lang w:val="lt-LT"/>
              </w:rPr>
              <w:t>Bendra sutarties kaina (be PVM)</w:t>
            </w:r>
          </w:p>
        </w:tc>
        <w:tc>
          <w:tcPr>
            <w:tcW w:w="1288" w:type="dxa"/>
            <w:tcBorders>
              <w:top w:val="single" w:sz="4" w:space="0" w:color="00000A"/>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b/>
                <w:bCs/>
                <w:i w:val="false"/>
                <w:i w:val="false"/>
                <w:iCs w:val="false"/>
                <w:color w:val="000000"/>
                <w:sz w:val="24"/>
                <w:szCs w:val="24"/>
                <w:lang w:val="lt-LT"/>
              </w:rPr>
            </w:pPr>
            <w:r>
              <w:rPr>
                <w:rFonts w:ascii="Times New Roman" w:hAnsi="Times New Roman"/>
                <w:b/>
                <w:bCs/>
                <w:i w:val="false"/>
                <w:iCs w:val="false"/>
                <w:color w:val="000000"/>
                <w:sz w:val="24"/>
                <w:szCs w:val="24"/>
                <w:lang w:val="lt-LT"/>
              </w:rPr>
              <w:t>4654,54</w:t>
            </w:r>
          </w:p>
        </w:tc>
      </w:tr>
      <w:tr>
        <w:trPr/>
        <w:tc>
          <w:tcPr>
            <w:tcW w:w="8106" w:type="dxa"/>
            <w:gridSpan w:val="5"/>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b w:val="false"/>
                <w:bCs w:val="false"/>
                <w:sz w:val="24"/>
                <w:szCs w:val="24"/>
                <w:lang w:val="lt-LT"/>
              </w:rPr>
              <w:t>PVM (</w:t>
            </w:r>
            <w:r>
              <w:rPr>
                <w:rFonts w:cs="Times New Roman" w:ascii="Times New Roman" w:hAnsi="Times New Roman"/>
                <w:b w:val="false"/>
                <w:bCs w:val="false"/>
                <w:i/>
                <w:sz w:val="24"/>
                <w:szCs w:val="24"/>
                <w:lang w:val="lt-LT"/>
              </w:rPr>
              <w:t>21</w:t>
            </w:r>
            <w:r>
              <w:rPr>
                <w:rFonts w:eastAsia="Calibri" w:cs="Times New Roman" w:ascii="Times New Roman" w:hAnsi="Times New Roman"/>
                <w:b w:val="false"/>
                <w:bCs w:val="false"/>
                <w:i/>
                <w:sz w:val="24"/>
                <w:szCs w:val="24"/>
                <w:lang w:val="lt-LT"/>
              </w:rPr>
              <w:t>%</w:t>
            </w:r>
            <w:r>
              <w:rPr>
                <w:rFonts w:cs="Times New Roman" w:ascii="Times New Roman" w:hAnsi="Times New Roman"/>
                <w:b w:val="false"/>
                <w:bCs w:val="false"/>
                <w:sz w:val="24"/>
                <w:szCs w:val="24"/>
                <w:lang w:val="lt-LT"/>
              </w:rPr>
              <w:t>) suma:</w:t>
            </w:r>
          </w:p>
        </w:tc>
        <w:tc>
          <w:tcPr>
            <w:tcW w:w="1288" w:type="dxa"/>
            <w:tcBorders>
              <w:top w:val="single" w:sz="4" w:space="0" w:color="00000A"/>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b/>
                <w:bCs/>
                <w:i w:val="false"/>
                <w:i w:val="false"/>
                <w:iCs w:val="false"/>
                <w:color w:val="000000"/>
                <w:sz w:val="24"/>
                <w:szCs w:val="24"/>
                <w:lang w:val="lt-LT"/>
              </w:rPr>
            </w:pPr>
            <w:r>
              <w:rPr>
                <w:rFonts w:ascii="Times New Roman" w:hAnsi="Times New Roman"/>
                <w:b/>
                <w:bCs/>
                <w:i w:val="false"/>
                <w:iCs w:val="false"/>
                <w:color w:val="000000"/>
                <w:sz w:val="24"/>
                <w:szCs w:val="24"/>
                <w:lang w:val="lt-LT"/>
              </w:rPr>
              <w:t>977,45</w:t>
            </w:r>
          </w:p>
        </w:tc>
      </w:tr>
      <w:tr>
        <w:trPr/>
        <w:tc>
          <w:tcPr>
            <w:tcW w:w="8106" w:type="dxa"/>
            <w:gridSpan w:val="5"/>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right"/>
              <w:rPr>
                <w:rFonts w:ascii="Times New Roman" w:hAnsi="Times New Roman" w:cs="Times New Roman"/>
                <w:b w:val="false"/>
                <w:b w:val="false"/>
                <w:bCs w:val="false"/>
                <w:sz w:val="24"/>
                <w:szCs w:val="24"/>
                <w:lang w:val="lt-LT"/>
              </w:rPr>
            </w:pPr>
            <w:r>
              <w:rPr>
                <w:rFonts w:cs="Times New Roman" w:ascii="Times New Roman" w:hAnsi="Times New Roman"/>
                <w:b w:val="false"/>
                <w:bCs w:val="false"/>
                <w:sz w:val="24"/>
                <w:szCs w:val="24"/>
                <w:lang w:val="lt-LT"/>
              </w:rPr>
              <w:t>Bendra sutarties kaina (su PVM)</w:t>
            </w:r>
          </w:p>
        </w:tc>
        <w:tc>
          <w:tcPr>
            <w:tcW w:w="1288" w:type="dxa"/>
            <w:tcBorders>
              <w:top w:val="single" w:sz="4" w:space="0" w:color="00000A"/>
              <w:left w:val="single" w:sz="4" w:space="0" w:color="00000A"/>
              <w:bottom w:val="single" w:sz="4" w:space="0" w:color="00000A"/>
              <w:right w:val="single" w:sz="4" w:space="0" w:color="00000A"/>
            </w:tcBorders>
            <w:shd w:fill="auto" w:val="clear"/>
          </w:tcPr>
          <w:p>
            <w:pPr>
              <w:pStyle w:val="Lentelsturinys"/>
              <w:widowControl w:val="false"/>
              <w:spacing w:before="0" w:after="160"/>
              <w:jc w:val="right"/>
              <w:rPr>
                <w:rFonts w:ascii="Times New Roman" w:hAnsi="Times New Roman"/>
                <w:b/>
                <w:b/>
                <w:bCs/>
                <w:i w:val="false"/>
                <w:i w:val="false"/>
                <w:iCs w:val="false"/>
                <w:color w:val="000000"/>
                <w:sz w:val="24"/>
                <w:szCs w:val="24"/>
                <w:lang w:val="lt-LT"/>
              </w:rPr>
            </w:pPr>
            <w:r>
              <w:rPr>
                <w:rFonts w:ascii="Times New Roman" w:hAnsi="Times New Roman"/>
                <w:b/>
                <w:bCs/>
                <w:i w:val="false"/>
                <w:iCs w:val="false"/>
                <w:color w:val="000000"/>
                <w:sz w:val="24"/>
                <w:szCs w:val="24"/>
                <w:lang w:val="lt-LT"/>
              </w:rPr>
              <w:t>5631,99</w:t>
            </w:r>
          </w:p>
        </w:tc>
      </w:tr>
    </w:tbl>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2.4.</w:t>
        <w:tab/>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2.5. Į Sutarties kainą yra įskaičiuota visų Prekių kaina, visos Tiekėjo  patiriamos išlaidos ir mokesčiai. Jokios papildomos Tiekėjo išlaidos nebus apmokamos ar kompensuojamos.</w:t>
      </w:r>
    </w:p>
    <w:p>
      <w:pPr>
        <w:pStyle w:val="Normal"/>
        <w:spacing w:lineRule="auto" w:line="240" w:before="0" w:after="0"/>
        <w:ind w:firstLine="567"/>
        <w:jc w:val="both"/>
        <w:rPr>
          <w:sz w:val="24"/>
          <w:szCs w:val="24"/>
        </w:rPr>
      </w:pPr>
      <w:r>
        <w:rPr>
          <w:rFonts w:cs="Times New Roman" w:ascii="Times New Roman" w:hAnsi="Times New Roman"/>
          <w:i w:val="false"/>
          <w:iCs w:val="false"/>
          <w:color w:val="000000"/>
          <w:sz w:val="24"/>
          <w:szCs w:val="24"/>
          <w:lang w:val="lt-LT"/>
        </w:rPr>
        <w:t>2.6. Nustatyta fiksuota Prekių kaina dėl pasikeitusių mokesčių perskaičiuojama tokia tvarka:</w:t>
      </w:r>
    </w:p>
    <w:p>
      <w:pPr>
        <w:pStyle w:val="Normal"/>
        <w:spacing w:lineRule="auto" w:line="240" w:before="0" w:after="0"/>
        <w:ind w:firstLine="567"/>
        <w:jc w:val="both"/>
        <w:rPr>
          <w:sz w:val="24"/>
          <w:szCs w:val="24"/>
        </w:rPr>
      </w:pPr>
      <w:r>
        <w:rPr>
          <w:rFonts w:cs="Times New Roman" w:ascii="Times New Roman" w:hAnsi="Times New Roman"/>
          <w:i w:val="false"/>
          <w:iCs w:val="false"/>
          <w:color w:val="000000"/>
          <w:sz w:val="24"/>
          <w:szCs w:val="24"/>
          <w:lang w:val="lt-LT"/>
        </w:rPr>
        <w:t>2.6.1. perskaičiavimas atliekamas įsigaliojus Pridėtinės vertės mokesčio įstatymo pakeitimo įstatymui, kuriuo keičiamas mokesčio tarifas;</w:t>
      </w:r>
    </w:p>
    <w:p>
      <w:pPr>
        <w:pStyle w:val="Normal"/>
        <w:spacing w:lineRule="auto" w:line="240" w:before="0" w:after="0"/>
        <w:ind w:firstLine="567"/>
        <w:jc w:val="both"/>
        <w:rPr>
          <w:sz w:val="24"/>
          <w:szCs w:val="24"/>
        </w:rPr>
      </w:pPr>
      <w:r>
        <w:rPr>
          <w:rFonts w:cs="Times New Roman" w:ascii="Times New Roman" w:hAnsi="Times New Roman"/>
          <w:i w:val="false"/>
          <w:iCs w:val="false"/>
          <w:color w:val="000000"/>
          <w:sz w:val="24"/>
          <w:szCs w:val="24"/>
          <w:lang w:val="lt-LT"/>
        </w:rPr>
        <w:t>2.6.2. perskaičiavimo formulė: pasikeitus PVM tarifo dydžiui, nustatytoje fiksuotoje Prekių (Sutarties) kainoje esantis PVM tarifas keičiamas (mažinamas ar didinamas) pagal Lietuvos Respublikos  teisės aktus.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2.7. Sutarties 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E-sąskaita sistemą išlaidas). Jokios papildomos Tiekėjo išlaidos nebus apmokamos ar kompensuojamos.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2.8. Mokėjimai atliekami eurais tokia tvarka: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2.9. Su Tiekėju už laiku patiektas kokybiškas ir Sutarties reikalavimus atitinkančias Prekes atsiskaitoma per 30 (trisdešimt) kalendorinių dienų nuo Prekių perdavimo–priėmimo akto pasirašymo ir PVM sąskaitos-faktūros pateikimo dienos.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2.10. Prekių perdavimas ir priėmimas įforminamas Prekių perdavimo–priėmimo aktu, kuris pasirašomas Tiekėjo ir Pirkėjo įgaliotų atstovų; detali Prekių perdavimo–priėmimo tvarka aprašyta šios Sutarties III skyriuje. </w:t>
      </w:r>
    </w:p>
    <w:p>
      <w:pPr>
        <w:pStyle w:val="Normal"/>
        <w:spacing w:lineRule="auto" w:line="240" w:before="0" w:after="0"/>
        <w:ind w:firstLine="567"/>
        <w:jc w:val="both"/>
        <w:rPr/>
      </w:pPr>
      <w:r>
        <w:rPr>
          <w:rFonts w:cs="Times New Roman" w:ascii="Times New Roman" w:hAnsi="Times New Roman"/>
          <w:sz w:val="24"/>
          <w:szCs w:val="24"/>
          <w:lang w:val="lt-LT"/>
        </w:rPr>
        <w:t xml:space="preserve">2.11.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Sąskaita – faktūra turi būti pateikiama ne anksčiau nei abiejų Šalių suderintas ir pasirašytas perdavimo–priėmimo aktas be trūkumų / pastabų (t. y. kai pašalinti visi trūkumai ar pastabos, nurodytos ankstesniuose perdavimo–priėmimo aktuose, jei tokių buvo).  </w:t>
      </w:r>
      <w:r>
        <w:rPr>
          <w:rStyle w:val="Numatytasispastraiposriftas1"/>
          <w:rFonts w:cs="Times New Roman" w:ascii="Times New Roman" w:hAnsi="Times New Roman"/>
          <w:color w:val="000000"/>
          <w:sz w:val="24"/>
          <w:szCs w:val="24"/>
          <w:lang w:val="lt-LT"/>
        </w:rPr>
        <w:t>Dėl ,,E. sąsk</w:t>
      </w:r>
      <w:r>
        <w:rPr>
          <w:rStyle w:val="Numatytasispastraiposriftas1"/>
          <w:rFonts w:cs="Times New Roman" w:ascii="Times New Roman" w:hAnsi="Times New Roman"/>
          <w:color w:val="auto"/>
          <w:sz w:val="24"/>
          <w:szCs w:val="24"/>
          <w:lang w:val="lt-LT"/>
        </w:rPr>
        <w:t>aitos“ pateik</w:t>
      </w:r>
      <w:r>
        <w:rPr>
          <w:rStyle w:val="Numatytasispastraiposriftas1"/>
          <w:rFonts w:cs="Times New Roman" w:ascii="Times New Roman" w:hAnsi="Times New Roman"/>
          <w:color w:val="000000"/>
          <w:sz w:val="24"/>
          <w:szCs w:val="24"/>
          <w:lang w:val="lt-LT"/>
        </w:rPr>
        <w:t>imo patirtas išlaidas moka Tiekėjas.</w:t>
      </w:r>
      <w:r>
        <w:rPr>
          <w:rFonts w:cs="Times New Roman" w:ascii="Times New Roman" w:hAnsi="Times New Roman"/>
          <w:sz w:val="24"/>
          <w:szCs w:val="24"/>
          <w:lang w:val="lt-LT"/>
        </w:rPr>
        <w:t xml:space="preserve">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2.12. Pirkėjas už pristatytas Prekes su Tiekėju atsiskaito mokėjimo pavedimu į Tiekėjo nurodytą banko sąskaitą.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2.13. Tarpiniai mokėjimai nenumatomi.</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center"/>
        <w:rPr>
          <w:rFonts w:ascii="Times New Roman" w:hAnsi="Times New Roman" w:cs="Times New Roman"/>
          <w:b/>
          <w:b/>
          <w:sz w:val="24"/>
          <w:szCs w:val="24"/>
          <w:lang w:val="lt-LT"/>
        </w:rPr>
      </w:pPr>
      <w:r>
        <w:rPr>
          <w:rFonts w:cs="Times New Roman" w:ascii="Times New Roman" w:hAnsi="Times New Roman"/>
          <w:b/>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III. PREKIŲ PERDAVIMAS–PRIĖMIMAS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3.1.</w:t>
        <w:tab/>
        <w:t>Patiektų Prekių kokybė patikrinama perdavimo–priėmimo metu, Šalims pasirašant Prekių perdavimo–priėmimo aktą, kurį rengia Tiekėjas pagal šios Sutarties 2 priedą. Perdavimo–priėmimo akte turi būti galimybė įrašyti Prekių trūkumus ar kitas pastabas, susijusias su tiekiamomis Prekėmis.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3.2.</w:t>
        <w:tab/>
        <w:t>Pirkėjas, patikrinęs ir įsitikinęs, kad Prekės atitinka Sutartyje ir jos prieduose nustatytus reikalavimus ir kad yra įvykdyti visi kiti Tiekėjo įsipareigojimai pagal Sutartį, ne vėliau kaip per 3 darbo dienas nuo Prekių perdavimo–priėmimo akto gavimo dienos privalo priimti patiektas Prekes ir pasirašyti Prekių perdavimo–priėmimo aktą.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3.3.</w:t>
        <w:tab/>
        <w:t>Jeigu Pirkėjas priėmimo metu turi pastabų dėl patiektų Prekių kiekio ir (arba) kokybės ir (arba) nustatomi patiektų Prekių kokybės trūkumai, visi neatitikimai ar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3.4.</w:t>
        <w:tab/>
        <w:t>Pirkėjas, atsižvelgdamas į trūkumų pobūdį, kiekį bei sudėtingumą, perdavimo–priėmimo akte nurodo Tiekėjui protingą terminą pašalinti Prekių neatitikimus ar trūkumus nuo raštiškų pastabų pateikimo dienos. Tiekėjui pašalinus per Pirkėjo nurodytą protingą terminą Prekių neatitikimus ar trūkumus, numatytus  perdavimo–priėmimo akte, Šalys pasirašo naują Prekių perdavimo–priėmimo aktą.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3.5.</w:t>
        <w:tab/>
        <w:t xml:space="preserve">Terminas, skirtas Pirkėjui priimti Prekes bei patikrinti jų atitikimą nustatytiems reikalavimams ir Pirkėjo nurodytas protingas trūkumų ar pastabų, išvardytų perdavimo–priėmimo akte, pašalinimo terminas nėra įskaičiuojami į bendrą Tiekėjo sutartinių įsipareigojimų vykdymo terminą, numatytą Sutarties 1.5 papunktyje.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3.6.</w:t>
        <w:tab/>
        <w:t>Pirkėjui pareikalavus, Tiekėjas pateikia visą informaciją apie Sutarties vykdymo eigą.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3.7.</w:t>
        <w:tab/>
        <w:t xml:space="preserve">Prekių nuosavybės teisės ir Prekių žuvimo ar sugadinimo rizika pereina Pirkėjui nuo Prekių perdavimo–priėmimo akto (be trūkumų ar pastabų) pasirašymo momento.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3.8.</w:t>
        <w:tab/>
        <w:t>Prekių perdavimo–priėmimo aktas pasirašomas 2 (dviem) vienodą teisinę galią turinčiais egzemplioriais.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IV. PIRKIMO SUTARTIES ŠALIŲ TEISĖS IR PAREIGOS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w:t>
        <w:tab/>
        <w:t>Tiekėjas įsipareigoja:</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4.1.1.</w:t>
        <w:tab/>
        <w:t xml:space="preserve">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4.1.2.</w:t>
        <w:tab/>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4.1.3. ne vėliau kaip likus 10 darbo dienų iki Prekių pristatymo termino pabaigos, informuoti Pirkėją apie ketinimą pristatyti Prekes;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4.1.4.</w:t>
        <w:tab/>
        <w:t>kartu su Prekėmis pateikti Pirkėjui visą būtiną dokumentaciją, įskaitant Prekių naudojimo ir priežiūros instrukcijas (jei tai numatyta Sutarties 1 priede);</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4.1.5.</w:t>
        <w:tab/>
        <w:t>prisiimti Prekių žuvimo ar sugadinimo riziką iki Prekių perdavimo–priėmimo akto (be  trūkumų) pasirašymo momento;</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4.1.6.</w:t>
        <w:tab/>
        <w:t>perleisti Pirkėjui nuosavybės teises į Prekes po Prekių perdavimo–priėmimo akto (be trūkumų ) pasirašymo.</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4.1.7.</w:t>
        <w:tab/>
        <w:t>užtikrinti iš Pirkėjo Sutarties vykdymo metu gautos ir su Sutarties vykdymu susijusios informacijos konfidencialumą bei apsaugą;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4.1.8.</w:t>
        <w:tab/>
        <w:t>nenaudoti Pirkėjo Prekių ženklų ar pavadinimo jokioje reklamoje, leidiniuose ar kitur be išankstinio raštiško Pirkėjo sutikimo;</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4.1.9.</w:t>
        <w:ta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4.1.10.</w:t>
        <w:tab/>
        <w:t>Pirkėjui raštu paprašius, grąžinti visus iš Pirkėjo gautus Sutarčiai vykdyti reikalingus dokumentus;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4.1.11.</w:t>
        <w:tab/>
        <w:t>Pirkėjui nurodžius patiektų Prekių trūkumus (neatitikimus, pastabas), ištaisyti juos savo sąskaita per Pirkėjo nurodytą protingą terminą;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4.1.12.</w:t>
        <w:tab/>
        <w:t>savo sąskaita per Pirkėjo nurodytą terminą atsiimti pristatytas Sutarties reikalavimų neatitinkančias Prekes ir Pirkėjo reikalavimu atlyginti tokių Prekių saugojimo išlaidas;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4.1.13.</w:t>
        <w:tab/>
        <w:t>vykdant Sutartį, pridėtinės vertės mokesčio sąskaitas faktūras, sąskaitas faktūras, kreditinius ir debetinius dokumentus bei avansines sąskaitas</w:t>
      </w:r>
      <w:bookmarkStart w:id="0" w:name="__DdeLink__7689_3078592980"/>
      <w:r>
        <w:rPr>
          <w:rFonts w:cs="Times New Roman" w:ascii="Times New Roman" w:hAnsi="Times New Roman"/>
          <w:sz w:val="24"/>
          <w:szCs w:val="24"/>
          <w:lang w:val="lt-LT"/>
        </w:rPr>
        <w:t xml:space="preserve"> (jei sutartyje numatyti avansiniai mokėjimai)</w:t>
      </w:r>
      <w:bookmarkEnd w:id="0"/>
      <w:r>
        <w:rPr>
          <w:rFonts w:cs="Times New Roman" w:ascii="Times New Roman" w:hAnsi="Times New Roman"/>
          <w:sz w:val="24"/>
          <w:szCs w:val="24"/>
          <w:lang w:val="lt-LT"/>
        </w:rPr>
        <w:t xml:space="preserve">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4.1.14.</w:t>
        <w:tab/>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4.1.15.</w:t>
        <w:tab/>
        <w:t>tinkamai vykdyti kitus įsipareigojimus, numatytus Sutartyje ir galiojančiuose Lietuvos Respublikos  teisės aktuose.</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4.2.</w:t>
        <w:tab/>
        <w:t>Tiekėjas turi teisę:</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4.2.1.</w:t>
        <w:tab/>
        <w:t>gauti Sutarties kainą su sąlyga, kad jis tinkamai ir laiku įvykdo visus šioje Sutartyje numatytus įsipareigojimus;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4.2.2.</w:t>
        <w:tab/>
        <w:t>jei Pirkėjas naudojasi Sutarties 2.14. papunktyje įtvirtinta tiesioginio atsiskaitymo su subtiekėjais  galimybe, Tiekėjas turi teisę prieštarauti nepagrįstiems mokėjimams subtiekėjams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4.2.3.</w:t>
        <w:tab/>
        <w:t>Tiekėjas turi ir kitas šios Sutarties ir Lietuvos Respublikos  galiojančių teisės aktų numatytas teises.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4.3.</w:t>
        <w:tab/>
        <w:t>Pirkėjas įsipareigoja:</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4.3.1.</w:t>
        <w:tab/>
        <w:t>laiku priimti iš Tiekėjo tinkamas ir kokybiškas Prekes ir laiku už jas atsiskaityti šioje Sutartyje nustatyta tvarka;</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4.3.2.</w:t>
        <w:tab/>
        <w:t>nuo Prekių pristatymo į Sutarties 1.4 papunktyje nustatytą vietą iki perdavimo–priėmimo akto (be trūkumų ar pastabų) pasirašymo arba iki termino, per kurį Pirkėjas įpareigoja Tiekėją atsiimti Sutarties reikalavimų neatitinkančias Prekes, pabaigos imtis visų protingų priemonių, reikalingų apsaugoti Prekes nuo praradimo ar sugadinimo;</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4.3.3.</w:t>
        <w:tab/>
        <w:t>nedelsiant pranešti Tiekėjui apie Sutarties sąlygų pažeidimą, kai tik toks pažeidimas yra nustatomas;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4.3.4.</w:t>
        <w:tab/>
        <w:t>Tiekėjui sudaryti visas sąlygas, suteikti informaciją ar dokumentus, būtinus Sutarčiai vykdyti;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4.4.</w:t>
        <w:tab/>
        <w:t>Pirkėjas turi teisę:</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4.4.1.</w:t>
        <w:tab/>
        <w:t>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4.4.2.</w:t>
        <w:tab/>
        <w:t>Pirkėjas turi ir kitas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V. ŠALIŲ ATSAKOMYBĖ</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5.2.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5.3. Jei Tiekėjas vėluoja vykdyti savo įsipareigojimus šioje Sutartyje ir jos prieduose nustatytais terminais, Pirkėjas be oficialaus įspėjimo ir nesumažindamas kitų savo teisių gynimo būdų </w:t>
      </w:r>
      <w:r>
        <w:rPr>
          <w:rFonts w:eastAsia="Calibri" w:cs="Times New Roman" w:ascii="Times New Roman" w:hAnsi="Times New Roman"/>
          <w:color w:val="00000A"/>
          <w:kern w:val="0"/>
          <w:sz w:val="24"/>
          <w:szCs w:val="24"/>
          <w:lang w:val="lt-LT" w:eastAsia="en-US" w:bidi="ar-SA"/>
        </w:rPr>
        <w:t>gali pradėti</w:t>
      </w:r>
      <w:r>
        <w:rPr>
          <w:rFonts w:cs="Times New Roman" w:ascii="Times New Roman" w:hAnsi="Times New Roman"/>
          <w:sz w:val="24"/>
          <w:szCs w:val="24"/>
          <w:lang w:val="lt-LT"/>
        </w:rPr>
        <w:t xml:space="preserve"> skaičiuoti 0,03 proc. dydžio delspinigius nuo Tiekėjo laiku neįvykdytų įsipareigojimų dalies už kiekvieną termino praleidimo dieną, neviršijant </w:t>
      </w:r>
      <w:r>
        <w:rPr>
          <w:rFonts w:eastAsia="Calibri" w:cs="Times New Roman" w:ascii="Times New Roman" w:hAnsi="Times New Roman"/>
          <w:color w:val="00000A"/>
          <w:kern w:val="0"/>
          <w:sz w:val="24"/>
          <w:szCs w:val="24"/>
          <w:lang w:val="lt-LT" w:eastAsia="en-US" w:bidi="ar-SA"/>
        </w:rPr>
        <w:t>180 kalendorinių dienų termino</w:t>
      </w:r>
      <w:r>
        <w:rPr>
          <w:rFonts w:cs="Times New Roman" w:ascii="Times New Roman" w:hAnsi="Times New Roman"/>
          <w:sz w:val="24"/>
          <w:szCs w:val="24"/>
          <w:lang w:val="lt-LT"/>
        </w:rPr>
        <w:t>.</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5.4. Pirkėjas, prieš tai raštu įspėjęs Tiekėją: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5.4.1. išskaičiuoja delspinigių sumą iš Tiekėjui mokėtinų sumų arba;;</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5.4.2. nutraukia Sutartį.</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5.5. Delspinigių sumokėjimas neatleidžia Šalių nuo pareigos vykdyti šioje Sutartyje prisiimtus įsipareigojimus.</w:t>
      </w:r>
    </w:p>
    <w:p>
      <w:pPr>
        <w:pStyle w:val="Normal"/>
        <w:spacing w:lineRule="auto" w:line="240" w:before="0" w:after="0"/>
        <w:ind w:firstLine="567"/>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VI. NENUGALIMOS JĖGOS APLINKYBĖS (</w:t>
      </w:r>
      <w:r>
        <w:rPr>
          <w:rFonts w:cs="Times New Roman" w:ascii="Times New Roman" w:hAnsi="Times New Roman"/>
          <w:b/>
          <w:i/>
          <w:iCs/>
          <w:sz w:val="24"/>
          <w:szCs w:val="24"/>
          <w:lang w:val="lt-LT"/>
        </w:rPr>
        <w:t>FORCE MAJEURE</w:t>
      </w:r>
      <w:r>
        <w:rPr>
          <w:rFonts w:cs="Times New Roman" w:ascii="Times New Roman" w:hAnsi="Times New Roman"/>
          <w:b/>
          <w:sz w:val="24"/>
          <w:szCs w:val="24"/>
          <w:lang w:val="lt-LT"/>
        </w:rPr>
        <w:t>)</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6.1.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6.2. Nenugalimos jėgos aplinkybėmis laikomos aplinkybės, nurodytos Lietuvos Respublikos  civilinio kodekso 6.212 str. ir kituose Lietuvos Respublikos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6.3.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6.4.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sz w:val="24"/>
          <w:szCs w:val="24"/>
          <w:lang w:val="lt-LT"/>
        </w:rPr>
      </w:pPr>
      <w:r>
        <w:rPr>
          <w:rFonts w:ascii="Times New Roman" w:hAnsi="Times New Roman"/>
          <w:sz w:val="24"/>
          <w:szCs w:val="24"/>
          <w:lang w:val="lt-LT"/>
        </w:rPr>
      </w:r>
    </w:p>
    <w:p>
      <w:pPr>
        <w:pStyle w:val="Normal"/>
        <w:spacing w:lineRule="auto" w:line="240" w:before="0" w:after="0"/>
        <w:ind w:firstLine="567"/>
        <w:jc w:val="both"/>
        <w:rPr>
          <w:rFonts w:ascii="Times New Roman" w:hAnsi="Times New Roman"/>
          <w:sz w:val="24"/>
          <w:szCs w:val="24"/>
          <w:lang w:val="lt-LT"/>
        </w:rPr>
      </w:pPr>
      <w:r>
        <w:rPr>
          <w:rFonts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VII. KONFIDENCIALUMO ĮSIPAREIGOJIMAI IR DUOMENŲ APSAUGA</w:t>
      </w:r>
    </w:p>
    <w:p>
      <w:pPr>
        <w:pStyle w:val="Normal"/>
        <w:spacing w:lineRule="auto" w:line="240" w:before="0" w:after="0"/>
        <w:ind w:firstLine="567"/>
        <w:jc w:val="center"/>
        <w:rPr>
          <w:rFonts w:ascii="Times New Roman" w:hAnsi="Times New Roman" w:cs="Times New Roman"/>
          <w:b/>
          <w:b/>
          <w:sz w:val="24"/>
          <w:szCs w:val="24"/>
          <w:lang w:val="lt-LT"/>
        </w:rPr>
      </w:pPr>
      <w:r>
        <w:rPr>
          <w:rFonts w:cs="Times New Roman" w:ascii="Times New Roman" w:hAnsi="Times New Roman"/>
          <w:b/>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7.1.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7.2. Konfidencialumo įsipareigojimai Sutarties Šalims nustatomi vadovaujantis Lietuvos Respublikos  viešųjų pirkimų įstatymo 20 straipsniu.</w:t>
      </w:r>
    </w:p>
    <w:p>
      <w:pPr>
        <w:pStyle w:val="Normal"/>
        <w:spacing w:lineRule="auto" w:line="240" w:before="0" w:after="0"/>
        <w:ind w:firstLine="567"/>
        <w:jc w:val="both"/>
        <w:rPr>
          <w:sz w:val="24"/>
          <w:szCs w:val="24"/>
        </w:rPr>
      </w:pPr>
      <w:r>
        <w:rPr>
          <w:rFonts w:cs="Times New Roman" w:ascii="Times New Roman" w:hAnsi="Times New Roman"/>
          <w:b w:val="false"/>
          <w:bCs w:val="false"/>
          <w:sz w:val="24"/>
          <w:szCs w:val="24"/>
          <w:lang w:val="lt-LT"/>
        </w:rPr>
        <w:t>7.3.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VIII. SUTARTIES PAKEITIMAI, PERŽIŪROS SĄLYGOS, PASIRINKIMO GALIMYBĖS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8.1. Sutarties sąlygos Sutarties galiojimo laikotarpiu gali būti keičiamos Lietuvos Respublikos  viešųjų pirkimų įstatymo 89 straipsnyje nustatyta tvarka.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8.2. Sudarytos Sutarties Šalis gali būti pakeista Lietuvos Respublikos viešųjų pirkimų įstatymo 89 straipsnio 1 dalies 4 punkte numatytais atvejais.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8.3.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IX. SUTARTIES VYKDYMO SUSTABDYMAS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9.1.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9.2.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9.3.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9.4.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9.5.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pPr>
        <w:pStyle w:val="Normal"/>
        <w:spacing w:lineRule="auto" w:line="240" w:before="0" w:after="0"/>
        <w:ind w:firstLine="567"/>
        <w:jc w:val="both"/>
        <w:rPr>
          <w:sz w:val="24"/>
          <w:szCs w:val="24"/>
        </w:rPr>
      </w:pPr>
      <w:r>
        <w:rPr>
          <w:rFonts w:cs="Times New Roman" w:ascii="Times New Roman" w:hAnsi="Times New Roman"/>
          <w:b w:val="false"/>
          <w:bCs w:val="false"/>
          <w:sz w:val="24"/>
          <w:szCs w:val="24"/>
          <w:lang w:val="lt-LT"/>
        </w:rPr>
        <w:t>9.6.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veikiama.</w:t>
      </w:r>
    </w:p>
    <w:p>
      <w:pPr>
        <w:pStyle w:val="Normal"/>
        <w:spacing w:lineRule="auto" w:line="240" w:before="0" w:after="0"/>
        <w:ind w:firstLine="567"/>
        <w:jc w:val="both"/>
        <w:rPr>
          <w:sz w:val="24"/>
          <w:szCs w:val="24"/>
        </w:rPr>
      </w:pPr>
      <w:r>
        <w:rPr>
          <w:rFonts w:cs="Times New Roman" w:ascii="Times New Roman" w:hAnsi="Times New Roman"/>
          <w:b w:val="false"/>
          <w:bCs w:val="false"/>
          <w:sz w:val="24"/>
          <w:szCs w:val="24"/>
          <w:lang w:val="lt-LT"/>
        </w:rPr>
        <w:t>9.7. Sutartinių įsipareigojimų vykdymo sustabdymas visais Sutartyje numatytais atvejais turi būti raštiškas, nurodant priežastis ir sustabdymo terminą bei pridedant dokumentus, patvirtinančius sustabdymo pagrindą (jeigu tokie yra).</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both"/>
        <w:rPr>
          <w:rFonts w:ascii="Times New Roman" w:hAnsi="Times New Roman" w:cs="Times New Roman"/>
          <w:b/>
          <w:b/>
          <w:sz w:val="24"/>
          <w:szCs w:val="24"/>
          <w:lang w:val="lt-LT"/>
        </w:rPr>
      </w:pPr>
      <w:r>
        <w:rPr>
          <w:rFonts w:cs="Times New Roman" w:ascii="Times New Roman" w:hAnsi="Times New Roman"/>
          <w:b/>
          <w:sz w:val="24"/>
          <w:szCs w:val="24"/>
          <w:lang w:val="lt-LT"/>
        </w:rPr>
      </w:r>
    </w:p>
    <w:p>
      <w:pPr>
        <w:pStyle w:val="Normal"/>
        <w:spacing w:lineRule="auto" w:line="240" w:before="0" w:after="0"/>
        <w:ind w:hanging="0"/>
        <w:jc w:val="center"/>
        <w:rPr>
          <w:sz w:val="24"/>
          <w:szCs w:val="24"/>
        </w:rPr>
      </w:pPr>
      <w:r>
        <w:rPr>
          <w:rFonts w:cs="Times New Roman" w:ascii="Times New Roman" w:hAnsi="Times New Roman"/>
          <w:b/>
          <w:sz w:val="24"/>
          <w:szCs w:val="24"/>
          <w:lang w:val="lt-LT"/>
        </w:rPr>
        <w:t>X. SUTARTIES PAŽEIDIMAS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10.1. Jei kuri nors Sutarties Šalis nevykdo arba netinkamai vykdo kokius nors savo įsipareigojimus pagal Sutartį, ji pažeidžia Sutartį.</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10.2. Vienai Sutarties Šaliai pažeidus Sutartį, nukentėjusioji Šalis turi teisę:</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10.2.1. reikalauti kitos Šalies vykdyti sutartinius įsipareigojimus;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10.2.2. reikalauti atlyginti nuostolius;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10.2.3. reikalauti sumokėti Sutarties 5.2 ir 5.3 papunkčiuose nustatytus delspinigius;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10.2.4. reikalauti sumažinti kainą, neįvykdyta ar netinkamai įvykdyta Tiekėjo įsipareigojimų dalimi;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10.2.5.nutraukti Sutartį;</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10.2.6. taikyti kitus Lietuvos Respublikos  teisės aktų nustatytus teisių gynimo būdus.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10.3. Tiekėjas negali perleisti visų ar dalies savo įsipareigojimų pagal šią Sutartį be išankstinio raštiško Pirkėjo sutikimo.</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10.4. Tiekėjas turi nedelsdamas pranešti Pirkėjui apie bet kokius esminius Tiekėjo asmens pasikeitimus, patvirtindamas, kad prielaidos, būtinos Sutarčiai vykdyti, nenustojo galioti.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10.5. Šioje Sutartyje esminėmis sąlygomis laikoma:</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10.5.1. Sutarties dalykas;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10.5.2. Sutarties kaina  ir kainodaros taisyklės;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10.5.3. apmokėjimo sąlygos ir tvarka;</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10.5.4. Tiekėjo sutartinių įsipareigojimų vykdymo terminas (-ai);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10.5.6. kitos sąlygos, kurias Pirkėjas numato kaip esmines.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XI. SUTARTIES GALIOJIMAS IR NUTRAUKIMAS</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11.1. Sutartis įsigalioja, kai Sutartį pasirašo abi Sutarties Šalys, ir galioja iki visiško Šalių įsipareigojimų įvykdymo, tačiau ne ilgiau kaip iki 2021 m. gruodžio 31d.  įskaitant apmokėjimo terminą ir galimus prat</w:t>
      </w:r>
      <w:bookmarkStart w:id="1" w:name="__DdeLink__8406_242085490"/>
      <w:bookmarkEnd w:id="1"/>
      <w:r>
        <w:rPr>
          <w:rFonts w:cs="Times New Roman" w:ascii="Times New Roman" w:hAnsi="Times New Roman"/>
          <w:sz w:val="24"/>
          <w:szCs w:val="24"/>
          <w:lang w:val="lt-LT"/>
        </w:rPr>
        <w:t xml:space="preserve">ęsimus.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11.2. Sutartis gali būti nutraukiama Lietuvos Respublikos Viešųjų pirkimų įstatymo 90 straipsnyje numatytais atvejais.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11.3. Sutartis gali būti nutraukiama raštišku Šalių susitarimu.</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11.4. Pirkėjas, įspėjęs Tiekėją prieš 14 (keturiolika) kalendorinių dienų, gali nutraukti Sutartį šiais atvejais: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11.4.1. kai Tiekėjas nevykdo savo sutartinių įsipareigojimų;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11.4.2. kai Tiekėjas patiekia netinkamos kokybės Prekes ir per pagrįstai nustatytą laikotarpį neįvykdo Pirkėjo nurodymo ištaisyti netinkamai įvykdytus arba neįvykdytus sutartinius įsipareigojimus;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11.4.3. kai Tiekėjas perleidžia Sutartį be Pirkėjo žinios; </w:t>
      </w:r>
    </w:p>
    <w:p>
      <w:pPr>
        <w:pStyle w:val="Normal"/>
        <w:spacing w:lineRule="auto" w:line="240" w:before="0" w:after="0"/>
        <w:ind w:firstLine="567"/>
        <w:jc w:val="both"/>
        <w:rPr>
          <w:sz w:val="24"/>
          <w:szCs w:val="24"/>
        </w:rPr>
      </w:pPr>
      <w:r>
        <w:rPr>
          <w:rFonts w:cs="Times New Roman" w:ascii="Times New Roman" w:hAnsi="Times New Roman"/>
          <w:b w:val="false"/>
          <w:bCs w:val="false"/>
          <w:sz w:val="24"/>
          <w:szCs w:val="24"/>
          <w:lang w:val="lt-LT"/>
        </w:rPr>
        <w:t xml:space="preserve">11.4.4.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11.4.5.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11.4.6. kai Pirkėjas šios Sutarties vykdymui negauna finansavimo;</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11.4.7. kai Prekės tampa nebereikalingos.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11.5. Tiekėjas, prieš 14 (keturiolika) kalendorinių dienų įspėjęs Pirkėją, gali nutraukti Sutartį, jei Pirkėjas dėl savo kaltės nevykdo savo sutartinių įsipareigojimų.</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11.6. Jei Sutartis nutraukiama ne dėl Tiekėjo kaltės, nutraukimo atveju Pirkėjas sumoka Tiekėjui patiektų Prekių vertę iki Sutarties nutraukimo. Tiekėjas neturi teisės į kokios nors patirtos žalos kompensaciją.</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11.7. Pirkėjas po Sutarties nutraukimo turi kiek galima greičiau patvirtinti patiektų Prekių vertę. Taip pat parengiama ataskaita apie Sutarties nutraukimo dieną esančią Tiekėjo skolą Pirkėjui ir Pirkėjo skolą Tiekėjui.</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11.9.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sz w:val="24"/>
          <w:szCs w:val="24"/>
          <w:lang w:val="lt-LT"/>
        </w:rPr>
      </w:pPr>
      <w:r>
        <w:rPr>
          <w:rFonts w:ascii="Times New Roman" w:hAnsi="Times New Roman"/>
          <w:sz w:val="24"/>
          <w:szCs w:val="24"/>
          <w:lang w:val="lt-LT"/>
        </w:rPr>
      </w:r>
    </w:p>
    <w:p>
      <w:pPr>
        <w:pStyle w:val="Normal"/>
        <w:spacing w:lineRule="auto" w:line="240" w:before="0" w:after="0"/>
        <w:ind w:firstLine="567"/>
        <w:jc w:val="both"/>
        <w:rPr>
          <w:rFonts w:ascii="Times New Roman" w:hAnsi="Times New Roman"/>
          <w:sz w:val="24"/>
          <w:szCs w:val="24"/>
          <w:lang w:val="lt-LT"/>
        </w:rPr>
      </w:pPr>
      <w:r>
        <w:rPr>
          <w:rFonts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XII. GINČŲ NAGRINĖJIMO TVARKA</w:t>
      </w:r>
    </w:p>
    <w:p>
      <w:pPr>
        <w:pStyle w:val="Normal"/>
        <w:spacing w:lineRule="auto" w:line="240" w:before="0" w:after="0"/>
        <w:ind w:firstLine="567"/>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40" w:before="0" w:after="0"/>
        <w:ind w:firstLine="567"/>
        <w:jc w:val="both"/>
        <w:rPr>
          <w:sz w:val="24"/>
          <w:szCs w:val="24"/>
        </w:rPr>
      </w:pPr>
      <w:r>
        <w:rPr>
          <w:rFonts w:cs="Times New Roman" w:ascii="Times New Roman" w:hAnsi="Times New Roman"/>
          <w:sz w:val="24"/>
          <w:szCs w:val="24"/>
          <w:lang w:val="lt-LT" w:eastAsia="en-US" w:bidi="ar-SA"/>
        </w:rPr>
        <w:t>12.1.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12.2.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center"/>
        <w:rPr>
          <w:rFonts w:ascii="Times New Roman" w:hAnsi="Times New Roman"/>
          <w:sz w:val="24"/>
          <w:szCs w:val="24"/>
          <w:lang w:val="lt-LT"/>
        </w:rPr>
      </w:pPr>
      <w:r>
        <w:rPr>
          <w:rFonts w:ascii="Times New Roman" w:hAnsi="Times New Roman"/>
          <w:sz w:val="24"/>
          <w:szCs w:val="24"/>
          <w:lang w:val="lt-LT"/>
        </w:rPr>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 xml:space="preserve">XIII. ASMENYS, ATSAKINGI UŽ SUTARTIES VYKDYMĄ, IR KITOS </w:t>
      </w:r>
    </w:p>
    <w:p>
      <w:pPr>
        <w:pStyle w:val="Normal"/>
        <w:spacing w:lineRule="auto" w:line="240" w:before="0" w:after="0"/>
        <w:ind w:firstLine="567"/>
        <w:jc w:val="center"/>
        <w:rPr>
          <w:sz w:val="24"/>
          <w:szCs w:val="24"/>
        </w:rPr>
      </w:pPr>
      <w:r>
        <w:rPr>
          <w:rFonts w:cs="Times New Roman" w:ascii="Times New Roman" w:hAnsi="Times New Roman"/>
          <w:b/>
          <w:sz w:val="24"/>
          <w:szCs w:val="24"/>
          <w:lang w:val="lt-LT"/>
        </w:rPr>
        <w:t>BAIGIAMOSIOS NUOSTATOS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         </w:t>
      </w:r>
    </w:p>
    <w:p>
      <w:pPr>
        <w:pStyle w:val="Normal"/>
        <w:tabs>
          <w:tab w:val="clear" w:pos="408"/>
          <w:tab w:val="left" w:pos="1168" w:leader="none"/>
        </w:tabs>
        <w:spacing w:lineRule="auto" w:line="240" w:before="0" w:after="0"/>
        <w:ind w:firstLine="567"/>
        <w:jc w:val="both"/>
        <w:rPr>
          <w:sz w:val="24"/>
          <w:szCs w:val="24"/>
        </w:rPr>
      </w:pPr>
      <w:r>
        <w:rPr>
          <w:rFonts w:cs="Times New Roman" w:ascii="Times New Roman" w:hAnsi="Times New Roman"/>
          <w:sz w:val="24"/>
          <w:szCs w:val="24"/>
          <w:lang w:val="lt-LT"/>
        </w:rPr>
        <w:t>13.1</w:t>
        <w:tab/>
        <w:t>Asmenys, atsakingi už Sutarties vykdymą:</w:t>
      </w:r>
    </w:p>
    <w:p>
      <w:pPr>
        <w:pStyle w:val="Normal"/>
        <w:spacing w:lineRule="auto" w:line="240" w:before="0" w:after="0"/>
        <w:ind w:firstLine="567"/>
        <w:jc w:val="both"/>
        <w:rPr/>
      </w:pPr>
      <w:r>
        <w:rPr>
          <w:rFonts w:cs="Times New Roman" w:ascii="Times New Roman" w:hAnsi="Times New Roman"/>
          <w:sz w:val="24"/>
          <w:szCs w:val="24"/>
          <w:lang w:val="lt-LT"/>
        </w:rPr>
        <w:t xml:space="preserve">13.1.1. Pirkėjo atstovas -  </w:t>
      </w:r>
      <w:r>
        <w:rPr>
          <w:rStyle w:val="Internetosaitas"/>
          <w:rFonts w:eastAsia="Batang;바탕" w:cs="Times New Roman" w:ascii="Times New Roman" w:hAnsi="Times New Roman"/>
          <w:color w:val="000000"/>
          <w:spacing w:val="-1"/>
          <w:sz w:val="24"/>
          <w:szCs w:val="24"/>
          <w:u w:val="none"/>
          <w:lang w:val="lt-LT"/>
        </w:rPr>
        <w:t xml:space="preserve">Marijampolės apskr. VPK Aptarnavimo skyriaus vyriausioji specialistė </w:t>
      </w:r>
      <w:r>
        <w:rPr>
          <w:rStyle w:val="Internetosaitas"/>
          <w:rFonts w:eastAsia="Batang;바탕" w:cs="Times New Roman" w:ascii="Times New Roman" w:hAnsi="Times New Roman"/>
          <w:color w:val="000080"/>
          <w:spacing w:val="-1"/>
          <w:sz w:val="24"/>
          <w:szCs w:val="24"/>
          <w:u w:val="none"/>
          <w:shd w:fill="000000" w:val="clear"/>
          <w:lang w:val="lt-LT"/>
        </w:rPr>
        <w:t>Ingrida Liorentienė</w:t>
      </w:r>
      <w:r>
        <w:rPr>
          <w:rStyle w:val="Internetosaitas"/>
          <w:rFonts w:eastAsia="Batang;바탕" w:cs="Times New Roman" w:ascii="Times New Roman" w:hAnsi="Times New Roman"/>
          <w:color w:val="auto"/>
          <w:spacing w:val="-1"/>
          <w:sz w:val="24"/>
          <w:szCs w:val="24"/>
          <w:u w:val="none"/>
          <w:lang w:val="lt-LT"/>
        </w:rPr>
        <w:t>, tel</w:t>
      </w:r>
      <w:r>
        <w:rPr>
          <w:rStyle w:val="Internetosaitas"/>
          <w:rFonts w:eastAsia="Batang;바탕" w:cs="Times New Roman" w:ascii="Times New Roman" w:hAnsi="Times New Roman"/>
          <w:color w:val="000000"/>
          <w:spacing w:val="-1"/>
          <w:sz w:val="24"/>
          <w:szCs w:val="24"/>
          <w:u w:val="none"/>
          <w:lang w:val="lt-LT"/>
        </w:rPr>
        <w:t xml:space="preserve">. +370 700 </w:t>
      </w:r>
      <w:r>
        <w:rPr>
          <w:rStyle w:val="Internetosaitas"/>
          <w:rFonts w:eastAsia="Batang;바탕" w:cs="Times New Roman" w:ascii="Times New Roman" w:hAnsi="Times New Roman"/>
          <w:color w:val="000080"/>
          <w:spacing w:val="-1"/>
          <w:sz w:val="24"/>
          <w:szCs w:val="24"/>
          <w:u w:val="none"/>
          <w:shd w:fill="000000" w:val="clear"/>
          <w:lang w:val="lt-LT"/>
        </w:rPr>
        <w:t>60393</w:t>
      </w:r>
      <w:r>
        <w:rPr>
          <w:rStyle w:val="Internetosaitas"/>
          <w:rFonts w:eastAsia="Batang;바탕" w:cs="Times New Roman" w:ascii="Times New Roman" w:hAnsi="Times New Roman"/>
          <w:color w:val="000000"/>
          <w:spacing w:val="-1"/>
          <w:sz w:val="24"/>
          <w:szCs w:val="24"/>
          <w:u w:val="none"/>
          <w:lang w:val="lt-LT"/>
        </w:rPr>
        <w:t xml:space="preserve">, elektroninis paštas </w:t>
      </w:r>
      <w:r>
        <w:rPr>
          <w:rStyle w:val="Internetosaitas"/>
          <w:rFonts w:eastAsia="Batang;바탕" w:cs="Times New Roman" w:ascii="Times New Roman" w:hAnsi="Times New Roman"/>
          <w:color w:val="000080"/>
          <w:spacing w:val="-1"/>
          <w:sz w:val="24"/>
          <w:szCs w:val="24"/>
          <w:u w:val="none"/>
          <w:shd w:fill="000000" w:val="clear"/>
          <w:lang w:val="lt-LT"/>
        </w:rPr>
        <w:t>ingrida</w:t>
      </w:r>
      <w:r>
        <w:rPr>
          <w:rStyle w:val="Internetosaitas"/>
          <w:rFonts w:eastAsia="Batang;바탕" w:cs="Times New Roman" w:ascii="Times New Roman" w:hAnsi="Times New Roman"/>
          <w:color w:val="000080"/>
          <w:spacing w:val="-1"/>
          <w:sz w:val="24"/>
          <w:szCs w:val="24"/>
          <w:shd w:fill="000000" w:val="clear"/>
          <w:lang w:val="lt-LT"/>
        </w:rPr>
        <w:t>.liorentiene</w:t>
      </w:r>
      <w:r>
        <w:rPr>
          <w:rStyle w:val="Internetosaitas"/>
          <w:rFonts w:eastAsia="Batang;바탕" w:cs="Times New Roman" w:ascii="Times New Roman" w:hAnsi="Times New Roman"/>
          <w:color w:val="0000CD"/>
          <w:spacing w:val="-1"/>
          <w:sz w:val="24"/>
          <w:szCs w:val="24"/>
          <w:lang w:val="lt-LT"/>
        </w:rPr>
        <w:t>@policija.lt</w:t>
      </w:r>
      <w:r>
        <w:rPr>
          <w:rFonts w:cs="Times New Roman" w:ascii="Times New Roman" w:hAnsi="Times New Roman"/>
          <w:sz w:val="24"/>
          <w:szCs w:val="24"/>
          <w:lang w:val="lt-LT"/>
        </w:rPr>
        <w:t>;</w:t>
      </w:r>
    </w:p>
    <w:p>
      <w:pPr>
        <w:pStyle w:val="Normal"/>
        <w:spacing w:lineRule="auto" w:line="240" w:before="0" w:after="0"/>
        <w:ind w:firstLine="567"/>
        <w:jc w:val="both"/>
        <w:rPr/>
      </w:pPr>
      <w:r>
        <w:rPr>
          <w:rFonts w:cs="Times New Roman" w:ascii="Times New Roman" w:hAnsi="Times New Roman"/>
          <w:sz w:val="24"/>
          <w:szCs w:val="24"/>
          <w:lang w:val="lt-LT"/>
        </w:rPr>
        <w:t xml:space="preserve">13.1.2. Tiekėjo atstovas – </w:t>
      </w:r>
      <w:r>
        <w:rPr>
          <w:rFonts w:cs="Times New Roman" w:ascii="Times New Roman" w:hAnsi="Times New Roman"/>
          <w:b w:val="false"/>
          <w:bCs w:val="false"/>
          <w:color w:val="auto"/>
          <w:sz w:val="24"/>
          <w:szCs w:val="24"/>
          <w:u w:val="none"/>
          <w:lang w:val="lt-LT"/>
        </w:rPr>
        <w:t xml:space="preserve">vadybininkas </w:t>
      </w:r>
      <w:r>
        <w:rPr>
          <w:rFonts w:cs="Times New Roman" w:ascii="Times New Roman" w:hAnsi="Times New Roman"/>
          <w:b w:val="false"/>
          <w:bCs w:val="false"/>
          <w:color w:val="000080"/>
          <w:sz w:val="24"/>
          <w:szCs w:val="24"/>
          <w:u w:val="none"/>
          <w:shd w:fill="000000" w:val="clear"/>
          <w:lang w:val="lt-LT"/>
        </w:rPr>
        <w:t>Romutis Lukoševičius</w:t>
      </w:r>
      <w:r>
        <w:rPr>
          <w:rFonts w:cs="Times New Roman" w:ascii="Times New Roman" w:hAnsi="Times New Roman"/>
          <w:b w:val="false"/>
          <w:bCs w:val="false"/>
          <w:color w:val="auto"/>
          <w:sz w:val="24"/>
          <w:szCs w:val="24"/>
          <w:u w:val="single"/>
          <w:lang w:val="lt-LT"/>
        </w:rPr>
        <w:t>,</w:t>
      </w:r>
      <w:r>
        <w:rPr>
          <w:rFonts w:cs="Times New Roman" w:ascii="Times New Roman" w:hAnsi="Times New Roman"/>
          <w:b w:val="false"/>
          <w:bCs w:val="false"/>
          <w:color w:val="auto"/>
          <w:sz w:val="24"/>
          <w:szCs w:val="24"/>
          <w:u w:val="none"/>
          <w:lang w:val="lt-LT"/>
        </w:rPr>
        <w:t xml:space="preserve"> tel. 85 </w:t>
      </w:r>
      <w:r>
        <w:rPr>
          <w:rFonts w:cs="Times New Roman" w:ascii="Times New Roman" w:hAnsi="Times New Roman"/>
          <w:b w:val="false"/>
          <w:bCs w:val="false"/>
          <w:color w:val="000080"/>
          <w:sz w:val="24"/>
          <w:szCs w:val="24"/>
          <w:u w:val="none"/>
          <w:shd w:fill="000000" w:val="clear"/>
          <w:lang w:val="lt-LT"/>
        </w:rPr>
        <w:t>2706314 /86 9954673,</w:t>
      </w:r>
      <w:r>
        <w:rPr>
          <w:rFonts w:cs="Times New Roman" w:ascii="Times New Roman" w:hAnsi="Times New Roman"/>
          <w:b w:val="false"/>
          <w:bCs w:val="false"/>
          <w:color w:val="auto"/>
          <w:sz w:val="24"/>
          <w:szCs w:val="24"/>
          <w:u w:val="none"/>
          <w:lang w:val="lt-LT"/>
        </w:rPr>
        <w:t xml:space="preserve"> el. paštas  </w:t>
      </w:r>
      <w:hyperlink r:id="rId2">
        <w:r>
          <w:rPr>
            <w:rStyle w:val="Internetosaitas"/>
            <w:rFonts w:cs="Times New Roman" w:ascii="Times New Roman" w:hAnsi="Times New Roman"/>
            <w:b w:val="false"/>
            <w:bCs w:val="false"/>
            <w:color w:val="0000CD"/>
            <w:sz w:val="24"/>
            <w:szCs w:val="24"/>
            <w:lang w:val="lt-LT"/>
          </w:rPr>
          <w:t>info@baterijos.lt</w:t>
        </w:r>
      </w:hyperlink>
      <w:r>
        <w:rPr>
          <w:rFonts w:cs="Times New Roman" w:ascii="Times New Roman" w:hAnsi="Times New Roman"/>
          <w:b w:val="false"/>
          <w:bCs w:val="false"/>
          <w:color w:val="auto"/>
          <w:sz w:val="24"/>
          <w:szCs w:val="24"/>
          <w:u w:val="none"/>
          <w:lang w:val="lt-LT"/>
        </w:rPr>
        <w:t>.</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13.2. Asmuo, atsakingas už Sutarties ir pakeitimų paskelbimą – Policijos departamento prie Vidaus reikalų ministerijos Viešųjų pirkimų valdybos 2-ojo pirkimų skyriaus vyriausiasis specialistas </w:t>
      </w:r>
      <w:r>
        <w:rPr>
          <w:rFonts w:cs="Times New Roman" w:ascii="Times New Roman" w:hAnsi="Times New Roman"/>
          <w:color w:val="000080"/>
          <w:sz w:val="24"/>
          <w:szCs w:val="24"/>
          <w:shd w:fill="000000" w:val="clear"/>
          <w:lang w:val="lt-LT"/>
        </w:rPr>
        <w:t xml:space="preserve">Juozas sendžikas, </w:t>
      </w:r>
      <w:r>
        <w:rPr>
          <w:rFonts w:cs="Times New Roman" w:ascii="Times New Roman" w:hAnsi="Times New Roman"/>
          <w:sz w:val="24"/>
          <w:szCs w:val="24"/>
          <w:lang w:val="lt-LT"/>
        </w:rPr>
        <w:t>tel. 8 700</w:t>
      </w:r>
      <w:r>
        <w:rPr>
          <w:rFonts w:cs="Times New Roman" w:ascii="Times New Roman" w:hAnsi="Times New Roman"/>
          <w:color w:val="000080"/>
          <w:sz w:val="24"/>
          <w:szCs w:val="24"/>
          <w:shd w:fill="000000" w:val="clear"/>
          <w:lang w:val="lt-LT"/>
        </w:rPr>
        <w:t xml:space="preserve"> 60409</w:t>
      </w:r>
      <w:r>
        <w:rPr>
          <w:rFonts w:cs="Times New Roman" w:ascii="Times New Roman" w:hAnsi="Times New Roman"/>
          <w:sz w:val="24"/>
          <w:szCs w:val="24"/>
          <w:lang w:val="lt-LT"/>
        </w:rPr>
        <w:t xml:space="preserve">, el. p. </w:t>
      </w:r>
      <w:r>
        <w:rPr>
          <w:rFonts w:cs="Times New Roman" w:ascii="Times New Roman" w:hAnsi="Times New Roman"/>
          <w:color w:val="000080"/>
          <w:sz w:val="24"/>
          <w:szCs w:val="24"/>
          <w:u w:val="single"/>
          <w:shd w:fill="000000" w:val="clear"/>
          <w:lang w:val="lt-LT"/>
        </w:rPr>
        <w:t>juozas.sendzikas</w:t>
      </w:r>
      <w:r>
        <w:rPr>
          <w:rFonts w:cs="Times New Roman" w:ascii="Times New Roman" w:hAnsi="Times New Roman"/>
          <w:color w:val="0000FF"/>
          <w:sz w:val="24"/>
          <w:szCs w:val="24"/>
          <w:u w:val="single"/>
          <w:lang w:val="lt-LT"/>
        </w:rPr>
        <w:t>@policija.lt</w:t>
      </w:r>
      <w:r>
        <w:rPr>
          <w:rFonts w:cs="Times New Roman" w:ascii="Times New Roman" w:hAnsi="Times New Roman"/>
          <w:sz w:val="24"/>
          <w:szCs w:val="24"/>
          <w:lang w:val="lt-LT"/>
        </w:rPr>
        <w:t>.</w:t>
      </w:r>
    </w:p>
    <w:p>
      <w:pPr>
        <w:pStyle w:val="Normal"/>
        <w:spacing w:lineRule="auto" w:line="240" w:before="0" w:after="0"/>
        <w:ind w:firstLine="567"/>
        <w:jc w:val="both"/>
        <w:rPr>
          <w:sz w:val="24"/>
          <w:szCs w:val="24"/>
        </w:rPr>
      </w:pPr>
      <w:r>
        <w:rPr>
          <w:rFonts w:cs="Times New Roman" w:ascii="Times New Roman" w:hAnsi="Times New Roman"/>
          <w:b w:val="false"/>
          <w:bCs w:val="false"/>
          <w:sz w:val="24"/>
          <w:szCs w:val="24"/>
          <w:lang w:val="lt-LT"/>
        </w:rPr>
        <w:t>13.3.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13.4. Sutartis yra Sutarties Šalių perskaityta, jų suprasta ir jos autentiškumas patvirtintas Šalių tinkamus įgaliojimus turinčių asmenų parašais.</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 xml:space="preserve">13.5. Ši Sutartis sudaryta lietuvių kalba 2 (dviem) egzemplioriais, turinčiais vienodą teisinę galią, – po vieną kiekvienai Šaliai. Elektroninės sutarties sudarymo atveju, Sutartis sudaryta lietuvių kalba ir pasirašyta saugiais Šalių kvalifikuotais elektroniniais parašais. </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13.6. Sutarties priedai yra sudėtinės ir neatskiriamos šios Sutarties dalys. Sutarties priedai pateikiami pirmumo tvarka:</w:t>
      </w:r>
    </w:p>
    <w:p>
      <w:pPr>
        <w:pStyle w:val="Normal"/>
        <w:spacing w:lineRule="auto" w:line="240" w:before="0" w:after="0"/>
        <w:ind w:firstLine="567"/>
        <w:jc w:val="both"/>
        <w:rPr>
          <w:sz w:val="24"/>
          <w:szCs w:val="24"/>
        </w:rPr>
      </w:pPr>
      <w:r>
        <w:rPr>
          <w:rFonts w:cs="Times New Roman" w:ascii="Times New Roman" w:hAnsi="Times New Roman"/>
          <w:sz w:val="24"/>
          <w:szCs w:val="24"/>
          <w:lang w:val="lt-LT"/>
        </w:rPr>
        <w:t>13.6.2. Sutarties 1 priedas – Tiekėjo pasiūlymas;</w:t>
      </w:r>
    </w:p>
    <w:p>
      <w:pPr>
        <w:pStyle w:val="Normal"/>
        <w:spacing w:lineRule="auto" w:line="240" w:before="0" w:after="0"/>
        <w:ind w:firstLine="567"/>
        <w:jc w:val="both"/>
        <w:rPr>
          <w:sz w:val="24"/>
          <w:szCs w:val="24"/>
        </w:rPr>
      </w:pPr>
      <w:r>
        <w:rPr>
          <w:rFonts w:cs="Times New Roman" w:ascii="Times New Roman" w:hAnsi="Times New Roman"/>
          <w:b w:val="false"/>
          <w:bCs w:val="false"/>
          <w:sz w:val="24"/>
          <w:szCs w:val="24"/>
          <w:lang w:val="lt-LT"/>
        </w:rPr>
        <w:t xml:space="preserve">13.6.3. Sutarties 2 priedas – Prekių perdavimo–priėmimo aktas.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tbl>
      <w:tblPr>
        <w:tblStyle w:val="TableGrid"/>
        <w:tblW w:w="9635" w:type="dxa"/>
        <w:jc w:val="left"/>
        <w:tblInd w:w="288" w:type="dxa"/>
        <w:tblLayout w:type="fixed"/>
        <w:tblCellMar>
          <w:top w:w="0" w:type="dxa"/>
          <w:left w:w="288" w:type="dxa"/>
          <w:bottom w:w="0" w:type="dxa"/>
          <w:right w:w="108" w:type="dxa"/>
        </w:tblCellMar>
        <w:tblLook w:firstRow="1" w:noVBand="1" w:lastRow="0" w:firstColumn="1" w:lastColumn="0" w:noHBand="0" w:val="04a0"/>
      </w:tblPr>
      <w:tblGrid>
        <w:gridCol w:w="5270"/>
        <w:gridCol w:w="4364"/>
      </w:tblGrid>
      <w:tr>
        <w:trPr>
          <w:trHeight w:val="4248" w:hRule="atLeast"/>
        </w:trPr>
        <w:tc>
          <w:tcPr>
            <w:tcW w:w="5270" w:type="dxa"/>
            <w:tcBorders>
              <w:top w:val="nil"/>
              <w:left w:val="nil"/>
              <w:bottom w:val="nil"/>
              <w:right w:val="nil"/>
            </w:tcBorders>
            <w:shd w:fill="auto" w:val="clear"/>
          </w:tcPr>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b/>
                <w:bCs/>
                <w:sz w:val="24"/>
                <w:szCs w:val="24"/>
                <w:lang w:val="lt-LT"/>
              </w:rPr>
              <w:t>PIRKĖJAS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r>
          </w:p>
          <w:p>
            <w:pPr>
              <w:pStyle w:val="BodyText1"/>
              <w:widowControl w:val="false"/>
              <w:tabs>
                <w:tab w:val="clear" w:pos="408"/>
                <w:tab w:val="left" w:pos="0" w:leader="none"/>
                <w:tab w:val="left" w:pos="567" w:leader="none"/>
                <w:tab w:val="left" w:pos="1201" w:leader="none"/>
              </w:tabs>
              <w:ind w:hanging="0"/>
              <w:rPr>
                <w:rFonts w:ascii="Times New Roman" w:hAnsi="Times New Roman"/>
                <w:b/>
                <w:b/>
                <w:bCs/>
                <w:sz w:val="24"/>
                <w:szCs w:val="24"/>
                <w:lang w:val="lt-LT"/>
              </w:rPr>
            </w:pPr>
            <w:r>
              <w:rPr>
                <w:rFonts w:ascii="Times New Roman" w:hAnsi="Times New Roman"/>
                <w:b/>
                <w:bCs/>
                <w:sz w:val="24"/>
                <w:szCs w:val="24"/>
                <w:lang w:val="lt-LT"/>
              </w:rPr>
              <w:t>Marijampolės apskrities vyriausiasis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b/>
                <w:bCs/>
                <w:sz w:val="24"/>
                <w:szCs w:val="24"/>
                <w:lang w:val="lt-LT"/>
              </w:rPr>
              <w:t>policijos komisariatas</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t>Basanavičiaus a.2, LT-68309 Marijampolė</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t>Juridinio asmens kodas 191207757</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t>Tel. +370 700 60000</w:t>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r>
          </w:p>
          <w:p>
            <w:pPr>
              <w:pStyle w:val="BodyText1"/>
              <w:widowControl w:val="false"/>
              <w:tabs>
                <w:tab w:val="clear" w:pos="408"/>
                <w:tab w:val="left" w:pos="0" w:leader="none"/>
                <w:tab w:val="left" w:pos="567" w:leader="none"/>
                <w:tab w:val="left" w:pos="1201" w:leader="none"/>
              </w:tabs>
              <w:ind w:hanging="0"/>
              <w:rPr>
                <w:rFonts w:ascii="Times New Roman" w:hAnsi="Times New Roman"/>
                <w:sz w:val="24"/>
                <w:szCs w:val="24"/>
                <w:lang w:val="lt-LT"/>
              </w:rPr>
            </w:pPr>
            <w:r>
              <w:rPr>
                <w:rFonts w:ascii="Times New Roman" w:hAnsi="Times New Roman"/>
                <w:sz w:val="24"/>
                <w:szCs w:val="24"/>
                <w:lang w:val="lt-LT"/>
              </w:rPr>
            </w:r>
          </w:p>
          <w:p>
            <w:pPr>
              <w:pStyle w:val="BodyText1"/>
              <w:widowControl w:val="false"/>
              <w:tabs>
                <w:tab w:val="clear" w:pos="408"/>
                <w:tab w:val="left" w:pos="0" w:leader="none"/>
                <w:tab w:val="left" w:pos="567" w:leader="none"/>
                <w:tab w:val="left" w:pos="1201" w:leader="none"/>
              </w:tabs>
              <w:ind w:hanging="0"/>
              <w:rPr>
                <w:rFonts w:ascii="Times New Roman" w:hAnsi="Times New Roman"/>
                <w:b w:val="false"/>
                <w:b w:val="false"/>
                <w:bCs w:val="false"/>
                <w:sz w:val="24"/>
                <w:szCs w:val="24"/>
                <w:lang w:val="lt-LT"/>
              </w:rPr>
            </w:pPr>
            <w:r>
              <w:rPr>
                <w:rFonts w:ascii="Times New Roman" w:hAnsi="Times New Roman"/>
                <w:b w:val="false"/>
                <w:bCs w:val="false"/>
                <w:sz w:val="24"/>
                <w:szCs w:val="24"/>
                <w:lang w:val="lt-LT"/>
              </w:rPr>
            </w:r>
          </w:p>
          <w:p>
            <w:pPr>
              <w:pStyle w:val="Pagrindinistekstas"/>
              <w:widowControl w:val="false"/>
              <w:rPr>
                <w:rFonts w:ascii="Times New Roman" w:hAnsi="Times New Roman"/>
                <w:sz w:val="24"/>
                <w:szCs w:val="24"/>
              </w:rPr>
            </w:pPr>
            <w:r>
              <w:rPr>
                <w:rFonts w:ascii="Times New Roman" w:hAnsi="Times New Roman"/>
                <w:sz w:val="24"/>
                <w:szCs w:val="24"/>
              </w:rPr>
              <w:t>Viršininkas</w:t>
            </w:r>
          </w:p>
          <w:p>
            <w:pPr>
              <w:pStyle w:val="Pagrindinistekstas"/>
              <w:widowControl w:val="false"/>
              <w:spacing w:before="0" w:after="140"/>
              <w:rPr>
                <w:rFonts w:ascii="Times New Roman" w:hAnsi="Times New Roman"/>
                <w:sz w:val="24"/>
                <w:szCs w:val="24"/>
              </w:rPr>
            </w:pPr>
            <w:r>
              <w:rPr>
                <w:rFonts w:ascii="Times New Roman" w:hAnsi="Times New Roman"/>
                <w:sz w:val="24"/>
                <w:szCs w:val="24"/>
              </w:rPr>
              <w:t>Harimantas Poškevičius</w:t>
            </w:r>
          </w:p>
        </w:tc>
        <w:tc>
          <w:tcPr>
            <w:tcW w:w="4364" w:type="dxa"/>
            <w:tcBorders>
              <w:top w:val="nil"/>
              <w:left w:val="nil"/>
              <w:bottom w:val="nil"/>
              <w:right w:val="nil"/>
            </w:tcBorders>
            <w:shd w:fill="auto" w:val="clear"/>
          </w:tcPr>
          <w:p>
            <w:pPr>
              <w:pStyle w:val="BodyText1"/>
              <w:widowControl w:val="false"/>
              <w:tabs>
                <w:tab w:val="clear" w:pos="408"/>
                <w:tab w:val="left" w:pos="0" w:leader="none"/>
                <w:tab w:val="left" w:pos="567" w:leader="none"/>
                <w:tab w:val="left" w:pos="1201" w:leader="none"/>
              </w:tabs>
              <w:ind w:hanging="0"/>
              <w:rPr>
                <w:rFonts w:ascii="Times New Roman" w:hAnsi="Times New Roman"/>
                <w:b/>
                <w:b/>
                <w:bCs/>
                <w:sz w:val="24"/>
                <w:szCs w:val="24"/>
                <w:lang w:val="lt-LT"/>
              </w:rPr>
            </w:pPr>
            <w:r>
              <w:rPr>
                <w:rFonts w:ascii="Times New Roman" w:hAnsi="Times New Roman"/>
                <w:b/>
                <w:bCs/>
                <w:sz w:val="24"/>
                <w:szCs w:val="24"/>
                <w:lang w:val="lt-LT"/>
              </w:rPr>
              <w:t>TIEKĖJAS</w:t>
            </w:r>
          </w:p>
          <w:p>
            <w:pPr>
              <w:pStyle w:val="BodyText1"/>
              <w:widowControl w:val="false"/>
              <w:tabs>
                <w:tab w:val="clear" w:pos="408"/>
                <w:tab w:val="left" w:pos="0" w:leader="none"/>
                <w:tab w:val="left" w:pos="567" w:leader="none"/>
                <w:tab w:val="left" w:pos="1201" w:leader="none"/>
              </w:tabs>
              <w:ind w:hanging="0"/>
              <w:rPr>
                <w:rFonts w:ascii="Times New Roman" w:hAnsi="Times New Roman"/>
                <w:b/>
                <w:b/>
                <w:bCs/>
                <w:sz w:val="24"/>
                <w:szCs w:val="24"/>
                <w:lang w:val="lt-LT"/>
              </w:rPr>
            </w:pPr>
            <w:r>
              <w:rPr>
                <w:rFonts w:ascii="Times New Roman" w:hAnsi="Times New Roman"/>
                <w:b/>
                <w:bCs/>
                <w:sz w:val="24"/>
                <w:szCs w:val="24"/>
                <w:lang w:val="lt-LT"/>
              </w:rPr>
            </w:r>
          </w:p>
          <w:p>
            <w:pPr>
              <w:pStyle w:val="Normal"/>
              <w:widowControl w:val="false"/>
              <w:snapToGrid w:val="false"/>
              <w:spacing w:before="0" w:after="0"/>
              <w:contextualSpacing/>
              <w:jc w:val="left"/>
              <w:rPr>
                <w:rFonts w:ascii="Times New Roman" w:hAnsi="Times New Roman"/>
                <w:b/>
                <w:b/>
                <w:sz w:val="24"/>
                <w:szCs w:val="24"/>
                <w:lang w:val="lt-LT"/>
              </w:rPr>
            </w:pPr>
            <w:r>
              <w:rPr>
                <w:rFonts w:ascii="Times New Roman" w:hAnsi="Times New Roman"/>
                <w:b/>
                <w:sz w:val="24"/>
                <w:szCs w:val="24"/>
                <w:lang w:val="lt-LT"/>
              </w:rPr>
              <w:t>Laimutės Lukoševičienės individuali įmonė</w:t>
            </w:r>
          </w:p>
          <w:p>
            <w:pPr>
              <w:pStyle w:val="Normal"/>
              <w:widowControl w:val="false"/>
              <w:snapToGrid w:val="false"/>
              <w:spacing w:before="0" w:after="0"/>
              <w:contextualSpacing/>
              <w:jc w:val="left"/>
              <w:rPr>
                <w:rFonts w:ascii="Times New Roman" w:hAnsi="Times New Roman"/>
                <w:b w:val="false"/>
                <w:b w:val="false"/>
                <w:bCs w:val="false"/>
                <w:sz w:val="24"/>
                <w:szCs w:val="24"/>
                <w:lang w:val="lt-LT"/>
              </w:rPr>
            </w:pPr>
            <w:r>
              <w:rPr>
                <w:rFonts w:ascii="Times New Roman" w:hAnsi="Times New Roman"/>
                <w:b w:val="false"/>
                <w:bCs w:val="false"/>
                <w:sz w:val="24"/>
                <w:szCs w:val="24"/>
                <w:lang w:val="lt-LT"/>
              </w:rPr>
              <w:t>Sutemų g. 8, Vilnius</w:t>
            </w:r>
          </w:p>
          <w:p>
            <w:pPr>
              <w:pStyle w:val="Normal"/>
              <w:widowControl w:val="false"/>
              <w:snapToGrid w:val="false"/>
              <w:spacing w:before="0" w:after="0"/>
              <w:contextualSpacing/>
              <w:jc w:val="left"/>
              <w:rPr>
                <w:rFonts w:ascii="Times New Roman" w:hAnsi="Times New Roman"/>
                <w:b w:val="false"/>
                <w:b w:val="false"/>
                <w:bCs w:val="false"/>
                <w:sz w:val="24"/>
                <w:szCs w:val="24"/>
                <w:lang w:val="lt-LT"/>
              </w:rPr>
            </w:pPr>
            <w:r>
              <w:rPr>
                <w:rFonts w:ascii="Times New Roman" w:hAnsi="Times New Roman"/>
                <w:b w:val="false"/>
                <w:bCs w:val="false"/>
                <w:sz w:val="24"/>
                <w:szCs w:val="24"/>
                <w:lang w:val="lt-LT"/>
              </w:rPr>
              <w:t>Juridinio asmens kodas 124334956</w:t>
            </w:r>
          </w:p>
          <w:p>
            <w:pPr>
              <w:pStyle w:val="Normal"/>
              <w:widowControl w:val="false"/>
              <w:snapToGrid w:val="false"/>
              <w:spacing w:before="0" w:after="0"/>
              <w:contextualSpacing/>
              <w:jc w:val="left"/>
              <w:rPr>
                <w:rFonts w:ascii="Times New Roman" w:hAnsi="Times New Roman"/>
                <w:b w:val="false"/>
                <w:b w:val="false"/>
                <w:bCs w:val="false"/>
                <w:sz w:val="24"/>
                <w:szCs w:val="24"/>
                <w:lang w:val="lt-LT"/>
              </w:rPr>
            </w:pPr>
            <w:r>
              <w:rPr>
                <w:rFonts w:ascii="Times New Roman" w:hAnsi="Times New Roman"/>
                <w:b w:val="false"/>
                <w:bCs w:val="false"/>
                <w:sz w:val="24"/>
                <w:szCs w:val="24"/>
                <w:lang w:val="lt-LT"/>
              </w:rPr>
              <w:t>PVM mokėtojo kodas LT243349515</w:t>
            </w:r>
          </w:p>
          <w:p>
            <w:pPr>
              <w:pStyle w:val="Normal"/>
              <w:widowControl w:val="false"/>
              <w:snapToGrid w:val="false"/>
              <w:spacing w:before="0" w:after="0"/>
              <w:contextualSpacing/>
              <w:jc w:val="left"/>
              <w:rPr>
                <w:rFonts w:ascii="Times New Roman" w:hAnsi="Times New Roman"/>
                <w:b w:val="false"/>
                <w:b w:val="false"/>
                <w:bCs w:val="false"/>
                <w:sz w:val="24"/>
                <w:szCs w:val="24"/>
                <w:lang w:val="lt-LT"/>
              </w:rPr>
            </w:pPr>
            <w:r>
              <w:rPr>
                <w:rFonts w:ascii="Times New Roman" w:hAnsi="Times New Roman"/>
                <w:b w:val="false"/>
                <w:bCs w:val="false"/>
                <w:sz w:val="24"/>
                <w:szCs w:val="24"/>
                <w:lang w:val="lt-LT"/>
              </w:rPr>
              <w:t>A. s. LT687044060001687450</w:t>
            </w:r>
          </w:p>
          <w:p>
            <w:pPr>
              <w:pStyle w:val="Normal"/>
              <w:widowControl w:val="false"/>
              <w:snapToGrid w:val="false"/>
              <w:spacing w:before="0" w:after="0"/>
              <w:contextualSpacing/>
              <w:jc w:val="left"/>
              <w:rPr>
                <w:rFonts w:ascii="Times New Roman" w:hAnsi="Times New Roman"/>
                <w:b w:val="false"/>
                <w:b w:val="false"/>
                <w:bCs w:val="false"/>
                <w:sz w:val="24"/>
                <w:szCs w:val="24"/>
                <w:lang w:val="lt-LT"/>
              </w:rPr>
            </w:pPr>
            <w:r>
              <w:rPr>
                <w:rFonts w:ascii="Times New Roman" w:hAnsi="Times New Roman"/>
                <w:b w:val="false"/>
                <w:bCs w:val="false"/>
                <w:sz w:val="24"/>
                <w:szCs w:val="24"/>
                <w:lang w:val="lt-LT"/>
              </w:rPr>
              <w:t>SEB bankas, AB</w:t>
            </w:r>
          </w:p>
          <w:p>
            <w:pPr>
              <w:pStyle w:val="Normal"/>
              <w:widowControl w:val="false"/>
              <w:snapToGrid w:val="false"/>
              <w:spacing w:before="0" w:after="0"/>
              <w:contextualSpacing/>
              <w:jc w:val="left"/>
              <w:rPr>
                <w:rFonts w:ascii="Times New Roman" w:hAnsi="Times New Roman"/>
                <w:b w:val="false"/>
                <w:b w:val="false"/>
                <w:bCs w:val="false"/>
                <w:sz w:val="24"/>
                <w:szCs w:val="24"/>
                <w:lang w:val="lt-LT"/>
              </w:rPr>
            </w:pPr>
            <w:r>
              <w:rPr>
                <w:rFonts w:ascii="Times New Roman" w:hAnsi="Times New Roman"/>
                <w:b w:val="false"/>
                <w:bCs w:val="false"/>
                <w:sz w:val="24"/>
                <w:szCs w:val="24"/>
                <w:lang w:val="lt-LT"/>
              </w:rPr>
              <w:t>Tel. 8 699 54673</w:t>
            </w:r>
          </w:p>
          <w:p>
            <w:pPr>
              <w:pStyle w:val="Normal"/>
              <w:widowControl w:val="false"/>
              <w:snapToGrid w:val="false"/>
              <w:spacing w:before="0" w:after="0"/>
              <w:contextualSpacing/>
              <w:jc w:val="left"/>
              <w:rPr>
                <w:rFonts w:ascii="Times New Roman" w:hAnsi="Times New Roman"/>
                <w:color w:val="0000FF"/>
                <w:sz w:val="24"/>
                <w:szCs w:val="24"/>
              </w:rPr>
            </w:pPr>
            <w:r>
              <w:rPr>
                <w:rFonts w:ascii="Times New Roman" w:hAnsi="Times New Roman"/>
                <w:b w:val="false"/>
                <w:bCs w:val="false"/>
                <w:color w:val="0000FF"/>
                <w:sz w:val="24"/>
                <w:szCs w:val="24"/>
                <w:lang w:val="lt-LT"/>
              </w:rPr>
              <w:t xml:space="preserve">El. p. </w:t>
            </w:r>
            <w:r>
              <w:rPr>
                <w:rFonts w:ascii="Times New Roman" w:hAnsi="Times New Roman"/>
                <w:b w:val="false"/>
                <w:bCs w:val="false"/>
                <w:color w:val="0000FF"/>
                <w:sz w:val="24"/>
                <w:szCs w:val="24"/>
                <w:u w:val="single"/>
                <w:lang w:val="lt-LT"/>
              </w:rPr>
              <w:t>info@baterijos.lt</w:t>
            </w:r>
          </w:p>
          <w:p>
            <w:pPr>
              <w:pStyle w:val="Normal"/>
              <w:widowControl w:val="false"/>
              <w:snapToGrid w:val="false"/>
              <w:spacing w:before="0" w:after="0"/>
              <w:contextualSpacing/>
              <w:jc w:val="left"/>
              <w:rPr>
                <w:rFonts w:ascii="Times New Roman" w:hAnsi="Times New Roman"/>
                <w:b w:val="false"/>
                <w:b w:val="false"/>
                <w:bCs w:val="false"/>
                <w:sz w:val="24"/>
                <w:szCs w:val="24"/>
                <w:lang w:val="lt-LT"/>
              </w:rPr>
            </w:pPr>
            <w:r>
              <w:rPr>
                <w:rFonts w:ascii="Times New Roman" w:hAnsi="Times New Roman"/>
                <w:b w:val="false"/>
                <w:bCs w:val="false"/>
                <w:sz w:val="20"/>
                <w:szCs w:val="24"/>
                <w:lang w:val="lt-LT"/>
              </w:rPr>
            </w:r>
          </w:p>
          <w:p>
            <w:pPr>
              <w:pStyle w:val="Normal"/>
              <w:widowControl w:val="false"/>
              <w:jc w:val="left"/>
              <w:rPr>
                <w:rFonts w:ascii="Times New Roman" w:hAnsi="Times New Roman"/>
                <w:sz w:val="24"/>
                <w:szCs w:val="24"/>
                <w:lang w:val="lt-LT"/>
              </w:rPr>
            </w:pPr>
            <w:r>
              <w:rPr>
                <w:rFonts w:ascii="Times New Roman" w:hAnsi="Times New Roman"/>
                <w:sz w:val="24"/>
                <w:szCs w:val="24"/>
                <w:lang w:val="lt-LT"/>
              </w:rPr>
              <w:t>Vadybininkas</w:t>
            </w:r>
          </w:p>
          <w:p>
            <w:pPr>
              <w:pStyle w:val="Standard"/>
              <w:widowControl w:val="false"/>
              <w:rPr>
                <w:rFonts w:ascii="Times New Roman" w:hAnsi="Times New Roman"/>
                <w:sz w:val="24"/>
                <w:szCs w:val="24"/>
                <w:lang w:val="lt-LT"/>
              </w:rPr>
            </w:pPr>
            <w:r>
              <w:rPr>
                <w:sz w:val="24"/>
                <w:szCs w:val="24"/>
                <w:lang w:val="lt-LT"/>
              </w:rPr>
              <w:t>Romutis Lukoševičius</w:t>
            </w:r>
          </w:p>
        </w:tc>
      </w:tr>
    </w:tbl>
    <w:p>
      <w:pPr>
        <w:pStyle w:val="Normal"/>
        <w:pageBreakBefore w:val="false"/>
        <w:tabs>
          <w:tab w:val="clear" w:pos="408"/>
          <w:tab w:val="left" w:pos="5668" w:leader="none"/>
          <w:tab w:val="left" w:pos="5850" w:leader="none"/>
          <w:tab w:val="left" w:pos="6032" w:leader="none"/>
        </w:tabs>
        <w:spacing w:lineRule="auto" w:line="240" w:before="0" w:after="0"/>
        <w:ind w:firstLine="5669"/>
        <w:jc w:val="right"/>
        <w:rPr>
          <w:sz w:val="24"/>
          <w:szCs w:val="24"/>
        </w:rPr>
      </w:pPr>
      <w:r>
        <w:rPr>
          <w:rFonts w:cs="Times New Roman" w:ascii="Times New Roman" w:hAnsi="Times New Roman"/>
          <w:sz w:val="24"/>
          <w:szCs w:val="24"/>
          <w:lang w:val="lt-LT"/>
        </w:rPr>
        <w:t xml:space="preserve">     </w:t>
      </w:r>
    </w:p>
    <w:p>
      <w:pPr>
        <w:pStyle w:val="Normal"/>
        <w:tabs>
          <w:tab w:val="clear" w:pos="408"/>
          <w:tab w:val="left" w:pos="5668" w:leader="none"/>
          <w:tab w:val="left" w:pos="5850" w:leader="none"/>
          <w:tab w:val="left" w:pos="6032" w:leader="none"/>
        </w:tabs>
        <w:spacing w:lineRule="auto" w:line="240" w:before="0" w:after="0"/>
        <w:ind w:firstLine="5669"/>
        <w:jc w:val="righ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tabs>
          <w:tab w:val="clear" w:pos="408"/>
          <w:tab w:val="left" w:pos="5668" w:leader="none"/>
          <w:tab w:val="left" w:pos="5850" w:leader="none"/>
          <w:tab w:val="left" w:pos="6032" w:leader="none"/>
        </w:tabs>
        <w:spacing w:lineRule="auto" w:line="240" w:before="0" w:after="0"/>
        <w:ind w:hanging="0"/>
        <w:jc w:val="right"/>
        <w:rPr>
          <w:sz w:val="24"/>
          <w:szCs w:val="24"/>
        </w:rPr>
      </w:pPr>
      <w:r>
        <w:rPr>
          <w:rFonts w:cs="Times New Roman" w:ascii="Times New Roman" w:hAnsi="Times New Roman"/>
          <w:sz w:val="24"/>
          <w:szCs w:val="24"/>
          <w:lang w:val="lt-LT"/>
        </w:rPr>
        <w:t xml:space="preserve">   </w:t>
      </w:r>
    </w:p>
    <w:sectPr>
      <w:headerReference w:type="default" r:id="rId3"/>
      <w:headerReference w:type="first" r:id="rId4"/>
      <w:type w:val="nextPage"/>
      <w:pgSz w:w="11906" w:h="16838"/>
      <w:pgMar w:left="1701" w:right="567" w:header="1134" w:top="1582" w:footer="0" w:bottom="1134" w:gutter="0"/>
      <w:pgNumType w:fmt="decimal"/>
      <w:formProt w:val="false"/>
      <w:titlePg/>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 w:name="Liberation Sans">
    <w:altName w:val="Arial"/>
    <w:charset w:val="01"/>
    <w:family w:val="swiss"/>
    <w:pitch w:val="default"/>
  </w:font>
  <w:font w:name="TimesLT">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kairje"/>
      <w:suppressLineNumbers/>
      <w:spacing w:before="0" w:after="160"/>
      <w:jc w:val="center"/>
      <w:rPr/>
    </w:pPr>
    <w:r>
      <w:rPr/>
      <w:fldChar w:fldCharType="begin"/>
    </w:r>
    <w:r>
      <w:rPr/>
      <w:instrText>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kairje"/>
      <w:suppressLineNumbers/>
      <w:spacing w:before="0" w:after="160"/>
      <w:rPr/>
    </w:pPr>
    <w:r>
      <w:rPr/>
    </w:r>
  </w:p>
</w:hdr>
</file>

<file path=word/settings.xml><?xml version="1.0" encoding="utf-8"?>
<w:settings xmlns:w="http://schemas.openxmlformats.org/wordprocessingml/2006/main">
  <w:zoom w:percent="137"/>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30c2"/>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91260"/>
    <w:rPr>
      <w:sz w:val="16"/>
      <w:szCs w:val="16"/>
    </w:rPr>
  </w:style>
  <w:style w:type="character" w:styleId="CommentTextChar" w:customStyle="1">
    <w:name w:val="Comment Text Char"/>
    <w:basedOn w:val="DefaultParagraphFont"/>
    <w:link w:val="CommentText"/>
    <w:uiPriority w:val="99"/>
    <w:qFormat/>
    <w:rsid w:val="00a91260"/>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a91260"/>
    <w:rPr>
      <w:rFonts w:ascii="Segoe UI" w:hAnsi="Segoe UI" w:cs="Segoe UI"/>
      <w:sz w:val="18"/>
      <w:szCs w:val="18"/>
    </w:rPr>
  </w:style>
  <w:style w:type="character" w:styleId="HeaderChar" w:customStyle="1">
    <w:name w:val="Header Char"/>
    <w:basedOn w:val="DefaultParagraphFont"/>
    <w:link w:val="Header"/>
    <w:uiPriority w:val="99"/>
    <w:qFormat/>
    <w:rsid w:val="00b030c2"/>
    <w:rPr/>
  </w:style>
  <w:style w:type="character" w:styleId="FooterChar" w:customStyle="1">
    <w:name w:val="Footer Char"/>
    <w:basedOn w:val="DefaultParagraphFont"/>
    <w:link w:val="Footer"/>
    <w:uiPriority w:val="99"/>
    <w:qFormat/>
    <w:rsid w:val="00b030c2"/>
    <w:rPr/>
  </w:style>
  <w:style w:type="character" w:styleId="Stiprusparykinimas" w:customStyle="1">
    <w:name w:val="Stiprus paryškinimas"/>
    <w:qFormat/>
    <w:rPr>
      <w:b/>
      <w:bCs/>
    </w:rPr>
  </w:style>
  <w:style w:type="character" w:styleId="Numatytasispastraiposriftas">
    <w:name w:val="Numatytasis pastraipos šriftas"/>
    <w:qFormat/>
    <w:rPr/>
  </w:style>
  <w:style w:type="character" w:styleId="Internetosaitas">
    <w:name w:val="Interneto saitas"/>
    <w:rPr>
      <w:color w:val="000080"/>
      <w:u w:val="single"/>
      <w:lang w:eastAsia="zxx" w:bidi="zxx"/>
    </w:rPr>
  </w:style>
  <w:style w:type="character" w:styleId="Aplankytasinternetosaitas">
    <w:name w:val="Aplankytas interneto saitas"/>
    <w:rPr>
      <w:color w:val="800000"/>
      <w:u w:val="single"/>
      <w:lang w:eastAsia="zxx" w:bidi="zxx"/>
    </w:rPr>
  </w:style>
  <w:style w:type="character" w:styleId="Numatytasispastraiposriftas1">
    <w:name w:val="Numatytasis pastraipos šriftas1"/>
    <w:qFormat/>
    <w:rPr/>
  </w:style>
  <w:style w:type="paragraph" w:styleId="Antrat" w:customStyle="1">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BodyText1" w:customStyle="1">
    <w:name w:val="Body Text1"/>
    <w:qFormat/>
    <w:rsid w:val="00525cfa"/>
    <w:pPr>
      <w:widowControl/>
      <w:suppressAutoHyphens w:val="true"/>
      <w:bidi w:val="0"/>
      <w:spacing w:before="0" w:after="0"/>
      <w:ind w:firstLine="312"/>
      <w:jc w:val="both"/>
    </w:pPr>
    <w:rPr>
      <w:rFonts w:ascii="TimesLT" w:hAnsi="TimesLT" w:eastAsia="Times New Roman" w:cs="Times New Roman"/>
      <w:color w:val="00000A"/>
      <w:kern w:val="0"/>
      <w:sz w:val="22"/>
      <w:szCs w:val="20"/>
      <w:lang w:val="lt-LT" w:eastAsia="ar-SA" w:bidi="ar-SA"/>
    </w:rPr>
  </w:style>
  <w:style w:type="paragraph" w:styleId="ListParagraph">
    <w:name w:val="List Paragraph"/>
    <w:basedOn w:val="Normal"/>
    <w:uiPriority w:val="34"/>
    <w:qFormat/>
    <w:rsid w:val="00a91260"/>
    <w:pPr>
      <w:spacing w:lineRule="auto" w:line="240" w:before="0" w:after="0"/>
      <w:ind w:left="720" w:hanging="0"/>
      <w:contextualSpacing/>
    </w:pPr>
    <w:rPr>
      <w:rFonts w:ascii="Times New Roman" w:hAnsi="Times New Roman" w:eastAsia="Times New Roman" w:cs="Times New Roman"/>
      <w:sz w:val="20"/>
      <w:szCs w:val="20"/>
    </w:rPr>
  </w:style>
  <w:style w:type="paragraph" w:styleId="Annotationtext">
    <w:name w:val="annotation text"/>
    <w:basedOn w:val="Normal"/>
    <w:link w:val="CommentTextChar"/>
    <w:uiPriority w:val="99"/>
    <w:unhideWhenUsed/>
    <w:qFormat/>
    <w:rsid w:val="00a91260"/>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a91260"/>
    <w:pPr>
      <w:spacing w:lineRule="auto" w:line="240" w:before="0" w:after="0"/>
    </w:pPr>
    <w:rPr>
      <w:rFonts w:ascii="Segoe UI" w:hAnsi="Segoe UI" w:cs="Segoe UI"/>
      <w:sz w:val="18"/>
      <w:szCs w:val="18"/>
    </w:rPr>
  </w:style>
  <w:style w:type="paragraph" w:styleId="Puslapinantratirporat">
    <w:name w:val="Puslapinė antraštė ir poraštė"/>
    <w:basedOn w:val="Normal"/>
    <w:qFormat/>
    <w:pPr/>
    <w:rPr/>
  </w:style>
  <w:style w:type="paragraph" w:styleId="Puslapinantrat">
    <w:name w:val="Header"/>
    <w:basedOn w:val="Normal"/>
    <w:link w:val="HeaderChar"/>
    <w:uiPriority w:val="99"/>
    <w:rsid w:val="00b030c2"/>
    <w:pPr/>
    <w:rPr/>
  </w:style>
  <w:style w:type="paragraph" w:styleId="HeaderLeft" w:customStyle="1">
    <w:name w:val="Header Left"/>
    <w:basedOn w:val="Normal"/>
    <w:qFormat/>
    <w:rsid w:val="00b030c2"/>
    <w:pPr/>
    <w:rPr/>
  </w:style>
  <w:style w:type="paragraph" w:styleId="Puslapinporat">
    <w:name w:val="Footer"/>
    <w:basedOn w:val="Normal"/>
    <w:link w:val="FooterChar"/>
    <w:uiPriority w:val="99"/>
    <w:unhideWhenUsed/>
    <w:rsid w:val="00b030c2"/>
    <w:pPr>
      <w:tabs>
        <w:tab w:val="clear" w:pos="408"/>
        <w:tab w:val="center" w:pos="4819" w:leader="none"/>
        <w:tab w:val="right" w:pos="9638" w:leader="none"/>
      </w:tabs>
      <w:spacing w:lineRule="auto" w:line="240" w:before="0" w:after="0"/>
    </w:pPr>
    <w:rPr/>
  </w:style>
  <w:style w:type="paragraph" w:styleId="Body2" w:customStyle="1">
    <w:name w:val="Body 2"/>
    <w:qFormat/>
    <w:pPr>
      <w:widowControl/>
      <w:suppressAutoHyphens w:val="true"/>
      <w:bidi w:val="0"/>
      <w:spacing w:before="0" w:after="40"/>
      <w:jc w:val="both"/>
    </w:pPr>
    <w:rPr>
      <w:rFonts w:ascii="Times New Roman" w:hAnsi="Times New Roman" w:eastAsia="Times New Roman" w:cs="Times New Roman"/>
      <w:color w:val="000000"/>
      <w:kern w:val="0"/>
      <w:sz w:val="22"/>
      <w:szCs w:val="22"/>
      <w:lang w:val="lt-LT" w:eastAsia="lt-LT" w:bidi="ar-SA"/>
      <w14:textOutline w14:w="0" w14:cap="flat" w14:cmpd="sng" w14:algn="ctr">
        <w14:noFill/>
        <w14:prstDash w14:val="solid"/>
        <w14:bevel/>
      </w14:textOutline>
    </w:rPr>
  </w:style>
  <w:style w:type="paragraph" w:styleId="BodyText11" w:customStyle="1">
    <w:name w:val="Body Text11"/>
    <w:qFormat/>
    <w:pPr>
      <w:widowControl/>
      <w:suppressAutoHyphens w:val="true"/>
      <w:bidi w:val="0"/>
      <w:spacing w:before="0" w:after="0"/>
      <w:ind w:firstLine="312"/>
      <w:jc w:val="both"/>
    </w:pPr>
    <w:rPr>
      <w:rFonts w:ascii="TimesLT" w:hAnsi="TimesLT" w:eastAsia="Times New Roman" w:cs="Times New Roman"/>
      <w:color w:val="00000A"/>
      <w:kern w:val="0"/>
      <w:sz w:val="22"/>
      <w:szCs w:val="20"/>
      <w:lang w:val="lt-LT" w:eastAsia="ar-SA" w:bidi="ar-SA"/>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Standard">
    <w:name w:val="Standard"/>
    <w:qFormat/>
    <w:pPr>
      <w:widowControl/>
      <w:suppressAutoHyphens w:val="true"/>
      <w:bidi w:val="0"/>
      <w:spacing w:before="0" w:after="0"/>
      <w:jc w:val="left"/>
      <w:textAlignment w:val="baseline"/>
    </w:pPr>
    <w:rPr>
      <w:rFonts w:ascii="Times New Roman" w:hAnsi="Times New Roman" w:eastAsia="SimSun;宋体" w:cs="Times New Roman"/>
      <w:color w:val="auto"/>
      <w:kern w:val="2"/>
      <w:sz w:val="20"/>
      <w:szCs w:val="20"/>
      <w:lang w:val="lt-LT" w:eastAsia="zh-CN" w:bidi="ar-SA"/>
    </w:rPr>
  </w:style>
  <w:style w:type="paragraph" w:styleId="Puslapinantratkairje">
    <w:name w:val="Puslapinė antraštė kairėje"/>
    <w:basedOn w:val="Puslapinantrat"/>
    <w:qFormat/>
    <w:pPr>
      <w:suppressLineNumbers/>
      <w:tabs>
        <w:tab w:val="clear" w:pos="408"/>
        <w:tab w:val="center" w:pos="4960" w:leader="none"/>
        <w:tab w:val="right" w:pos="9921"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25c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baterijos.l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Application>LibreOffice/7.1.2.2$Windows_X86_64 LibreOffice_project/8a45595d069ef5570103caea1b71cc9d82b2aae4</Application>
  <AppVersion>15.0000</AppVersion>
  <Pages>13</Pages>
  <Words>4256</Words>
  <Characters>29277</Characters>
  <CharactersWithSpaces>33260</CharactersWithSpaces>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2021-03-23T15:27:00Z</dcterms:created>
  <dc:creator>Ona Mišeikienė</dc:creator>
  <dc:description/>
  <dc:language>lt-LT</dc:language>
  <cp:lastModifiedBy/>
  <dcterms:modified xsi:type="dcterms:W3CDTF">2021-11-10T10:53:09Z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