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2EBE9" w14:textId="777D0F88" w:rsidR="006B75E3" w:rsidRPr="00047ACF" w:rsidRDefault="006B75E3" w:rsidP="00047ACF">
      <w:pPr>
        <w:spacing w:after="160" w:line="259" w:lineRule="auto"/>
        <w:jc w:val="right"/>
        <w:rPr>
          <w:rFonts w:ascii="Times New Roman" w:eastAsia="Times New Roman" w:hAnsi="Times New Roman"/>
          <w:b/>
          <w:sz w:val="24"/>
          <w:szCs w:val="20"/>
        </w:rPr>
      </w:pPr>
      <w:r w:rsidRPr="00047ACF">
        <w:rPr>
          <w:rFonts w:ascii="Times New Roman" w:hAnsi="Times New Roman"/>
          <w:b/>
          <w:sz w:val="24"/>
          <w:szCs w:val="24"/>
        </w:rPr>
        <w:t xml:space="preserve">                                     </w:t>
      </w:r>
      <w:r w:rsidR="00BD61F0" w:rsidRPr="00047ACF">
        <w:rPr>
          <w:rFonts w:ascii="Times New Roman" w:hAnsi="Times New Roman"/>
          <w:b/>
          <w:sz w:val="24"/>
          <w:szCs w:val="24"/>
        </w:rPr>
        <w:t xml:space="preserve">                             </w:t>
      </w:r>
    </w:p>
    <w:p w14:paraId="394338B3" w14:textId="2E6BD7D8" w:rsidR="00DE552D" w:rsidRPr="002930A1" w:rsidRDefault="00AA7063" w:rsidP="00AF6609">
      <w:pPr>
        <w:widowControl w:val="0"/>
        <w:tabs>
          <w:tab w:val="center" w:pos="4819"/>
          <w:tab w:val="right" w:pos="9638"/>
        </w:tabs>
        <w:autoSpaceDE w:val="0"/>
        <w:autoSpaceDN w:val="0"/>
        <w:adjustRightInd w:val="0"/>
        <w:spacing w:after="0" w:line="360" w:lineRule="auto"/>
        <w:jc w:val="center"/>
        <w:rPr>
          <w:rFonts w:ascii="Times New Roman" w:eastAsia="Times New Roman" w:hAnsi="Times New Roman"/>
          <w:b/>
          <w:sz w:val="24"/>
          <w:szCs w:val="24"/>
          <w:lang w:eastAsia="lt-LT"/>
        </w:rPr>
      </w:pPr>
      <w:r w:rsidRPr="002930A1">
        <w:rPr>
          <w:rFonts w:ascii="Times New Roman" w:eastAsia="Times New Roman" w:hAnsi="Times New Roman"/>
          <w:b/>
          <w:sz w:val="24"/>
          <w:szCs w:val="24"/>
          <w:lang w:eastAsia="lt-LT"/>
        </w:rPr>
        <w:t>PAGRINDINĖ SUTARTIS</w:t>
      </w:r>
    </w:p>
    <w:p w14:paraId="62E300E5" w14:textId="77777777" w:rsidR="00DE552D" w:rsidRPr="002930A1" w:rsidRDefault="00DE552D" w:rsidP="00AA7063">
      <w:pPr>
        <w:widowControl w:val="0"/>
        <w:tabs>
          <w:tab w:val="center" w:pos="4819"/>
          <w:tab w:val="right" w:pos="9638"/>
        </w:tabs>
        <w:autoSpaceDE w:val="0"/>
        <w:autoSpaceDN w:val="0"/>
        <w:adjustRightInd w:val="0"/>
        <w:spacing w:after="0" w:line="360" w:lineRule="auto"/>
        <w:ind w:firstLine="567"/>
        <w:jc w:val="center"/>
        <w:rPr>
          <w:rFonts w:ascii="Times New Roman" w:eastAsia="Times New Roman" w:hAnsi="Times New Roman"/>
          <w:b/>
          <w:sz w:val="24"/>
          <w:szCs w:val="24"/>
          <w:lang w:eastAsia="lt-LT"/>
        </w:rPr>
      </w:pPr>
    </w:p>
    <w:p w14:paraId="39A6312D" w14:textId="5F9637A0" w:rsidR="00AA7063" w:rsidRPr="002930A1" w:rsidRDefault="008B10D7" w:rsidP="00AA7063">
      <w:pPr>
        <w:spacing w:after="120" w:line="240" w:lineRule="auto"/>
        <w:jc w:val="center"/>
        <w:rPr>
          <w:rFonts w:ascii="Times New Roman" w:hAnsi="Times New Roman"/>
          <w:sz w:val="24"/>
          <w:szCs w:val="24"/>
        </w:rPr>
      </w:pPr>
      <w:r>
        <w:rPr>
          <w:rFonts w:ascii="Times New Roman" w:hAnsi="Times New Roman"/>
          <w:sz w:val="24"/>
          <w:szCs w:val="24"/>
        </w:rPr>
        <w:t>2021</w:t>
      </w:r>
      <w:r w:rsidR="00A91F72">
        <w:rPr>
          <w:rFonts w:ascii="Times New Roman" w:hAnsi="Times New Roman"/>
          <w:sz w:val="24"/>
          <w:szCs w:val="24"/>
        </w:rPr>
        <w:t xml:space="preserve"> </w:t>
      </w:r>
      <w:r w:rsidR="00AA7063" w:rsidRPr="002930A1">
        <w:rPr>
          <w:rFonts w:ascii="Times New Roman" w:hAnsi="Times New Roman"/>
          <w:sz w:val="24"/>
          <w:szCs w:val="24"/>
        </w:rPr>
        <w:t>m.</w:t>
      </w:r>
      <w:r w:rsidR="00AA7063" w:rsidRPr="002930A1">
        <w:rPr>
          <w:rFonts w:ascii="Times New Roman" w:hAnsi="Times New Roman"/>
          <w:sz w:val="24"/>
          <w:szCs w:val="24"/>
          <w:u w:val="single"/>
        </w:rPr>
        <w:t xml:space="preserve">                              </w:t>
      </w:r>
      <w:r w:rsidR="00AA7063" w:rsidRPr="002930A1">
        <w:rPr>
          <w:rFonts w:ascii="Times New Roman" w:hAnsi="Times New Roman"/>
          <w:sz w:val="24"/>
          <w:szCs w:val="24"/>
        </w:rPr>
        <w:t>d.</w:t>
      </w:r>
    </w:p>
    <w:p w14:paraId="37B958F9" w14:textId="77777777" w:rsidR="00AA7063" w:rsidRPr="002930A1" w:rsidRDefault="00AA7063" w:rsidP="00AA7063">
      <w:pPr>
        <w:spacing w:after="120" w:line="240" w:lineRule="auto"/>
        <w:jc w:val="center"/>
        <w:rPr>
          <w:rFonts w:ascii="Times New Roman" w:hAnsi="Times New Roman"/>
          <w:sz w:val="24"/>
          <w:szCs w:val="24"/>
        </w:rPr>
      </w:pPr>
      <w:r w:rsidRPr="002930A1">
        <w:rPr>
          <w:rFonts w:ascii="Times New Roman" w:hAnsi="Times New Roman"/>
          <w:sz w:val="24"/>
          <w:szCs w:val="24"/>
        </w:rPr>
        <w:t>Vilnius</w:t>
      </w:r>
    </w:p>
    <w:p w14:paraId="50D2A47C" w14:textId="77777777" w:rsidR="00DE552D" w:rsidRPr="002930A1" w:rsidRDefault="00DE552D" w:rsidP="00FF2B9A">
      <w:pPr>
        <w:spacing w:after="0" w:line="240" w:lineRule="auto"/>
        <w:jc w:val="both"/>
        <w:rPr>
          <w:rFonts w:ascii="Times New Roman" w:eastAsia="Times New Roman" w:hAnsi="Times New Roman"/>
          <w:b/>
          <w:sz w:val="24"/>
          <w:szCs w:val="24"/>
        </w:rPr>
      </w:pPr>
    </w:p>
    <w:p w14:paraId="10025B12" w14:textId="729E0070" w:rsidR="00FF2B9A" w:rsidRPr="00BD61F0" w:rsidRDefault="008B10D7" w:rsidP="00BD61F0">
      <w:pPr>
        <w:autoSpaceDE w:val="0"/>
        <w:autoSpaceDN w:val="0"/>
        <w:adjustRightInd w:val="0"/>
        <w:spacing w:after="120"/>
        <w:ind w:firstLine="567"/>
        <w:jc w:val="both"/>
        <w:rPr>
          <w:rFonts w:ascii="Times New Roman" w:hAnsi="Times New Roman"/>
          <w:sz w:val="24"/>
          <w:szCs w:val="24"/>
        </w:rPr>
      </w:pPr>
      <w:r w:rsidRPr="008B10D7">
        <w:rPr>
          <w:rFonts w:ascii="Times New Roman" w:eastAsia="Times New Roman" w:hAnsi="Times New Roman"/>
          <w:b/>
          <w:bCs/>
          <w:sz w:val="24"/>
          <w:szCs w:val="24"/>
        </w:rPr>
        <w:t xml:space="preserve">Turto valdymo ir ūkio departamentas prie Lietuvos Respublikos vidaus reikalų ministerijos </w:t>
      </w:r>
      <w:r w:rsidRPr="008B10D7">
        <w:rPr>
          <w:rFonts w:ascii="Times New Roman" w:eastAsia="Times New Roman" w:hAnsi="Times New Roman"/>
          <w:bCs/>
          <w:sz w:val="24"/>
          <w:szCs w:val="24"/>
        </w:rPr>
        <w:t xml:space="preserve">(toliau – </w:t>
      </w:r>
      <w:r>
        <w:rPr>
          <w:rFonts w:ascii="Times New Roman" w:eastAsia="Times New Roman" w:hAnsi="Times New Roman"/>
          <w:b/>
          <w:bCs/>
          <w:sz w:val="24"/>
          <w:szCs w:val="24"/>
        </w:rPr>
        <w:t>Užsakovas</w:t>
      </w:r>
      <w:r w:rsidRPr="008B10D7">
        <w:rPr>
          <w:rFonts w:ascii="Times New Roman" w:eastAsia="Times New Roman" w:hAnsi="Times New Roman"/>
          <w:bCs/>
          <w:sz w:val="24"/>
          <w:szCs w:val="24"/>
        </w:rPr>
        <w:t>),</w:t>
      </w:r>
      <w:r w:rsidRPr="008B10D7">
        <w:rPr>
          <w:rFonts w:ascii="Times New Roman" w:eastAsia="Times New Roman" w:hAnsi="Times New Roman"/>
          <w:b/>
          <w:bCs/>
          <w:sz w:val="24"/>
          <w:szCs w:val="24"/>
        </w:rPr>
        <w:t xml:space="preserve"> </w:t>
      </w:r>
      <w:r w:rsidRPr="008B10D7">
        <w:rPr>
          <w:rFonts w:ascii="Times New Roman" w:eastAsia="Times New Roman" w:hAnsi="Times New Roman"/>
          <w:bCs/>
          <w:sz w:val="24"/>
          <w:szCs w:val="24"/>
        </w:rPr>
        <w:t xml:space="preserve">atstovaujamas direktoriaus Giedriaus </w:t>
      </w:r>
      <w:proofErr w:type="spellStart"/>
      <w:r w:rsidRPr="008B10D7">
        <w:rPr>
          <w:rFonts w:ascii="Times New Roman" w:eastAsia="Times New Roman" w:hAnsi="Times New Roman"/>
          <w:bCs/>
          <w:sz w:val="24"/>
          <w:szCs w:val="24"/>
        </w:rPr>
        <w:t>Griškos</w:t>
      </w:r>
      <w:proofErr w:type="spellEnd"/>
      <w:r>
        <w:rPr>
          <w:rFonts w:ascii="Times New Roman" w:hAnsi="Times New Roman"/>
          <w:sz w:val="24"/>
          <w:szCs w:val="24"/>
        </w:rPr>
        <w:t xml:space="preserve">, ir </w:t>
      </w:r>
      <w:r w:rsidRPr="009975F0">
        <w:rPr>
          <w:rFonts w:ascii="Times New Roman" w:hAnsi="Times New Roman"/>
          <w:b/>
          <w:sz w:val="24"/>
          <w:szCs w:val="24"/>
        </w:rPr>
        <w:t>UAB „</w:t>
      </w:r>
      <w:proofErr w:type="spellStart"/>
      <w:r w:rsidRPr="009975F0">
        <w:rPr>
          <w:rFonts w:ascii="Times New Roman" w:hAnsi="Times New Roman"/>
          <w:b/>
          <w:sz w:val="24"/>
          <w:szCs w:val="24"/>
        </w:rPr>
        <w:t>Blue</w:t>
      </w:r>
      <w:proofErr w:type="spellEnd"/>
      <w:r w:rsidRPr="009975F0">
        <w:rPr>
          <w:rFonts w:ascii="Times New Roman" w:hAnsi="Times New Roman"/>
          <w:b/>
          <w:sz w:val="24"/>
          <w:szCs w:val="24"/>
        </w:rPr>
        <w:t xml:space="preserve"> </w:t>
      </w:r>
      <w:proofErr w:type="spellStart"/>
      <w:r w:rsidRPr="009975F0">
        <w:rPr>
          <w:rFonts w:ascii="Times New Roman" w:hAnsi="Times New Roman"/>
          <w:b/>
          <w:sz w:val="24"/>
          <w:szCs w:val="24"/>
        </w:rPr>
        <w:t>Bridge</w:t>
      </w:r>
      <w:proofErr w:type="spellEnd"/>
      <w:r w:rsidRPr="009975F0">
        <w:rPr>
          <w:rFonts w:ascii="Times New Roman" w:hAnsi="Times New Roman"/>
          <w:b/>
          <w:sz w:val="24"/>
          <w:szCs w:val="24"/>
        </w:rPr>
        <w:t>“</w:t>
      </w:r>
      <w:r w:rsidR="00FF2B9A" w:rsidRPr="00BD61F0">
        <w:rPr>
          <w:rFonts w:ascii="Times New Roman" w:hAnsi="Times New Roman"/>
          <w:sz w:val="24"/>
          <w:szCs w:val="24"/>
        </w:rPr>
        <w:t>, (toliau</w:t>
      </w:r>
      <w:r w:rsidR="00646C38" w:rsidRPr="00BD61F0">
        <w:rPr>
          <w:rFonts w:ascii="Times New Roman" w:hAnsi="Times New Roman"/>
          <w:sz w:val="24"/>
          <w:szCs w:val="24"/>
        </w:rPr>
        <w:t xml:space="preserve"> vadinamas</w:t>
      </w:r>
      <w:r w:rsidR="00FF26B5" w:rsidRPr="00BD61F0">
        <w:rPr>
          <w:rFonts w:ascii="Times New Roman" w:hAnsi="Times New Roman"/>
          <w:sz w:val="24"/>
          <w:szCs w:val="24"/>
        </w:rPr>
        <w:t xml:space="preserve"> </w:t>
      </w:r>
      <w:r w:rsidR="00FF2B9A" w:rsidRPr="00BD61F0">
        <w:rPr>
          <w:rFonts w:ascii="Times New Roman" w:hAnsi="Times New Roman"/>
          <w:sz w:val="24"/>
          <w:szCs w:val="24"/>
        </w:rPr>
        <w:t>–</w:t>
      </w:r>
      <w:r w:rsidR="00BD28F3">
        <w:rPr>
          <w:rFonts w:ascii="Times New Roman" w:hAnsi="Times New Roman"/>
          <w:sz w:val="24"/>
          <w:szCs w:val="24"/>
        </w:rPr>
        <w:t xml:space="preserve"> Tiekėjas) atstovaujama direktoriaus </w:t>
      </w:r>
      <w:proofErr w:type="spellStart"/>
      <w:r w:rsidR="00BD28F3">
        <w:rPr>
          <w:rFonts w:ascii="Times New Roman" w:hAnsi="Times New Roman"/>
          <w:sz w:val="24"/>
          <w:szCs w:val="24"/>
        </w:rPr>
        <w:t>Daliaus</w:t>
      </w:r>
      <w:proofErr w:type="spellEnd"/>
      <w:r w:rsidR="00BD28F3">
        <w:rPr>
          <w:rFonts w:ascii="Times New Roman" w:hAnsi="Times New Roman"/>
          <w:sz w:val="24"/>
          <w:szCs w:val="24"/>
        </w:rPr>
        <w:t xml:space="preserve"> Butkaus</w:t>
      </w:r>
      <w:r w:rsidR="005D28E1" w:rsidRPr="00BD61F0">
        <w:rPr>
          <w:rFonts w:ascii="Times New Roman" w:hAnsi="Times New Roman"/>
          <w:sz w:val="24"/>
          <w:szCs w:val="24"/>
        </w:rPr>
        <w:t xml:space="preserve">, toliau kartu vadinami Šalimis, vadovaudamiesi </w:t>
      </w:r>
      <w:r w:rsidR="00BD28F3">
        <w:rPr>
          <w:rFonts w:ascii="Times New Roman" w:hAnsi="Times New Roman"/>
          <w:sz w:val="24"/>
          <w:szCs w:val="24"/>
        </w:rPr>
        <w:t>2018 m. rugpjūčio 10 d. p</w:t>
      </w:r>
      <w:r w:rsidR="00AF6609" w:rsidRPr="00BD61F0">
        <w:rPr>
          <w:rFonts w:ascii="Times New Roman" w:hAnsi="Times New Roman"/>
          <w:sz w:val="24"/>
          <w:szCs w:val="24"/>
        </w:rPr>
        <w:t xml:space="preserve">reliminariosios sutarties dėl </w:t>
      </w:r>
      <w:r w:rsidR="00A91F72" w:rsidRPr="00BD61F0">
        <w:rPr>
          <w:rFonts w:ascii="Times New Roman" w:hAnsi="Times New Roman"/>
          <w:bCs/>
          <w:sz w:val="24"/>
          <w:szCs w:val="24"/>
        </w:rPr>
        <w:t xml:space="preserve">centralizuotai valdomos antivirusinės ir mobilių kompiuterizuotų darbo vietų valdymo programinės įrangos </w:t>
      </w:r>
      <w:r w:rsidR="00646C38" w:rsidRPr="00BD61F0">
        <w:rPr>
          <w:rFonts w:ascii="Times New Roman" w:hAnsi="Times New Roman"/>
          <w:bCs/>
          <w:sz w:val="24"/>
          <w:szCs w:val="24"/>
        </w:rPr>
        <w:t>pirkimo</w:t>
      </w:r>
      <w:r w:rsidR="00BD28F3">
        <w:rPr>
          <w:rFonts w:ascii="Times New Roman" w:hAnsi="Times New Roman"/>
          <w:i/>
          <w:iCs/>
          <w:sz w:val="24"/>
          <w:szCs w:val="24"/>
        </w:rPr>
        <w:t xml:space="preserve"> </w:t>
      </w:r>
      <w:r w:rsidR="00BD28F3" w:rsidRPr="009975F0">
        <w:rPr>
          <w:rFonts w:ascii="Times New Roman" w:hAnsi="Times New Roman"/>
          <w:iCs/>
          <w:sz w:val="24"/>
          <w:szCs w:val="24"/>
        </w:rPr>
        <w:t>8S-162</w:t>
      </w:r>
      <w:r w:rsidR="005D28E1" w:rsidRPr="00BD61F0">
        <w:rPr>
          <w:rFonts w:ascii="Times New Roman" w:hAnsi="Times New Roman"/>
          <w:sz w:val="24"/>
          <w:szCs w:val="24"/>
        </w:rPr>
        <w:t xml:space="preserve">, sudarytos tarp Tiekėjo ir </w:t>
      </w:r>
      <w:r w:rsidR="00646C38" w:rsidRPr="00BD61F0">
        <w:rPr>
          <w:rFonts w:ascii="Times New Roman" w:hAnsi="Times New Roman"/>
          <w:sz w:val="24"/>
          <w:szCs w:val="24"/>
        </w:rPr>
        <w:t xml:space="preserve">Turto valdymo ir ūkio departamento prie Lietuvos Respublikos vidaus reikalų ministerijos, </w:t>
      </w:r>
      <w:r w:rsidR="00C32A53">
        <w:rPr>
          <w:rFonts w:ascii="Times New Roman" w:hAnsi="Times New Roman"/>
          <w:sz w:val="24"/>
          <w:szCs w:val="24"/>
        </w:rPr>
        <w:t xml:space="preserve">4.1 papunkčiu, </w:t>
      </w:r>
      <w:r w:rsidR="00646C38" w:rsidRPr="00BD61F0">
        <w:rPr>
          <w:rFonts w:ascii="Times New Roman" w:hAnsi="Times New Roman"/>
          <w:sz w:val="24"/>
          <w:szCs w:val="24"/>
        </w:rPr>
        <w:t xml:space="preserve">atliekančios vidaus reikalų sistemos centrinės perkančiosios organizacijos funkcijas, (toliau  – </w:t>
      </w:r>
      <w:r w:rsidR="00FF2B9A" w:rsidRPr="00BD61F0">
        <w:rPr>
          <w:rFonts w:ascii="Times New Roman" w:hAnsi="Times New Roman"/>
          <w:sz w:val="24"/>
          <w:szCs w:val="24"/>
        </w:rPr>
        <w:t>VRS CPO</w:t>
      </w:r>
      <w:r w:rsidR="00646C38" w:rsidRPr="00BD61F0">
        <w:rPr>
          <w:rFonts w:ascii="Times New Roman" w:hAnsi="Times New Roman"/>
          <w:sz w:val="24"/>
          <w:szCs w:val="24"/>
        </w:rPr>
        <w:t>)</w:t>
      </w:r>
      <w:r w:rsidR="005D28E1" w:rsidRPr="00BD61F0">
        <w:rPr>
          <w:rFonts w:ascii="Times New Roman" w:hAnsi="Times New Roman"/>
          <w:sz w:val="24"/>
          <w:szCs w:val="24"/>
        </w:rPr>
        <w:t>, sudaro šią pagrindinę sutartį (toliau – Sutartis).</w:t>
      </w:r>
    </w:p>
    <w:p w14:paraId="21042B50" w14:textId="77777777" w:rsidR="00DE552D" w:rsidRPr="00BD61F0" w:rsidRDefault="00DE552D" w:rsidP="00BD61F0">
      <w:pPr>
        <w:autoSpaceDE w:val="0"/>
        <w:autoSpaceDN w:val="0"/>
        <w:adjustRightInd w:val="0"/>
        <w:spacing w:after="0"/>
        <w:ind w:firstLine="567"/>
        <w:jc w:val="both"/>
        <w:rPr>
          <w:rFonts w:ascii="Times New Roman" w:hAnsi="Times New Roman"/>
          <w:b/>
          <w:bCs/>
          <w:color w:val="000000"/>
          <w:sz w:val="24"/>
          <w:szCs w:val="24"/>
        </w:rPr>
      </w:pPr>
    </w:p>
    <w:p w14:paraId="37FE6B56" w14:textId="59EA06CC" w:rsidR="00DE552D" w:rsidRPr="00BD61F0" w:rsidRDefault="001B76A5" w:rsidP="00BD61F0">
      <w:pPr>
        <w:widowControl w:val="0"/>
        <w:autoSpaceDE w:val="0"/>
        <w:autoSpaceDN w:val="0"/>
        <w:adjustRightInd w:val="0"/>
        <w:spacing w:after="0"/>
        <w:jc w:val="center"/>
        <w:rPr>
          <w:rFonts w:ascii="Times New Roman" w:hAnsi="Times New Roman"/>
          <w:caps/>
          <w:color w:val="000000"/>
          <w:sz w:val="24"/>
          <w:szCs w:val="24"/>
        </w:rPr>
      </w:pPr>
      <w:r w:rsidRPr="00BD61F0">
        <w:rPr>
          <w:rFonts w:ascii="Times New Roman" w:hAnsi="Times New Roman"/>
          <w:b/>
          <w:bCs/>
          <w:caps/>
          <w:color w:val="000000"/>
          <w:sz w:val="24"/>
          <w:szCs w:val="24"/>
        </w:rPr>
        <w:t>1. </w:t>
      </w:r>
      <w:r w:rsidR="00DE552D" w:rsidRPr="00BD61F0">
        <w:rPr>
          <w:rFonts w:ascii="Times New Roman" w:hAnsi="Times New Roman"/>
          <w:b/>
          <w:bCs/>
          <w:caps/>
          <w:color w:val="000000"/>
          <w:sz w:val="24"/>
          <w:szCs w:val="24"/>
        </w:rPr>
        <w:t>sutarties dalykas</w:t>
      </w:r>
    </w:p>
    <w:p w14:paraId="3668A2D3" w14:textId="77777777" w:rsidR="00DE552D" w:rsidRPr="00BD61F0" w:rsidRDefault="00DE552D" w:rsidP="00BD61F0">
      <w:pPr>
        <w:tabs>
          <w:tab w:val="left" w:pos="1134"/>
        </w:tabs>
        <w:autoSpaceDE w:val="0"/>
        <w:autoSpaceDN w:val="0"/>
        <w:adjustRightInd w:val="0"/>
        <w:spacing w:after="0"/>
        <w:ind w:firstLine="567"/>
        <w:jc w:val="both"/>
        <w:rPr>
          <w:rFonts w:ascii="Times New Roman" w:hAnsi="Times New Roman"/>
          <w:color w:val="000000"/>
          <w:sz w:val="24"/>
          <w:szCs w:val="24"/>
        </w:rPr>
      </w:pPr>
    </w:p>
    <w:p w14:paraId="673B57A9" w14:textId="4ABDFD62" w:rsidR="0058155B" w:rsidRDefault="0058155B" w:rsidP="00BD61F0">
      <w:pPr>
        <w:pStyle w:val="Sraopastraipa"/>
        <w:numPr>
          <w:ilvl w:val="1"/>
          <w:numId w:val="1"/>
        </w:numPr>
        <w:spacing w:after="0"/>
        <w:ind w:left="0" w:firstLine="567"/>
        <w:jc w:val="both"/>
        <w:rPr>
          <w:rFonts w:ascii="Times New Roman" w:hAnsi="Times New Roman"/>
          <w:color w:val="000000"/>
          <w:sz w:val="24"/>
          <w:szCs w:val="24"/>
        </w:rPr>
      </w:pPr>
      <w:r w:rsidRPr="00BD61F0">
        <w:rPr>
          <w:rFonts w:ascii="Times New Roman" w:hAnsi="Times New Roman"/>
          <w:color w:val="000000"/>
          <w:sz w:val="24"/>
          <w:szCs w:val="24"/>
        </w:rPr>
        <w:t>Šia Sutartimi Tiekėjas įsipareigoja Sutartyje nurodytomis sąlygomis ir tvarka</w:t>
      </w:r>
      <w:r w:rsidR="00646C38" w:rsidRPr="00BD61F0">
        <w:rPr>
          <w:rFonts w:ascii="Times New Roman" w:hAnsi="Times New Roman"/>
          <w:color w:val="000000"/>
          <w:sz w:val="24"/>
          <w:szCs w:val="24"/>
        </w:rPr>
        <w:t xml:space="preserve"> pagal Užsakovo faktinį poreikį </w:t>
      </w:r>
      <w:r w:rsidR="002B5975" w:rsidRPr="00BD61F0">
        <w:rPr>
          <w:rFonts w:ascii="Times New Roman" w:hAnsi="Times New Roman"/>
          <w:color w:val="000000"/>
          <w:sz w:val="24"/>
          <w:szCs w:val="24"/>
        </w:rPr>
        <w:t>perduoti</w:t>
      </w:r>
      <w:r w:rsidR="006419F9" w:rsidRPr="00BD61F0">
        <w:rPr>
          <w:rFonts w:ascii="Times New Roman" w:hAnsi="Times New Roman"/>
          <w:color w:val="000000"/>
          <w:sz w:val="24"/>
          <w:szCs w:val="24"/>
        </w:rPr>
        <w:t xml:space="preserve"> nuosavybės</w:t>
      </w:r>
      <w:r w:rsidR="00A91F72" w:rsidRPr="00BD61F0">
        <w:rPr>
          <w:rFonts w:ascii="Times New Roman" w:hAnsi="Times New Roman"/>
          <w:color w:val="000000"/>
          <w:sz w:val="24"/>
          <w:szCs w:val="24"/>
        </w:rPr>
        <w:t xml:space="preserve"> </w:t>
      </w:r>
      <w:r w:rsidR="00C32A53">
        <w:rPr>
          <w:rFonts w:ascii="Times New Roman" w:hAnsi="Times New Roman"/>
          <w:color w:val="000000"/>
          <w:sz w:val="24"/>
          <w:szCs w:val="24"/>
        </w:rPr>
        <w:t xml:space="preserve">teise </w:t>
      </w:r>
      <w:r w:rsidR="00646C38" w:rsidRPr="00BD61F0">
        <w:rPr>
          <w:rFonts w:ascii="Times New Roman" w:hAnsi="Times New Roman"/>
          <w:bCs/>
          <w:color w:val="000000"/>
          <w:sz w:val="24"/>
          <w:szCs w:val="24"/>
        </w:rPr>
        <w:t>centralizuotai valdomą antivirusinę</w:t>
      </w:r>
      <w:r w:rsidR="00A91F72" w:rsidRPr="00BD61F0">
        <w:rPr>
          <w:rFonts w:ascii="Times New Roman" w:hAnsi="Times New Roman"/>
          <w:bCs/>
          <w:color w:val="000000"/>
          <w:sz w:val="24"/>
          <w:szCs w:val="24"/>
        </w:rPr>
        <w:t xml:space="preserve"> ir mobilių kompiuterizuotų darbo vietų valdy</w:t>
      </w:r>
      <w:r w:rsidR="00646C38" w:rsidRPr="00BD61F0">
        <w:rPr>
          <w:rFonts w:ascii="Times New Roman" w:hAnsi="Times New Roman"/>
          <w:bCs/>
          <w:color w:val="000000"/>
          <w:sz w:val="24"/>
          <w:szCs w:val="24"/>
        </w:rPr>
        <w:t>mo programinę</w:t>
      </w:r>
      <w:r w:rsidR="00A91F72" w:rsidRPr="00BD61F0">
        <w:rPr>
          <w:rFonts w:ascii="Times New Roman" w:hAnsi="Times New Roman"/>
          <w:bCs/>
          <w:color w:val="000000"/>
          <w:sz w:val="24"/>
          <w:szCs w:val="24"/>
        </w:rPr>
        <w:t xml:space="preserve"> įrangą</w:t>
      </w:r>
      <w:r w:rsidR="00BD61F0">
        <w:rPr>
          <w:rFonts w:ascii="Times New Roman" w:hAnsi="Times New Roman"/>
          <w:bCs/>
          <w:color w:val="000000"/>
          <w:sz w:val="24"/>
          <w:szCs w:val="24"/>
        </w:rPr>
        <w:t xml:space="preserve"> (toliau </w:t>
      </w:r>
      <w:r w:rsidR="00BD61F0" w:rsidRPr="00BD61F0">
        <w:rPr>
          <w:rFonts w:ascii="Times New Roman" w:hAnsi="Times New Roman"/>
          <w:bCs/>
          <w:color w:val="000000"/>
          <w:sz w:val="24"/>
          <w:szCs w:val="24"/>
        </w:rPr>
        <w:t>–</w:t>
      </w:r>
      <w:r w:rsidR="00BD61F0">
        <w:rPr>
          <w:rFonts w:ascii="Times New Roman" w:hAnsi="Times New Roman"/>
          <w:bCs/>
          <w:color w:val="000000"/>
          <w:sz w:val="24"/>
          <w:szCs w:val="24"/>
        </w:rPr>
        <w:t xml:space="preserve"> prekės)</w:t>
      </w:r>
      <w:r w:rsidR="008B10D7">
        <w:rPr>
          <w:rFonts w:ascii="Times New Roman" w:hAnsi="Times New Roman"/>
          <w:color w:val="000000"/>
          <w:sz w:val="24"/>
          <w:szCs w:val="24"/>
        </w:rPr>
        <w:t>:</w:t>
      </w:r>
      <w:r w:rsidR="00646C38" w:rsidRPr="00BD61F0">
        <w:rPr>
          <w:rFonts w:ascii="Times New Roman" w:hAnsi="Times New Roman"/>
          <w:color w:val="000000"/>
          <w:sz w:val="24"/>
          <w:szCs w:val="24"/>
        </w:rPr>
        <w:t xml:space="preserve"> </w:t>
      </w:r>
    </w:p>
    <w:tbl>
      <w:tblPr>
        <w:tblW w:w="0" w:type="auto"/>
        <w:tblCellMar>
          <w:left w:w="0" w:type="dxa"/>
          <w:right w:w="0" w:type="dxa"/>
        </w:tblCellMar>
        <w:tblLook w:val="04A0" w:firstRow="1" w:lastRow="0" w:firstColumn="1" w:lastColumn="0" w:noHBand="0" w:noVBand="1"/>
      </w:tblPr>
      <w:tblGrid>
        <w:gridCol w:w="433"/>
        <w:gridCol w:w="4337"/>
        <w:gridCol w:w="1475"/>
        <w:gridCol w:w="1215"/>
        <w:gridCol w:w="1003"/>
        <w:gridCol w:w="1155"/>
      </w:tblGrid>
      <w:tr w:rsidR="009C7620" w:rsidRPr="009C7620" w14:paraId="00C2C366" w14:textId="77777777" w:rsidTr="009C7620">
        <w:trPr>
          <w:trHeight w:val="20"/>
        </w:trPr>
        <w:tc>
          <w:tcPr>
            <w:tcW w:w="234" w:type="pct"/>
            <w:tcBorders>
              <w:top w:val="single" w:sz="8" w:space="0" w:color="5B9BD5"/>
              <w:left w:val="single" w:sz="8" w:space="0" w:color="5B9BD5"/>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3F195E6D"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b/>
                <w:bCs/>
                <w:sz w:val="20"/>
                <w:szCs w:val="20"/>
                <w:lang w:eastAsia="lt-LT"/>
              </w:rPr>
              <w:t>Eil. Nr.</w:t>
            </w:r>
          </w:p>
        </w:tc>
        <w:tc>
          <w:tcPr>
            <w:tcW w:w="2263" w:type="pct"/>
            <w:tcBorders>
              <w:top w:val="single" w:sz="8" w:space="0" w:color="5B9BD5"/>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4B48536A" w14:textId="77777777" w:rsidR="009C7620" w:rsidRPr="009C7620" w:rsidRDefault="009C7620" w:rsidP="009C7620">
            <w:pPr>
              <w:spacing w:after="0" w:line="240" w:lineRule="auto"/>
              <w:ind w:right="-1" w:hanging="40"/>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Perkamų prekių pavadinimas</w:t>
            </w:r>
          </w:p>
        </w:tc>
        <w:tc>
          <w:tcPr>
            <w:tcW w:w="775" w:type="pct"/>
            <w:tcBorders>
              <w:top w:val="single" w:sz="8" w:space="0" w:color="5B9BD5"/>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30B4DEDA"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b/>
                <w:bCs/>
                <w:sz w:val="20"/>
                <w:szCs w:val="20"/>
                <w:lang w:eastAsia="lt-LT"/>
              </w:rPr>
              <w:t>1 mėnesio licencijos (galiojimo)</w:t>
            </w:r>
          </w:p>
          <w:p w14:paraId="25D626C4"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b/>
                <w:bCs/>
                <w:sz w:val="20"/>
                <w:szCs w:val="20"/>
                <w:lang w:eastAsia="lt-LT"/>
              </w:rPr>
              <w:t>kaina,</w:t>
            </w:r>
          </w:p>
          <w:p w14:paraId="2399F151"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sz w:val="20"/>
                <w:szCs w:val="20"/>
                <w:lang w:eastAsia="lt-LT"/>
              </w:rPr>
              <w:t>EUR su PVM</w:t>
            </w:r>
          </w:p>
        </w:tc>
        <w:tc>
          <w:tcPr>
            <w:tcW w:w="613" w:type="pct"/>
            <w:tcBorders>
              <w:top w:val="single" w:sz="8" w:space="0" w:color="5B9BD5"/>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63CB682C" w14:textId="77777777" w:rsidR="009C7620" w:rsidRPr="009C7620" w:rsidRDefault="009C7620" w:rsidP="009C7620">
            <w:pPr>
              <w:spacing w:after="0" w:line="240" w:lineRule="auto"/>
              <w:ind w:right="-1" w:firstLine="10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Numatomas užsakymo kiekis,</w:t>
            </w:r>
          </w:p>
          <w:p w14:paraId="0D683F39" w14:textId="77777777" w:rsidR="009C7620" w:rsidRPr="009C7620" w:rsidRDefault="009C7620" w:rsidP="009C7620">
            <w:pPr>
              <w:spacing w:after="0" w:line="240" w:lineRule="auto"/>
              <w:ind w:right="-1" w:firstLine="10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vnt.</w:t>
            </w:r>
          </w:p>
        </w:tc>
        <w:tc>
          <w:tcPr>
            <w:tcW w:w="506" w:type="pct"/>
            <w:tcBorders>
              <w:top w:val="single" w:sz="8" w:space="0" w:color="5B9BD5"/>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734E1C03"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Užsakymo laikotarpis mėn.</w:t>
            </w:r>
          </w:p>
        </w:tc>
        <w:tc>
          <w:tcPr>
            <w:tcW w:w="609" w:type="pct"/>
            <w:tcBorders>
              <w:top w:val="single" w:sz="8" w:space="0" w:color="5B9BD5"/>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169582AC"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Suma</w:t>
            </w:r>
          </w:p>
        </w:tc>
      </w:tr>
      <w:tr w:rsidR="009C7620" w:rsidRPr="009C7620" w14:paraId="2EC5523E" w14:textId="77777777" w:rsidTr="009C7620">
        <w:trPr>
          <w:trHeight w:val="20"/>
        </w:trPr>
        <w:tc>
          <w:tcPr>
            <w:tcW w:w="234" w:type="pct"/>
            <w:tcBorders>
              <w:top w:val="nil"/>
              <w:left w:val="single" w:sz="8" w:space="0" w:color="5B9BD5"/>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4ACEDB66"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b/>
                <w:bCs/>
                <w:sz w:val="20"/>
                <w:szCs w:val="20"/>
                <w:lang w:eastAsia="lt-LT"/>
              </w:rPr>
              <w:t>A</w:t>
            </w:r>
          </w:p>
        </w:tc>
        <w:tc>
          <w:tcPr>
            <w:tcW w:w="2263"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7CC3AC7F" w14:textId="77777777" w:rsidR="009C7620" w:rsidRPr="009C7620" w:rsidRDefault="009C7620" w:rsidP="009C7620">
            <w:pPr>
              <w:spacing w:after="0" w:line="240" w:lineRule="auto"/>
              <w:ind w:right="-1" w:hanging="40"/>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B</w:t>
            </w:r>
          </w:p>
        </w:tc>
        <w:tc>
          <w:tcPr>
            <w:tcW w:w="775"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79BD84A3"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b/>
                <w:bCs/>
                <w:sz w:val="20"/>
                <w:szCs w:val="20"/>
                <w:lang w:eastAsia="lt-LT"/>
              </w:rPr>
              <w:t>C</w:t>
            </w:r>
          </w:p>
        </w:tc>
        <w:tc>
          <w:tcPr>
            <w:tcW w:w="613"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76964ED5" w14:textId="77777777" w:rsidR="009C7620" w:rsidRPr="009C7620" w:rsidRDefault="009C7620" w:rsidP="009C7620">
            <w:pPr>
              <w:spacing w:after="0" w:line="240" w:lineRule="auto"/>
              <w:ind w:right="-1" w:firstLine="10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D</w:t>
            </w:r>
          </w:p>
        </w:tc>
        <w:tc>
          <w:tcPr>
            <w:tcW w:w="506"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7F5B37B0"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E</w:t>
            </w:r>
          </w:p>
        </w:tc>
        <w:tc>
          <w:tcPr>
            <w:tcW w:w="609"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697453F2"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F</w:t>
            </w:r>
            <w:r w:rsidRPr="009C7620">
              <w:rPr>
                <w:rFonts w:ascii="Times New Roman" w:eastAsia="Times New Roman" w:hAnsi="Times New Roman"/>
                <w:b/>
                <w:bCs/>
                <w:color w:val="000000"/>
                <w:sz w:val="20"/>
                <w:szCs w:val="20"/>
                <w:lang w:val="en-GB" w:eastAsia="lt-LT"/>
              </w:rPr>
              <w:t>=C×D×E</w:t>
            </w:r>
          </w:p>
        </w:tc>
      </w:tr>
      <w:tr w:rsidR="009C7620" w:rsidRPr="009C7620" w14:paraId="20DBF666" w14:textId="77777777" w:rsidTr="009C7620">
        <w:trPr>
          <w:trHeight w:val="20"/>
        </w:trPr>
        <w:tc>
          <w:tcPr>
            <w:tcW w:w="234" w:type="pct"/>
            <w:tcBorders>
              <w:top w:val="nil"/>
              <w:left w:val="single" w:sz="8" w:space="0" w:color="5B9BD5"/>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62F0DA81" w14:textId="77777777" w:rsidR="009C7620" w:rsidRPr="009C7620" w:rsidRDefault="009C7620" w:rsidP="009C7620">
            <w:pPr>
              <w:spacing w:after="0" w:line="240" w:lineRule="auto"/>
              <w:ind w:right="-1" w:firstLine="102"/>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1.</w:t>
            </w:r>
          </w:p>
        </w:tc>
        <w:tc>
          <w:tcPr>
            <w:tcW w:w="2263"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4CFB79BA" w14:textId="77777777" w:rsidR="009C7620" w:rsidRPr="009C7620" w:rsidRDefault="009C7620" w:rsidP="009C7620">
            <w:pPr>
              <w:spacing w:after="0" w:line="240" w:lineRule="auto"/>
              <w:ind w:right="-1"/>
              <w:jc w:val="both"/>
              <w:textAlignment w:val="baseline"/>
              <w:rPr>
                <w:rFonts w:eastAsia="Times New Roman" w:cs="Calibri"/>
                <w:lang w:eastAsia="lt-LT"/>
              </w:rPr>
            </w:pPr>
            <w:r w:rsidRPr="009C7620">
              <w:rPr>
                <w:rFonts w:ascii="Times New Roman" w:eastAsia="Times New Roman" w:hAnsi="Times New Roman"/>
                <w:color w:val="000000"/>
                <w:sz w:val="20"/>
                <w:szCs w:val="20"/>
                <w:lang w:eastAsia="lt-LT"/>
              </w:rPr>
              <w:t>Antivirusinės programos licencija naudotojui</w:t>
            </w:r>
          </w:p>
        </w:tc>
        <w:tc>
          <w:tcPr>
            <w:tcW w:w="775"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6679BFDE"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color w:val="000000"/>
                <w:sz w:val="20"/>
                <w:szCs w:val="20"/>
                <w:lang w:eastAsia="lt-LT"/>
              </w:rPr>
              <w:t>0,53</w:t>
            </w:r>
          </w:p>
        </w:tc>
        <w:tc>
          <w:tcPr>
            <w:tcW w:w="613"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67C285AE"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45</w:t>
            </w:r>
          </w:p>
        </w:tc>
        <w:tc>
          <w:tcPr>
            <w:tcW w:w="506"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2C8F62D7"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1</w:t>
            </w:r>
          </w:p>
        </w:tc>
        <w:tc>
          <w:tcPr>
            <w:tcW w:w="609"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13CFAAE6"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23,85</w:t>
            </w:r>
          </w:p>
        </w:tc>
      </w:tr>
      <w:tr w:rsidR="009C7620" w:rsidRPr="009C7620" w14:paraId="5CC78673" w14:textId="77777777" w:rsidTr="009C7620">
        <w:trPr>
          <w:trHeight w:val="20"/>
        </w:trPr>
        <w:tc>
          <w:tcPr>
            <w:tcW w:w="234" w:type="pct"/>
            <w:tcBorders>
              <w:top w:val="nil"/>
              <w:left w:val="single" w:sz="8" w:space="0" w:color="5B9BD5"/>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31886D6A" w14:textId="77777777" w:rsidR="009C7620" w:rsidRPr="009C7620" w:rsidRDefault="009C7620" w:rsidP="009C7620">
            <w:pPr>
              <w:spacing w:after="0" w:line="240" w:lineRule="auto"/>
              <w:ind w:right="-1" w:firstLine="102"/>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2.</w:t>
            </w:r>
          </w:p>
        </w:tc>
        <w:tc>
          <w:tcPr>
            <w:tcW w:w="2263"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59DA447D" w14:textId="77777777" w:rsidR="009C7620" w:rsidRPr="009C7620" w:rsidRDefault="009C7620" w:rsidP="009C7620">
            <w:pPr>
              <w:spacing w:after="0" w:line="240" w:lineRule="auto"/>
              <w:ind w:right="-1"/>
              <w:jc w:val="both"/>
              <w:textAlignment w:val="baseline"/>
              <w:rPr>
                <w:rFonts w:eastAsia="Times New Roman" w:cs="Calibri"/>
                <w:lang w:eastAsia="lt-LT"/>
              </w:rPr>
            </w:pPr>
            <w:r w:rsidRPr="009C7620">
              <w:rPr>
                <w:rFonts w:ascii="Times New Roman" w:eastAsia="Times New Roman" w:hAnsi="Times New Roman"/>
                <w:color w:val="000000"/>
                <w:sz w:val="20"/>
                <w:szCs w:val="20"/>
                <w:lang w:eastAsia="lt-LT"/>
              </w:rPr>
              <w:t>Mobilių įrenginių valdymo licencija naudotojui</w:t>
            </w:r>
          </w:p>
        </w:tc>
        <w:tc>
          <w:tcPr>
            <w:tcW w:w="775"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2582461B"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color w:val="000000"/>
                <w:sz w:val="20"/>
                <w:szCs w:val="20"/>
                <w:lang w:eastAsia="lt-LT"/>
              </w:rPr>
              <w:t>0,42</w:t>
            </w:r>
          </w:p>
        </w:tc>
        <w:tc>
          <w:tcPr>
            <w:tcW w:w="613"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11C8335B"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8</w:t>
            </w:r>
          </w:p>
        </w:tc>
        <w:tc>
          <w:tcPr>
            <w:tcW w:w="506"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4866F0B7"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1</w:t>
            </w:r>
          </w:p>
        </w:tc>
        <w:tc>
          <w:tcPr>
            <w:tcW w:w="609"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302D8156"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3,36</w:t>
            </w:r>
          </w:p>
        </w:tc>
      </w:tr>
      <w:tr w:rsidR="009C7620" w:rsidRPr="009C7620" w14:paraId="2AF229A5" w14:textId="77777777" w:rsidTr="009C7620">
        <w:trPr>
          <w:trHeight w:val="20"/>
        </w:trPr>
        <w:tc>
          <w:tcPr>
            <w:tcW w:w="234" w:type="pct"/>
            <w:tcBorders>
              <w:top w:val="nil"/>
              <w:left w:val="single" w:sz="8" w:space="0" w:color="5B9BD5"/>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6D7DCB2F" w14:textId="77777777" w:rsidR="009C7620" w:rsidRPr="009C7620" w:rsidRDefault="009C7620" w:rsidP="009C7620">
            <w:pPr>
              <w:spacing w:after="0" w:line="240" w:lineRule="auto"/>
              <w:ind w:right="-1" w:firstLine="102"/>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3.</w:t>
            </w:r>
          </w:p>
        </w:tc>
        <w:tc>
          <w:tcPr>
            <w:tcW w:w="2263"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0DE8A903" w14:textId="77777777" w:rsidR="009C7620" w:rsidRPr="009C7620" w:rsidRDefault="009C7620" w:rsidP="009C7620">
            <w:pPr>
              <w:spacing w:after="0" w:line="240" w:lineRule="auto"/>
              <w:ind w:right="-1"/>
              <w:jc w:val="both"/>
              <w:textAlignment w:val="baseline"/>
              <w:rPr>
                <w:rFonts w:eastAsia="Times New Roman" w:cs="Calibri"/>
                <w:lang w:eastAsia="lt-LT"/>
              </w:rPr>
            </w:pPr>
            <w:r w:rsidRPr="009C7620">
              <w:rPr>
                <w:rFonts w:ascii="Times New Roman" w:eastAsia="Times New Roman" w:hAnsi="Times New Roman"/>
                <w:color w:val="000000"/>
                <w:sz w:val="20"/>
                <w:szCs w:val="20"/>
                <w:lang w:eastAsia="lt-LT"/>
              </w:rPr>
              <w:t xml:space="preserve">Laikmenų šifravimo licencija </w:t>
            </w:r>
            <w:r w:rsidRPr="009C7620">
              <w:rPr>
                <w:rFonts w:ascii="Times New Roman" w:eastAsia="Times New Roman" w:hAnsi="Times New Roman"/>
                <w:sz w:val="20"/>
                <w:szCs w:val="20"/>
                <w:lang w:eastAsia="lt-LT"/>
              </w:rPr>
              <w:t>įrenginiui</w:t>
            </w:r>
          </w:p>
        </w:tc>
        <w:tc>
          <w:tcPr>
            <w:tcW w:w="775"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31A890F6"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color w:val="000000"/>
                <w:sz w:val="20"/>
                <w:szCs w:val="20"/>
                <w:lang w:eastAsia="lt-LT"/>
              </w:rPr>
              <w:t>1,17</w:t>
            </w:r>
          </w:p>
        </w:tc>
        <w:tc>
          <w:tcPr>
            <w:tcW w:w="613"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2ACE020A"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0</w:t>
            </w:r>
          </w:p>
        </w:tc>
        <w:tc>
          <w:tcPr>
            <w:tcW w:w="506"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3C30F6DA"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0</w:t>
            </w:r>
          </w:p>
        </w:tc>
        <w:tc>
          <w:tcPr>
            <w:tcW w:w="609"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3D7ACC08"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0</w:t>
            </w:r>
          </w:p>
        </w:tc>
      </w:tr>
      <w:tr w:rsidR="009C7620" w:rsidRPr="009C7620" w14:paraId="159C9127" w14:textId="77777777" w:rsidTr="009C7620">
        <w:trPr>
          <w:trHeight w:val="20"/>
        </w:trPr>
        <w:tc>
          <w:tcPr>
            <w:tcW w:w="234" w:type="pct"/>
            <w:tcBorders>
              <w:top w:val="nil"/>
              <w:left w:val="single" w:sz="8" w:space="0" w:color="5B9BD5"/>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27347782" w14:textId="77777777" w:rsidR="009C7620" w:rsidRPr="009C7620" w:rsidRDefault="009C7620" w:rsidP="009C7620">
            <w:pPr>
              <w:spacing w:after="0" w:line="240" w:lineRule="auto"/>
              <w:ind w:right="-1" w:firstLine="102"/>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4.</w:t>
            </w:r>
          </w:p>
        </w:tc>
        <w:tc>
          <w:tcPr>
            <w:tcW w:w="2263"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22D98487" w14:textId="77777777" w:rsidR="009C7620" w:rsidRPr="009C7620" w:rsidRDefault="009C7620" w:rsidP="009C7620">
            <w:pPr>
              <w:spacing w:after="0" w:line="240" w:lineRule="auto"/>
              <w:ind w:right="-1"/>
              <w:jc w:val="both"/>
              <w:textAlignment w:val="baseline"/>
              <w:rPr>
                <w:rFonts w:eastAsia="Times New Roman" w:cs="Calibri"/>
                <w:lang w:eastAsia="lt-LT"/>
              </w:rPr>
            </w:pPr>
            <w:r w:rsidRPr="009C7620">
              <w:rPr>
                <w:rFonts w:ascii="Times New Roman" w:eastAsia="Times New Roman" w:hAnsi="Times New Roman"/>
                <w:sz w:val="20"/>
                <w:szCs w:val="20"/>
                <w:lang w:eastAsia="lt-LT"/>
              </w:rPr>
              <w:t xml:space="preserve">Apsaugos nuo failus užkoduojančių virusų (angl. </w:t>
            </w:r>
            <w:proofErr w:type="spellStart"/>
            <w:r w:rsidRPr="009C7620">
              <w:rPr>
                <w:rFonts w:ascii="Times New Roman" w:eastAsia="Times New Roman" w:hAnsi="Times New Roman"/>
                <w:i/>
                <w:iCs/>
                <w:sz w:val="20"/>
                <w:szCs w:val="20"/>
                <w:lang w:eastAsia="lt-LT"/>
              </w:rPr>
              <w:t>ransomware</w:t>
            </w:r>
            <w:proofErr w:type="spellEnd"/>
            <w:r w:rsidRPr="009C7620">
              <w:rPr>
                <w:rFonts w:ascii="Times New Roman" w:eastAsia="Times New Roman" w:hAnsi="Times New Roman"/>
                <w:i/>
                <w:iCs/>
                <w:sz w:val="20"/>
                <w:szCs w:val="20"/>
                <w:lang w:eastAsia="lt-LT"/>
              </w:rPr>
              <w:t xml:space="preserve"> </w:t>
            </w:r>
            <w:proofErr w:type="spellStart"/>
            <w:r w:rsidRPr="009C7620">
              <w:rPr>
                <w:rFonts w:ascii="Times New Roman" w:eastAsia="Times New Roman" w:hAnsi="Times New Roman"/>
                <w:i/>
                <w:iCs/>
                <w:sz w:val="20"/>
                <w:szCs w:val="20"/>
                <w:lang w:eastAsia="lt-LT"/>
              </w:rPr>
              <w:t>prevention</w:t>
            </w:r>
            <w:proofErr w:type="spellEnd"/>
            <w:r w:rsidRPr="009C7620">
              <w:rPr>
                <w:rFonts w:ascii="Times New Roman" w:eastAsia="Times New Roman" w:hAnsi="Times New Roman"/>
                <w:sz w:val="20"/>
                <w:szCs w:val="20"/>
                <w:lang w:eastAsia="lt-LT"/>
              </w:rPr>
              <w:t>) licencija įrenginiui</w:t>
            </w:r>
          </w:p>
        </w:tc>
        <w:tc>
          <w:tcPr>
            <w:tcW w:w="775" w:type="pct"/>
            <w:tcBorders>
              <w:top w:val="nil"/>
              <w:left w:val="nil"/>
              <w:bottom w:val="single" w:sz="8" w:space="0" w:color="5B9BD5"/>
              <w:right w:val="single" w:sz="8" w:space="0" w:color="5B9BD5"/>
            </w:tcBorders>
            <w:shd w:val="clear" w:color="auto" w:fill="F2F2F2"/>
            <w:tcMar>
              <w:top w:w="0" w:type="dxa"/>
              <w:left w:w="40" w:type="dxa"/>
              <w:bottom w:w="0" w:type="dxa"/>
              <w:right w:w="40" w:type="dxa"/>
            </w:tcMar>
            <w:vAlign w:val="center"/>
            <w:hideMark/>
          </w:tcPr>
          <w:p w14:paraId="0DBE01C4" w14:textId="77777777" w:rsidR="009C7620" w:rsidRPr="009C7620" w:rsidRDefault="009C7620" w:rsidP="009C7620">
            <w:pPr>
              <w:spacing w:after="0" w:line="240" w:lineRule="auto"/>
              <w:jc w:val="center"/>
              <w:rPr>
                <w:rFonts w:eastAsia="Times New Roman" w:cs="Calibri"/>
                <w:lang w:eastAsia="lt-LT"/>
              </w:rPr>
            </w:pPr>
            <w:r w:rsidRPr="009C7620">
              <w:rPr>
                <w:rFonts w:ascii="Times New Roman" w:eastAsia="Times New Roman" w:hAnsi="Times New Roman"/>
                <w:color w:val="000000"/>
                <w:sz w:val="20"/>
                <w:szCs w:val="20"/>
                <w:lang w:eastAsia="lt-LT"/>
              </w:rPr>
              <w:t>1,6</w:t>
            </w:r>
          </w:p>
        </w:tc>
        <w:tc>
          <w:tcPr>
            <w:tcW w:w="613"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4D56840F"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color w:val="000000"/>
                <w:sz w:val="20"/>
                <w:szCs w:val="20"/>
                <w:lang w:eastAsia="lt-LT"/>
              </w:rPr>
              <w:t>0</w:t>
            </w:r>
          </w:p>
        </w:tc>
        <w:tc>
          <w:tcPr>
            <w:tcW w:w="506"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0B1514B6"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0</w:t>
            </w:r>
          </w:p>
        </w:tc>
        <w:tc>
          <w:tcPr>
            <w:tcW w:w="609" w:type="pct"/>
            <w:tcBorders>
              <w:top w:val="nil"/>
              <w:left w:val="nil"/>
              <w:bottom w:val="single" w:sz="8" w:space="0" w:color="5B9BD5"/>
              <w:right w:val="single" w:sz="8" w:space="0" w:color="5B9BD5"/>
            </w:tcBorders>
            <w:tcMar>
              <w:top w:w="0" w:type="dxa"/>
              <w:left w:w="40" w:type="dxa"/>
              <w:bottom w:w="0" w:type="dxa"/>
              <w:right w:w="40" w:type="dxa"/>
            </w:tcMar>
            <w:vAlign w:val="center"/>
            <w:hideMark/>
          </w:tcPr>
          <w:p w14:paraId="42C834C0" w14:textId="77777777" w:rsidR="009C7620" w:rsidRPr="009C7620" w:rsidRDefault="009C7620" w:rsidP="009C7620">
            <w:pPr>
              <w:spacing w:after="0" w:line="240" w:lineRule="auto"/>
              <w:ind w:right="-1"/>
              <w:jc w:val="center"/>
              <w:textAlignment w:val="baseline"/>
              <w:rPr>
                <w:rFonts w:eastAsia="Times New Roman" w:cs="Calibri"/>
                <w:lang w:eastAsia="lt-LT"/>
              </w:rPr>
            </w:pPr>
            <w:r w:rsidRPr="009C7620">
              <w:rPr>
                <w:rFonts w:ascii="Times New Roman" w:eastAsia="Times New Roman" w:hAnsi="Times New Roman"/>
                <w:b/>
                <w:bCs/>
                <w:color w:val="000000"/>
                <w:sz w:val="20"/>
                <w:szCs w:val="20"/>
                <w:lang w:eastAsia="lt-LT"/>
              </w:rPr>
              <w:t>0</w:t>
            </w:r>
          </w:p>
        </w:tc>
      </w:tr>
      <w:tr w:rsidR="009C7620" w:rsidRPr="009C7620" w14:paraId="67737A3F" w14:textId="77777777" w:rsidTr="009C7620">
        <w:trPr>
          <w:trHeight w:val="20"/>
        </w:trPr>
        <w:tc>
          <w:tcPr>
            <w:tcW w:w="4391" w:type="pct"/>
            <w:gridSpan w:val="5"/>
            <w:tcBorders>
              <w:top w:val="nil"/>
              <w:left w:val="single" w:sz="8" w:space="0" w:color="5B9BD5"/>
              <w:bottom w:val="single" w:sz="8" w:space="0" w:color="5B9BD5"/>
              <w:right w:val="single" w:sz="8" w:space="0" w:color="5B9BD5"/>
            </w:tcBorders>
            <w:shd w:val="clear" w:color="auto" w:fill="E2EFD9"/>
            <w:tcMar>
              <w:top w:w="0" w:type="dxa"/>
              <w:left w:w="40" w:type="dxa"/>
              <w:bottom w:w="0" w:type="dxa"/>
              <w:right w:w="40" w:type="dxa"/>
            </w:tcMar>
            <w:vAlign w:val="center"/>
            <w:hideMark/>
          </w:tcPr>
          <w:p w14:paraId="3279521F" w14:textId="77777777" w:rsidR="009C7620" w:rsidRPr="009C7620" w:rsidRDefault="009C7620" w:rsidP="009C7620">
            <w:pPr>
              <w:spacing w:after="0" w:line="240" w:lineRule="auto"/>
              <w:ind w:right="-1" w:firstLine="720"/>
              <w:jc w:val="right"/>
              <w:textAlignment w:val="baseline"/>
              <w:rPr>
                <w:rFonts w:eastAsia="Times New Roman" w:cs="Calibri"/>
                <w:lang w:eastAsia="lt-LT"/>
              </w:rPr>
            </w:pPr>
            <w:r w:rsidRPr="009C7620">
              <w:rPr>
                <w:rFonts w:ascii="Times New Roman" w:eastAsia="Times New Roman" w:hAnsi="Times New Roman"/>
                <w:b/>
                <w:bCs/>
                <w:color w:val="000000"/>
                <w:lang w:eastAsia="lt-LT"/>
              </w:rPr>
              <w:t>IŠ VISO</w:t>
            </w:r>
          </w:p>
        </w:tc>
        <w:tc>
          <w:tcPr>
            <w:tcW w:w="609" w:type="pct"/>
            <w:tcBorders>
              <w:top w:val="nil"/>
              <w:left w:val="nil"/>
              <w:bottom w:val="single" w:sz="8" w:space="0" w:color="5B9BD5"/>
              <w:right w:val="single" w:sz="8" w:space="0" w:color="5B9BD5"/>
            </w:tcBorders>
            <w:shd w:val="clear" w:color="auto" w:fill="E2EFD9"/>
            <w:tcMar>
              <w:top w:w="0" w:type="dxa"/>
              <w:left w:w="40" w:type="dxa"/>
              <w:bottom w:w="0" w:type="dxa"/>
              <w:right w:w="40" w:type="dxa"/>
            </w:tcMar>
            <w:hideMark/>
          </w:tcPr>
          <w:p w14:paraId="735037A4" w14:textId="5A25814B" w:rsidR="009C7620" w:rsidRPr="009C7620" w:rsidRDefault="00C827FD" w:rsidP="009C7620">
            <w:pPr>
              <w:spacing w:after="0" w:line="240" w:lineRule="auto"/>
              <w:ind w:right="-1"/>
              <w:textAlignment w:val="baseline"/>
              <w:rPr>
                <w:rFonts w:eastAsia="Times New Roman" w:cs="Calibri"/>
                <w:lang w:eastAsia="lt-LT"/>
              </w:rPr>
            </w:pPr>
            <w:r>
              <w:rPr>
                <w:rFonts w:ascii="Times New Roman" w:eastAsia="Times New Roman" w:hAnsi="Times New Roman"/>
                <w:b/>
                <w:bCs/>
                <w:color w:val="000000"/>
                <w:lang w:eastAsia="lt-LT"/>
              </w:rPr>
              <w:t xml:space="preserve">     </w:t>
            </w:r>
            <w:r w:rsidR="009C7620" w:rsidRPr="009C7620">
              <w:rPr>
                <w:rFonts w:ascii="Times New Roman" w:eastAsia="Times New Roman" w:hAnsi="Times New Roman"/>
                <w:b/>
                <w:bCs/>
                <w:color w:val="000000"/>
                <w:lang w:eastAsia="lt-LT"/>
              </w:rPr>
              <w:t>27,21</w:t>
            </w:r>
          </w:p>
        </w:tc>
      </w:tr>
    </w:tbl>
    <w:p w14:paraId="7C33E60C" w14:textId="51839EFD" w:rsidR="00DE552D" w:rsidRPr="00A4381C" w:rsidRDefault="00A4381C" w:rsidP="009975F0">
      <w:pPr>
        <w:pStyle w:val="Sraopastraipa"/>
        <w:widowControl w:val="0"/>
        <w:autoSpaceDE w:val="0"/>
        <w:autoSpaceDN w:val="0"/>
        <w:adjustRightInd w:val="0"/>
        <w:spacing w:after="0"/>
        <w:jc w:val="both"/>
        <w:rPr>
          <w:rFonts w:ascii="Times New Roman" w:hAnsi="Times New Roman"/>
          <w:color w:val="000000"/>
          <w:sz w:val="20"/>
          <w:szCs w:val="20"/>
        </w:rPr>
      </w:pPr>
      <w:r w:rsidRPr="00A4381C">
        <w:rPr>
          <w:rFonts w:ascii="Times New Roman" w:hAnsi="Times New Roman"/>
          <w:color w:val="000000"/>
          <w:sz w:val="20"/>
          <w:szCs w:val="20"/>
        </w:rPr>
        <w:t>*Sutarties 6.1. papunktyje nustatytu atveju, kai Sutarties galiojimo laikotarpis negali būti 36 mėn., nurodomas atitinkamai trumpesnis laikotarpis.</w:t>
      </w:r>
    </w:p>
    <w:p w14:paraId="4C3CAA5D" w14:textId="536B9DE8" w:rsidR="008B10D7" w:rsidRPr="00A4381C" w:rsidRDefault="008B10D7" w:rsidP="00A4381C">
      <w:pPr>
        <w:rPr>
          <w:rFonts w:ascii="Times New Roman" w:hAnsi="Times New Roman"/>
          <w:color w:val="000000"/>
          <w:sz w:val="24"/>
          <w:szCs w:val="24"/>
        </w:rPr>
      </w:pPr>
      <w:r w:rsidRPr="00A4381C">
        <w:rPr>
          <w:rFonts w:ascii="Times New Roman" w:hAnsi="Times New Roman"/>
          <w:color w:val="000000"/>
          <w:sz w:val="24"/>
          <w:szCs w:val="24"/>
        </w:rPr>
        <w:t xml:space="preserve"> </w:t>
      </w:r>
      <w:r w:rsidR="00A4381C">
        <w:rPr>
          <w:rFonts w:ascii="Times New Roman" w:hAnsi="Times New Roman"/>
          <w:color w:val="000000"/>
          <w:sz w:val="24"/>
          <w:szCs w:val="24"/>
        </w:rPr>
        <w:t xml:space="preserve">       1.2.  </w:t>
      </w:r>
      <w:r w:rsidRPr="00A4381C">
        <w:rPr>
          <w:rFonts w:ascii="Times New Roman" w:hAnsi="Times New Roman"/>
          <w:color w:val="000000"/>
          <w:sz w:val="24"/>
          <w:szCs w:val="24"/>
        </w:rPr>
        <w:t>Užsakovas Sutartyje nustatyta tvarka ir sąlygomis įsipareigoja priimti kokybiškas prekes ir sumokėti už jas Tiekėjui Sutartyje nustatytomis sąlygomis ir tvarka.</w:t>
      </w:r>
    </w:p>
    <w:p w14:paraId="6E0D6606" w14:textId="77777777" w:rsidR="007F539F" w:rsidRPr="00BD61F0" w:rsidRDefault="007F539F" w:rsidP="00BD61F0">
      <w:pPr>
        <w:widowControl w:val="0"/>
        <w:autoSpaceDE w:val="0"/>
        <w:autoSpaceDN w:val="0"/>
        <w:adjustRightInd w:val="0"/>
        <w:spacing w:after="0"/>
        <w:contextualSpacing/>
        <w:jc w:val="both"/>
        <w:rPr>
          <w:rFonts w:ascii="Times New Roman" w:hAnsi="Times New Roman"/>
          <w:color w:val="000000"/>
          <w:sz w:val="24"/>
          <w:szCs w:val="24"/>
        </w:rPr>
      </w:pPr>
    </w:p>
    <w:p w14:paraId="130FE433" w14:textId="77777777" w:rsidR="00DE552D" w:rsidRPr="00BD61F0" w:rsidRDefault="00B74F0E" w:rsidP="00BD61F0">
      <w:pPr>
        <w:widowControl w:val="0"/>
        <w:numPr>
          <w:ilvl w:val="0"/>
          <w:numId w:val="1"/>
        </w:numPr>
        <w:autoSpaceDE w:val="0"/>
        <w:autoSpaceDN w:val="0"/>
        <w:adjustRightInd w:val="0"/>
        <w:spacing w:after="0"/>
        <w:ind w:left="0" w:firstLine="567"/>
        <w:jc w:val="center"/>
        <w:rPr>
          <w:rFonts w:ascii="Times New Roman" w:hAnsi="Times New Roman"/>
          <w:caps/>
          <w:color w:val="000000"/>
          <w:sz w:val="24"/>
          <w:szCs w:val="24"/>
        </w:rPr>
      </w:pPr>
      <w:r w:rsidRPr="00BD61F0">
        <w:rPr>
          <w:rFonts w:ascii="Times New Roman" w:hAnsi="Times New Roman"/>
          <w:b/>
          <w:bCs/>
          <w:caps/>
          <w:color w:val="000000"/>
          <w:sz w:val="24"/>
          <w:szCs w:val="24"/>
        </w:rPr>
        <w:t>PREKIŲ</w:t>
      </w:r>
      <w:r w:rsidR="00DE552D" w:rsidRPr="00BD61F0">
        <w:rPr>
          <w:rFonts w:ascii="Times New Roman" w:hAnsi="Times New Roman"/>
          <w:b/>
          <w:bCs/>
          <w:caps/>
          <w:color w:val="000000"/>
          <w:sz w:val="24"/>
          <w:szCs w:val="24"/>
        </w:rPr>
        <w:t xml:space="preserve"> kaina ir Atsiskaitymo </w:t>
      </w:r>
      <w:r w:rsidR="00857FCA" w:rsidRPr="00BD61F0">
        <w:rPr>
          <w:rFonts w:ascii="Times New Roman" w:hAnsi="Times New Roman"/>
          <w:b/>
          <w:bCs/>
          <w:caps/>
          <w:color w:val="000000"/>
          <w:sz w:val="24"/>
          <w:szCs w:val="24"/>
        </w:rPr>
        <w:t>TVARKA</w:t>
      </w:r>
    </w:p>
    <w:p w14:paraId="63B24148" w14:textId="77777777" w:rsidR="00DE552D" w:rsidRPr="00BD61F0" w:rsidRDefault="00DE552D" w:rsidP="00BD61F0">
      <w:pPr>
        <w:autoSpaceDE w:val="0"/>
        <w:autoSpaceDN w:val="0"/>
        <w:adjustRightInd w:val="0"/>
        <w:spacing w:after="0"/>
        <w:ind w:firstLine="567"/>
        <w:jc w:val="both"/>
        <w:rPr>
          <w:rFonts w:ascii="Times New Roman" w:hAnsi="Times New Roman"/>
          <w:caps/>
          <w:color w:val="000000"/>
          <w:sz w:val="24"/>
          <w:szCs w:val="24"/>
        </w:rPr>
      </w:pPr>
    </w:p>
    <w:p w14:paraId="620559F0" w14:textId="270F56C5" w:rsidR="001B76A5" w:rsidRPr="00BD61F0" w:rsidRDefault="001B76A5" w:rsidP="00BD61F0">
      <w:pPr>
        <w:widowControl w:val="0"/>
        <w:numPr>
          <w:ilvl w:val="1"/>
          <w:numId w:val="1"/>
        </w:numPr>
        <w:autoSpaceDE w:val="0"/>
        <w:autoSpaceDN w:val="0"/>
        <w:adjustRightInd w:val="0"/>
        <w:spacing w:after="0"/>
        <w:ind w:left="0" w:firstLine="567"/>
        <w:jc w:val="both"/>
        <w:rPr>
          <w:rFonts w:ascii="Times New Roman" w:hAnsi="Times New Roman"/>
          <w:sz w:val="24"/>
          <w:szCs w:val="24"/>
        </w:rPr>
      </w:pPr>
      <w:r w:rsidRPr="00BD61F0">
        <w:rPr>
          <w:rFonts w:ascii="Times New Roman" w:hAnsi="Times New Roman"/>
          <w:sz w:val="24"/>
          <w:szCs w:val="24"/>
        </w:rPr>
        <w:t>Sutarties kaina –</w:t>
      </w:r>
      <w:r w:rsidR="009D7D47">
        <w:rPr>
          <w:rFonts w:ascii="Times New Roman" w:hAnsi="Times New Roman"/>
          <w:sz w:val="24"/>
          <w:szCs w:val="24"/>
        </w:rPr>
        <w:t xml:space="preserve"> iki </w:t>
      </w:r>
      <w:r w:rsidR="008B10D7">
        <w:rPr>
          <w:rFonts w:ascii="Times New Roman" w:hAnsi="Times New Roman"/>
          <w:i/>
          <w:sz w:val="24"/>
          <w:szCs w:val="24"/>
        </w:rPr>
        <w:t xml:space="preserve"> </w:t>
      </w:r>
      <w:r w:rsidR="009C7620">
        <w:rPr>
          <w:rFonts w:ascii="Times New Roman" w:hAnsi="Times New Roman"/>
          <w:sz w:val="24"/>
          <w:szCs w:val="24"/>
        </w:rPr>
        <w:t xml:space="preserve">27,21 </w:t>
      </w:r>
      <w:r w:rsidR="001C6470" w:rsidRPr="009975F0">
        <w:rPr>
          <w:rFonts w:ascii="Times New Roman" w:hAnsi="Times New Roman"/>
          <w:sz w:val="24"/>
          <w:szCs w:val="24"/>
        </w:rPr>
        <w:t>EUR</w:t>
      </w:r>
      <w:r w:rsidR="008B10D7" w:rsidRPr="009975F0">
        <w:rPr>
          <w:rFonts w:ascii="Times New Roman" w:hAnsi="Times New Roman"/>
          <w:sz w:val="24"/>
          <w:szCs w:val="24"/>
        </w:rPr>
        <w:t xml:space="preserve"> (iki</w:t>
      </w:r>
      <w:r w:rsidR="009C7620">
        <w:rPr>
          <w:rFonts w:ascii="Times New Roman" w:hAnsi="Times New Roman"/>
          <w:sz w:val="24"/>
          <w:szCs w:val="24"/>
        </w:rPr>
        <w:t xml:space="preserve"> dvidešimt septynių eurų dvidešimt vieno cento</w:t>
      </w:r>
      <w:r w:rsidRPr="009975F0">
        <w:rPr>
          <w:rFonts w:ascii="Times New Roman" w:hAnsi="Times New Roman"/>
          <w:sz w:val="24"/>
          <w:szCs w:val="24"/>
        </w:rPr>
        <w:t>),</w:t>
      </w:r>
      <w:r w:rsidRPr="00BD61F0">
        <w:rPr>
          <w:rFonts w:ascii="Times New Roman" w:hAnsi="Times New Roman"/>
          <w:sz w:val="24"/>
          <w:szCs w:val="24"/>
        </w:rPr>
        <w:t xml:space="preserve"> įskaitant pridėtinės vertės mokestį (toliau – PVM). </w:t>
      </w:r>
    </w:p>
    <w:p w14:paraId="0E320546" w14:textId="5448C525" w:rsidR="00CE63BD" w:rsidRPr="00BD61F0" w:rsidRDefault="00CE63BD" w:rsidP="00BD61F0">
      <w:pPr>
        <w:widowControl w:val="0"/>
        <w:numPr>
          <w:ilvl w:val="1"/>
          <w:numId w:val="1"/>
        </w:numPr>
        <w:autoSpaceDE w:val="0"/>
        <w:autoSpaceDN w:val="0"/>
        <w:adjustRightInd w:val="0"/>
        <w:spacing w:after="0"/>
        <w:ind w:left="0" w:firstLine="567"/>
        <w:jc w:val="both"/>
        <w:rPr>
          <w:rFonts w:ascii="Times New Roman" w:hAnsi="Times New Roman"/>
          <w:sz w:val="24"/>
          <w:szCs w:val="24"/>
        </w:rPr>
      </w:pPr>
      <w:r w:rsidRPr="00BD61F0">
        <w:rPr>
          <w:rFonts w:ascii="Times New Roman" w:hAnsi="Times New Roman"/>
          <w:sz w:val="24"/>
          <w:szCs w:val="24"/>
        </w:rPr>
        <w:t xml:space="preserve">Į </w:t>
      </w:r>
      <w:r w:rsidR="00FF26B5" w:rsidRPr="00BD61F0">
        <w:rPr>
          <w:rFonts w:ascii="Times New Roman" w:hAnsi="Times New Roman"/>
          <w:sz w:val="24"/>
          <w:szCs w:val="24"/>
        </w:rPr>
        <w:t>S</w:t>
      </w:r>
      <w:r w:rsidRPr="00BD61F0">
        <w:rPr>
          <w:rFonts w:ascii="Times New Roman" w:hAnsi="Times New Roman"/>
          <w:sz w:val="24"/>
          <w:szCs w:val="24"/>
        </w:rPr>
        <w:t xml:space="preserve">utarties kainą įskaitomi visi mokesčiai ir rinkliavos bei </w:t>
      </w:r>
      <w:r w:rsidR="00C57B54" w:rsidRPr="00BD61F0">
        <w:rPr>
          <w:rFonts w:ascii="Times New Roman" w:hAnsi="Times New Roman"/>
          <w:sz w:val="24"/>
          <w:szCs w:val="24"/>
        </w:rPr>
        <w:t xml:space="preserve">visos </w:t>
      </w:r>
      <w:r w:rsidRPr="00BD61F0">
        <w:rPr>
          <w:rFonts w:ascii="Times New Roman" w:hAnsi="Times New Roman"/>
          <w:sz w:val="24"/>
          <w:szCs w:val="24"/>
        </w:rPr>
        <w:t>kitos išlaidos (taip pat ir sąskaitų faktūrų teikimo naudojantis informacine sistema „E. sąskaita“ išlaidos), susijusios su tinkamu Sutarties vykdymu.</w:t>
      </w:r>
    </w:p>
    <w:p w14:paraId="0CBD9437" w14:textId="014A795A" w:rsidR="00CE63BD" w:rsidRPr="00BD61F0" w:rsidRDefault="00CE63BD" w:rsidP="00BD61F0">
      <w:pPr>
        <w:widowControl w:val="0"/>
        <w:numPr>
          <w:ilvl w:val="1"/>
          <w:numId w:val="1"/>
        </w:numPr>
        <w:autoSpaceDE w:val="0"/>
        <w:autoSpaceDN w:val="0"/>
        <w:adjustRightInd w:val="0"/>
        <w:spacing w:after="0"/>
        <w:ind w:left="0" w:firstLine="567"/>
        <w:jc w:val="both"/>
        <w:rPr>
          <w:rFonts w:ascii="Times New Roman" w:hAnsi="Times New Roman"/>
          <w:sz w:val="24"/>
          <w:szCs w:val="24"/>
        </w:rPr>
      </w:pPr>
      <w:r w:rsidRPr="00BD61F0">
        <w:rPr>
          <w:rFonts w:ascii="Times New Roman" w:hAnsi="Times New Roman"/>
          <w:sz w:val="24"/>
          <w:szCs w:val="24"/>
        </w:rPr>
        <w:t xml:space="preserve">PVM sąskaitos faktūros, sąskaitos faktūros, kreditiniai ir debetiniai dokumentai bei </w:t>
      </w:r>
      <w:r w:rsidRPr="00BD61F0">
        <w:rPr>
          <w:rFonts w:ascii="Times New Roman" w:hAnsi="Times New Roman"/>
          <w:sz w:val="24"/>
          <w:szCs w:val="24"/>
        </w:rPr>
        <w:lastRenderedPageBreak/>
        <w:t xml:space="preserve">avansinės sąskaitos teikiami </w:t>
      </w:r>
      <w:r w:rsidR="00E66410" w:rsidRPr="00BD61F0">
        <w:rPr>
          <w:rFonts w:ascii="Times New Roman" w:hAnsi="Times New Roman"/>
          <w:sz w:val="24"/>
          <w:szCs w:val="24"/>
        </w:rPr>
        <w:t>Užsakovui</w:t>
      </w:r>
      <w:r w:rsidR="00FF2B9A" w:rsidRPr="00BD61F0">
        <w:rPr>
          <w:rFonts w:ascii="Times New Roman" w:hAnsi="Times New Roman"/>
          <w:sz w:val="24"/>
          <w:szCs w:val="24"/>
        </w:rPr>
        <w:t xml:space="preserve"> </w:t>
      </w:r>
      <w:r w:rsidRPr="00BD61F0">
        <w:rPr>
          <w:rFonts w:ascii="Times New Roman" w:hAnsi="Times New Roman"/>
          <w:sz w:val="24"/>
          <w:szCs w:val="24"/>
        </w:rPr>
        <w:t>naudojantis informacine sistema „E. sąskaita“.</w:t>
      </w:r>
      <w:r w:rsidR="00A323E6" w:rsidRPr="00BD61F0">
        <w:rPr>
          <w:rFonts w:ascii="Times New Roman" w:hAnsi="Times New Roman"/>
          <w:sz w:val="24"/>
          <w:szCs w:val="24"/>
        </w:rPr>
        <w:t xml:space="preserve"> Jei </w:t>
      </w:r>
      <w:r w:rsidR="00A323E6" w:rsidRPr="00BD61F0">
        <w:rPr>
          <w:rFonts w:ascii="Times New Roman" w:hAnsi="Times New Roman"/>
          <w:color w:val="000000"/>
          <w:sz w:val="24"/>
          <w:szCs w:val="24"/>
        </w:rPr>
        <w:t xml:space="preserve">Tiekėjas </w:t>
      </w:r>
      <w:r w:rsidR="00A323E6" w:rsidRPr="00BD61F0">
        <w:rPr>
          <w:rFonts w:ascii="Times New Roman" w:hAnsi="Times New Roman"/>
          <w:sz w:val="24"/>
          <w:szCs w:val="24"/>
        </w:rPr>
        <w:t xml:space="preserve">pateikia popierinę sąskaitą arba sąskaitą pateikia kitomis priemonėmis, </w:t>
      </w:r>
      <w:r w:rsidR="00E66410" w:rsidRPr="00BD61F0">
        <w:rPr>
          <w:rFonts w:ascii="Times New Roman" w:hAnsi="Times New Roman"/>
          <w:sz w:val="24"/>
          <w:szCs w:val="24"/>
        </w:rPr>
        <w:t>Užsakovas</w:t>
      </w:r>
      <w:r w:rsidR="00A323E6" w:rsidRPr="00BD61F0">
        <w:rPr>
          <w:rFonts w:ascii="Times New Roman" w:hAnsi="Times New Roman"/>
          <w:sz w:val="24"/>
          <w:szCs w:val="24"/>
        </w:rPr>
        <w:t xml:space="preserve"> turi teisę tokios sąskaitos neapmokėti.</w:t>
      </w:r>
    </w:p>
    <w:p w14:paraId="08384E13" w14:textId="09B55173" w:rsidR="00050C7A" w:rsidRPr="00BD61F0" w:rsidRDefault="00050C7A" w:rsidP="00BD61F0">
      <w:pPr>
        <w:widowControl w:val="0"/>
        <w:numPr>
          <w:ilvl w:val="1"/>
          <w:numId w:val="1"/>
        </w:numPr>
        <w:autoSpaceDE w:val="0"/>
        <w:autoSpaceDN w:val="0"/>
        <w:adjustRightInd w:val="0"/>
        <w:spacing w:after="0"/>
        <w:ind w:left="0" w:firstLine="567"/>
        <w:jc w:val="both"/>
        <w:rPr>
          <w:rFonts w:ascii="Times New Roman" w:hAnsi="Times New Roman"/>
          <w:sz w:val="24"/>
          <w:szCs w:val="24"/>
        </w:rPr>
      </w:pPr>
      <w:r w:rsidRPr="00BD61F0">
        <w:rPr>
          <w:rFonts w:ascii="Times New Roman" w:hAnsi="Times New Roman"/>
          <w:sz w:val="24"/>
          <w:szCs w:val="24"/>
        </w:rPr>
        <w:t>Už tinkamai ir faktiškai pristatytas Sutarties ir Sutarties priedo</w:t>
      </w:r>
      <w:r w:rsidR="00FF26B5" w:rsidRPr="00BD61F0">
        <w:rPr>
          <w:rFonts w:ascii="Times New Roman" w:hAnsi="Times New Roman"/>
          <w:sz w:val="24"/>
          <w:szCs w:val="24"/>
        </w:rPr>
        <w:t xml:space="preserve"> reikalavimus atitinkančias p</w:t>
      </w:r>
      <w:r w:rsidRPr="00BD61F0">
        <w:rPr>
          <w:rFonts w:ascii="Times New Roman" w:hAnsi="Times New Roman"/>
          <w:sz w:val="24"/>
          <w:szCs w:val="24"/>
        </w:rPr>
        <w:t xml:space="preserve">rekes, </w:t>
      </w:r>
      <w:r w:rsidR="00E66410" w:rsidRPr="00BD61F0">
        <w:rPr>
          <w:rFonts w:ascii="Times New Roman" w:hAnsi="Times New Roman"/>
          <w:sz w:val="24"/>
          <w:szCs w:val="24"/>
        </w:rPr>
        <w:t xml:space="preserve">Užsakovas </w:t>
      </w:r>
      <w:r w:rsidRPr="00BD61F0">
        <w:rPr>
          <w:rFonts w:ascii="Times New Roman" w:hAnsi="Times New Roman"/>
          <w:sz w:val="24"/>
          <w:szCs w:val="24"/>
        </w:rPr>
        <w:t>su Tiekėju atsiskaito mokėjim</w:t>
      </w:r>
      <w:r w:rsidR="00FF2B9A" w:rsidRPr="00BD61F0">
        <w:rPr>
          <w:rFonts w:ascii="Times New Roman" w:hAnsi="Times New Roman"/>
          <w:sz w:val="24"/>
          <w:szCs w:val="24"/>
        </w:rPr>
        <w:t>o pavedimu, pinigus pervesdama</w:t>
      </w:r>
      <w:r w:rsidRPr="00BD61F0">
        <w:rPr>
          <w:rFonts w:ascii="Times New Roman" w:hAnsi="Times New Roman"/>
          <w:sz w:val="24"/>
          <w:szCs w:val="24"/>
        </w:rPr>
        <w:t xml:space="preserve"> į Tiekėjo sąskaitą ne vėliau kaip</w:t>
      </w:r>
      <w:r w:rsidR="00FF26B5" w:rsidRPr="00BD61F0">
        <w:rPr>
          <w:rFonts w:ascii="Times New Roman" w:hAnsi="Times New Roman"/>
          <w:sz w:val="24"/>
          <w:szCs w:val="24"/>
        </w:rPr>
        <w:t xml:space="preserve"> per 30 (trisdešimt) </w:t>
      </w:r>
      <w:r w:rsidR="00C57B54" w:rsidRPr="00BD61F0">
        <w:rPr>
          <w:rFonts w:ascii="Times New Roman" w:hAnsi="Times New Roman"/>
          <w:sz w:val="24"/>
          <w:szCs w:val="24"/>
        </w:rPr>
        <w:t xml:space="preserve">kalendorinių </w:t>
      </w:r>
      <w:r w:rsidR="00FF26B5" w:rsidRPr="00BD61F0">
        <w:rPr>
          <w:rFonts w:ascii="Times New Roman" w:hAnsi="Times New Roman"/>
          <w:sz w:val="24"/>
          <w:szCs w:val="24"/>
        </w:rPr>
        <w:t>dienų nuo p</w:t>
      </w:r>
      <w:r w:rsidRPr="00BD61F0">
        <w:rPr>
          <w:rFonts w:ascii="Times New Roman" w:hAnsi="Times New Roman"/>
          <w:sz w:val="24"/>
          <w:szCs w:val="24"/>
        </w:rPr>
        <w:t xml:space="preserve">rekių perdavimo–priėmimo akto pasirašymo ir teisingos PVM sąskaitos faktūros gavimo </w:t>
      </w:r>
      <w:r w:rsidR="00C46AB3" w:rsidRPr="00BD61F0">
        <w:rPr>
          <w:rFonts w:ascii="Times New Roman" w:hAnsi="Times New Roman"/>
          <w:sz w:val="24"/>
          <w:szCs w:val="24"/>
        </w:rPr>
        <w:t xml:space="preserve">informacinės sistemos „E. sąskaita“ priemonėmis </w:t>
      </w:r>
      <w:r w:rsidRPr="00BD61F0">
        <w:rPr>
          <w:rFonts w:ascii="Times New Roman" w:hAnsi="Times New Roman"/>
          <w:sz w:val="24"/>
          <w:szCs w:val="24"/>
        </w:rPr>
        <w:t>dienos.</w:t>
      </w:r>
    </w:p>
    <w:p w14:paraId="1517C20B" w14:textId="18B8AECF" w:rsidR="00CE63BD" w:rsidRPr="00BD61F0" w:rsidRDefault="00CE63BD" w:rsidP="00BD61F0">
      <w:pPr>
        <w:pStyle w:val="Sraopastraipa"/>
        <w:numPr>
          <w:ilvl w:val="1"/>
          <w:numId w:val="1"/>
        </w:numPr>
        <w:spacing w:after="0"/>
        <w:ind w:left="0" w:firstLine="567"/>
        <w:jc w:val="both"/>
        <w:rPr>
          <w:rFonts w:ascii="Times New Roman" w:hAnsi="Times New Roman"/>
          <w:color w:val="000000"/>
          <w:sz w:val="24"/>
          <w:szCs w:val="24"/>
        </w:rPr>
      </w:pPr>
      <w:r w:rsidRPr="00BD61F0">
        <w:rPr>
          <w:rFonts w:ascii="Times New Roman" w:hAnsi="Times New Roman"/>
          <w:sz w:val="24"/>
          <w:szCs w:val="24"/>
        </w:rPr>
        <w:t xml:space="preserve">Sutarties kaina, vienetų kainos (įkainiai) Sutarties galiojimo laikotarpiu </w:t>
      </w:r>
      <w:r w:rsidR="004204A7" w:rsidRPr="00BD61F0">
        <w:rPr>
          <w:rFonts w:ascii="Times New Roman" w:hAnsi="Times New Roman"/>
          <w:sz w:val="24"/>
          <w:szCs w:val="24"/>
        </w:rPr>
        <w:t xml:space="preserve">bus </w:t>
      </w:r>
      <w:r w:rsidRPr="00BD61F0">
        <w:rPr>
          <w:rFonts w:ascii="Times New Roman" w:hAnsi="Times New Roman"/>
          <w:noProof/>
          <w:sz w:val="24"/>
          <w:szCs w:val="24"/>
        </w:rPr>
        <w:t>perskaičiuojama/os (didinama/os ar mažinama/os)</w:t>
      </w:r>
      <w:r w:rsidRPr="00BD61F0">
        <w:rPr>
          <w:rFonts w:ascii="Times New Roman" w:hAnsi="Times New Roman"/>
          <w:sz w:val="24"/>
          <w:szCs w:val="24"/>
        </w:rPr>
        <w:t xml:space="preserve"> pasikeitus (padidėjus ar sumažėjus) PVM tarifui, kuris turėjo tiesioginės įtakos Sutarties kainai vienetų kainoms (įkainiams). Šalims raštiškai susitarus ir ne vėliau kaip iki prekių perdavimo–priėmimo akto pasirašymo dienos, perskaičiuojama tik ta Sutarties kainos prekių vienetų kainų (įkainių) dalis, </w:t>
      </w:r>
      <w:r w:rsidRPr="00BD61F0">
        <w:rPr>
          <w:rFonts w:ascii="Times New Roman" w:hAnsi="Times New Roman"/>
          <w:noProof/>
          <w:sz w:val="24"/>
          <w:szCs w:val="24"/>
        </w:rPr>
        <w:t>kuriai/ioms</w:t>
      </w:r>
      <w:r w:rsidRPr="00BD61F0">
        <w:rPr>
          <w:rFonts w:ascii="Times New Roman" w:hAnsi="Times New Roman"/>
          <w:sz w:val="24"/>
          <w:szCs w:val="24"/>
        </w:rPr>
        <w:t xml:space="preserve"> turėjo įtakos pasikeitęs PVM tarifas ir tik pasikeitusio mokesčio dydžiu. Sutarties kainos vienetų kainų (įkainių) perskaičiavimą dėl </w:t>
      </w:r>
      <w:r w:rsidRPr="00BD61F0">
        <w:rPr>
          <w:rFonts w:ascii="Times New Roman" w:hAnsi="Times New Roman"/>
          <w:color w:val="000000"/>
          <w:sz w:val="24"/>
          <w:szCs w:val="24"/>
        </w:rPr>
        <w:t xml:space="preserve">pasikeitusio (padidėjusio ar sumažėjusio) PVM tarifo inicijuoja Tiekėjas, kreipdamasis į </w:t>
      </w:r>
      <w:r w:rsidR="00E66410" w:rsidRPr="00BD61F0">
        <w:rPr>
          <w:rFonts w:ascii="Times New Roman" w:hAnsi="Times New Roman"/>
          <w:color w:val="000000"/>
          <w:sz w:val="24"/>
          <w:szCs w:val="24"/>
        </w:rPr>
        <w:t>Užsakovą</w:t>
      </w:r>
      <w:r w:rsidR="00FF2B9A" w:rsidRPr="00BD61F0">
        <w:rPr>
          <w:rFonts w:ascii="Times New Roman" w:hAnsi="Times New Roman"/>
          <w:color w:val="000000"/>
          <w:sz w:val="24"/>
          <w:szCs w:val="24"/>
        </w:rPr>
        <w:t xml:space="preserve"> </w:t>
      </w:r>
      <w:r w:rsidRPr="00BD61F0">
        <w:rPr>
          <w:rFonts w:ascii="Times New Roman" w:hAnsi="Times New Roman"/>
          <w:color w:val="000000"/>
          <w:sz w:val="24"/>
          <w:szCs w:val="24"/>
        </w:rPr>
        <w:t xml:space="preserve">raštu, pateikdamas konkrečius skaičiavimus dėl pasikeitusio mokesčio įtakos Sutarties kainai vienetų kainoms (įkainiams). </w:t>
      </w:r>
      <w:r w:rsidR="00E66410" w:rsidRPr="00BD61F0">
        <w:rPr>
          <w:rFonts w:ascii="Times New Roman" w:hAnsi="Times New Roman"/>
          <w:color w:val="000000"/>
          <w:sz w:val="24"/>
          <w:szCs w:val="24"/>
        </w:rPr>
        <w:t xml:space="preserve">Užsakovas </w:t>
      </w:r>
      <w:r w:rsidRPr="00BD61F0">
        <w:rPr>
          <w:rFonts w:ascii="Times New Roman" w:hAnsi="Times New Roman"/>
          <w:color w:val="000000"/>
          <w:sz w:val="24"/>
          <w:szCs w:val="24"/>
        </w:rPr>
        <w:t xml:space="preserve">taip pat turi teisę inicijuoti Sutarties kainos vienetų kainų (įkainių) perskaičiavimą dėl pasikeitusio (padidėjusio ar sumažėjusio) PVM tarifo. Sutarties kainos vienetų kainų (įkainių) perskaičiavimas įforminamas Šalių pasirašomu susitarimu, kuriame </w:t>
      </w:r>
      <w:r w:rsidRPr="00BD61F0">
        <w:rPr>
          <w:rFonts w:ascii="Times New Roman" w:hAnsi="Times New Roman"/>
          <w:noProof/>
          <w:color w:val="000000"/>
          <w:sz w:val="24"/>
          <w:szCs w:val="24"/>
        </w:rPr>
        <w:t>užfiksuojama/os perskaičiuota/os</w:t>
      </w:r>
      <w:r w:rsidRPr="00BD61F0">
        <w:rPr>
          <w:rFonts w:ascii="Times New Roman" w:hAnsi="Times New Roman"/>
          <w:color w:val="000000"/>
          <w:sz w:val="24"/>
          <w:szCs w:val="24"/>
        </w:rPr>
        <w:t xml:space="preserve"> Sutarties kaina vienetų kainos (įkainiai) bei šio perskaičiavimo įsigaliojimo sąlygos.</w:t>
      </w:r>
    </w:p>
    <w:p w14:paraId="69B7DA96" w14:textId="05527535" w:rsidR="002E72B6" w:rsidRPr="00BD61F0" w:rsidRDefault="00CE63BD" w:rsidP="00BD61F0">
      <w:pPr>
        <w:pStyle w:val="Sraopastraipa"/>
        <w:numPr>
          <w:ilvl w:val="1"/>
          <w:numId w:val="1"/>
        </w:numPr>
        <w:spacing w:after="0"/>
        <w:ind w:left="0" w:firstLine="567"/>
        <w:jc w:val="both"/>
        <w:rPr>
          <w:rFonts w:ascii="Times New Roman" w:hAnsi="Times New Roman"/>
          <w:color w:val="000000"/>
          <w:sz w:val="24"/>
          <w:szCs w:val="24"/>
        </w:rPr>
      </w:pPr>
      <w:r w:rsidRPr="00BD61F0">
        <w:rPr>
          <w:rFonts w:ascii="Times New Roman" w:hAnsi="Times New Roman"/>
          <w:color w:val="000000"/>
          <w:sz w:val="24"/>
          <w:szCs w:val="24"/>
        </w:rPr>
        <w:t xml:space="preserve">Jeigu einamaisiais biudžetiniais metais teisės aktais bus apribotas tam tikram laikotarpiui numatytas valstybės piniginių išteklių išdavimas, </w:t>
      </w:r>
      <w:r w:rsidR="00E66410" w:rsidRPr="00BD61F0">
        <w:rPr>
          <w:rFonts w:ascii="Times New Roman" w:hAnsi="Times New Roman"/>
          <w:color w:val="000000"/>
          <w:sz w:val="24"/>
          <w:szCs w:val="24"/>
        </w:rPr>
        <w:t xml:space="preserve">Užsakovas </w:t>
      </w:r>
      <w:r w:rsidRPr="00BD61F0">
        <w:rPr>
          <w:rFonts w:ascii="Times New Roman" w:hAnsi="Times New Roman"/>
          <w:color w:val="000000"/>
          <w:sz w:val="24"/>
          <w:szCs w:val="24"/>
        </w:rPr>
        <w:t xml:space="preserve">turi teisę einamaisiais biudžetiniais metais atsisakyti tam tikrų Sutartyje numatytų, tačiau dar nepateiktų prekių </w:t>
      </w:r>
      <w:r w:rsidR="00FF2B9A" w:rsidRPr="00BD61F0">
        <w:rPr>
          <w:rFonts w:ascii="Times New Roman" w:hAnsi="Times New Roman"/>
          <w:color w:val="000000"/>
          <w:sz w:val="24"/>
          <w:szCs w:val="24"/>
        </w:rPr>
        <w:t>ir privalo apie tai informuoti T</w:t>
      </w:r>
      <w:r w:rsidRPr="00BD61F0">
        <w:rPr>
          <w:rFonts w:ascii="Times New Roman" w:hAnsi="Times New Roman"/>
          <w:color w:val="000000"/>
          <w:sz w:val="24"/>
          <w:szCs w:val="24"/>
        </w:rPr>
        <w:t xml:space="preserve">iekėją. </w:t>
      </w:r>
    </w:p>
    <w:p w14:paraId="0362C5C7" w14:textId="6B74A00E" w:rsidR="00DF2409" w:rsidRPr="00C32A53" w:rsidRDefault="00DF2409" w:rsidP="00BD61F0">
      <w:pPr>
        <w:pStyle w:val="Sraopastraipa"/>
        <w:numPr>
          <w:ilvl w:val="1"/>
          <w:numId w:val="1"/>
        </w:numPr>
        <w:spacing w:after="0"/>
        <w:ind w:left="0" w:firstLine="567"/>
        <w:jc w:val="both"/>
        <w:rPr>
          <w:rFonts w:ascii="Times New Roman" w:hAnsi="Times New Roman"/>
          <w:color w:val="000000"/>
          <w:sz w:val="24"/>
          <w:szCs w:val="24"/>
        </w:rPr>
      </w:pPr>
      <w:r w:rsidRPr="00C32A53">
        <w:rPr>
          <w:rFonts w:ascii="Times New Roman" w:hAnsi="Times New Roman"/>
          <w:color w:val="000000"/>
          <w:sz w:val="24"/>
          <w:szCs w:val="24"/>
        </w:rPr>
        <w:t xml:space="preserve">Sutarčiai taikomas </w:t>
      </w:r>
      <w:r w:rsidRPr="00C32A53">
        <w:rPr>
          <w:rFonts w:ascii="Times New Roman" w:hAnsi="Times New Roman"/>
          <w:b/>
          <w:i/>
          <w:color w:val="000000"/>
          <w:sz w:val="24"/>
          <w:szCs w:val="24"/>
        </w:rPr>
        <w:t>fiksuotų įkainių su peržiūra</w:t>
      </w:r>
      <w:r w:rsidRPr="00C32A53">
        <w:rPr>
          <w:rFonts w:ascii="Times New Roman" w:hAnsi="Times New Roman"/>
          <w:color w:val="000000"/>
          <w:sz w:val="24"/>
          <w:szCs w:val="24"/>
        </w:rPr>
        <w:t xml:space="preserve"> kainos apskaičiavimo būdas, nustatytas Viešųjų pirkimų tarnybos </w:t>
      </w:r>
      <w:r w:rsidR="003B369F">
        <w:rPr>
          <w:rFonts w:ascii="Times New Roman" w:hAnsi="Times New Roman"/>
          <w:color w:val="000000"/>
          <w:sz w:val="24"/>
          <w:szCs w:val="24"/>
        </w:rPr>
        <w:t xml:space="preserve">direktoriaus </w:t>
      </w:r>
      <w:r w:rsidRPr="00C32A53">
        <w:rPr>
          <w:rFonts w:ascii="Times New Roman" w:hAnsi="Times New Roman"/>
          <w:color w:val="000000"/>
          <w:sz w:val="24"/>
          <w:szCs w:val="24"/>
        </w:rPr>
        <w:t>2017 m. birželio 28 d. įsakymu Nr. 1S-95 „Dėl Kainodaros taisyklių nustatymo metodikos patvirtinimo“.</w:t>
      </w:r>
    </w:p>
    <w:p w14:paraId="64B5D8C6" w14:textId="77777777" w:rsidR="00DF2409" w:rsidRPr="00BD61F0" w:rsidRDefault="00DF2409" w:rsidP="00BD61F0">
      <w:pPr>
        <w:spacing w:after="0"/>
        <w:jc w:val="both"/>
        <w:rPr>
          <w:rFonts w:ascii="Times New Roman" w:hAnsi="Times New Roman"/>
          <w:color w:val="000000"/>
          <w:sz w:val="24"/>
          <w:szCs w:val="24"/>
        </w:rPr>
      </w:pPr>
    </w:p>
    <w:p w14:paraId="6E30484D" w14:textId="069F8F79" w:rsidR="00B95D80" w:rsidRPr="00BD61F0" w:rsidRDefault="00496081" w:rsidP="00BD61F0">
      <w:pPr>
        <w:tabs>
          <w:tab w:val="left" w:pos="9630"/>
        </w:tabs>
        <w:spacing w:after="0"/>
        <w:ind w:left="360" w:right="8"/>
        <w:jc w:val="center"/>
        <w:rPr>
          <w:rFonts w:ascii="Times New Roman" w:hAnsi="Times New Roman"/>
          <w:b/>
          <w:sz w:val="24"/>
          <w:szCs w:val="24"/>
        </w:rPr>
      </w:pPr>
      <w:r w:rsidRPr="00BD61F0">
        <w:rPr>
          <w:rFonts w:ascii="Times New Roman" w:hAnsi="Times New Roman"/>
          <w:b/>
          <w:sz w:val="24"/>
          <w:szCs w:val="24"/>
        </w:rPr>
        <w:t xml:space="preserve">3. </w:t>
      </w:r>
      <w:r w:rsidR="00B95D80" w:rsidRPr="00BD61F0">
        <w:rPr>
          <w:rFonts w:ascii="Times New Roman" w:hAnsi="Times New Roman"/>
          <w:b/>
          <w:sz w:val="24"/>
          <w:szCs w:val="24"/>
        </w:rPr>
        <w:t>ŠALIŲ ĮSIPAREIGOJIMAI</w:t>
      </w:r>
    </w:p>
    <w:p w14:paraId="4D5296D3" w14:textId="77777777" w:rsidR="00B95D80" w:rsidRPr="00BD61F0" w:rsidRDefault="00B95D80" w:rsidP="00BD61F0">
      <w:pPr>
        <w:tabs>
          <w:tab w:val="left" w:pos="9630"/>
        </w:tabs>
        <w:spacing w:after="0"/>
        <w:ind w:right="8" w:firstLine="360"/>
        <w:jc w:val="both"/>
        <w:rPr>
          <w:rFonts w:ascii="Times New Roman" w:hAnsi="Times New Roman"/>
          <w:sz w:val="24"/>
          <w:szCs w:val="24"/>
        </w:rPr>
      </w:pPr>
    </w:p>
    <w:p w14:paraId="7471095F" w14:textId="3767B76A" w:rsidR="00B95D80" w:rsidRPr="00BD61F0" w:rsidRDefault="00496081" w:rsidP="00BD61F0">
      <w:pPr>
        <w:tabs>
          <w:tab w:val="left" w:pos="1134"/>
          <w:tab w:val="left" w:pos="9630"/>
          <w:tab w:val="left" w:pos="9720"/>
        </w:tabs>
        <w:spacing w:after="0"/>
        <w:ind w:left="567" w:right="8"/>
        <w:jc w:val="both"/>
        <w:rPr>
          <w:rFonts w:ascii="Times New Roman" w:hAnsi="Times New Roman"/>
          <w:sz w:val="24"/>
          <w:szCs w:val="24"/>
        </w:rPr>
      </w:pPr>
      <w:r w:rsidRPr="00BD61F0">
        <w:rPr>
          <w:rFonts w:ascii="Times New Roman" w:hAnsi="Times New Roman"/>
          <w:sz w:val="24"/>
          <w:szCs w:val="24"/>
        </w:rPr>
        <w:t xml:space="preserve">3.1. </w:t>
      </w:r>
      <w:r w:rsidR="00B95D80" w:rsidRPr="00BD61F0">
        <w:rPr>
          <w:rFonts w:ascii="Times New Roman" w:hAnsi="Times New Roman"/>
          <w:sz w:val="24"/>
          <w:szCs w:val="24"/>
        </w:rPr>
        <w:t>Tiekėjas įsipareigoja:</w:t>
      </w:r>
    </w:p>
    <w:p w14:paraId="2F8170DB" w14:textId="14244CCA" w:rsidR="00B95D80" w:rsidRPr="00A225FA" w:rsidRDefault="00732CDB" w:rsidP="00BD61F0">
      <w:pPr>
        <w:pStyle w:val="Pagrindinistekstas"/>
        <w:tabs>
          <w:tab w:val="left" w:pos="1044"/>
          <w:tab w:val="left" w:pos="1276"/>
          <w:tab w:val="left" w:pos="9630"/>
          <w:tab w:val="left" w:pos="9720"/>
        </w:tabs>
        <w:spacing w:after="0" w:line="276" w:lineRule="auto"/>
        <w:ind w:right="8" w:firstLine="426"/>
        <w:jc w:val="both"/>
        <w:rPr>
          <w:rFonts w:cs="Times New Roman"/>
          <w:szCs w:val="24"/>
        </w:rPr>
      </w:pPr>
      <w:r>
        <w:rPr>
          <w:rFonts w:cs="Times New Roman"/>
          <w:szCs w:val="24"/>
        </w:rPr>
        <w:t xml:space="preserve"> </w:t>
      </w:r>
      <w:r w:rsidR="00496081" w:rsidRPr="00BD61F0">
        <w:rPr>
          <w:rFonts w:cs="Times New Roman"/>
          <w:szCs w:val="24"/>
        </w:rPr>
        <w:t xml:space="preserve">3.1.1. </w:t>
      </w:r>
      <w:r w:rsidR="00A225FA" w:rsidRPr="00A225FA">
        <w:rPr>
          <w:rFonts w:eastAsia="Times New Roman" w:cs="Times New Roman"/>
          <w:szCs w:val="24"/>
        </w:rPr>
        <w:t xml:space="preserve"> </w:t>
      </w:r>
      <w:r w:rsidR="008B10D7">
        <w:rPr>
          <w:rFonts w:eastAsia="Times New Roman" w:cs="Times New Roman"/>
          <w:szCs w:val="24"/>
        </w:rPr>
        <w:t>pagal Užsakovo faktinį poreikį Sutartyje ir Sutarties priede nustatyta tvarka, sąlygomis ir terminais pateikti Sutarties ir Sutarties priedo reikalavimus atitinkančias prekes nuo Sutarties įsigaliojimo dienos iki kol bus išnaudota 2.1. papunktyje nurodyta Sutarties kaina. Įdiegimas nuo Sutarties įsigaliojimo dienos atliekamas ne vėliau kaip 30 (trisdešimt) kalendorinių dienų.</w:t>
      </w:r>
    </w:p>
    <w:p w14:paraId="13D35867" w14:textId="28DB4EEB" w:rsidR="00B95D80" w:rsidRPr="00BD61F0" w:rsidRDefault="00732CDB" w:rsidP="00BD61F0">
      <w:pPr>
        <w:pStyle w:val="Pagrindinistekstas"/>
        <w:tabs>
          <w:tab w:val="left" w:pos="1276"/>
          <w:tab w:val="left" w:pos="9630"/>
          <w:tab w:val="left" w:pos="9720"/>
        </w:tabs>
        <w:spacing w:after="0" w:line="276" w:lineRule="auto"/>
        <w:ind w:right="8" w:firstLine="426"/>
        <w:jc w:val="both"/>
        <w:rPr>
          <w:rFonts w:cs="Times New Roman"/>
          <w:szCs w:val="24"/>
        </w:rPr>
      </w:pPr>
      <w:r>
        <w:rPr>
          <w:rFonts w:cs="Times New Roman"/>
          <w:szCs w:val="24"/>
        </w:rPr>
        <w:t xml:space="preserve"> </w:t>
      </w:r>
      <w:r w:rsidR="00496081" w:rsidRPr="00BD61F0">
        <w:rPr>
          <w:rFonts w:cs="Times New Roman"/>
          <w:szCs w:val="24"/>
        </w:rPr>
        <w:t>3.1.2.</w:t>
      </w:r>
      <w:r w:rsidR="00403597">
        <w:rPr>
          <w:rFonts w:cs="Times New Roman"/>
          <w:szCs w:val="24"/>
        </w:rPr>
        <w:t xml:space="preserve"> </w:t>
      </w:r>
      <w:r w:rsidR="00B95D80" w:rsidRPr="00BD61F0">
        <w:rPr>
          <w:rFonts w:cs="Times New Roman"/>
          <w:szCs w:val="24"/>
        </w:rPr>
        <w:t>tinkamai ir faktiškai</w:t>
      </w:r>
      <w:r w:rsidR="00522D84" w:rsidRPr="00BD61F0">
        <w:rPr>
          <w:rFonts w:cs="Times New Roman"/>
          <w:szCs w:val="24"/>
        </w:rPr>
        <w:t xml:space="preserve"> </w:t>
      </w:r>
      <w:r w:rsidR="00522D84" w:rsidRPr="00BD61F0">
        <w:rPr>
          <w:rFonts w:eastAsia="Times New Roman" w:cs="Times New Roman"/>
          <w:szCs w:val="24"/>
        </w:rPr>
        <w:t>pristatęs kokybiškas prekes, atitinkančias Sutartyje ir Sutarties priede nurodytus reikalavimus</w:t>
      </w:r>
      <w:r w:rsidR="00B95D80" w:rsidRPr="00BD61F0">
        <w:rPr>
          <w:rFonts w:cs="Times New Roman"/>
          <w:szCs w:val="24"/>
        </w:rPr>
        <w:t>, pateikti Užsakovui pasirašytą prekių perdavimo–priėmimo aktą bei PVM sąskaitą faktūrą;</w:t>
      </w:r>
    </w:p>
    <w:p w14:paraId="2DF32EE7" w14:textId="7E2C9F99" w:rsidR="00B95D80" w:rsidRPr="00BD61F0" w:rsidRDefault="00496081" w:rsidP="00CC1F9E">
      <w:pPr>
        <w:pStyle w:val="Pagrindinistekstas"/>
        <w:tabs>
          <w:tab w:val="left" w:pos="1276"/>
          <w:tab w:val="left" w:pos="9630"/>
          <w:tab w:val="left" w:pos="9720"/>
        </w:tabs>
        <w:spacing w:after="0" w:line="276" w:lineRule="auto"/>
        <w:ind w:left="-142" w:right="8" w:firstLine="568"/>
        <w:jc w:val="both"/>
        <w:rPr>
          <w:rFonts w:cs="Times New Roman"/>
          <w:szCs w:val="24"/>
        </w:rPr>
      </w:pPr>
      <w:r w:rsidRPr="00BD61F0">
        <w:rPr>
          <w:rFonts w:cs="Times New Roman"/>
          <w:szCs w:val="24"/>
        </w:rPr>
        <w:t xml:space="preserve">3.1.3. </w:t>
      </w:r>
      <w:r w:rsidR="00B95D80" w:rsidRPr="00BD61F0">
        <w:rPr>
          <w:rFonts w:cs="Times New Roman"/>
          <w:szCs w:val="24"/>
        </w:rPr>
        <w:t>per 3 (tris) darbo dienas nuo Sutarties įsigaliojimo dienos paskirti atstovą ryšiams su Užsakovu palaikyti ir apie tai raštu informuoti Užsakovą;</w:t>
      </w:r>
    </w:p>
    <w:p w14:paraId="655B1255" w14:textId="10F3AA7E" w:rsidR="00B95D80" w:rsidRPr="00BD61F0" w:rsidRDefault="00496081" w:rsidP="00CC1F9E">
      <w:pPr>
        <w:pStyle w:val="Pagrindinistekstas"/>
        <w:tabs>
          <w:tab w:val="left" w:pos="1026"/>
          <w:tab w:val="left" w:pos="1276"/>
          <w:tab w:val="left" w:pos="9630"/>
          <w:tab w:val="left" w:pos="9720"/>
        </w:tabs>
        <w:spacing w:after="0" w:line="276" w:lineRule="auto"/>
        <w:ind w:left="-142" w:right="8" w:firstLine="568"/>
        <w:jc w:val="both"/>
        <w:rPr>
          <w:rFonts w:cs="Times New Roman"/>
          <w:szCs w:val="24"/>
        </w:rPr>
      </w:pPr>
      <w:r w:rsidRPr="00BD61F0">
        <w:rPr>
          <w:rFonts w:cs="Times New Roman"/>
          <w:szCs w:val="24"/>
        </w:rPr>
        <w:t xml:space="preserve">3.1.4. </w:t>
      </w:r>
      <w:r w:rsidR="00B95D80" w:rsidRPr="00BD61F0">
        <w:rPr>
          <w:rFonts w:cs="Times New Roman"/>
          <w:szCs w:val="24"/>
        </w:rPr>
        <w:t>nedelsdamas (ne vėliau kaip per 3 (tris) darbo dienas) raštu informuoti Užsakovą:</w:t>
      </w:r>
    </w:p>
    <w:p w14:paraId="7B3AE143" w14:textId="77777777" w:rsidR="00CC1F9E" w:rsidRDefault="00496081" w:rsidP="00CC1F9E">
      <w:pPr>
        <w:pStyle w:val="Pagrindinistekstas"/>
        <w:tabs>
          <w:tab w:val="left" w:pos="1276"/>
          <w:tab w:val="left" w:pos="9630"/>
          <w:tab w:val="left" w:pos="9720"/>
        </w:tabs>
        <w:spacing w:after="0" w:line="276" w:lineRule="auto"/>
        <w:ind w:left="-142" w:right="8" w:firstLine="568"/>
        <w:jc w:val="both"/>
        <w:rPr>
          <w:rFonts w:cs="Times New Roman"/>
          <w:szCs w:val="24"/>
        </w:rPr>
      </w:pPr>
      <w:r w:rsidRPr="00BD61F0">
        <w:rPr>
          <w:rFonts w:cs="Times New Roman"/>
          <w:szCs w:val="24"/>
        </w:rPr>
        <w:t>3.1.4.1.</w:t>
      </w:r>
      <w:r w:rsidR="00B95D80" w:rsidRPr="00BD61F0">
        <w:rPr>
          <w:rFonts w:cs="Times New Roman"/>
          <w:szCs w:val="24"/>
        </w:rPr>
        <w:t xml:space="preserve"> jei laiku negali pristatyti prekių;</w:t>
      </w:r>
    </w:p>
    <w:p w14:paraId="00465037" w14:textId="1CE0C49F" w:rsidR="00B95D80" w:rsidRPr="00BD61F0" w:rsidRDefault="00496081" w:rsidP="00CC1F9E">
      <w:pPr>
        <w:pStyle w:val="Pagrindinistekstas"/>
        <w:tabs>
          <w:tab w:val="left" w:pos="1276"/>
          <w:tab w:val="left" w:pos="9630"/>
          <w:tab w:val="left" w:pos="9720"/>
        </w:tabs>
        <w:spacing w:after="0" w:line="276" w:lineRule="auto"/>
        <w:ind w:left="-142" w:right="8" w:firstLine="568"/>
        <w:jc w:val="both"/>
        <w:rPr>
          <w:rFonts w:cs="Times New Roman"/>
          <w:szCs w:val="24"/>
        </w:rPr>
      </w:pPr>
      <w:r w:rsidRPr="00BD61F0">
        <w:rPr>
          <w:rFonts w:cs="Times New Roman"/>
          <w:szCs w:val="24"/>
        </w:rPr>
        <w:t>3.1.4.2.</w:t>
      </w:r>
      <w:r w:rsidR="00B95D80" w:rsidRPr="00BD61F0">
        <w:rPr>
          <w:rFonts w:cs="Times New Roman"/>
          <w:szCs w:val="24"/>
        </w:rPr>
        <w:t xml:space="preserve"> apie pasikeitusius savo rekvizitus, teisinį statusą, paskirtą atstovą; </w:t>
      </w:r>
    </w:p>
    <w:p w14:paraId="24800641" w14:textId="60DD4D24" w:rsidR="00B95D80" w:rsidRPr="00BD61F0" w:rsidRDefault="00496081" w:rsidP="00CC1F9E">
      <w:pPr>
        <w:pStyle w:val="Pagrindinistekstas"/>
        <w:tabs>
          <w:tab w:val="left" w:pos="1276"/>
          <w:tab w:val="left" w:pos="9630"/>
          <w:tab w:val="left" w:pos="9720"/>
        </w:tabs>
        <w:spacing w:after="0" w:line="276" w:lineRule="auto"/>
        <w:ind w:left="-142" w:right="8" w:firstLine="568"/>
        <w:jc w:val="both"/>
        <w:rPr>
          <w:rFonts w:cs="Times New Roman"/>
          <w:szCs w:val="24"/>
        </w:rPr>
      </w:pPr>
      <w:r w:rsidRPr="00BD61F0">
        <w:rPr>
          <w:rFonts w:cs="Times New Roman"/>
          <w:szCs w:val="24"/>
        </w:rPr>
        <w:t xml:space="preserve">3.1.5. </w:t>
      </w:r>
      <w:r w:rsidR="00B95D80" w:rsidRPr="00BD61F0">
        <w:rPr>
          <w:rFonts w:cs="Times New Roman"/>
          <w:szCs w:val="24"/>
        </w:rPr>
        <w:t>kilus Šalių ginčui dėl Sutarties, ne vėliau kaip per 3 (tris) darbo dienas nuo ginčo kilimo dienos, deleguoti atstovą spręsti ginčo;</w:t>
      </w:r>
    </w:p>
    <w:p w14:paraId="5E7CAEE6" w14:textId="2CE4BA32" w:rsidR="00B95D80" w:rsidRDefault="008B10D7" w:rsidP="00CC1F9E">
      <w:pPr>
        <w:pStyle w:val="Pagrindinistekstas"/>
        <w:tabs>
          <w:tab w:val="left" w:pos="1276"/>
          <w:tab w:val="left" w:pos="9630"/>
          <w:tab w:val="left" w:pos="9720"/>
        </w:tabs>
        <w:spacing w:after="0" w:line="276" w:lineRule="auto"/>
        <w:ind w:left="-142" w:right="8" w:firstLine="568"/>
        <w:jc w:val="both"/>
        <w:rPr>
          <w:rFonts w:cs="Times New Roman"/>
          <w:szCs w:val="24"/>
        </w:rPr>
      </w:pPr>
      <w:r>
        <w:rPr>
          <w:rFonts w:cs="Times New Roman"/>
          <w:szCs w:val="24"/>
        </w:rPr>
        <w:lastRenderedPageBreak/>
        <w:t>3.1.6</w:t>
      </w:r>
      <w:r w:rsidR="00496081" w:rsidRPr="00BD61F0">
        <w:rPr>
          <w:rFonts w:cs="Times New Roman"/>
          <w:szCs w:val="24"/>
        </w:rPr>
        <w:t xml:space="preserve">. </w:t>
      </w:r>
      <w:r w:rsidR="00FB4AA5">
        <w:rPr>
          <w:rFonts w:cs="Times New Roman"/>
          <w:szCs w:val="24"/>
        </w:rPr>
        <w:t>gavęs Sutarties 3.2.4 papunktyje</w:t>
      </w:r>
      <w:r w:rsidR="00B95D80" w:rsidRPr="00BD61F0">
        <w:rPr>
          <w:rFonts w:cs="Times New Roman"/>
          <w:szCs w:val="24"/>
        </w:rPr>
        <w:t xml:space="preserve"> numatytą Užsakovo raštišką atsisakymą priimti prekes, per Užsakovo nurodytą terminą įgyvendinti Užsakovo reikalavimą,</w:t>
      </w:r>
      <w:r w:rsidR="00FB4AA5">
        <w:rPr>
          <w:rFonts w:cs="Times New Roman"/>
          <w:szCs w:val="24"/>
        </w:rPr>
        <w:t xml:space="preserve"> nurodytą Sutarties 4.2.2 papunktyje</w:t>
      </w:r>
      <w:r w:rsidR="00B95D80" w:rsidRPr="00BD61F0">
        <w:rPr>
          <w:rFonts w:cs="Times New Roman"/>
          <w:szCs w:val="24"/>
        </w:rPr>
        <w:t>;</w:t>
      </w:r>
    </w:p>
    <w:p w14:paraId="5D057C12" w14:textId="71A488A4" w:rsidR="00B1074F" w:rsidRPr="00A225FA" w:rsidRDefault="008B10D7" w:rsidP="00A225FA">
      <w:pPr>
        <w:pStyle w:val="Pagrindinistekstas"/>
        <w:tabs>
          <w:tab w:val="left" w:pos="1276"/>
          <w:tab w:val="left" w:pos="9630"/>
          <w:tab w:val="left" w:pos="9720"/>
        </w:tabs>
        <w:spacing w:after="0" w:line="276" w:lineRule="auto"/>
        <w:ind w:left="-142" w:right="8" w:firstLine="568"/>
        <w:jc w:val="both"/>
        <w:rPr>
          <w:szCs w:val="24"/>
        </w:rPr>
      </w:pPr>
      <w:r>
        <w:rPr>
          <w:rFonts w:cs="Times New Roman"/>
          <w:szCs w:val="24"/>
        </w:rPr>
        <w:t>3.1.7</w:t>
      </w:r>
      <w:r w:rsidR="00B1074F">
        <w:rPr>
          <w:rFonts w:cs="Times New Roman"/>
          <w:szCs w:val="24"/>
        </w:rPr>
        <w:t xml:space="preserve">.  </w:t>
      </w:r>
      <w:r w:rsidR="00B1074F" w:rsidRPr="00B1074F">
        <w:rPr>
          <w:szCs w:val="24"/>
        </w:rPr>
        <w:t>laikytis konfidencialumo įsipareigojimų, neatskleisti tretiesiems asmenims jokios informacijos, gautos vykdant Sutartį, išskyrus tiek, kiek tai reikalinga Sutarties vykdymui, o taip pat nenaudoti konfidencialios informacijos asmeniniams ar trečiųjų</w:t>
      </w:r>
      <w:r w:rsidR="00312A10">
        <w:rPr>
          <w:szCs w:val="24"/>
        </w:rPr>
        <w:t xml:space="preserve"> asmenų poreikiams. Visa Užsakovo Tiekėjui</w:t>
      </w:r>
      <w:r w:rsidR="00B1074F" w:rsidRPr="00B1074F">
        <w:rPr>
          <w:szCs w:val="24"/>
        </w:rPr>
        <w:t xml:space="preserve"> suteikta informacija yra laikoma</w:t>
      </w:r>
      <w:r w:rsidR="00312A10">
        <w:rPr>
          <w:szCs w:val="24"/>
        </w:rPr>
        <w:t xml:space="preserve"> konfidencialia, nebent Užsakovas</w:t>
      </w:r>
      <w:r w:rsidR="00B1074F" w:rsidRPr="00B1074F">
        <w:rPr>
          <w:szCs w:val="24"/>
        </w:rPr>
        <w:t xml:space="preserve"> raštu patvirtins, kad tam tikra pateikta informacija nėra konfidenciali. Konfidencialia taip pat nėra laikoma informacija, kuri buvo viešai prieinama, arba </w:t>
      </w:r>
      <w:r w:rsidR="00312A10">
        <w:rPr>
          <w:szCs w:val="24"/>
        </w:rPr>
        <w:t xml:space="preserve">Tiekėjas </w:t>
      </w:r>
      <w:r w:rsidR="00B1074F" w:rsidRPr="00B1074F">
        <w:rPr>
          <w:szCs w:val="24"/>
        </w:rPr>
        <w:t>gali dokumentais įrodyti, kad informacija jam buvo teisėtai žinoma arba buvo pateikta trečiųjų asmenų, turėjusių raštu patvirtintą teisę atskle</w:t>
      </w:r>
      <w:r>
        <w:rPr>
          <w:szCs w:val="24"/>
        </w:rPr>
        <w:t>isti konfidencialią informaciją.</w:t>
      </w:r>
    </w:p>
    <w:p w14:paraId="704E9A20" w14:textId="0B4E0523" w:rsidR="00B95D80" w:rsidRPr="00BD61F0" w:rsidRDefault="00496081" w:rsidP="00BD61F0">
      <w:pPr>
        <w:tabs>
          <w:tab w:val="left" w:pos="1134"/>
          <w:tab w:val="left" w:pos="9630"/>
          <w:tab w:val="left" w:pos="9720"/>
        </w:tabs>
        <w:spacing w:after="0"/>
        <w:ind w:left="-142" w:right="8" w:firstLine="709"/>
        <w:jc w:val="both"/>
        <w:rPr>
          <w:rFonts w:ascii="Times New Roman" w:hAnsi="Times New Roman"/>
          <w:sz w:val="24"/>
          <w:szCs w:val="24"/>
        </w:rPr>
      </w:pPr>
      <w:r w:rsidRPr="00BD61F0">
        <w:rPr>
          <w:rFonts w:ascii="Times New Roman" w:hAnsi="Times New Roman"/>
          <w:sz w:val="24"/>
          <w:szCs w:val="24"/>
        </w:rPr>
        <w:t xml:space="preserve">3.2. </w:t>
      </w:r>
      <w:r w:rsidR="00B95D80" w:rsidRPr="00BD61F0">
        <w:rPr>
          <w:rFonts w:ascii="Times New Roman" w:hAnsi="Times New Roman"/>
          <w:sz w:val="24"/>
          <w:szCs w:val="24"/>
        </w:rPr>
        <w:t>Užsakovas įsipareigoja:</w:t>
      </w:r>
    </w:p>
    <w:p w14:paraId="127B9F09" w14:textId="2C23F0FA" w:rsidR="00B95D80" w:rsidRPr="00BD61F0" w:rsidRDefault="00496081" w:rsidP="00BD61F0">
      <w:pPr>
        <w:pStyle w:val="Pagrindinistekstas"/>
        <w:tabs>
          <w:tab w:val="left" w:pos="1276"/>
          <w:tab w:val="left" w:pos="9630"/>
          <w:tab w:val="left" w:pos="9720"/>
        </w:tabs>
        <w:spacing w:after="0" w:line="276" w:lineRule="auto"/>
        <w:ind w:left="-142" w:right="8" w:firstLine="709"/>
        <w:jc w:val="both"/>
        <w:rPr>
          <w:rFonts w:cs="Times New Roman"/>
          <w:szCs w:val="24"/>
        </w:rPr>
      </w:pPr>
      <w:r w:rsidRPr="00BD61F0">
        <w:rPr>
          <w:rFonts w:cs="Times New Roman"/>
          <w:szCs w:val="24"/>
        </w:rPr>
        <w:t xml:space="preserve">3.2.1. </w:t>
      </w:r>
      <w:r w:rsidR="00B95D80" w:rsidRPr="00BD61F0">
        <w:rPr>
          <w:rFonts w:cs="Times New Roman"/>
          <w:szCs w:val="24"/>
        </w:rPr>
        <w:t xml:space="preserve">sumokėti Tiekėjui už </w:t>
      </w:r>
      <w:r w:rsidR="0090346F" w:rsidRPr="00BD61F0">
        <w:rPr>
          <w:rFonts w:eastAsia="Times New Roman" w:cs="Times New Roman"/>
          <w:szCs w:val="24"/>
        </w:rPr>
        <w:t xml:space="preserve">kokybiškas, Sutarties </w:t>
      </w:r>
      <w:r w:rsidR="0090346F" w:rsidRPr="00FB4AA5">
        <w:rPr>
          <w:rFonts w:eastAsia="Times New Roman" w:cs="Times New Roman"/>
          <w:szCs w:val="24"/>
        </w:rPr>
        <w:t>ir Sutarties priede</w:t>
      </w:r>
      <w:r w:rsidR="00FB4AA5">
        <w:rPr>
          <w:rFonts w:eastAsia="Times New Roman" w:cs="Times New Roman"/>
          <w:szCs w:val="24"/>
        </w:rPr>
        <w:t xml:space="preserve"> nurodytu</w:t>
      </w:r>
      <w:r w:rsidR="0090346F" w:rsidRPr="00BD61F0">
        <w:rPr>
          <w:rFonts w:eastAsia="Times New Roman" w:cs="Times New Roman"/>
          <w:szCs w:val="24"/>
        </w:rPr>
        <w:t>s reikalavimus atitinkančias prekes</w:t>
      </w:r>
      <w:r w:rsidR="0090346F" w:rsidRPr="00BD61F0">
        <w:rPr>
          <w:rFonts w:cs="Times New Roman"/>
          <w:szCs w:val="24"/>
        </w:rPr>
        <w:t xml:space="preserve"> </w:t>
      </w:r>
      <w:r w:rsidR="00B95D80" w:rsidRPr="00BD61F0">
        <w:rPr>
          <w:rFonts w:cs="Times New Roman"/>
          <w:szCs w:val="24"/>
        </w:rPr>
        <w:t>Sutartyje numatyta tvarka ir sąlygomis;</w:t>
      </w:r>
    </w:p>
    <w:p w14:paraId="2B90D4D8" w14:textId="7EDB96D2" w:rsidR="00B95D80" w:rsidRPr="00BD61F0" w:rsidRDefault="00496081" w:rsidP="00BD61F0">
      <w:pPr>
        <w:pStyle w:val="Pagrindinistekstas"/>
        <w:tabs>
          <w:tab w:val="left" w:pos="1276"/>
          <w:tab w:val="left" w:pos="9630"/>
          <w:tab w:val="left" w:pos="9720"/>
        </w:tabs>
        <w:spacing w:after="0" w:line="276" w:lineRule="auto"/>
        <w:ind w:left="-142" w:right="8" w:firstLine="709"/>
        <w:jc w:val="both"/>
        <w:rPr>
          <w:rFonts w:cs="Times New Roman"/>
          <w:szCs w:val="24"/>
        </w:rPr>
      </w:pPr>
      <w:r w:rsidRPr="00BD61F0">
        <w:rPr>
          <w:rFonts w:cs="Times New Roman"/>
          <w:szCs w:val="24"/>
        </w:rPr>
        <w:t xml:space="preserve">3.2.2. </w:t>
      </w:r>
      <w:r w:rsidR="00B95D80" w:rsidRPr="00BD61F0">
        <w:rPr>
          <w:rFonts w:cs="Times New Roman"/>
          <w:szCs w:val="24"/>
        </w:rPr>
        <w:t>pateikti užsakymą</w:t>
      </w:r>
      <w:r w:rsidR="00A30DD9">
        <w:rPr>
          <w:rFonts w:cs="Times New Roman"/>
          <w:szCs w:val="24"/>
        </w:rPr>
        <w:t xml:space="preserve"> (raštu, el. paštu, telefonu)</w:t>
      </w:r>
      <w:r w:rsidR="00B95D80" w:rsidRPr="00BD61F0">
        <w:rPr>
          <w:rFonts w:cs="Times New Roman"/>
          <w:szCs w:val="24"/>
        </w:rPr>
        <w:t xml:space="preserve"> Tiekėjui dėl prekių poreikio; </w:t>
      </w:r>
    </w:p>
    <w:p w14:paraId="6E421B43" w14:textId="23FF93BF" w:rsidR="00B95D80" w:rsidRPr="00BD61F0" w:rsidRDefault="00496081" w:rsidP="00BD61F0">
      <w:pPr>
        <w:pStyle w:val="Pagrindinistekstas"/>
        <w:tabs>
          <w:tab w:val="left" w:pos="1276"/>
          <w:tab w:val="left" w:pos="9630"/>
          <w:tab w:val="left" w:pos="9720"/>
        </w:tabs>
        <w:spacing w:after="0" w:line="276" w:lineRule="auto"/>
        <w:ind w:left="-142" w:right="8" w:firstLine="709"/>
        <w:jc w:val="both"/>
        <w:rPr>
          <w:rFonts w:cs="Times New Roman"/>
          <w:szCs w:val="24"/>
        </w:rPr>
      </w:pPr>
      <w:r w:rsidRPr="00BD61F0">
        <w:rPr>
          <w:rFonts w:cs="Times New Roman"/>
          <w:szCs w:val="24"/>
        </w:rPr>
        <w:t xml:space="preserve">3.2.3. </w:t>
      </w:r>
      <w:r w:rsidR="00B95D80" w:rsidRPr="00BD61F0">
        <w:rPr>
          <w:rFonts w:cs="Times New Roman"/>
          <w:szCs w:val="24"/>
        </w:rPr>
        <w:t>teikti Tiekėjui Sutarčiai vykdyti pagrįstai reikalingą turimą informaciją;</w:t>
      </w:r>
    </w:p>
    <w:p w14:paraId="791CCD67" w14:textId="62264014" w:rsidR="00B95D80" w:rsidRPr="00BD61F0" w:rsidRDefault="00FB4AA5" w:rsidP="00FB4AA5">
      <w:pPr>
        <w:pStyle w:val="Pagrindinistekstas"/>
        <w:tabs>
          <w:tab w:val="left" w:pos="1276"/>
          <w:tab w:val="left" w:pos="9630"/>
          <w:tab w:val="left" w:pos="9720"/>
        </w:tabs>
        <w:spacing w:after="0" w:line="276" w:lineRule="auto"/>
        <w:ind w:left="-142" w:right="8" w:firstLine="284"/>
        <w:jc w:val="both"/>
        <w:rPr>
          <w:rFonts w:cs="Times New Roman"/>
          <w:szCs w:val="24"/>
        </w:rPr>
      </w:pPr>
      <w:r>
        <w:rPr>
          <w:rFonts w:cs="Times New Roman"/>
          <w:szCs w:val="24"/>
        </w:rPr>
        <w:t xml:space="preserve">       </w:t>
      </w:r>
      <w:r w:rsidR="00496081" w:rsidRPr="00BD61F0">
        <w:rPr>
          <w:rFonts w:cs="Times New Roman"/>
          <w:szCs w:val="24"/>
        </w:rPr>
        <w:t>3.2.4.</w:t>
      </w:r>
      <w:r>
        <w:rPr>
          <w:rFonts w:cs="Times New Roman"/>
          <w:szCs w:val="24"/>
        </w:rPr>
        <w:t xml:space="preserve"> </w:t>
      </w:r>
      <w:r w:rsidR="00B95D80" w:rsidRPr="00BD61F0">
        <w:rPr>
          <w:rFonts w:cs="Times New Roman"/>
          <w:szCs w:val="24"/>
        </w:rPr>
        <w:t xml:space="preserve">ne vėliau kaip per 5 (penkias) darbo dienas nuo pasirašyto </w:t>
      </w:r>
      <w:r w:rsidR="0090346F" w:rsidRPr="00BD61F0">
        <w:rPr>
          <w:rFonts w:cs="Times New Roman"/>
          <w:szCs w:val="24"/>
        </w:rPr>
        <w:t xml:space="preserve">prekių </w:t>
      </w:r>
      <w:r w:rsidR="00B95D80" w:rsidRPr="00BD61F0">
        <w:rPr>
          <w:rFonts w:cs="Times New Roman"/>
          <w:szCs w:val="24"/>
        </w:rPr>
        <w:t>perdavimo–priėmimo akto gavimo dienos priimti prekes, pasirašydamas prekių perdavimo–priėmimo aktą, arba raštu informuoti Tiekėją apie atsisakymą priimti prekes, nurodydamas pristatytų prekių trūkumus ir sprendimą,</w:t>
      </w:r>
      <w:r>
        <w:rPr>
          <w:rFonts w:cs="Times New Roman"/>
          <w:szCs w:val="24"/>
        </w:rPr>
        <w:t xml:space="preserve"> nurodytą Sutarties 4.2.2 papunktyje</w:t>
      </w:r>
      <w:r w:rsidR="00B95D80" w:rsidRPr="00BD61F0">
        <w:rPr>
          <w:rFonts w:cs="Times New Roman"/>
          <w:szCs w:val="24"/>
        </w:rPr>
        <w:t xml:space="preserve">;  </w:t>
      </w:r>
    </w:p>
    <w:p w14:paraId="6100D031" w14:textId="2FAF29DF" w:rsidR="00B95D80" w:rsidRPr="00BD61F0" w:rsidRDefault="00496081" w:rsidP="00BD61F0">
      <w:pPr>
        <w:pStyle w:val="Pagrindinistekstas"/>
        <w:tabs>
          <w:tab w:val="left" w:pos="1276"/>
          <w:tab w:val="left" w:pos="9630"/>
          <w:tab w:val="left" w:pos="9720"/>
        </w:tabs>
        <w:spacing w:after="0" w:line="276" w:lineRule="auto"/>
        <w:ind w:left="142" w:right="8" w:firstLine="567"/>
        <w:jc w:val="both"/>
        <w:rPr>
          <w:rFonts w:cs="Times New Roman"/>
          <w:szCs w:val="24"/>
        </w:rPr>
      </w:pPr>
      <w:r w:rsidRPr="00BD61F0">
        <w:rPr>
          <w:rFonts w:cs="Times New Roman"/>
          <w:szCs w:val="24"/>
        </w:rPr>
        <w:t>3.2.5.</w:t>
      </w:r>
      <w:r w:rsidR="00FB4AA5">
        <w:rPr>
          <w:rFonts w:cs="Times New Roman"/>
          <w:szCs w:val="24"/>
        </w:rPr>
        <w:t xml:space="preserve">  </w:t>
      </w:r>
      <w:r w:rsidR="00B95D80" w:rsidRPr="00BD61F0">
        <w:rPr>
          <w:rFonts w:cs="Times New Roman"/>
          <w:szCs w:val="24"/>
        </w:rPr>
        <w:t>kilus Šalių ginčui dėl Sutarties, ne vėliau kaip per 3 (tris) darbo dienas nuo ginčo kilimo dienos deleguoti atstovą spręsti ginčo;</w:t>
      </w:r>
    </w:p>
    <w:p w14:paraId="773FD7AA" w14:textId="6DE62820" w:rsidR="00B95D80" w:rsidRPr="00BD61F0" w:rsidRDefault="00496081" w:rsidP="00BD61F0">
      <w:pPr>
        <w:pStyle w:val="Pagrindinistekstas"/>
        <w:tabs>
          <w:tab w:val="left" w:pos="1276"/>
          <w:tab w:val="left" w:pos="9630"/>
          <w:tab w:val="left" w:pos="9720"/>
        </w:tabs>
        <w:spacing w:after="0" w:line="276" w:lineRule="auto"/>
        <w:ind w:left="142" w:right="8" w:firstLine="567"/>
        <w:jc w:val="both"/>
        <w:rPr>
          <w:rFonts w:cs="Times New Roman"/>
          <w:szCs w:val="24"/>
        </w:rPr>
      </w:pPr>
      <w:r w:rsidRPr="00BD61F0">
        <w:rPr>
          <w:rFonts w:cs="Times New Roman"/>
          <w:szCs w:val="24"/>
        </w:rPr>
        <w:t xml:space="preserve">3.2.6. </w:t>
      </w:r>
      <w:r w:rsidR="00FB4AA5">
        <w:rPr>
          <w:rFonts w:cs="Times New Roman"/>
          <w:szCs w:val="24"/>
        </w:rPr>
        <w:t xml:space="preserve">  </w:t>
      </w:r>
      <w:r w:rsidR="00B95D80" w:rsidRPr="00BD61F0">
        <w:rPr>
          <w:rFonts w:cs="Times New Roman"/>
          <w:szCs w:val="24"/>
        </w:rPr>
        <w:t>nedelsdamas (ne vėliau kaip per 3 (tris) darbo dienas) raštu pranešti Tiekėjui apie savo pasikeitusius rekvizitus, teisinį statusą, paskirtą atstovą.</w:t>
      </w:r>
    </w:p>
    <w:p w14:paraId="67419C3A" w14:textId="77777777" w:rsidR="00B95D80" w:rsidRPr="00BD61F0" w:rsidRDefault="00B95D80" w:rsidP="00BD61F0">
      <w:pPr>
        <w:tabs>
          <w:tab w:val="left" w:pos="9630"/>
          <w:tab w:val="left" w:pos="9720"/>
        </w:tabs>
        <w:spacing w:after="0"/>
        <w:ind w:right="8"/>
        <w:jc w:val="both"/>
        <w:rPr>
          <w:rFonts w:ascii="Times New Roman" w:hAnsi="Times New Roman"/>
          <w:sz w:val="24"/>
          <w:szCs w:val="24"/>
        </w:rPr>
      </w:pPr>
    </w:p>
    <w:p w14:paraId="5B13467E" w14:textId="4D497DF1" w:rsidR="00B95D80" w:rsidRPr="00BD61F0" w:rsidRDefault="00496081" w:rsidP="00BD61F0">
      <w:pPr>
        <w:pStyle w:val="Sraopastraipa"/>
        <w:tabs>
          <w:tab w:val="left" w:pos="9630"/>
        </w:tabs>
        <w:spacing w:after="0"/>
        <w:ind w:right="8"/>
        <w:jc w:val="center"/>
        <w:rPr>
          <w:rFonts w:ascii="Times New Roman" w:hAnsi="Times New Roman"/>
          <w:b/>
          <w:sz w:val="24"/>
          <w:szCs w:val="24"/>
        </w:rPr>
      </w:pPr>
      <w:r w:rsidRPr="00BD61F0">
        <w:rPr>
          <w:rFonts w:ascii="Times New Roman" w:hAnsi="Times New Roman"/>
          <w:b/>
          <w:sz w:val="24"/>
          <w:szCs w:val="24"/>
        </w:rPr>
        <w:t xml:space="preserve">4. </w:t>
      </w:r>
      <w:r w:rsidR="00B95D80" w:rsidRPr="00BD61F0">
        <w:rPr>
          <w:rFonts w:ascii="Times New Roman" w:hAnsi="Times New Roman"/>
          <w:b/>
          <w:sz w:val="24"/>
          <w:szCs w:val="24"/>
        </w:rPr>
        <w:t>ŠALIŲ TEISĖS</w:t>
      </w:r>
    </w:p>
    <w:p w14:paraId="0D843F6C" w14:textId="77777777" w:rsidR="00B95D80" w:rsidRPr="00BD61F0" w:rsidRDefault="00B95D80" w:rsidP="00BD61F0">
      <w:pPr>
        <w:pStyle w:val="Pagrindinistekstas"/>
        <w:tabs>
          <w:tab w:val="left" w:pos="9630"/>
          <w:tab w:val="left" w:pos="9720"/>
        </w:tabs>
        <w:spacing w:after="0" w:line="276" w:lineRule="auto"/>
        <w:ind w:right="8" w:firstLine="360"/>
        <w:rPr>
          <w:rFonts w:cs="Times New Roman"/>
          <w:szCs w:val="24"/>
          <w:lang w:eastAsia="lt-LT"/>
        </w:rPr>
      </w:pPr>
    </w:p>
    <w:p w14:paraId="2581B813" w14:textId="17715DEC" w:rsidR="00B95D80" w:rsidRPr="00BD61F0" w:rsidRDefault="00496081" w:rsidP="00BD61F0">
      <w:pPr>
        <w:tabs>
          <w:tab w:val="left" w:pos="1134"/>
          <w:tab w:val="left" w:pos="9630"/>
          <w:tab w:val="left" w:pos="9720"/>
        </w:tabs>
        <w:spacing w:after="0"/>
        <w:ind w:right="8" w:firstLine="567"/>
        <w:jc w:val="both"/>
        <w:rPr>
          <w:rFonts w:ascii="Times New Roman" w:hAnsi="Times New Roman"/>
          <w:sz w:val="24"/>
          <w:szCs w:val="24"/>
        </w:rPr>
      </w:pPr>
      <w:r w:rsidRPr="00BD61F0">
        <w:rPr>
          <w:rFonts w:ascii="Times New Roman" w:hAnsi="Times New Roman"/>
          <w:sz w:val="24"/>
          <w:szCs w:val="24"/>
        </w:rPr>
        <w:t xml:space="preserve">4.1. </w:t>
      </w:r>
      <w:r w:rsidR="00B95D80" w:rsidRPr="00BD61F0">
        <w:rPr>
          <w:rFonts w:ascii="Times New Roman" w:hAnsi="Times New Roman"/>
          <w:sz w:val="24"/>
          <w:szCs w:val="24"/>
        </w:rPr>
        <w:t>Tiekėjas turi teisę:</w:t>
      </w:r>
    </w:p>
    <w:p w14:paraId="7C7F8053" w14:textId="732CD244" w:rsidR="00B95D80" w:rsidRPr="00BD61F0" w:rsidRDefault="00496081" w:rsidP="00BD61F0">
      <w:pPr>
        <w:pStyle w:val="Pagrindinistekstas"/>
        <w:tabs>
          <w:tab w:val="left" w:pos="1276"/>
          <w:tab w:val="left" w:pos="9630"/>
          <w:tab w:val="left" w:pos="9720"/>
        </w:tabs>
        <w:spacing w:after="0" w:line="276" w:lineRule="auto"/>
        <w:ind w:right="8" w:firstLine="567"/>
        <w:jc w:val="both"/>
        <w:rPr>
          <w:rFonts w:cs="Times New Roman"/>
          <w:szCs w:val="24"/>
        </w:rPr>
      </w:pPr>
      <w:r w:rsidRPr="00BD61F0">
        <w:rPr>
          <w:rFonts w:cs="Times New Roman"/>
          <w:szCs w:val="24"/>
        </w:rPr>
        <w:t xml:space="preserve">4.1.1. </w:t>
      </w:r>
      <w:r w:rsidR="00B95D80" w:rsidRPr="00BD61F0">
        <w:rPr>
          <w:rFonts w:cs="Times New Roman"/>
          <w:szCs w:val="24"/>
        </w:rPr>
        <w:t>reikalauti, kad Užsakovas priimtų tinkamai ir faktiškai pristatytas prekes arba atsisakyti vykdyti Sutartį, jeigu Užsakovas, pažeisdamas savo įsipareigojimus, nepriima ar atsisako priimti kokybiškas prekes;</w:t>
      </w:r>
    </w:p>
    <w:p w14:paraId="426ADEAC" w14:textId="198B6900" w:rsidR="00B95D80" w:rsidRPr="00BD61F0" w:rsidRDefault="00496081" w:rsidP="00BD61F0">
      <w:pPr>
        <w:pStyle w:val="Pagrindinistekstas"/>
        <w:tabs>
          <w:tab w:val="left" w:pos="1276"/>
          <w:tab w:val="left" w:pos="9630"/>
          <w:tab w:val="left" w:pos="9720"/>
        </w:tabs>
        <w:spacing w:after="0" w:line="276" w:lineRule="auto"/>
        <w:ind w:right="8" w:firstLine="567"/>
        <w:jc w:val="both"/>
        <w:rPr>
          <w:rFonts w:cs="Times New Roman"/>
          <w:szCs w:val="24"/>
        </w:rPr>
      </w:pPr>
      <w:r w:rsidRPr="00BD61F0">
        <w:rPr>
          <w:rFonts w:cs="Times New Roman"/>
          <w:szCs w:val="24"/>
        </w:rPr>
        <w:t xml:space="preserve">4.1.2. </w:t>
      </w:r>
      <w:r w:rsidR="00B95D80" w:rsidRPr="00BD61F0">
        <w:rPr>
          <w:rFonts w:cs="Times New Roman"/>
          <w:szCs w:val="24"/>
        </w:rPr>
        <w:t>reikalauti iš Užsakovo sumokėti už tinkamai ir faktiškai pristatytas prekes Sutartyje nurodyta tvarka, sąlygomis ir terminais.</w:t>
      </w:r>
    </w:p>
    <w:p w14:paraId="18ED4354" w14:textId="1447E6DD" w:rsidR="00B95D80" w:rsidRPr="00BD61F0" w:rsidRDefault="00496081" w:rsidP="00BD61F0">
      <w:pPr>
        <w:tabs>
          <w:tab w:val="left" w:pos="1134"/>
          <w:tab w:val="left" w:pos="9630"/>
          <w:tab w:val="left" w:pos="9720"/>
        </w:tabs>
        <w:spacing w:after="0"/>
        <w:ind w:right="8" w:firstLine="567"/>
        <w:jc w:val="both"/>
        <w:rPr>
          <w:rFonts w:ascii="Times New Roman" w:hAnsi="Times New Roman"/>
          <w:sz w:val="24"/>
          <w:szCs w:val="24"/>
        </w:rPr>
      </w:pPr>
      <w:r w:rsidRPr="00BD61F0">
        <w:rPr>
          <w:rFonts w:ascii="Times New Roman" w:hAnsi="Times New Roman"/>
          <w:sz w:val="24"/>
          <w:szCs w:val="24"/>
        </w:rPr>
        <w:t xml:space="preserve">4.2. </w:t>
      </w:r>
      <w:r w:rsidR="00B95D80" w:rsidRPr="00BD61F0">
        <w:rPr>
          <w:rFonts w:ascii="Times New Roman" w:hAnsi="Times New Roman"/>
          <w:sz w:val="24"/>
          <w:szCs w:val="24"/>
        </w:rPr>
        <w:t>Užsakovas turi teisę:</w:t>
      </w:r>
    </w:p>
    <w:p w14:paraId="613CB4FF" w14:textId="1FC3D7A1" w:rsidR="00B95D80" w:rsidRPr="00BD61F0" w:rsidRDefault="00496081" w:rsidP="00BD61F0">
      <w:pPr>
        <w:pStyle w:val="Pagrindinistekstas"/>
        <w:tabs>
          <w:tab w:val="left" w:pos="1276"/>
          <w:tab w:val="left" w:pos="9630"/>
          <w:tab w:val="left" w:pos="9720"/>
        </w:tabs>
        <w:spacing w:after="0" w:line="276" w:lineRule="auto"/>
        <w:ind w:right="8"/>
        <w:jc w:val="both"/>
        <w:rPr>
          <w:rFonts w:cs="Times New Roman"/>
          <w:szCs w:val="24"/>
        </w:rPr>
      </w:pPr>
      <w:r w:rsidRPr="00BD61F0">
        <w:rPr>
          <w:rFonts w:cs="Times New Roman"/>
          <w:szCs w:val="24"/>
        </w:rPr>
        <w:t xml:space="preserve">        4.2.1.</w:t>
      </w:r>
      <w:r w:rsidR="00FB4AA5">
        <w:rPr>
          <w:rFonts w:cs="Times New Roman"/>
          <w:szCs w:val="24"/>
        </w:rPr>
        <w:t xml:space="preserve"> </w:t>
      </w:r>
      <w:r w:rsidR="00B95D80" w:rsidRPr="00BD61F0">
        <w:rPr>
          <w:rFonts w:cs="Times New Roman"/>
          <w:szCs w:val="24"/>
        </w:rPr>
        <w:t>nemokėti už</w:t>
      </w:r>
      <w:r w:rsidRPr="00BD61F0">
        <w:rPr>
          <w:rFonts w:cs="Times New Roman"/>
          <w:szCs w:val="24"/>
        </w:rPr>
        <w:t xml:space="preserve"> </w:t>
      </w:r>
      <w:r w:rsidR="007845CA" w:rsidRPr="00BD61F0">
        <w:rPr>
          <w:rFonts w:cs="Times New Roman"/>
          <w:szCs w:val="24"/>
        </w:rPr>
        <w:t>prekes</w:t>
      </w:r>
      <w:r w:rsidR="00B95D80" w:rsidRPr="00BD61F0">
        <w:rPr>
          <w:rFonts w:cs="Times New Roman"/>
          <w:szCs w:val="24"/>
        </w:rPr>
        <w:t xml:space="preserve">, jeigu pateikta neteisinga PVM sąskaita faktūra (kol bus išsiaiškinta su Tiekėju ir bus pateikta teisinga PVM sąskaita faktūra); </w:t>
      </w:r>
    </w:p>
    <w:p w14:paraId="70F87F6A" w14:textId="319E44D8" w:rsidR="00B95D80" w:rsidRPr="00BD61F0" w:rsidRDefault="00496081" w:rsidP="00BD61F0">
      <w:pPr>
        <w:pStyle w:val="Pagrindinistekstas"/>
        <w:tabs>
          <w:tab w:val="left" w:pos="1276"/>
          <w:tab w:val="left" w:pos="9630"/>
          <w:tab w:val="left" w:pos="9720"/>
        </w:tabs>
        <w:spacing w:after="0" w:line="276" w:lineRule="auto"/>
        <w:ind w:right="8" w:firstLine="567"/>
        <w:jc w:val="both"/>
        <w:rPr>
          <w:rFonts w:cs="Times New Roman"/>
          <w:szCs w:val="24"/>
        </w:rPr>
      </w:pPr>
      <w:r w:rsidRPr="00BD61F0">
        <w:rPr>
          <w:rFonts w:cs="Times New Roman"/>
          <w:szCs w:val="24"/>
        </w:rPr>
        <w:t>4.2.2.</w:t>
      </w:r>
      <w:r w:rsidR="00FB4AA5">
        <w:rPr>
          <w:rFonts w:cs="Times New Roman"/>
          <w:szCs w:val="24"/>
        </w:rPr>
        <w:t xml:space="preserve"> </w:t>
      </w:r>
      <w:r w:rsidR="007845CA" w:rsidRPr="00BD61F0">
        <w:rPr>
          <w:rFonts w:cs="Times New Roman"/>
          <w:szCs w:val="24"/>
        </w:rPr>
        <w:t>nustatęs</w:t>
      </w:r>
      <w:r w:rsidR="00B95D80" w:rsidRPr="00BD61F0">
        <w:rPr>
          <w:rFonts w:cs="Times New Roman"/>
          <w:szCs w:val="24"/>
        </w:rPr>
        <w:t xml:space="preserve"> trūkumus, reikalauti, kad Tiekėjas neatlygintinai pašalintų trūkumus per Užsakovo nustatytą terminą ir (arba) atlygintų nuostolius, susijusius su netinkamu Sutarties vykdymu;</w:t>
      </w:r>
    </w:p>
    <w:p w14:paraId="083CEB1D" w14:textId="45B99C0A" w:rsidR="00B95D80" w:rsidRPr="00BD61F0" w:rsidRDefault="00496081" w:rsidP="00BD61F0">
      <w:pPr>
        <w:pStyle w:val="Pagrindinistekstas"/>
        <w:tabs>
          <w:tab w:val="left" w:pos="1276"/>
          <w:tab w:val="left" w:pos="9630"/>
          <w:tab w:val="left" w:pos="9720"/>
        </w:tabs>
        <w:spacing w:after="0" w:line="276" w:lineRule="auto"/>
        <w:ind w:right="8" w:firstLine="567"/>
        <w:jc w:val="both"/>
        <w:rPr>
          <w:rFonts w:cs="Times New Roman"/>
          <w:szCs w:val="24"/>
        </w:rPr>
      </w:pPr>
      <w:r w:rsidRPr="00BD61F0">
        <w:rPr>
          <w:rFonts w:cs="Times New Roman"/>
          <w:szCs w:val="24"/>
        </w:rPr>
        <w:t>4.2.3.</w:t>
      </w:r>
      <w:r w:rsidR="00FB4AA5">
        <w:rPr>
          <w:rFonts w:cs="Times New Roman"/>
          <w:szCs w:val="24"/>
        </w:rPr>
        <w:t xml:space="preserve"> </w:t>
      </w:r>
      <w:r w:rsidR="00B95D80" w:rsidRPr="00BD61F0">
        <w:rPr>
          <w:rFonts w:cs="Times New Roman"/>
          <w:szCs w:val="24"/>
        </w:rPr>
        <w:t>Tiekėjui neįvykdžius Užsakovo reikalavimų,</w:t>
      </w:r>
      <w:r w:rsidR="00FB4AA5">
        <w:rPr>
          <w:rFonts w:cs="Times New Roman"/>
          <w:szCs w:val="24"/>
        </w:rPr>
        <w:t xml:space="preserve"> nurodytų Sutarties 4.2.2 papunktyje</w:t>
      </w:r>
      <w:r w:rsidR="00B95D80" w:rsidRPr="00BD61F0">
        <w:rPr>
          <w:rFonts w:cs="Times New Roman"/>
          <w:szCs w:val="24"/>
        </w:rPr>
        <w:t>, ar Tiekėjui nevykdant Sutarties, Užsakovas įgyja teisę vienašališkai nutraukti Sutartį ir reikalauti nuostolių atlyginimo;</w:t>
      </w:r>
    </w:p>
    <w:p w14:paraId="241476B4" w14:textId="7CA40133" w:rsidR="00B95D80" w:rsidRPr="00BD61F0" w:rsidRDefault="00496081" w:rsidP="00BD61F0">
      <w:pPr>
        <w:pStyle w:val="Pagrindinistekstas"/>
        <w:tabs>
          <w:tab w:val="left" w:pos="1276"/>
          <w:tab w:val="left" w:pos="9630"/>
          <w:tab w:val="left" w:pos="9720"/>
        </w:tabs>
        <w:spacing w:after="0" w:line="276" w:lineRule="auto"/>
        <w:ind w:right="8" w:firstLine="567"/>
        <w:jc w:val="both"/>
        <w:rPr>
          <w:rFonts w:cs="Times New Roman"/>
          <w:szCs w:val="24"/>
        </w:rPr>
      </w:pPr>
      <w:r w:rsidRPr="00BD61F0">
        <w:rPr>
          <w:rFonts w:cs="Times New Roman"/>
          <w:szCs w:val="24"/>
        </w:rPr>
        <w:t>4.2.4.</w:t>
      </w:r>
      <w:r w:rsidR="00FB4AA5">
        <w:rPr>
          <w:rFonts w:cs="Times New Roman"/>
          <w:szCs w:val="24"/>
        </w:rPr>
        <w:t xml:space="preserve">  </w:t>
      </w:r>
      <w:r w:rsidR="00B95D80" w:rsidRPr="00BD61F0">
        <w:rPr>
          <w:rFonts w:cs="Times New Roman"/>
          <w:szCs w:val="24"/>
        </w:rPr>
        <w:t>priskaičiuotų netesybų sumos dydžiu mažinti savo piniginę prievolę Tiekėjui.</w:t>
      </w:r>
    </w:p>
    <w:p w14:paraId="60B0BF6D" w14:textId="77777777" w:rsidR="007845CA" w:rsidRPr="00BD61F0" w:rsidRDefault="007845CA" w:rsidP="00BD61F0">
      <w:pPr>
        <w:pStyle w:val="Pagrindinistekstas"/>
        <w:tabs>
          <w:tab w:val="left" w:pos="1276"/>
          <w:tab w:val="left" w:pos="9630"/>
          <w:tab w:val="left" w:pos="9720"/>
        </w:tabs>
        <w:spacing w:after="0" w:line="276" w:lineRule="auto"/>
        <w:ind w:left="3331" w:right="8"/>
        <w:jc w:val="both"/>
        <w:rPr>
          <w:rFonts w:cs="Times New Roman"/>
          <w:szCs w:val="24"/>
        </w:rPr>
      </w:pPr>
    </w:p>
    <w:p w14:paraId="61A55BEE" w14:textId="14BD0A6E" w:rsidR="007845CA" w:rsidRPr="007845CA" w:rsidRDefault="00496081" w:rsidP="00BD61F0">
      <w:pPr>
        <w:tabs>
          <w:tab w:val="left" w:pos="9630"/>
        </w:tabs>
        <w:spacing w:after="0"/>
        <w:ind w:left="720" w:right="8"/>
        <w:contextualSpacing/>
        <w:jc w:val="center"/>
        <w:rPr>
          <w:rFonts w:ascii="Times New Roman" w:hAnsi="Times New Roman"/>
          <w:b/>
          <w:sz w:val="24"/>
          <w:szCs w:val="24"/>
          <w:lang w:bidi="en-US"/>
        </w:rPr>
      </w:pPr>
      <w:r w:rsidRPr="00BD61F0">
        <w:rPr>
          <w:rFonts w:ascii="Times New Roman" w:hAnsi="Times New Roman"/>
          <w:b/>
          <w:sz w:val="24"/>
          <w:szCs w:val="24"/>
          <w:lang w:bidi="en-US"/>
        </w:rPr>
        <w:t xml:space="preserve">5. </w:t>
      </w:r>
      <w:r w:rsidR="007845CA" w:rsidRPr="007845CA">
        <w:rPr>
          <w:rFonts w:ascii="Times New Roman" w:hAnsi="Times New Roman"/>
          <w:b/>
          <w:sz w:val="24"/>
          <w:szCs w:val="24"/>
          <w:lang w:bidi="en-US"/>
        </w:rPr>
        <w:t>ŠALIŲ ATSAKOMYBĖ IR SUBTIEKIMAS</w:t>
      </w:r>
    </w:p>
    <w:p w14:paraId="1FC49985" w14:textId="77777777" w:rsidR="007845CA" w:rsidRPr="007845CA" w:rsidRDefault="007845CA" w:rsidP="00BD61F0">
      <w:pPr>
        <w:shd w:val="clear" w:color="auto" w:fill="FFFFFF"/>
        <w:tabs>
          <w:tab w:val="left" w:pos="9630"/>
          <w:tab w:val="left" w:pos="9720"/>
        </w:tabs>
        <w:spacing w:after="0"/>
        <w:ind w:left="24" w:right="8" w:firstLine="336"/>
        <w:jc w:val="both"/>
        <w:rPr>
          <w:rFonts w:ascii="Times New Roman" w:hAnsi="Times New Roman"/>
          <w:color w:val="000000"/>
          <w:sz w:val="24"/>
          <w:szCs w:val="24"/>
        </w:rPr>
      </w:pPr>
    </w:p>
    <w:p w14:paraId="544257E9" w14:textId="009FE25F" w:rsidR="007845CA" w:rsidRPr="007845CA" w:rsidRDefault="00496081" w:rsidP="00FB4AA5">
      <w:pPr>
        <w:tabs>
          <w:tab w:val="left" w:pos="1134"/>
          <w:tab w:val="left" w:pos="9630"/>
          <w:tab w:val="left" w:pos="9720"/>
        </w:tabs>
        <w:spacing w:after="0"/>
        <w:ind w:right="8" w:firstLine="567"/>
        <w:jc w:val="both"/>
        <w:rPr>
          <w:rFonts w:ascii="Times New Roman" w:hAnsi="Times New Roman"/>
          <w:sz w:val="24"/>
          <w:szCs w:val="24"/>
        </w:rPr>
      </w:pPr>
      <w:r w:rsidRPr="00BD61F0">
        <w:rPr>
          <w:rFonts w:ascii="Times New Roman" w:hAnsi="Times New Roman"/>
          <w:sz w:val="24"/>
          <w:szCs w:val="24"/>
        </w:rPr>
        <w:lastRenderedPageBreak/>
        <w:t xml:space="preserve">5.1. </w:t>
      </w:r>
      <w:r w:rsidR="007845CA" w:rsidRPr="007845CA">
        <w:rPr>
          <w:rFonts w:ascii="Times New Roman" w:hAnsi="Times New Roman"/>
          <w:sz w:val="24"/>
          <w:szCs w:val="24"/>
        </w:rPr>
        <w:t>Už įsipareigojimų, prisiimtų Sutartimi, nevykdymą arba netinkamą vykdymą Šalys atsako įstatymų nustatyta tvarka, atsižvelgdamos į Sutartyje nustatytus ypatumus.</w:t>
      </w:r>
    </w:p>
    <w:p w14:paraId="10336242" w14:textId="2489BD31" w:rsidR="007845CA" w:rsidRPr="007845CA" w:rsidRDefault="0004773D" w:rsidP="00FB4AA5">
      <w:pPr>
        <w:tabs>
          <w:tab w:val="left" w:pos="1134"/>
          <w:tab w:val="left" w:pos="9630"/>
          <w:tab w:val="left" w:pos="9720"/>
        </w:tabs>
        <w:spacing w:after="0"/>
        <w:ind w:left="-142" w:right="8" w:firstLine="568"/>
        <w:jc w:val="both"/>
        <w:rPr>
          <w:rFonts w:ascii="Times New Roman" w:hAnsi="Times New Roman"/>
          <w:sz w:val="24"/>
          <w:szCs w:val="24"/>
        </w:rPr>
      </w:pPr>
      <w:r>
        <w:rPr>
          <w:rFonts w:ascii="Times New Roman" w:hAnsi="Times New Roman"/>
          <w:sz w:val="24"/>
          <w:szCs w:val="24"/>
        </w:rPr>
        <w:t xml:space="preserve">  </w:t>
      </w:r>
      <w:r w:rsidR="00496081" w:rsidRPr="00BD61F0">
        <w:rPr>
          <w:rFonts w:ascii="Times New Roman" w:hAnsi="Times New Roman"/>
          <w:sz w:val="24"/>
          <w:szCs w:val="24"/>
        </w:rPr>
        <w:t xml:space="preserve">5.2. </w:t>
      </w:r>
      <w:r w:rsidR="007845CA" w:rsidRPr="007845CA">
        <w:rPr>
          <w:rFonts w:ascii="Times New Roman" w:hAnsi="Times New Roman"/>
          <w:sz w:val="24"/>
          <w:szCs w:val="24"/>
        </w:rPr>
        <w:t>Tiekėjas atsako už visus pagal Sutartį prisiimtus įsipareigojimus, nepaisant to, ar jiems vykdyti bus pasitelkti tretieji asmenys.</w:t>
      </w:r>
    </w:p>
    <w:p w14:paraId="1E4D44F0" w14:textId="092F2734" w:rsidR="007845CA" w:rsidRPr="007845CA" w:rsidRDefault="00BD61F0" w:rsidP="00BD61F0">
      <w:pPr>
        <w:tabs>
          <w:tab w:val="left" w:pos="1134"/>
          <w:tab w:val="left" w:pos="9630"/>
          <w:tab w:val="left" w:pos="9720"/>
        </w:tabs>
        <w:spacing w:after="0"/>
        <w:ind w:left="567" w:right="8"/>
        <w:jc w:val="both"/>
        <w:rPr>
          <w:rFonts w:ascii="Times New Roman" w:eastAsia="Times New Roman" w:hAnsi="Times New Roman"/>
          <w:sz w:val="24"/>
          <w:szCs w:val="24"/>
        </w:rPr>
      </w:pPr>
      <w:r w:rsidRPr="00BD61F0">
        <w:rPr>
          <w:rFonts w:ascii="Times New Roman" w:hAnsi="Times New Roman"/>
          <w:sz w:val="24"/>
          <w:szCs w:val="24"/>
        </w:rPr>
        <w:t xml:space="preserve">5.3. </w:t>
      </w:r>
      <w:r w:rsidR="007845CA" w:rsidRPr="007845CA">
        <w:rPr>
          <w:rFonts w:ascii="Times New Roman" w:hAnsi="Times New Roman"/>
          <w:sz w:val="24"/>
          <w:szCs w:val="24"/>
        </w:rPr>
        <w:t>Tiekėjas Sutarties vykdymui turi teisę pasitelkti:</w:t>
      </w:r>
    </w:p>
    <w:p w14:paraId="155A5F31" w14:textId="77777777" w:rsidR="007845CA" w:rsidRPr="007845CA" w:rsidRDefault="007845CA" w:rsidP="00BD61F0">
      <w:pPr>
        <w:widowControl w:val="0"/>
        <w:tabs>
          <w:tab w:val="left" w:pos="1134"/>
        </w:tabs>
        <w:autoSpaceDE w:val="0"/>
        <w:autoSpaceDN w:val="0"/>
        <w:adjustRightInd w:val="0"/>
        <w:spacing w:after="0"/>
        <w:ind w:left="1134" w:hanging="567"/>
        <w:jc w:val="both"/>
        <w:rPr>
          <w:rFonts w:ascii="Times New Roman" w:hAnsi="Times New Roman"/>
          <w:sz w:val="24"/>
          <w:szCs w:val="24"/>
        </w:rPr>
      </w:pPr>
      <w:r w:rsidRPr="007845CA">
        <w:rPr>
          <w:rFonts w:ascii="Times New Roman" w:hAnsi="Times New Roman"/>
          <w:sz w:val="24"/>
          <w:szCs w:val="24"/>
        </w:rPr>
        <w:t>5.3.1. savo pasiūlyme nurodytus subtiekėjus, kuriais grindžiama Tiekėjo kvalifikacija;</w:t>
      </w:r>
    </w:p>
    <w:p w14:paraId="47029086" w14:textId="77777777" w:rsidR="007845CA" w:rsidRPr="007845CA" w:rsidRDefault="007845CA" w:rsidP="00BD61F0">
      <w:pPr>
        <w:widowControl w:val="0"/>
        <w:tabs>
          <w:tab w:val="left" w:pos="1134"/>
        </w:tabs>
        <w:autoSpaceDE w:val="0"/>
        <w:autoSpaceDN w:val="0"/>
        <w:adjustRightInd w:val="0"/>
        <w:spacing w:after="0"/>
        <w:ind w:firstLine="567"/>
        <w:jc w:val="both"/>
        <w:rPr>
          <w:rFonts w:ascii="Times New Roman" w:hAnsi="Times New Roman"/>
          <w:sz w:val="24"/>
          <w:szCs w:val="24"/>
        </w:rPr>
      </w:pPr>
      <w:r w:rsidRPr="007845CA">
        <w:rPr>
          <w:rFonts w:ascii="Times New Roman" w:hAnsi="Times New Roman"/>
          <w:sz w:val="24"/>
          <w:szCs w:val="24"/>
        </w:rPr>
        <w:t xml:space="preserve">5.3.2. kitus subtiekėjus, jeigu pasiūlymo pateikimo metu jie buvo žinomi. </w:t>
      </w:r>
    </w:p>
    <w:p w14:paraId="486F4796" w14:textId="031C7D7F" w:rsidR="007845CA" w:rsidRPr="007845CA" w:rsidRDefault="007845CA" w:rsidP="00BD61F0">
      <w:pPr>
        <w:widowControl w:val="0"/>
        <w:tabs>
          <w:tab w:val="left" w:pos="1134"/>
        </w:tabs>
        <w:autoSpaceDE w:val="0"/>
        <w:autoSpaceDN w:val="0"/>
        <w:adjustRightInd w:val="0"/>
        <w:spacing w:after="0"/>
        <w:ind w:firstLine="567"/>
        <w:jc w:val="both"/>
        <w:rPr>
          <w:rFonts w:ascii="Times New Roman" w:hAnsi="Times New Roman"/>
          <w:sz w:val="24"/>
          <w:szCs w:val="24"/>
        </w:rPr>
      </w:pPr>
      <w:r w:rsidRPr="007845CA">
        <w:rPr>
          <w:rFonts w:ascii="Times New Roman" w:hAnsi="Times New Roman"/>
          <w:sz w:val="24"/>
          <w:szCs w:val="24"/>
        </w:rPr>
        <w:t xml:space="preserve">5.4. </w:t>
      </w:r>
      <w:r w:rsidR="00FB4AA5">
        <w:rPr>
          <w:rFonts w:ascii="Times New Roman" w:hAnsi="Times New Roman"/>
          <w:sz w:val="24"/>
          <w:szCs w:val="24"/>
        </w:rPr>
        <w:t xml:space="preserve"> </w:t>
      </w:r>
      <w:r w:rsidRPr="007845CA">
        <w:rPr>
          <w:rFonts w:ascii="Times New Roman" w:hAnsi="Times New Roman"/>
          <w:sz w:val="24"/>
          <w:szCs w:val="24"/>
        </w:rPr>
        <w:t xml:space="preserve">Tuo atveju, jei pasiūlymo pateikimo metu Tiekėjui nebuvo žinomi kiti subtiekėjai, Tiekėjas po Sutarties įsigaliojimo įsipareigoja ne vėliau kaip likus 2 (dviem) darbo dienoms iki Sutarties etapo, kurio veiklas vykdys numatomas pasitelkti subtiekėjas, vykdymo pradžios Užsakovui pranešti tuo metu žinomų subtiekėjų pavadinimus, kontaktinius duomenis ir jų atstovus. Tiekėjas privalo informuoti Užsakovą apie minėtos informacijos </w:t>
      </w:r>
      <w:proofErr w:type="spellStart"/>
      <w:r w:rsidRPr="007845CA">
        <w:rPr>
          <w:rFonts w:ascii="Times New Roman" w:hAnsi="Times New Roman"/>
          <w:sz w:val="24"/>
          <w:szCs w:val="24"/>
        </w:rPr>
        <w:t>pasikeitimus</w:t>
      </w:r>
      <w:proofErr w:type="spellEnd"/>
      <w:r w:rsidRPr="007845CA">
        <w:rPr>
          <w:rFonts w:ascii="Times New Roman" w:hAnsi="Times New Roman"/>
          <w:sz w:val="24"/>
          <w:szCs w:val="24"/>
        </w:rPr>
        <w:t xml:space="preserve"> visu Sutarties vykdymo metu. Subtiekėjo pasitelkimas nekeičia Tiekėjas atsakomybės dėl Sutarties įvykdymo. </w:t>
      </w:r>
    </w:p>
    <w:p w14:paraId="701A1656" w14:textId="653EC832" w:rsidR="007845CA" w:rsidRPr="007845CA" w:rsidRDefault="007845CA" w:rsidP="00BD61F0">
      <w:pPr>
        <w:widowControl w:val="0"/>
        <w:tabs>
          <w:tab w:val="left" w:pos="1134"/>
        </w:tabs>
        <w:autoSpaceDE w:val="0"/>
        <w:autoSpaceDN w:val="0"/>
        <w:adjustRightInd w:val="0"/>
        <w:spacing w:after="0"/>
        <w:ind w:firstLine="567"/>
        <w:jc w:val="both"/>
        <w:rPr>
          <w:rFonts w:ascii="Times New Roman" w:hAnsi="Times New Roman"/>
          <w:sz w:val="24"/>
          <w:szCs w:val="24"/>
        </w:rPr>
      </w:pPr>
      <w:r w:rsidRPr="007845CA">
        <w:rPr>
          <w:rFonts w:ascii="Times New Roman" w:hAnsi="Times New Roman"/>
          <w:sz w:val="24"/>
          <w:szCs w:val="24"/>
        </w:rPr>
        <w:t xml:space="preserve">5.5. </w:t>
      </w:r>
      <w:r w:rsidR="00047ACF">
        <w:rPr>
          <w:rFonts w:ascii="Times New Roman" w:hAnsi="Times New Roman"/>
          <w:sz w:val="24"/>
          <w:szCs w:val="24"/>
        </w:rPr>
        <w:t>Tie</w:t>
      </w:r>
      <w:r w:rsidRPr="007845CA">
        <w:rPr>
          <w:rFonts w:ascii="Times New Roman" w:hAnsi="Times New Roman"/>
          <w:sz w:val="24"/>
          <w:szCs w:val="24"/>
        </w:rPr>
        <w:t>kėjas gali pakeisti subtiekėjus, jeigu Sutarties vykdymo metu jie:</w:t>
      </w:r>
    </w:p>
    <w:p w14:paraId="33D7E112" w14:textId="77777777" w:rsidR="007845CA" w:rsidRPr="007845CA" w:rsidRDefault="007845CA" w:rsidP="00BD61F0">
      <w:pPr>
        <w:widowControl w:val="0"/>
        <w:tabs>
          <w:tab w:val="left" w:pos="1134"/>
        </w:tabs>
        <w:autoSpaceDE w:val="0"/>
        <w:autoSpaceDN w:val="0"/>
        <w:adjustRightInd w:val="0"/>
        <w:spacing w:after="0"/>
        <w:ind w:firstLine="567"/>
        <w:jc w:val="both"/>
        <w:rPr>
          <w:rFonts w:ascii="Times New Roman" w:hAnsi="Times New Roman"/>
          <w:sz w:val="24"/>
          <w:szCs w:val="24"/>
        </w:rPr>
      </w:pPr>
      <w:r w:rsidRPr="007845CA">
        <w:rPr>
          <w:rFonts w:ascii="Times New Roman" w:hAnsi="Times New Roman"/>
          <w:sz w:val="24"/>
          <w:szCs w:val="24"/>
        </w:rPr>
        <w:t>5.5.1.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7BE244E1" w14:textId="77777777" w:rsidR="007845CA" w:rsidRPr="007845CA" w:rsidRDefault="007845CA" w:rsidP="00BD61F0">
      <w:pPr>
        <w:widowControl w:val="0"/>
        <w:tabs>
          <w:tab w:val="left" w:pos="1134"/>
        </w:tabs>
        <w:autoSpaceDE w:val="0"/>
        <w:autoSpaceDN w:val="0"/>
        <w:adjustRightInd w:val="0"/>
        <w:spacing w:after="0"/>
        <w:ind w:firstLine="567"/>
        <w:jc w:val="both"/>
        <w:rPr>
          <w:rFonts w:ascii="Times New Roman" w:hAnsi="Times New Roman"/>
          <w:sz w:val="24"/>
          <w:szCs w:val="24"/>
        </w:rPr>
      </w:pPr>
      <w:r w:rsidRPr="007845CA">
        <w:rPr>
          <w:rFonts w:ascii="Times New Roman" w:hAnsi="Times New Roman"/>
          <w:sz w:val="24"/>
          <w:szCs w:val="24"/>
        </w:rPr>
        <w:t>5.5.2. Tiekėjo pasiūlyme nurodyto subtiekėjo, kuriuo grindžiama Tiekėjo kvalifikacija, padėtis atitinka bent vieną Viešųjų pirkimų įstatymo 46 straipsnyje nustatytų pašalinimo pagrindų;</w:t>
      </w:r>
    </w:p>
    <w:p w14:paraId="327967AC" w14:textId="77777777" w:rsidR="007845CA" w:rsidRPr="007845CA" w:rsidRDefault="007845CA" w:rsidP="00BD61F0">
      <w:pPr>
        <w:widowControl w:val="0"/>
        <w:tabs>
          <w:tab w:val="left" w:pos="1134"/>
        </w:tabs>
        <w:autoSpaceDE w:val="0"/>
        <w:autoSpaceDN w:val="0"/>
        <w:adjustRightInd w:val="0"/>
        <w:spacing w:after="0"/>
        <w:ind w:firstLine="567"/>
        <w:jc w:val="both"/>
        <w:rPr>
          <w:rFonts w:ascii="Times New Roman" w:hAnsi="Times New Roman"/>
          <w:sz w:val="24"/>
          <w:szCs w:val="24"/>
        </w:rPr>
      </w:pPr>
      <w:r w:rsidRPr="007845CA">
        <w:rPr>
          <w:rFonts w:ascii="Times New Roman" w:hAnsi="Times New Roman"/>
          <w:sz w:val="24"/>
          <w:szCs w:val="24"/>
        </w:rPr>
        <w:t xml:space="preserve">5.5.3. Tiekėjas iš anksto raštu turi informuoti Užsakovą, nurodydamas subtiekėjų pakeitimo priežastis ir būsimus subtiekėjus, kitus ūkio subjektus. Pasitelkdamas ir vėliau keisdamas subtiekėjus Tiekėjas turi užtikrinti, kad subtiekėjai yra pajėgūs ir kompetentingi tinkamam jiems pavestų užduočių vykdymui. Subtiekėjai gali būti keičiami tik gavus rašytinį  Užsakovo sutikimą. </w:t>
      </w:r>
    </w:p>
    <w:p w14:paraId="768AF5BE" w14:textId="77777777" w:rsidR="007845CA" w:rsidRPr="007845CA" w:rsidRDefault="007845CA" w:rsidP="00BD61F0">
      <w:pPr>
        <w:widowControl w:val="0"/>
        <w:tabs>
          <w:tab w:val="left" w:pos="1134"/>
        </w:tabs>
        <w:autoSpaceDE w:val="0"/>
        <w:autoSpaceDN w:val="0"/>
        <w:adjustRightInd w:val="0"/>
        <w:spacing w:after="0"/>
        <w:ind w:firstLine="567"/>
        <w:jc w:val="both"/>
        <w:rPr>
          <w:rFonts w:ascii="Times New Roman" w:hAnsi="Times New Roman"/>
          <w:sz w:val="24"/>
          <w:szCs w:val="24"/>
        </w:rPr>
      </w:pPr>
      <w:r w:rsidRPr="007845CA">
        <w:rPr>
          <w:rFonts w:ascii="Times New Roman" w:hAnsi="Times New Roman"/>
          <w:sz w:val="24"/>
          <w:szCs w:val="24"/>
        </w:rPr>
        <w:t>Jeigu keičiami, Tiekėjo pasiūlyme nurodyti subtiekėjai, kuriais grindžiama Tiekėjo kvalifikacija, Tiekėjas privalo pateikti jų pašalinimo pagrindų nebuvimą, kvalifikaciją patvirtinančius dokumentus tai dienai, kai Tiekėjas kreipiasi į Užsakovą su prašymu pakeisti. Prieš duodama sutikimą keisti Tiekėjo pasiūlyme nurodytus subtiekėjus, kuriais grindžiama Tiekėjo kvalifikacija, Užsakovas privalo patikrinti naujų, Tiekėjo pasiūlyme nenurodytų, subtiekėjų, kuriais grindžiama Tiekėjo kvalifikacija, pašalinimo pagrindų nebuvimą ir kvalifikacijos atitiktį.</w:t>
      </w:r>
    </w:p>
    <w:p w14:paraId="4C026612" w14:textId="336599FF" w:rsidR="007845CA" w:rsidRPr="007845CA" w:rsidRDefault="008B10D7" w:rsidP="00BD61F0">
      <w:pPr>
        <w:tabs>
          <w:tab w:val="left" w:pos="1134"/>
          <w:tab w:val="left" w:pos="9630"/>
          <w:tab w:val="left" w:pos="9720"/>
        </w:tabs>
        <w:spacing w:after="0"/>
        <w:ind w:right="8" w:firstLine="567"/>
        <w:jc w:val="both"/>
        <w:rPr>
          <w:rFonts w:ascii="Times New Roman" w:hAnsi="Times New Roman"/>
          <w:sz w:val="24"/>
          <w:szCs w:val="24"/>
        </w:rPr>
      </w:pPr>
      <w:r>
        <w:rPr>
          <w:rFonts w:ascii="Times New Roman" w:hAnsi="Times New Roman"/>
          <w:sz w:val="24"/>
          <w:szCs w:val="24"/>
        </w:rPr>
        <w:t>5.6</w:t>
      </w:r>
      <w:r w:rsidR="00BD61F0" w:rsidRPr="00BD61F0">
        <w:rPr>
          <w:rFonts w:ascii="Times New Roman" w:hAnsi="Times New Roman"/>
          <w:sz w:val="24"/>
          <w:szCs w:val="24"/>
        </w:rPr>
        <w:t>.</w:t>
      </w:r>
      <w:r w:rsidR="00FB4AA5">
        <w:rPr>
          <w:rFonts w:ascii="Times New Roman" w:hAnsi="Times New Roman"/>
          <w:sz w:val="24"/>
          <w:szCs w:val="24"/>
        </w:rPr>
        <w:t xml:space="preserve"> </w:t>
      </w:r>
      <w:r w:rsidR="007845CA" w:rsidRPr="007845CA">
        <w:rPr>
          <w:rFonts w:ascii="Times New Roman" w:hAnsi="Times New Roman"/>
          <w:sz w:val="24"/>
          <w:szCs w:val="24"/>
        </w:rPr>
        <w:t>Nei viena iš Šalių nėra atsakinga už įsipareigojimų nevykdymą ar netinkamą vykdymą, jeigu juos vykdyti trukdė nenugalima jėga (</w:t>
      </w:r>
      <w:r w:rsidR="007845CA" w:rsidRPr="007845CA">
        <w:rPr>
          <w:rFonts w:ascii="Times New Roman" w:hAnsi="Times New Roman"/>
          <w:i/>
          <w:sz w:val="24"/>
          <w:szCs w:val="24"/>
        </w:rPr>
        <w:t>force majeure</w:t>
      </w:r>
      <w:r w:rsidR="007845CA" w:rsidRPr="007845CA">
        <w:rPr>
          <w:rFonts w:ascii="Times New Roman" w:hAnsi="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31297AF" w14:textId="1067DD4E" w:rsidR="007845CA" w:rsidRPr="007845CA" w:rsidRDefault="008B10D7" w:rsidP="00BD61F0">
      <w:pPr>
        <w:tabs>
          <w:tab w:val="left" w:pos="993"/>
          <w:tab w:val="left" w:pos="1134"/>
          <w:tab w:val="left" w:pos="1276"/>
          <w:tab w:val="left" w:pos="9630"/>
          <w:tab w:val="left" w:pos="9720"/>
        </w:tabs>
        <w:spacing w:after="0"/>
        <w:ind w:right="8" w:firstLine="426"/>
        <w:jc w:val="both"/>
        <w:rPr>
          <w:rFonts w:ascii="Times New Roman" w:hAnsi="Times New Roman"/>
          <w:sz w:val="24"/>
          <w:szCs w:val="24"/>
        </w:rPr>
      </w:pPr>
      <w:r>
        <w:rPr>
          <w:rFonts w:ascii="Times New Roman" w:hAnsi="Times New Roman"/>
          <w:sz w:val="24"/>
          <w:szCs w:val="24"/>
        </w:rPr>
        <w:t>5.7</w:t>
      </w:r>
      <w:r w:rsidR="00BD61F0" w:rsidRPr="00BD61F0">
        <w:rPr>
          <w:rFonts w:ascii="Times New Roman" w:hAnsi="Times New Roman"/>
          <w:sz w:val="24"/>
          <w:szCs w:val="24"/>
        </w:rPr>
        <w:t xml:space="preserve">. </w:t>
      </w:r>
      <w:r w:rsidR="007845CA" w:rsidRPr="007845CA">
        <w:rPr>
          <w:rFonts w:ascii="Times New Roman" w:hAnsi="Times New Roman"/>
          <w:sz w:val="24"/>
          <w:szCs w:val="24"/>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B51D191" w14:textId="0324E81C" w:rsidR="007845CA" w:rsidRPr="007845CA" w:rsidRDefault="008B10D7" w:rsidP="00BD61F0">
      <w:pPr>
        <w:tabs>
          <w:tab w:val="left" w:pos="993"/>
          <w:tab w:val="left" w:pos="1134"/>
          <w:tab w:val="left" w:pos="1276"/>
          <w:tab w:val="left" w:pos="9630"/>
          <w:tab w:val="left" w:pos="9720"/>
        </w:tabs>
        <w:spacing w:after="0"/>
        <w:ind w:right="8" w:firstLine="567"/>
        <w:jc w:val="both"/>
        <w:rPr>
          <w:rFonts w:ascii="Times New Roman" w:hAnsi="Times New Roman"/>
          <w:sz w:val="24"/>
          <w:szCs w:val="24"/>
        </w:rPr>
      </w:pPr>
      <w:r>
        <w:rPr>
          <w:rFonts w:ascii="Times New Roman" w:hAnsi="Times New Roman"/>
          <w:sz w:val="24"/>
          <w:szCs w:val="24"/>
        </w:rPr>
        <w:t>5.8</w:t>
      </w:r>
      <w:r w:rsidR="00BD61F0" w:rsidRPr="00BD61F0">
        <w:rPr>
          <w:rFonts w:ascii="Times New Roman" w:hAnsi="Times New Roman"/>
          <w:sz w:val="24"/>
          <w:szCs w:val="24"/>
        </w:rPr>
        <w:t>.</w:t>
      </w:r>
      <w:r w:rsidR="00A74604">
        <w:rPr>
          <w:rFonts w:ascii="Times New Roman" w:hAnsi="Times New Roman"/>
          <w:sz w:val="24"/>
          <w:szCs w:val="24"/>
        </w:rPr>
        <w:t xml:space="preserve">  </w:t>
      </w:r>
      <w:r w:rsidR="007845CA" w:rsidRPr="007845CA">
        <w:rPr>
          <w:rFonts w:ascii="Times New Roman" w:hAnsi="Times New Roman"/>
          <w:sz w:val="24"/>
          <w:szCs w:val="24"/>
        </w:rPr>
        <w:t xml:space="preserve">Jei Tiekėjas nevykdo ar netinkamai vykdo sutartinius įsipareigojimus, moka Užsakovui 5 (penkių) procentų nuo visos  Sutarties kainos dydžio baudą. </w:t>
      </w:r>
    </w:p>
    <w:p w14:paraId="1CE17BF9" w14:textId="4382F438" w:rsidR="007845CA" w:rsidRPr="007845CA" w:rsidRDefault="008B10D7" w:rsidP="00BD61F0">
      <w:pPr>
        <w:tabs>
          <w:tab w:val="left" w:pos="993"/>
          <w:tab w:val="left" w:pos="1134"/>
          <w:tab w:val="left" w:pos="1276"/>
          <w:tab w:val="left" w:pos="9630"/>
          <w:tab w:val="left" w:pos="9720"/>
        </w:tabs>
        <w:spacing w:after="0"/>
        <w:ind w:right="8" w:firstLine="567"/>
        <w:jc w:val="both"/>
        <w:rPr>
          <w:rFonts w:ascii="Times New Roman" w:hAnsi="Times New Roman"/>
          <w:sz w:val="24"/>
          <w:szCs w:val="24"/>
        </w:rPr>
      </w:pPr>
      <w:r>
        <w:rPr>
          <w:rFonts w:ascii="Times New Roman" w:hAnsi="Times New Roman"/>
          <w:sz w:val="24"/>
          <w:szCs w:val="24"/>
        </w:rPr>
        <w:lastRenderedPageBreak/>
        <w:t>5.9</w:t>
      </w:r>
      <w:r w:rsidR="00BD61F0" w:rsidRPr="00BD61F0">
        <w:rPr>
          <w:rFonts w:ascii="Times New Roman" w:hAnsi="Times New Roman"/>
          <w:sz w:val="24"/>
          <w:szCs w:val="24"/>
        </w:rPr>
        <w:t xml:space="preserve">. </w:t>
      </w:r>
      <w:r w:rsidR="007845CA" w:rsidRPr="007845CA">
        <w:rPr>
          <w:rFonts w:ascii="Times New Roman" w:hAnsi="Times New Roman"/>
          <w:sz w:val="24"/>
          <w:szCs w:val="24"/>
        </w:rPr>
        <w:t>Jei Tiekėjas nevykdo savo sutartinių įsipareigojimų Sutartyje numatytais terminais, Užsakovas turi teisę be oficialaus įspėjimo ir neribodamas kitų savo teisių gynimo būdų pradėti skaičiuoti 0,05 (penkių šimtųjų) procento, nuo neįvykdytų įsipareigojimų vertės, dydžio delspinigius, už kiekvieną uždelstą dieną.</w:t>
      </w:r>
    </w:p>
    <w:p w14:paraId="03A95443" w14:textId="77777777" w:rsidR="007845CA" w:rsidRPr="00BD61F0" w:rsidRDefault="007845CA" w:rsidP="00BD61F0">
      <w:pPr>
        <w:pStyle w:val="Pagrindinistekstas"/>
        <w:tabs>
          <w:tab w:val="left" w:pos="1276"/>
          <w:tab w:val="left" w:pos="9630"/>
          <w:tab w:val="left" w:pos="9720"/>
        </w:tabs>
        <w:spacing w:after="0" w:line="276" w:lineRule="auto"/>
        <w:ind w:left="3331" w:right="8"/>
        <w:jc w:val="both"/>
        <w:rPr>
          <w:rFonts w:cs="Times New Roman"/>
          <w:szCs w:val="24"/>
        </w:rPr>
      </w:pPr>
    </w:p>
    <w:p w14:paraId="3A43BDBC" w14:textId="68951489" w:rsidR="00E66410" w:rsidRPr="00BD61F0" w:rsidRDefault="00BD61F0" w:rsidP="00BD61F0">
      <w:pPr>
        <w:widowControl w:val="0"/>
        <w:autoSpaceDE w:val="0"/>
        <w:autoSpaceDN w:val="0"/>
        <w:adjustRightInd w:val="0"/>
        <w:spacing w:after="0"/>
        <w:jc w:val="center"/>
        <w:rPr>
          <w:rFonts w:ascii="Times New Roman" w:hAnsi="Times New Roman"/>
          <w:caps/>
          <w:color w:val="000000"/>
          <w:sz w:val="24"/>
          <w:szCs w:val="24"/>
        </w:rPr>
      </w:pPr>
      <w:r w:rsidRPr="00BD61F0">
        <w:rPr>
          <w:rFonts w:ascii="Times New Roman" w:hAnsi="Times New Roman"/>
          <w:b/>
          <w:bCs/>
          <w:caps/>
          <w:color w:val="000000"/>
          <w:sz w:val="24"/>
          <w:szCs w:val="24"/>
        </w:rPr>
        <w:t>6</w:t>
      </w:r>
      <w:r w:rsidR="00E66410" w:rsidRPr="00BD61F0">
        <w:rPr>
          <w:rFonts w:ascii="Times New Roman" w:hAnsi="Times New Roman"/>
          <w:b/>
          <w:bCs/>
          <w:caps/>
          <w:color w:val="000000"/>
          <w:sz w:val="24"/>
          <w:szCs w:val="24"/>
        </w:rPr>
        <w:t>. sutarties galiojimas</w:t>
      </w:r>
    </w:p>
    <w:p w14:paraId="53D2ABEA" w14:textId="77777777" w:rsidR="00E66410" w:rsidRPr="00BD61F0" w:rsidRDefault="00E66410" w:rsidP="00BD61F0">
      <w:pPr>
        <w:widowControl w:val="0"/>
        <w:autoSpaceDE w:val="0"/>
        <w:autoSpaceDN w:val="0"/>
        <w:adjustRightInd w:val="0"/>
        <w:spacing w:after="0"/>
        <w:ind w:left="567"/>
        <w:jc w:val="both"/>
        <w:rPr>
          <w:rFonts w:ascii="Times New Roman" w:hAnsi="Times New Roman"/>
          <w:bCs/>
          <w:color w:val="000000"/>
          <w:sz w:val="24"/>
          <w:szCs w:val="24"/>
        </w:rPr>
      </w:pPr>
    </w:p>
    <w:p w14:paraId="541A08F2" w14:textId="2C0AE190" w:rsidR="00E66410" w:rsidRPr="00BD61F0" w:rsidRDefault="00BD61F0" w:rsidP="00BD61F0">
      <w:pPr>
        <w:widowControl w:val="0"/>
        <w:autoSpaceDE w:val="0"/>
        <w:autoSpaceDN w:val="0"/>
        <w:adjustRightInd w:val="0"/>
        <w:spacing w:after="0"/>
        <w:ind w:firstLine="567"/>
        <w:jc w:val="both"/>
        <w:rPr>
          <w:rFonts w:ascii="Times New Roman" w:hAnsi="Times New Roman"/>
          <w:bCs/>
          <w:color w:val="000000"/>
          <w:sz w:val="24"/>
          <w:szCs w:val="24"/>
        </w:rPr>
      </w:pPr>
      <w:r w:rsidRPr="00BD61F0">
        <w:rPr>
          <w:rFonts w:ascii="Times New Roman" w:hAnsi="Times New Roman"/>
          <w:bCs/>
          <w:color w:val="000000"/>
          <w:sz w:val="24"/>
          <w:szCs w:val="24"/>
        </w:rPr>
        <w:t>6</w:t>
      </w:r>
      <w:r w:rsidR="00E66410" w:rsidRPr="00BD61F0">
        <w:rPr>
          <w:rFonts w:ascii="Times New Roman" w:hAnsi="Times New Roman"/>
          <w:bCs/>
          <w:color w:val="000000"/>
          <w:sz w:val="24"/>
          <w:szCs w:val="24"/>
        </w:rPr>
        <w:t>.1. Sutartis įsigalioja nuo Sutarties pasirašymo</w:t>
      </w:r>
      <w:r w:rsidR="009860E8">
        <w:rPr>
          <w:rFonts w:ascii="Times New Roman" w:hAnsi="Times New Roman"/>
          <w:bCs/>
          <w:color w:val="000000"/>
          <w:sz w:val="24"/>
          <w:szCs w:val="24"/>
        </w:rPr>
        <w:t xml:space="preserve"> dienos</w:t>
      </w:r>
      <w:r w:rsidR="00AD343D">
        <w:rPr>
          <w:rFonts w:ascii="Times New Roman" w:hAnsi="Times New Roman"/>
          <w:bCs/>
          <w:color w:val="000000"/>
          <w:sz w:val="24"/>
          <w:szCs w:val="24"/>
        </w:rPr>
        <w:t xml:space="preserve"> ir galioja 36 (trisdešimt šešis) mėnesius</w:t>
      </w:r>
      <w:r w:rsidR="009860E8">
        <w:rPr>
          <w:rFonts w:ascii="Times New Roman" w:hAnsi="Times New Roman"/>
          <w:bCs/>
          <w:color w:val="000000"/>
          <w:sz w:val="24"/>
          <w:szCs w:val="24"/>
        </w:rPr>
        <w:t xml:space="preserve">, </w:t>
      </w:r>
      <w:r w:rsidR="008B10D7">
        <w:rPr>
          <w:rFonts w:ascii="Times New Roman" w:hAnsi="Times New Roman"/>
          <w:bCs/>
          <w:color w:val="000000"/>
          <w:sz w:val="24"/>
          <w:szCs w:val="24"/>
        </w:rPr>
        <w:t xml:space="preserve">bet neilgiau nei </w:t>
      </w:r>
      <w:r w:rsidR="00CF5C8C">
        <w:rPr>
          <w:rFonts w:ascii="Times New Roman" w:hAnsi="Times New Roman"/>
          <w:bCs/>
          <w:color w:val="000000"/>
          <w:sz w:val="24"/>
          <w:szCs w:val="24"/>
        </w:rPr>
        <w:t xml:space="preserve"> </w:t>
      </w:r>
      <w:r w:rsidR="008B10D7">
        <w:rPr>
          <w:rFonts w:ascii="Times New Roman" w:hAnsi="Times New Roman"/>
          <w:bCs/>
          <w:color w:val="000000"/>
          <w:sz w:val="24"/>
          <w:szCs w:val="24"/>
        </w:rPr>
        <w:t>iki 2021 m. gruodžio 31 d., jei ji nėra nutraukiama Sutartyje numatytais pagrindais.</w:t>
      </w:r>
    </w:p>
    <w:p w14:paraId="12178A6F" w14:textId="77777777" w:rsidR="008B10D7" w:rsidRDefault="00BD61F0" w:rsidP="00BD61F0">
      <w:pPr>
        <w:tabs>
          <w:tab w:val="left" w:pos="1134"/>
          <w:tab w:val="left" w:pos="9630"/>
          <w:tab w:val="left" w:pos="9720"/>
        </w:tabs>
        <w:spacing w:after="0"/>
        <w:ind w:left="-142" w:right="8" w:firstLine="709"/>
        <w:jc w:val="both"/>
        <w:rPr>
          <w:rFonts w:ascii="Times New Roman" w:hAnsi="Times New Roman"/>
          <w:sz w:val="24"/>
          <w:szCs w:val="24"/>
        </w:rPr>
      </w:pPr>
      <w:r w:rsidRPr="00BD61F0">
        <w:rPr>
          <w:rFonts w:ascii="Times New Roman" w:hAnsi="Times New Roman"/>
          <w:sz w:val="24"/>
          <w:szCs w:val="24"/>
        </w:rPr>
        <w:t xml:space="preserve">6.2. </w:t>
      </w:r>
      <w:r w:rsidR="007845CA" w:rsidRPr="00BD61F0">
        <w:rPr>
          <w:rFonts w:ascii="Times New Roman" w:hAnsi="Times New Roman"/>
          <w:sz w:val="24"/>
          <w:szCs w:val="24"/>
        </w:rPr>
        <w:t>Jei Tiekėjas nevykdo sutartinių įsipareigojimų ar juos vykdo netinkamai, ir tai yra esminis Sutarties pažeidimas, Užsakovas gali vienašališkai nutraukti Sutartį, raštu įspėjęs apie tai Tiekėją prieš 20 (dvidešimt) darbo dienų ir pateikęs pagrįstus motyvus. Esminiai Sutarties sąlygų pažeidimai yra:</w:t>
      </w:r>
    </w:p>
    <w:p w14:paraId="317CEE6A" w14:textId="4D9040AB" w:rsidR="00BD28F3" w:rsidRDefault="008B10D7" w:rsidP="00BD61F0">
      <w:pPr>
        <w:tabs>
          <w:tab w:val="left" w:pos="1134"/>
          <w:tab w:val="left" w:pos="9630"/>
          <w:tab w:val="left" w:pos="9720"/>
        </w:tabs>
        <w:spacing w:after="0"/>
        <w:ind w:left="-142" w:right="8" w:firstLine="709"/>
        <w:jc w:val="both"/>
        <w:rPr>
          <w:rFonts w:ascii="Times New Roman" w:hAnsi="Times New Roman"/>
          <w:sz w:val="24"/>
          <w:szCs w:val="24"/>
        </w:rPr>
      </w:pPr>
      <w:r>
        <w:rPr>
          <w:rFonts w:ascii="Times New Roman" w:hAnsi="Times New Roman"/>
          <w:sz w:val="24"/>
          <w:szCs w:val="24"/>
        </w:rPr>
        <w:t>6.2.1.</w:t>
      </w:r>
      <w:r w:rsidR="007845CA" w:rsidRPr="00BD61F0">
        <w:rPr>
          <w:rFonts w:ascii="Times New Roman" w:hAnsi="Times New Roman"/>
          <w:sz w:val="24"/>
          <w:szCs w:val="24"/>
        </w:rPr>
        <w:t xml:space="preserve"> </w:t>
      </w:r>
      <w:r w:rsidR="00FB4AA5">
        <w:rPr>
          <w:rFonts w:ascii="Times New Roman" w:hAnsi="Times New Roman"/>
          <w:sz w:val="24"/>
          <w:szCs w:val="24"/>
        </w:rPr>
        <w:t>Tie</w:t>
      </w:r>
      <w:r w:rsidR="007845CA" w:rsidRPr="00BD61F0">
        <w:rPr>
          <w:rFonts w:ascii="Times New Roman" w:hAnsi="Times New Roman"/>
          <w:sz w:val="24"/>
          <w:szCs w:val="24"/>
        </w:rPr>
        <w:t>kėjui nustatytų sutartinių terminų nesilaikymas</w:t>
      </w:r>
      <w:r w:rsidR="003B369F">
        <w:rPr>
          <w:rFonts w:ascii="Times New Roman" w:hAnsi="Times New Roman"/>
          <w:sz w:val="24"/>
          <w:szCs w:val="24"/>
        </w:rPr>
        <w:t xml:space="preserve"> </w:t>
      </w:r>
      <w:r w:rsidR="003B369F" w:rsidRPr="003B369F">
        <w:rPr>
          <w:rFonts w:ascii="Times New Roman" w:hAnsi="Times New Roman"/>
          <w:sz w:val="24"/>
          <w:szCs w:val="24"/>
        </w:rPr>
        <w:t>daugiau kaip</w:t>
      </w:r>
      <w:r>
        <w:rPr>
          <w:rFonts w:ascii="Times New Roman" w:hAnsi="Times New Roman"/>
          <w:sz w:val="24"/>
          <w:szCs w:val="24"/>
        </w:rPr>
        <w:t xml:space="preserve"> 30 dienų</w:t>
      </w:r>
      <w:r w:rsidR="007845CA" w:rsidRPr="00BD61F0">
        <w:rPr>
          <w:rFonts w:ascii="Times New Roman" w:hAnsi="Times New Roman"/>
          <w:sz w:val="24"/>
          <w:szCs w:val="24"/>
        </w:rPr>
        <w:t>,</w:t>
      </w:r>
      <w:r w:rsidR="00BD28F3">
        <w:rPr>
          <w:rFonts w:ascii="Times New Roman" w:hAnsi="Times New Roman"/>
          <w:sz w:val="24"/>
          <w:szCs w:val="24"/>
        </w:rPr>
        <w:t xml:space="preserve"> nuo Sutarties 3.1.1 papunktyje nustatyto termino pabaigos.</w:t>
      </w:r>
    </w:p>
    <w:p w14:paraId="309A1287" w14:textId="0A7FA12D" w:rsidR="007845CA" w:rsidRPr="00BD61F0" w:rsidRDefault="00BD28F3" w:rsidP="00BD61F0">
      <w:pPr>
        <w:tabs>
          <w:tab w:val="left" w:pos="1134"/>
          <w:tab w:val="left" w:pos="9630"/>
          <w:tab w:val="left" w:pos="9720"/>
        </w:tabs>
        <w:spacing w:after="0"/>
        <w:ind w:left="-142" w:right="8" w:firstLine="709"/>
        <w:jc w:val="both"/>
        <w:rPr>
          <w:rFonts w:ascii="Times New Roman" w:hAnsi="Times New Roman"/>
          <w:sz w:val="24"/>
          <w:szCs w:val="24"/>
        </w:rPr>
      </w:pPr>
      <w:r>
        <w:rPr>
          <w:rFonts w:ascii="Times New Roman" w:hAnsi="Times New Roman"/>
          <w:sz w:val="24"/>
          <w:szCs w:val="24"/>
        </w:rPr>
        <w:t>6.2.2.</w:t>
      </w:r>
      <w:r w:rsidR="007845CA" w:rsidRPr="00BD61F0">
        <w:rPr>
          <w:rFonts w:ascii="Times New Roman" w:hAnsi="Times New Roman"/>
          <w:sz w:val="24"/>
          <w:szCs w:val="24"/>
        </w:rPr>
        <w:t xml:space="preserve"> </w:t>
      </w:r>
      <w:r w:rsidR="003B369F">
        <w:rPr>
          <w:rFonts w:ascii="Times New Roman" w:hAnsi="Times New Roman"/>
          <w:sz w:val="24"/>
          <w:szCs w:val="24"/>
        </w:rPr>
        <w:t>n</w:t>
      </w:r>
      <w:r w:rsidR="003B369F" w:rsidRPr="003B369F">
        <w:rPr>
          <w:rFonts w:ascii="Times New Roman" w:hAnsi="Times New Roman"/>
          <w:sz w:val="24"/>
          <w:szCs w:val="24"/>
        </w:rPr>
        <w:t>etinkamos kokybės, t. y. Sutarties reikalavimų neatitinkančių prekių patiekimas;</w:t>
      </w:r>
      <w:r w:rsidR="007845CA" w:rsidRPr="00BD61F0">
        <w:rPr>
          <w:rFonts w:ascii="Times New Roman" w:hAnsi="Times New Roman"/>
          <w:sz w:val="24"/>
          <w:szCs w:val="24"/>
        </w:rPr>
        <w:t xml:space="preserve"> </w:t>
      </w:r>
      <w:r>
        <w:rPr>
          <w:rFonts w:ascii="Times New Roman" w:hAnsi="Times New Roman"/>
          <w:sz w:val="24"/>
          <w:szCs w:val="24"/>
        </w:rPr>
        <w:t xml:space="preserve">                                      6.2.3. </w:t>
      </w:r>
      <w:r w:rsidR="007845CA" w:rsidRPr="00BD61F0">
        <w:rPr>
          <w:rFonts w:ascii="Times New Roman" w:hAnsi="Times New Roman"/>
          <w:sz w:val="24"/>
          <w:szCs w:val="24"/>
        </w:rPr>
        <w:t xml:space="preserve">Sutarties ir Sutarties priede numatytų kitų Tiekėjo įsipareigojimų </w:t>
      </w:r>
      <w:r w:rsidR="008369A8">
        <w:rPr>
          <w:rFonts w:ascii="Times New Roman" w:hAnsi="Times New Roman"/>
          <w:sz w:val="24"/>
          <w:szCs w:val="24"/>
        </w:rPr>
        <w:t xml:space="preserve">netinkamas </w:t>
      </w:r>
      <w:r w:rsidR="007845CA" w:rsidRPr="00BD61F0">
        <w:rPr>
          <w:rFonts w:ascii="Times New Roman" w:hAnsi="Times New Roman"/>
          <w:sz w:val="24"/>
          <w:szCs w:val="24"/>
        </w:rPr>
        <w:t>vykdymas, kai Tiekėjas trūkumų nepašalina Sutarties 4.2.2</w:t>
      </w:r>
      <w:r w:rsidR="00B1074F">
        <w:rPr>
          <w:rFonts w:ascii="Times New Roman" w:hAnsi="Times New Roman"/>
          <w:sz w:val="24"/>
          <w:szCs w:val="24"/>
        </w:rPr>
        <w:t xml:space="preserve"> papunktyje</w:t>
      </w:r>
      <w:r w:rsidR="007845CA" w:rsidRPr="00BD61F0">
        <w:rPr>
          <w:rFonts w:ascii="Times New Roman" w:hAnsi="Times New Roman"/>
          <w:sz w:val="24"/>
          <w:szCs w:val="24"/>
        </w:rPr>
        <w:t xml:space="preserve"> nustatyta tvarka.</w:t>
      </w:r>
    </w:p>
    <w:p w14:paraId="21C58E40" w14:textId="7BCA2578" w:rsidR="007845CA" w:rsidRPr="00BD61F0" w:rsidRDefault="00BD61F0" w:rsidP="00BD61F0">
      <w:pPr>
        <w:tabs>
          <w:tab w:val="left" w:pos="1134"/>
          <w:tab w:val="left" w:pos="9630"/>
          <w:tab w:val="left" w:pos="9720"/>
        </w:tabs>
        <w:spacing w:after="0"/>
        <w:ind w:left="-142" w:right="8" w:firstLine="709"/>
        <w:jc w:val="both"/>
        <w:rPr>
          <w:rFonts w:ascii="Times New Roman" w:hAnsi="Times New Roman"/>
          <w:sz w:val="24"/>
          <w:szCs w:val="24"/>
        </w:rPr>
      </w:pPr>
      <w:r w:rsidRPr="00BD61F0">
        <w:rPr>
          <w:rFonts w:ascii="Times New Roman" w:hAnsi="Times New Roman"/>
          <w:sz w:val="24"/>
          <w:szCs w:val="24"/>
        </w:rPr>
        <w:t xml:space="preserve">6.3. </w:t>
      </w:r>
      <w:r w:rsidR="007845CA" w:rsidRPr="00BD61F0">
        <w:rPr>
          <w:rFonts w:ascii="Times New Roman" w:hAnsi="Times New Roman"/>
          <w:sz w:val="24"/>
          <w:szCs w:val="24"/>
        </w:rPr>
        <w:t>Užsakovas turi teisę vienašališkai nutraukti Sutartį, apie tai</w:t>
      </w:r>
      <w:r w:rsidR="00451D85" w:rsidRPr="00BD61F0">
        <w:rPr>
          <w:rFonts w:ascii="Times New Roman" w:hAnsi="Times New Roman"/>
          <w:sz w:val="24"/>
          <w:szCs w:val="24"/>
        </w:rPr>
        <w:t xml:space="preserve"> pranešęs Tei</w:t>
      </w:r>
      <w:r w:rsidR="007845CA" w:rsidRPr="00BD61F0">
        <w:rPr>
          <w:rFonts w:ascii="Times New Roman" w:hAnsi="Times New Roman"/>
          <w:sz w:val="24"/>
          <w:szCs w:val="24"/>
        </w:rPr>
        <w:t>kėjui raštu prieš 20 (dvidešimt) darbo dienų. Šiuo atveju Užsakovas privalo sumokėti Tie</w:t>
      </w:r>
      <w:r w:rsidR="00451D85" w:rsidRPr="00BD61F0">
        <w:rPr>
          <w:rFonts w:ascii="Times New Roman" w:hAnsi="Times New Roman"/>
          <w:sz w:val="24"/>
          <w:szCs w:val="24"/>
        </w:rPr>
        <w:t>kėjui kainos dalį, proporcingą pristatytoms prekėms</w:t>
      </w:r>
      <w:r w:rsidR="007845CA" w:rsidRPr="00BD61F0">
        <w:rPr>
          <w:rFonts w:ascii="Times New Roman" w:hAnsi="Times New Roman"/>
          <w:sz w:val="24"/>
          <w:szCs w:val="24"/>
        </w:rPr>
        <w:t xml:space="preserve">, ir atlyginti kitas protingas išlaidas, kurias Tiekėjas, norėdamas įvykdyti Sutartį, padarė iki pranešimo apie Sutarties nutraukimą gavimo iš Užsakovo momento. </w:t>
      </w:r>
    </w:p>
    <w:p w14:paraId="32EEF27C" w14:textId="150C6874" w:rsidR="007845CA" w:rsidRPr="00BD61F0" w:rsidRDefault="00BD61F0" w:rsidP="00BD61F0">
      <w:pPr>
        <w:tabs>
          <w:tab w:val="left" w:pos="1134"/>
          <w:tab w:val="left" w:pos="9630"/>
          <w:tab w:val="left" w:pos="9720"/>
        </w:tabs>
        <w:spacing w:after="0"/>
        <w:ind w:left="-142" w:right="8" w:firstLine="709"/>
        <w:jc w:val="both"/>
        <w:rPr>
          <w:rFonts w:ascii="Times New Roman" w:hAnsi="Times New Roman"/>
          <w:sz w:val="24"/>
          <w:szCs w:val="24"/>
        </w:rPr>
      </w:pPr>
      <w:r w:rsidRPr="00BD61F0">
        <w:rPr>
          <w:rFonts w:ascii="Times New Roman" w:hAnsi="Times New Roman"/>
          <w:sz w:val="24"/>
          <w:szCs w:val="24"/>
        </w:rPr>
        <w:t xml:space="preserve">6.4. </w:t>
      </w:r>
      <w:r w:rsidR="007845CA" w:rsidRPr="00BD61F0">
        <w:rPr>
          <w:rFonts w:ascii="Times New Roman" w:hAnsi="Times New Roman"/>
          <w:sz w:val="24"/>
          <w:szCs w:val="24"/>
        </w:rPr>
        <w:t>Sutartis bet kada gali būti nutraukta raštišku abiejų Šalių susitarimu, Viešųjų pirkimų įstatymo 90 straipsnyje nustatyta tvarka ir sąlygomis ir kitais teisės aktų numatytais atvejais.</w:t>
      </w:r>
    </w:p>
    <w:p w14:paraId="59C081F5" w14:textId="77777777" w:rsidR="00DE552D" w:rsidRPr="00BD61F0" w:rsidRDefault="00DE552D" w:rsidP="00BD61F0">
      <w:pPr>
        <w:autoSpaceDE w:val="0"/>
        <w:autoSpaceDN w:val="0"/>
        <w:adjustRightInd w:val="0"/>
        <w:spacing w:after="0"/>
        <w:jc w:val="both"/>
        <w:rPr>
          <w:rFonts w:ascii="Times New Roman" w:hAnsi="Times New Roman"/>
          <w:caps/>
          <w:color w:val="000000"/>
          <w:sz w:val="24"/>
          <w:szCs w:val="24"/>
        </w:rPr>
      </w:pPr>
    </w:p>
    <w:p w14:paraId="494685BF" w14:textId="77777777" w:rsidR="00DE552D" w:rsidRPr="00BD61F0" w:rsidRDefault="00DE552D" w:rsidP="00BD61F0">
      <w:pPr>
        <w:autoSpaceDE w:val="0"/>
        <w:autoSpaceDN w:val="0"/>
        <w:adjustRightInd w:val="0"/>
        <w:spacing w:after="0"/>
        <w:ind w:firstLine="567"/>
        <w:jc w:val="both"/>
        <w:rPr>
          <w:rFonts w:ascii="Times New Roman" w:hAnsi="Times New Roman"/>
          <w:caps/>
          <w:color w:val="000000"/>
          <w:sz w:val="24"/>
          <w:szCs w:val="24"/>
        </w:rPr>
      </w:pPr>
    </w:p>
    <w:p w14:paraId="3185BFE3" w14:textId="50574516" w:rsidR="00DE552D" w:rsidRPr="00BD61F0" w:rsidRDefault="00BD61F0" w:rsidP="00BD61F0">
      <w:pPr>
        <w:widowControl w:val="0"/>
        <w:autoSpaceDE w:val="0"/>
        <w:autoSpaceDN w:val="0"/>
        <w:adjustRightInd w:val="0"/>
        <w:spacing w:after="0"/>
        <w:ind w:left="284"/>
        <w:jc w:val="center"/>
        <w:rPr>
          <w:rFonts w:ascii="Times New Roman" w:hAnsi="Times New Roman"/>
          <w:b/>
          <w:caps/>
          <w:color w:val="000000"/>
          <w:sz w:val="24"/>
          <w:szCs w:val="24"/>
        </w:rPr>
      </w:pPr>
      <w:r w:rsidRPr="00BD61F0">
        <w:rPr>
          <w:rFonts w:ascii="Times New Roman" w:hAnsi="Times New Roman"/>
          <w:b/>
          <w:bCs/>
          <w:caps/>
          <w:color w:val="000000"/>
          <w:sz w:val="24"/>
          <w:szCs w:val="24"/>
        </w:rPr>
        <w:t xml:space="preserve">7.  </w:t>
      </w:r>
      <w:r w:rsidR="00D24B98" w:rsidRPr="00BD61F0">
        <w:rPr>
          <w:rFonts w:ascii="Times New Roman" w:hAnsi="Times New Roman"/>
          <w:b/>
          <w:bCs/>
          <w:caps/>
          <w:color w:val="000000"/>
          <w:sz w:val="24"/>
          <w:szCs w:val="24"/>
        </w:rPr>
        <w:t xml:space="preserve">KITOS SĄLYGOS </w:t>
      </w:r>
    </w:p>
    <w:p w14:paraId="731F3696" w14:textId="77777777" w:rsidR="00DE552D" w:rsidRPr="00BD61F0" w:rsidRDefault="00DE552D" w:rsidP="00BD61F0">
      <w:pPr>
        <w:autoSpaceDE w:val="0"/>
        <w:autoSpaceDN w:val="0"/>
        <w:adjustRightInd w:val="0"/>
        <w:spacing w:after="0"/>
        <w:ind w:firstLine="567"/>
        <w:rPr>
          <w:rFonts w:ascii="Times New Roman" w:hAnsi="Times New Roman"/>
          <w:caps/>
          <w:color w:val="000000"/>
          <w:sz w:val="24"/>
          <w:szCs w:val="24"/>
        </w:rPr>
      </w:pPr>
    </w:p>
    <w:p w14:paraId="2C2EE784" w14:textId="51606DAC" w:rsidR="009B018B" w:rsidRPr="00BD61F0" w:rsidRDefault="00BD61F0" w:rsidP="00BD61F0">
      <w:pPr>
        <w:widowControl w:val="0"/>
        <w:autoSpaceDE w:val="0"/>
        <w:autoSpaceDN w:val="0"/>
        <w:adjustRightInd w:val="0"/>
        <w:spacing w:after="0"/>
        <w:ind w:left="-142" w:firstLine="568"/>
        <w:jc w:val="both"/>
        <w:rPr>
          <w:rFonts w:ascii="Times New Roman" w:hAnsi="Times New Roman"/>
          <w:color w:val="000000"/>
          <w:sz w:val="24"/>
          <w:szCs w:val="24"/>
        </w:rPr>
      </w:pPr>
      <w:r w:rsidRPr="00BD61F0">
        <w:rPr>
          <w:rFonts w:ascii="Times New Roman" w:hAnsi="Times New Roman"/>
          <w:color w:val="000000"/>
          <w:sz w:val="24"/>
          <w:szCs w:val="24"/>
        </w:rPr>
        <w:t xml:space="preserve">7.1.  </w:t>
      </w:r>
      <w:r w:rsidR="009B018B" w:rsidRPr="00BD61F0">
        <w:rPr>
          <w:rFonts w:ascii="Times New Roman" w:hAnsi="Times New Roman"/>
          <w:color w:val="000000"/>
          <w:sz w:val="24"/>
          <w:szCs w:val="24"/>
        </w:rPr>
        <w:t>Sutarties sąlygos galiojimo laikotarpiu gali būti keičiamos, šioje Sutartyje ir Lietuvos Respublikos viešųjų pirkimų įstatymo 89 straipsnyje numatytais atvejais ir tvarka. S</w:t>
      </w:r>
      <w:r w:rsidR="008D0431" w:rsidRPr="00BD61F0">
        <w:rPr>
          <w:rFonts w:ascii="Times New Roman" w:hAnsi="Times New Roman"/>
          <w:color w:val="000000"/>
          <w:sz w:val="24"/>
          <w:szCs w:val="24"/>
        </w:rPr>
        <w:t>utarties galiojimo laikotarpiu Š</w:t>
      </w:r>
      <w:r w:rsidR="009B018B" w:rsidRPr="00BD61F0">
        <w:rPr>
          <w:rFonts w:ascii="Times New Roman" w:hAnsi="Times New Roman"/>
          <w:color w:val="000000"/>
          <w:sz w:val="24"/>
          <w:szCs w:val="24"/>
        </w:rPr>
        <w:t>alis, inicijuojanti Sutarties są</w:t>
      </w:r>
      <w:r w:rsidR="008D0431" w:rsidRPr="00BD61F0">
        <w:rPr>
          <w:rFonts w:ascii="Times New Roman" w:hAnsi="Times New Roman"/>
          <w:color w:val="000000"/>
          <w:sz w:val="24"/>
          <w:szCs w:val="24"/>
        </w:rPr>
        <w:t>lygų pakeitimą, pateikia kitai Š</w:t>
      </w:r>
      <w:r w:rsidR="009B018B" w:rsidRPr="00BD61F0">
        <w:rPr>
          <w:rFonts w:ascii="Times New Roman" w:hAnsi="Times New Roman"/>
          <w:color w:val="000000"/>
          <w:sz w:val="24"/>
          <w:szCs w:val="24"/>
        </w:rPr>
        <w:t>aliai raštišką prašymą keisti Sutarties sąlygas bei dokumentų, pagrindžiančių prašyme nurodytas aplinkybes, argumentus ir paaiškinimus, kopijas. Į pateiktą prašymą pakeisti at</w:t>
      </w:r>
      <w:r w:rsidR="008D0431" w:rsidRPr="00BD61F0">
        <w:rPr>
          <w:rFonts w:ascii="Times New Roman" w:hAnsi="Times New Roman"/>
          <w:color w:val="000000"/>
          <w:sz w:val="24"/>
          <w:szCs w:val="24"/>
        </w:rPr>
        <w:t>itinkamą Sutarties sąlygą kita Š</w:t>
      </w:r>
      <w:r w:rsidR="009B018B" w:rsidRPr="00BD61F0">
        <w:rPr>
          <w:rFonts w:ascii="Times New Roman" w:hAnsi="Times New Roman"/>
          <w:color w:val="000000"/>
          <w:sz w:val="24"/>
          <w:szCs w:val="24"/>
        </w:rPr>
        <w:t>alis motyvuotai atsako ne vėliau kaip per 10 (dešimt) darbo dienų. Visi Sutarties pakeitimai galioja tik tada, kai ji</w:t>
      </w:r>
      <w:r w:rsidR="008D0431" w:rsidRPr="00BD61F0">
        <w:rPr>
          <w:rFonts w:ascii="Times New Roman" w:hAnsi="Times New Roman"/>
          <w:color w:val="000000"/>
          <w:sz w:val="24"/>
          <w:szCs w:val="24"/>
        </w:rPr>
        <w:t>e sudaryti raštu ir pasirašyti Š</w:t>
      </w:r>
      <w:r w:rsidR="009B018B" w:rsidRPr="00BD61F0">
        <w:rPr>
          <w:rFonts w:ascii="Times New Roman" w:hAnsi="Times New Roman"/>
          <w:color w:val="000000"/>
          <w:sz w:val="24"/>
          <w:szCs w:val="24"/>
        </w:rPr>
        <w:t xml:space="preserve">alių įgaliotų atstovų. </w:t>
      </w:r>
    </w:p>
    <w:p w14:paraId="57F094F2" w14:textId="1EB09890" w:rsidR="00451D85" w:rsidRPr="00BD61F0" w:rsidRDefault="00BD61F0" w:rsidP="00BD61F0">
      <w:pPr>
        <w:tabs>
          <w:tab w:val="left" w:pos="1134"/>
          <w:tab w:val="left" w:pos="9630"/>
          <w:tab w:val="left" w:pos="9720"/>
        </w:tabs>
        <w:spacing w:after="0"/>
        <w:ind w:left="-142" w:right="8" w:firstLine="568"/>
        <w:jc w:val="both"/>
        <w:rPr>
          <w:rFonts w:ascii="Times New Roman" w:hAnsi="Times New Roman"/>
          <w:sz w:val="24"/>
          <w:szCs w:val="24"/>
        </w:rPr>
      </w:pPr>
      <w:r w:rsidRPr="00BD61F0">
        <w:rPr>
          <w:rFonts w:ascii="Times New Roman" w:hAnsi="Times New Roman"/>
          <w:sz w:val="24"/>
          <w:szCs w:val="24"/>
        </w:rPr>
        <w:t xml:space="preserve">7.2.  </w:t>
      </w:r>
      <w:r w:rsidR="00451D85" w:rsidRPr="00BD61F0">
        <w:rPr>
          <w:rFonts w:ascii="Times New Roman" w:hAnsi="Times New Roman"/>
          <w:sz w:val="24"/>
          <w:szCs w:val="24"/>
        </w:rPr>
        <w:t>Šalių tarpusavio santykiai, neaptarti Sutartyje, reguliuojami Lietuvos Respublikos civilinio kodekso ir kitų teisės aktų nustatyta tvarka.</w:t>
      </w:r>
    </w:p>
    <w:p w14:paraId="438EEFB1" w14:textId="77D9A074" w:rsidR="00451D85" w:rsidRPr="00BD61F0" w:rsidRDefault="00BD61F0" w:rsidP="00BD61F0">
      <w:pPr>
        <w:tabs>
          <w:tab w:val="left" w:pos="1134"/>
          <w:tab w:val="left" w:pos="9630"/>
          <w:tab w:val="left" w:pos="9720"/>
        </w:tabs>
        <w:spacing w:after="0"/>
        <w:ind w:left="-142" w:right="8" w:firstLine="426"/>
        <w:jc w:val="both"/>
        <w:rPr>
          <w:rFonts w:ascii="Times New Roman" w:hAnsi="Times New Roman"/>
          <w:sz w:val="24"/>
          <w:szCs w:val="24"/>
        </w:rPr>
      </w:pPr>
      <w:r w:rsidRPr="00BD61F0">
        <w:rPr>
          <w:rFonts w:ascii="Times New Roman" w:hAnsi="Times New Roman"/>
          <w:sz w:val="24"/>
          <w:szCs w:val="24"/>
        </w:rPr>
        <w:t xml:space="preserve">7.3. </w:t>
      </w:r>
      <w:r w:rsidR="00451D85" w:rsidRPr="00BD61F0">
        <w:rPr>
          <w:rFonts w:ascii="Times New Roman" w:hAnsi="Times New Roman"/>
          <w:sz w:val="24"/>
          <w:szCs w:val="24"/>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5D8E22BB" w14:textId="72ED81AA" w:rsidR="00451D85" w:rsidRPr="00BD61F0" w:rsidRDefault="00BD61F0" w:rsidP="00BD61F0">
      <w:pPr>
        <w:tabs>
          <w:tab w:val="left" w:pos="1134"/>
          <w:tab w:val="left" w:pos="9630"/>
          <w:tab w:val="left" w:pos="9720"/>
        </w:tabs>
        <w:spacing w:after="0"/>
        <w:ind w:left="-142" w:right="8" w:firstLine="426"/>
        <w:jc w:val="both"/>
        <w:rPr>
          <w:rFonts w:ascii="Times New Roman" w:hAnsi="Times New Roman"/>
          <w:sz w:val="24"/>
          <w:szCs w:val="24"/>
        </w:rPr>
      </w:pPr>
      <w:r w:rsidRPr="00BD61F0">
        <w:rPr>
          <w:rFonts w:ascii="Times New Roman" w:hAnsi="Times New Roman"/>
          <w:sz w:val="24"/>
          <w:szCs w:val="24"/>
        </w:rPr>
        <w:t xml:space="preserve">7.4. </w:t>
      </w:r>
      <w:r w:rsidR="00451D85" w:rsidRPr="00BD61F0">
        <w:rPr>
          <w:rFonts w:ascii="Times New Roman" w:hAnsi="Times New Roman"/>
          <w:sz w:val="24"/>
          <w:szCs w:val="24"/>
        </w:rPr>
        <w:t>Sutarčiai aiškinti bei ginčams spręsti taikoma Lietuvos Respublikos teisė.</w:t>
      </w:r>
    </w:p>
    <w:p w14:paraId="30D73A13" w14:textId="1C945CF5" w:rsidR="00451D85" w:rsidRPr="00BD61F0" w:rsidRDefault="00BD61F0" w:rsidP="00BD61F0">
      <w:pPr>
        <w:tabs>
          <w:tab w:val="left" w:pos="1134"/>
          <w:tab w:val="left" w:pos="9630"/>
          <w:tab w:val="left" w:pos="9720"/>
        </w:tabs>
        <w:spacing w:after="0"/>
        <w:ind w:left="-142" w:right="8" w:firstLine="426"/>
        <w:jc w:val="both"/>
        <w:rPr>
          <w:rFonts w:ascii="Times New Roman" w:hAnsi="Times New Roman"/>
          <w:sz w:val="24"/>
          <w:szCs w:val="24"/>
        </w:rPr>
      </w:pPr>
      <w:r w:rsidRPr="00BD61F0">
        <w:rPr>
          <w:rFonts w:ascii="Times New Roman" w:hAnsi="Times New Roman"/>
          <w:sz w:val="24"/>
          <w:szCs w:val="24"/>
        </w:rPr>
        <w:t xml:space="preserve">7.5. </w:t>
      </w:r>
      <w:r w:rsidR="00451D85" w:rsidRPr="00BD61F0">
        <w:rPr>
          <w:rFonts w:ascii="Times New Roman" w:hAnsi="Times New Roman"/>
          <w:sz w:val="24"/>
          <w:szCs w:val="24"/>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BDBB215" w14:textId="5CE7FA25" w:rsidR="00451D85" w:rsidRPr="00BD28F3" w:rsidRDefault="00BD61F0" w:rsidP="00BD28F3">
      <w:pPr>
        <w:shd w:val="clear" w:color="auto" w:fill="FFFFFF"/>
        <w:tabs>
          <w:tab w:val="left" w:pos="0"/>
          <w:tab w:val="left" w:pos="1080"/>
        </w:tabs>
        <w:ind w:firstLine="567"/>
        <w:jc w:val="both"/>
        <w:rPr>
          <w:rFonts w:ascii="Times New Roman" w:eastAsia="Times New Roman" w:hAnsi="Times New Roman"/>
          <w:bCs/>
          <w:sz w:val="24"/>
          <w:szCs w:val="24"/>
        </w:rPr>
      </w:pPr>
      <w:r w:rsidRPr="00305598">
        <w:rPr>
          <w:rFonts w:ascii="Times New Roman" w:hAnsi="Times New Roman"/>
          <w:sz w:val="24"/>
          <w:szCs w:val="24"/>
        </w:rPr>
        <w:lastRenderedPageBreak/>
        <w:t xml:space="preserve">7.6. </w:t>
      </w:r>
      <w:r w:rsidR="00451D85" w:rsidRPr="00305598">
        <w:rPr>
          <w:rFonts w:ascii="Times New Roman" w:hAnsi="Times New Roman"/>
          <w:sz w:val="24"/>
          <w:szCs w:val="24"/>
        </w:rPr>
        <w:t xml:space="preserve">Užsakovo vadovo įsakymu (potvarkiu) paskirtas asmuo, atsakingas už Sutarties vykdymą yra </w:t>
      </w:r>
      <w:r w:rsidR="00F91BAB" w:rsidRPr="00F91BAB">
        <w:rPr>
          <w:rFonts w:ascii="Times New Roman" w:hAnsi="Times New Roman"/>
          <w:sz w:val="24"/>
          <w:szCs w:val="24"/>
        </w:rPr>
        <w:t xml:space="preserve">Asmens dokumentų išrašymo centro prie Lietuvos Respublikos vidaus reikalų ministerijos Priežiūros skyriaus vedėja Lina </w:t>
      </w:r>
      <w:proofErr w:type="spellStart"/>
      <w:r w:rsidR="00F91BAB" w:rsidRPr="00F91BAB">
        <w:rPr>
          <w:rFonts w:ascii="Times New Roman" w:hAnsi="Times New Roman"/>
          <w:sz w:val="24"/>
          <w:szCs w:val="24"/>
        </w:rPr>
        <w:t>Bilevičienė</w:t>
      </w:r>
      <w:proofErr w:type="spellEnd"/>
      <w:r w:rsidR="00F91BAB" w:rsidRPr="00F91BAB">
        <w:rPr>
          <w:rFonts w:ascii="Times New Roman" w:hAnsi="Times New Roman"/>
          <w:sz w:val="24"/>
          <w:szCs w:val="24"/>
        </w:rPr>
        <w:t xml:space="preserve"> </w:t>
      </w:r>
      <w:proofErr w:type="spellStart"/>
      <w:r w:rsidR="00F91BAB" w:rsidRPr="00F91BAB">
        <w:rPr>
          <w:rFonts w:ascii="Times New Roman" w:hAnsi="Times New Roman"/>
          <w:sz w:val="24"/>
          <w:szCs w:val="24"/>
        </w:rPr>
        <w:t>Sarinienė</w:t>
      </w:r>
      <w:proofErr w:type="spellEnd"/>
      <w:r w:rsidR="00F91BAB" w:rsidRPr="00F91BAB">
        <w:rPr>
          <w:rFonts w:ascii="Times New Roman" w:hAnsi="Times New Roman"/>
          <w:sz w:val="24"/>
          <w:szCs w:val="24"/>
        </w:rPr>
        <w:t xml:space="preserve">, (el. paštas: </w:t>
      </w:r>
      <w:proofErr w:type="spellStart"/>
      <w:r w:rsidR="00F91BAB" w:rsidRPr="00F91BAB">
        <w:rPr>
          <w:rFonts w:ascii="Times New Roman" w:hAnsi="Times New Roman"/>
          <w:sz w:val="24"/>
          <w:szCs w:val="24"/>
        </w:rPr>
        <w:t>lina.bileviciene@vrm.lt</w:t>
      </w:r>
      <w:proofErr w:type="spellEnd"/>
      <w:r w:rsidR="00F91BAB" w:rsidRPr="00F91BAB">
        <w:rPr>
          <w:rFonts w:ascii="Times New Roman" w:hAnsi="Times New Roman"/>
          <w:sz w:val="24"/>
          <w:szCs w:val="24"/>
        </w:rPr>
        <w:t>, tel. 85</w:t>
      </w:r>
      <w:r w:rsidR="00F91BAB" w:rsidRPr="00F91BAB">
        <w:rPr>
          <w:rFonts w:ascii="Times New Roman" w:hAnsi="Times New Roman"/>
          <w:sz w:val="24"/>
          <w:szCs w:val="24"/>
          <w:lang w:val="en-GB"/>
        </w:rPr>
        <w:t>2718024</w:t>
      </w:r>
      <w:r w:rsidR="00F91BAB" w:rsidRPr="00F91BAB">
        <w:rPr>
          <w:rFonts w:ascii="Times New Roman" w:hAnsi="Times New Roman"/>
          <w:sz w:val="24"/>
          <w:szCs w:val="24"/>
        </w:rPr>
        <w:t>)</w:t>
      </w:r>
      <w:r w:rsidR="00F91BAB">
        <w:rPr>
          <w:rFonts w:ascii="Times New Roman" w:hAnsi="Times New Roman"/>
          <w:sz w:val="24"/>
          <w:szCs w:val="24"/>
        </w:rPr>
        <w:t xml:space="preserve"> </w:t>
      </w:r>
      <w:r w:rsidR="00305598" w:rsidRPr="00305598">
        <w:rPr>
          <w:rFonts w:ascii="Times New Roman" w:hAnsi="Times New Roman"/>
          <w:sz w:val="24"/>
          <w:szCs w:val="24"/>
        </w:rPr>
        <w:t xml:space="preserve"> ir Turto valdymo ir ūkio departamento prie Lietuvos Respublikos vidaus reikalų ministerijos Aprūpinimo skyriaus viešojo administravimo specialistė Diana </w:t>
      </w:r>
      <w:proofErr w:type="spellStart"/>
      <w:r w:rsidR="00305598" w:rsidRPr="00305598">
        <w:rPr>
          <w:rFonts w:ascii="Times New Roman" w:hAnsi="Times New Roman"/>
          <w:sz w:val="24"/>
          <w:szCs w:val="24"/>
        </w:rPr>
        <w:t>Striškienė</w:t>
      </w:r>
      <w:proofErr w:type="spellEnd"/>
      <w:r w:rsidR="00305598" w:rsidRPr="00305598">
        <w:rPr>
          <w:rFonts w:ascii="Times New Roman" w:hAnsi="Times New Roman"/>
          <w:sz w:val="24"/>
          <w:szCs w:val="24"/>
          <w:lang w:val="en-GB"/>
        </w:rPr>
        <w:t xml:space="preserve"> </w:t>
      </w:r>
      <w:r w:rsidR="00305598" w:rsidRPr="00305598">
        <w:rPr>
          <w:rFonts w:ascii="Times New Roman" w:hAnsi="Times New Roman"/>
          <w:sz w:val="24"/>
          <w:szCs w:val="24"/>
        </w:rPr>
        <w:t xml:space="preserve">(el. paštas </w:t>
      </w:r>
      <w:proofErr w:type="spellStart"/>
      <w:r w:rsidR="00305598" w:rsidRPr="00305598">
        <w:rPr>
          <w:rFonts w:ascii="Times New Roman" w:hAnsi="Times New Roman"/>
          <w:sz w:val="24"/>
          <w:szCs w:val="24"/>
        </w:rPr>
        <w:t>diana.striskiene@vrm.lt</w:t>
      </w:r>
      <w:proofErr w:type="spellEnd"/>
      <w:r w:rsidR="00305598" w:rsidRPr="00305598">
        <w:rPr>
          <w:rFonts w:ascii="Times New Roman" w:hAnsi="Times New Roman"/>
          <w:sz w:val="24"/>
          <w:szCs w:val="24"/>
        </w:rPr>
        <w:t>, tel. (8 5) 271 7183).</w:t>
      </w:r>
      <w:r w:rsidR="00BD28F3">
        <w:rPr>
          <w:rFonts w:ascii="Times New Roman" w:hAnsi="Times New Roman"/>
          <w:sz w:val="24"/>
          <w:szCs w:val="24"/>
        </w:rPr>
        <w:t xml:space="preserve"> </w:t>
      </w:r>
      <w:r w:rsidR="00BD28F3" w:rsidRPr="00BD28F3">
        <w:rPr>
          <w:rFonts w:ascii="Times New Roman" w:eastAsia="Times New Roman" w:hAnsi="Times New Roman"/>
          <w:sz w:val="24"/>
          <w:szCs w:val="24"/>
        </w:rPr>
        <w:t xml:space="preserve">Asmuo, atsakingas už Sutarties ir jos pakeitimų paskelbimą Centrinėje viešųjų pirkimų informacinėje sistemoje yra Karolis </w:t>
      </w:r>
      <w:proofErr w:type="spellStart"/>
      <w:r w:rsidR="00BD28F3" w:rsidRPr="00BD28F3">
        <w:rPr>
          <w:rFonts w:ascii="Times New Roman" w:eastAsia="Times New Roman" w:hAnsi="Times New Roman"/>
          <w:sz w:val="24"/>
          <w:szCs w:val="24"/>
        </w:rPr>
        <w:t>Klusevičius</w:t>
      </w:r>
      <w:proofErr w:type="spellEnd"/>
      <w:r w:rsidR="00BD28F3" w:rsidRPr="00BD28F3">
        <w:rPr>
          <w:rFonts w:ascii="Times New Roman" w:eastAsia="Times New Roman" w:hAnsi="Times New Roman"/>
          <w:sz w:val="24"/>
          <w:szCs w:val="24"/>
        </w:rPr>
        <w:t xml:space="preserve">, Turto valdymo ir ūkio departamento prie Lietuvos Respublikos vidaus reikalų ministerijos Viešųjų pirkimų skyriaus vedėjas (el. paštas </w:t>
      </w:r>
      <w:proofErr w:type="spellStart"/>
      <w:r w:rsidR="00BD28F3" w:rsidRPr="00BD28F3">
        <w:rPr>
          <w:rFonts w:ascii="Times New Roman" w:eastAsia="Times New Roman" w:hAnsi="Times New Roman"/>
          <w:sz w:val="24"/>
          <w:szCs w:val="24"/>
        </w:rPr>
        <w:t>karolis.klusevicius@vrm.lt</w:t>
      </w:r>
      <w:proofErr w:type="spellEnd"/>
      <w:r w:rsidR="00BD28F3" w:rsidRPr="00BD28F3">
        <w:rPr>
          <w:rFonts w:ascii="Times New Roman" w:eastAsia="Times New Roman" w:hAnsi="Times New Roman"/>
          <w:sz w:val="24"/>
          <w:szCs w:val="24"/>
        </w:rPr>
        <w:t>, tel. (8 5) 271 7242) arba jo paskirtas asmuo.</w:t>
      </w:r>
    </w:p>
    <w:p w14:paraId="464BBEE6" w14:textId="7DC95700" w:rsidR="00451D85" w:rsidRPr="00BD61F0" w:rsidRDefault="00BD61F0" w:rsidP="00BD61F0">
      <w:pPr>
        <w:tabs>
          <w:tab w:val="left" w:pos="1134"/>
          <w:tab w:val="left" w:pos="9630"/>
          <w:tab w:val="left" w:pos="9720"/>
        </w:tabs>
        <w:spacing w:after="0"/>
        <w:ind w:left="-142" w:right="8" w:firstLine="426"/>
        <w:jc w:val="both"/>
        <w:rPr>
          <w:rFonts w:ascii="Times New Roman" w:hAnsi="Times New Roman"/>
          <w:sz w:val="24"/>
          <w:szCs w:val="24"/>
        </w:rPr>
      </w:pPr>
      <w:r w:rsidRPr="00BD61F0">
        <w:rPr>
          <w:rFonts w:ascii="Times New Roman" w:hAnsi="Times New Roman"/>
          <w:sz w:val="24"/>
          <w:szCs w:val="24"/>
        </w:rPr>
        <w:t xml:space="preserve">7.7. </w:t>
      </w:r>
      <w:r w:rsidR="00451D85" w:rsidRPr="00BD61F0">
        <w:rPr>
          <w:rFonts w:ascii="Times New Roman" w:hAnsi="Times New Roman"/>
          <w:sz w:val="24"/>
          <w:szCs w:val="24"/>
        </w:rPr>
        <w:t>Sutartis sudaryta 2 (dviem) egzemplioriais, turinčiais vienodą teisinę galią, po vieną kiekvienai Šaliai.</w:t>
      </w:r>
    </w:p>
    <w:p w14:paraId="5E8C80D2" w14:textId="5EB85921" w:rsidR="00451D85" w:rsidRPr="00BD61F0" w:rsidRDefault="00BD61F0" w:rsidP="00BD28F3">
      <w:pPr>
        <w:tabs>
          <w:tab w:val="left" w:pos="1134"/>
          <w:tab w:val="left" w:pos="9630"/>
          <w:tab w:val="left" w:pos="9720"/>
        </w:tabs>
        <w:spacing w:after="0"/>
        <w:ind w:left="-142" w:right="8" w:firstLine="426"/>
        <w:jc w:val="both"/>
        <w:rPr>
          <w:rFonts w:ascii="Times New Roman" w:hAnsi="Times New Roman"/>
          <w:sz w:val="24"/>
          <w:szCs w:val="24"/>
        </w:rPr>
      </w:pPr>
      <w:r w:rsidRPr="00BD61F0">
        <w:rPr>
          <w:rFonts w:ascii="Times New Roman" w:hAnsi="Times New Roman"/>
          <w:sz w:val="24"/>
          <w:szCs w:val="24"/>
        </w:rPr>
        <w:t xml:space="preserve">7.8.  </w:t>
      </w:r>
      <w:r w:rsidR="00BD28F3">
        <w:rPr>
          <w:rFonts w:ascii="Times New Roman" w:hAnsi="Times New Roman"/>
          <w:sz w:val="24"/>
          <w:szCs w:val="24"/>
        </w:rPr>
        <w:t>Neatskiriamas  Sutarties priedas</w:t>
      </w:r>
      <w:r w:rsidR="00451D85" w:rsidRPr="00BD61F0">
        <w:rPr>
          <w:rFonts w:ascii="Times New Roman" w:hAnsi="Times New Roman"/>
          <w:sz w:val="24"/>
          <w:szCs w:val="24"/>
        </w:rPr>
        <w:t>– Techninė specifikacija</w:t>
      </w:r>
      <w:r w:rsidR="00BD28F3">
        <w:rPr>
          <w:rFonts w:ascii="Times New Roman" w:hAnsi="Times New Roman"/>
          <w:sz w:val="24"/>
          <w:szCs w:val="24"/>
        </w:rPr>
        <w:t xml:space="preserve"> 17 lapų.</w:t>
      </w:r>
    </w:p>
    <w:p w14:paraId="65299F94" w14:textId="77777777" w:rsidR="00451D85" w:rsidRDefault="00451D85" w:rsidP="00451D85">
      <w:pPr>
        <w:widowControl w:val="0"/>
        <w:autoSpaceDE w:val="0"/>
        <w:autoSpaceDN w:val="0"/>
        <w:adjustRightInd w:val="0"/>
        <w:spacing w:after="0" w:line="240" w:lineRule="auto"/>
        <w:ind w:left="567"/>
        <w:jc w:val="both"/>
        <w:rPr>
          <w:rFonts w:ascii="Times New Roman" w:hAnsi="Times New Roman"/>
          <w:color w:val="000000"/>
          <w:sz w:val="24"/>
          <w:szCs w:val="24"/>
        </w:rPr>
      </w:pPr>
    </w:p>
    <w:p w14:paraId="709CABED" w14:textId="77777777" w:rsidR="00DE552D" w:rsidRPr="002930A1" w:rsidRDefault="00DE552D" w:rsidP="00DE552D">
      <w:pPr>
        <w:tabs>
          <w:tab w:val="left" w:pos="567"/>
          <w:tab w:val="center" w:pos="4320"/>
          <w:tab w:val="right" w:pos="8640"/>
        </w:tabs>
        <w:spacing w:after="0" w:line="240" w:lineRule="auto"/>
        <w:ind w:firstLine="567"/>
        <w:jc w:val="both"/>
        <w:rPr>
          <w:rFonts w:ascii="Times New Roman" w:eastAsia="Times New Roman" w:hAnsi="Times New Roman"/>
          <w:sz w:val="24"/>
          <w:szCs w:val="24"/>
          <w:lang w:eastAsia="lt-LT"/>
        </w:rPr>
      </w:pPr>
    </w:p>
    <w:p w14:paraId="457C919E" w14:textId="1CAE8E1A" w:rsidR="00857FCA" w:rsidRPr="002930A1" w:rsidRDefault="00BD61F0" w:rsidP="00857FCA">
      <w:pPr>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8</w:t>
      </w:r>
      <w:r w:rsidR="00857FCA" w:rsidRPr="002930A1">
        <w:rPr>
          <w:rFonts w:ascii="Times New Roman" w:hAnsi="Times New Roman"/>
          <w:b/>
          <w:sz w:val="24"/>
          <w:szCs w:val="24"/>
        </w:rPr>
        <w:t>.       ŠALIŲ REKVIZITAI</w:t>
      </w:r>
    </w:p>
    <w:p w14:paraId="56EB313D" w14:textId="77777777" w:rsidR="00857FCA" w:rsidRPr="002930A1" w:rsidRDefault="00857FCA" w:rsidP="00857FCA">
      <w:pPr>
        <w:spacing w:after="0" w:line="240" w:lineRule="auto"/>
        <w:ind w:firstLine="567"/>
        <w:contextualSpacing/>
        <w:jc w:val="center"/>
        <w:rPr>
          <w:rFonts w:ascii="Times New Roman" w:hAnsi="Times New Roman"/>
          <w:b/>
          <w:sz w:val="24"/>
          <w:szCs w:val="24"/>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D28F3" w:rsidRPr="00BD28F3" w14:paraId="47454C77" w14:textId="77777777" w:rsidTr="00354F3A">
        <w:trPr>
          <w:trHeight w:val="4703"/>
        </w:trPr>
        <w:tc>
          <w:tcPr>
            <w:tcW w:w="5148" w:type="dxa"/>
            <w:shd w:val="clear" w:color="auto" w:fill="auto"/>
          </w:tcPr>
          <w:p w14:paraId="6ABE81D2" w14:textId="5837D968" w:rsidR="00BD28F3" w:rsidRDefault="00BD28F3" w:rsidP="00BD28F3">
            <w:pPr>
              <w:spacing w:after="0"/>
              <w:rPr>
                <w:rFonts w:ascii="Times New Roman" w:eastAsia="Times New Roman" w:hAnsi="Times New Roman"/>
                <w:b/>
                <w:sz w:val="24"/>
                <w:szCs w:val="24"/>
              </w:rPr>
            </w:pPr>
            <w:r>
              <w:rPr>
                <w:rFonts w:ascii="Times New Roman" w:eastAsia="Times New Roman" w:hAnsi="Times New Roman"/>
                <w:b/>
                <w:sz w:val="24"/>
                <w:szCs w:val="24"/>
              </w:rPr>
              <w:t>UŽSAKOVAS</w:t>
            </w:r>
          </w:p>
          <w:p w14:paraId="1D43CF70" w14:textId="77777777" w:rsidR="00A4381C" w:rsidRPr="00BD28F3" w:rsidRDefault="00A4381C" w:rsidP="00BD28F3">
            <w:pPr>
              <w:spacing w:after="0"/>
              <w:rPr>
                <w:rFonts w:ascii="Times New Roman" w:eastAsia="Times New Roman" w:hAnsi="Times New Roman"/>
                <w:b/>
                <w:sz w:val="24"/>
                <w:szCs w:val="24"/>
              </w:rPr>
            </w:pPr>
          </w:p>
          <w:p w14:paraId="29873679" w14:textId="77777777" w:rsidR="00BD28F3" w:rsidRPr="00BD28F3" w:rsidRDefault="00BD28F3" w:rsidP="00BD28F3">
            <w:pPr>
              <w:spacing w:after="0"/>
              <w:ind w:right="175"/>
              <w:rPr>
                <w:rFonts w:ascii="Times New Roman" w:eastAsia="Times New Roman" w:hAnsi="Times New Roman"/>
                <w:b/>
                <w:bCs/>
                <w:sz w:val="24"/>
                <w:szCs w:val="24"/>
              </w:rPr>
            </w:pPr>
            <w:r w:rsidRPr="00BD28F3">
              <w:rPr>
                <w:rFonts w:ascii="Times New Roman" w:eastAsia="Times New Roman" w:hAnsi="Times New Roman"/>
                <w:b/>
                <w:bCs/>
                <w:sz w:val="24"/>
                <w:szCs w:val="24"/>
              </w:rPr>
              <w:t xml:space="preserve">Turto valdymo ir ūkio departamentas </w:t>
            </w:r>
          </w:p>
          <w:p w14:paraId="434189FC" w14:textId="77777777" w:rsidR="00BD28F3" w:rsidRPr="00BD28F3" w:rsidRDefault="00BD28F3" w:rsidP="00BD28F3">
            <w:pPr>
              <w:spacing w:after="0"/>
              <w:ind w:right="175"/>
              <w:rPr>
                <w:rFonts w:ascii="Times New Roman" w:eastAsia="Times New Roman" w:hAnsi="Times New Roman"/>
                <w:b/>
                <w:bCs/>
                <w:sz w:val="24"/>
                <w:szCs w:val="24"/>
              </w:rPr>
            </w:pPr>
            <w:r w:rsidRPr="00BD28F3">
              <w:rPr>
                <w:rFonts w:ascii="Times New Roman" w:eastAsia="Times New Roman" w:hAnsi="Times New Roman"/>
                <w:b/>
                <w:bCs/>
                <w:sz w:val="24"/>
                <w:szCs w:val="24"/>
              </w:rPr>
              <w:t xml:space="preserve">prie Lietuvos Respublikos vidaus </w:t>
            </w:r>
          </w:p>
          <w:p w14:paraId="44577412" w14:textId="77777777" w:rsidR="00BD28F3" w:rsidRPr="00BD28F3" w:rsidRDefault="00BD28F3" w:rsidP="00BD28F3">
            <w:pPr>
              <w:spacing w:after="0"/>
              <w:ind w:right="175"/>
              <w:rPr>
                <w:rFonts w:ascii="Times New Roman" w:eastAsia="Times New Roman" w:hAnsi="Times New Roman"/>
                <w:b/>
                <w:bCs/>
                <w:sz w:val="24"/>
                <w:szCs w:val="24"/>
              </w:rPr>
            </w:pPr>
            <w:r w:rsidRPr="00BD28F3">
              <w:rPr>
                <w:rFonts w:ascii="Times New Roman" w:eastAsia="Times New Roman" w:hAnsi="Times New Roman"/>
                <w:b/>
                <w:bCs/>
                <w:sz w:val="24"/>
                <w:szCs w:val="24"/>
              </w:rPr>
              <w:t>reikalų ministerijos</w:t>
            </w:r>
          </w:p>
          <w:p w14:paraId="6A0CA31D" w14:textId="77777777" w:rsidR="00BD28F3" w:rsidRPr="00BD28F3" w:rsidRDefault="00BD28F3" w:rsidP="00BD28F3">
            <w:pPr>
              <w:spacing w:after="0"/>
              <w:ind w:right="175"/>
              <w:rPr>
                <w:rFonts w:ascii="Times New Roman" w:eastAsia="Times New Roman" w:hAnsi="Times New Roman"/>
                <w:b/>
                <w:sz w:val="24"/>
                <w:szCs w:val="24"/>
              </w:rPr>
            </w:pPr>
          </w:p>
          <w:p w14:paraId="01DA81CE"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 xml:space="preserve">Duomenys kaupiami ir saugomi Juridinių </w:t>
            </w:r>
          </w:p>
          <w:p w14:paraId="36B26F63"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asmenų registre, kodas 188729923</w:t>
            </w:r>
          </w:p>
          <w:p w14:paraId="7668019B"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 xml:space="preserve">PVM mokėtojo kodas LT887299219 </w:t>
            </w:r>
          </w:p>
          <w:p w14:paraId="0F128395"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 xml:space="preserve">Šventaragio g. 2, </w:t>
            </w:r>
            <w:r w:rsidRPr="00BD28F3">
              <w:rPr>
                <w:rFonts w:ascii="Times New Roman" w:eastAsia="Times New Roman" w:hAnsi="Times New Roman"/>
                <w:sz w:val="24"/>
                <w:szCs w:val="24"/>
                <w:lang w:val="en-GB"/>
              </w:rPr>
              <w:t xml:space="preserve">01510 </w:t>
            </w:r>
            <w:r w:rsidRPr="00BD28F3">
              <w:rPr>
                <w:rFonts w:ascii="Times New Roman" w:eastAsia="Times New Roman" w:hAnsi="Times New Roman"/>
                <w:sz w:val="24"/>
                <w:szCs w:val="24"/>
              </w:rPr>
              <w:t xml:space="preserve">Vilnius                            </w:t>
            </w:r>
          </w:p>
          <w:p w14:paraId="544EB0BD"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Tel. (8 5) 271 7262</w:t>
            </w:r>
          </w:p>
          <w:p w14:paraId="69DF12AE"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Faks. (8 5) 271 8628</w:t>
            </w:r>
          </w:p>
          <w:p w14:paraId="2DDC9D1D"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El. paštas: tvud@vrm.lt</w:t>
            </w:r>
          </w:p>
          <w:p w14:paraId="03843DB3"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 xml:space="preserve">A. s. </w:t>
            </w:r>
            <w:r w:rsidRPr="00BD28F3">
              <w:rPr>
                <w:rFonts w:ascii="Times New Roman" w:eastAsia="Times New Roman" w:hAnsi="Times New Roman"/>
                <w:bCs/>
                <w:sz w:val="24"/>
                <w:szCs w:val="24"/>
                <w:lang w:val="en-GB"/>
              </w:rPr>
              <w:t>LT21 4010 0510 0485 0600</w:t>
            </w:r>
          </w:p>
          <w:p w14:paraId="033FBF8B" w14:textId="77777777" w:rsidR="00BD28F3" w:rsidRPr="00BD28F3" w:rsidRDefault="00BD28F3" w:rsidP="00BD28F3">
            <w:pPr>
              <w:spacing w:after="0"/>
              <w:ind w:right="175"/>
              <w:rPr>
                <w:rFonts w:ascii="Times New Roman" w:eastAsia="Times New Roman" w:hAnsi="Times New Roman"/>
                <w:sz w:val="24"/>
                <w:szCs w:val="24"/>
                <w:lang w:val="en-GB"/>
              </w:rPr>
            </w:pPr>
            <w:proofErr w:type="spellStart"/>
            <w:r w:rsidRPr="00BD28F3">
              <w:rPr>
                <w:rFonts w:ascii="Times New Roman" w:eastAsia="Times New Roman" w:hAnsi="Times New Roman"/>
                <w:sz w:val="24"/>
                <w:szCs w:val="24"/>
                <w:lang w:val="en-GB"/>
              </w:rPr>
              <w:t>Luminor</w:t>
            </w:r>
            <w:proofErr w:type="spellEnd"/>
            <w:r w:rsidRPr="00BD28F3">
              <w:rPr>
                <w:rFonts w:ascii="Times New Roman" w:eastAsia="Times New Roman" w:hAnsi="Times New Roman"/>
                <w:sz w:val="24"/>
                <w:szCs w:val="24"/>
                <w:lang w:val="en-GB"/>
              </w:rPr>
              <w:t xml:space="preserve"> Bank AS</w:t>
            </w:r>
          </w:p>
          <w:p w14:paraId="3FA3DDDC"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Banko kodas 40100</w:t>
            </w:r>
          </w:p>
          <w:p w14:paraId="0C831AC4" w14:textId="77777777" w:rsidR="00BD28F3" w:rsidRPr="00BD28F3" w:rsidRDefault="00BD28F3" w:rsidP="00BD28F3">
            <w:pPr>
              <w:spacing w:after="0"/>
              <w:ind w:right="175"/>
              <w:rPr>
                <w:rFonts w:ascii="Times New Roman" w:eastAsia="Times New Roman" w:hAnsi="Times New Roman"/>
                <w:sz w:val="24"/>
                <w:szCs w:val="24"/>
              </w:rPr>
            </w:pPr>
          </w:p>
          <w:p w14:paraId="1CA69384"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Direktorius</w:t>
            </w:r>
          </w:p>
          <w:p w14:paraId="3D75FF47"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 xml:space="preserve">                                         </w:t>
            </w:r>
          </w:p>
          <w:p w14:paraId="72CF15D7" w14:textId="77777777" w:rsidR="00BD28F3" w:rsidRPr="00BD28F3" w:rsidRDefault="00BD28F3" w:rsidP="00BD28F3">
            <w:pPr>
              <w:spacing w:after="0"/>
              <w:ind w:right="175"/>
              <w:rPr>
                <w:rFonts w:ascii="Times New Roman" w:eastAsia="Times New Roman" w:hAnsi="Times New Roman"/>
                <w:sz w:val="24"/>
                <w:szCs w:val="24"/>
              </w:rPr>
            </w:pPr>
            <w:r w:rsidRPr="00BD28F3">
              <w:rPr>
                <w:rFonts w:ascii="Times New Roman" w:eastAsia="Times New Roman" w:hAnsi="Times New Roman"/>
                <w:sz w:val="24"/>
                <w:szCs w:val="24"/>
              </w:rPr>
              <w:t xml:space="preserve">Giedrius </w:t>
            </w:r>
            <w:proofErr w:type="spellStart"/>
            <w:r w:rsidRPr="00BD28F3">
              <w:rPr>
                <w:rFonts w:ascii="Times New Roman" w:eastAsia="Times New Roman" w:hAnsi="Times New Roman"/>
                <w:sz w:val="24"/>
                <w:szCs w:val="24"/>
              </w:rPr>
              <w:t>Griška</w:t>
            </w:r>
            <w:proofErr w:type="spellEnd"/>
          </w:p>
          <w:p w14:paraId="0D85CB26" w14:textId="77777777" w:rsidR="00BD28F3" w:rsidRPr="00BD28F3" w:rsidRDefault="00BD28F3" w:rsidP="00BD28F3">
            <w:pPr>
              <w:spacing w:after="0"/>
              <w:ind w:right="175"/>
              <w:rPr>
                <w:rFonts w:ascii="Times New Roman" w:eastAsia="Times New Roman" w:hAnsi="Times New Roman"/>
                <w:b/>
                <w:sz w:val="24"/>
                <w:szCs w:val="24"/>
              </w:rPr>
            </w:pPr>
          </w:p>
        </w:tc>
        <w:tc>
          <w:tcPr>
            <w:tcW w:w="4860" w:type="dxa"/>
            <w:shd w:val="clear" w:color="auto" w:fill="auto"/>
          </w:tcPr>
          <w:p w14:paraId="60CF35F6" w14:textId="5D0ED665" w:rsidR="00BD28F3" w:rsidRPr="00BD28F3" w:rsidRDefault="00A4381C" w:rsidP="00BD28F3">
            <w:pPr>
              <w:spacing w:after="0"/>
              <w:rPr>
                <w:rFonts w:ascii="Times New Roman" w:eastAsia="Times New Roman" w:hAnsi="Times New Roman"/>
                <w:b/>
                <w:sz w:val="24"/>
                <w:szCs w:val="24"/>
              </w:rPr>
            </w:pPr>
            <w:r>
              <w:rPr>
                <w:rFonts w:ascii="Times New Roman" w:eastAsia="Times New Roman" w:hAnsi="Times New Roman"/>
                <w:b/>
                <w:sz w:val="24"/>
                <w:szCs w:val="24"/>
              </w:rPr>
              <w:t>TIEKĖJAS</w:t>
            </w:r>
          </w:p>
          <w:p w14:paraId="08561150" w14:textId="77777777" w:rsidR="00BD28F3" w:rsidRPr="00BD28F3" w:rsidRDefault="00BD28F3" w:rsidP="00BD28F3">
            <w:pPr>
              <w:spacing w:after="0"/>
              <w:rPr>
                <w:rFonts w:ascii="Times New Roman" w:eastAsia="Times New Roman" w:hAnsi="Times New Roman"/>
                <w:bCs/>
                <w:sz w:val="24"/>
                <w:szCs w:val="24"/>
              </w:rPr>
            </w:pPr>
          </w:p>
          <w:p w14:paraId="604320DC" w14:textId="47765AB0" w:rsidR="00BD28F3" w:rsidRPr="00BD28F3" w:rsidRDefault="00A4381C" w:rsidP="00BD28F3">
            <w:pPr>
              <w:spacing w:after="0"/>
              <w:rPr>
                <w:rFonts w:ascii="Times New Roman" w:eastAsia="Times New Roman" w:hAnsi="Times New Roman"/>
                <w:b/>
                <w:sz w:val="24"/>
                <w:szCs w:val="24"/>
              </w:rPr>
            </w:pPr>
            <w:r w:rsidRPr="00A4381C">
              <w:rPr>
                <w:rFonts w:ascii="Times New Roman" w:eastAsia="Times New Roman" w:hAnsi="Times New Roman"/>
                <w:b/>
                <w:sz w:val="24"/>
                <w:szCs w:val="24"/>
              </w:rPr>
              <w:t>UAB „BLUE BRIDGE“</w:t>
            </w:r>
          </w:p>
          <w:p w14:paraId="0A507091" w14:textId="77777777" w:rsidR="00BD28F3" w:rsidRPr="00BD28F3" w:rsidRDefault="00BD28F3" w:rsidP="00BD28F3">
            <w:pPr>
              <w:spacing w:after="0"/>
              <w:rPr>
                <w:rFonts w:ascii="Times New Roman" w:eastAsia="Times New Roman" w:hAnsi="Times New Roman"/>
                <w:sz w:val="24"/>
                <w:szCs w:val="24"/>
              </w:rPr>
            </w:pPr>
          </w:p>
          <w:p w14:paraId="4BEA62FE" w14:textId="77777777" w:rsidR="00BD28F3" w:rsidRDefault="00BD28F3" w:rsidP="00BD28F3">
            <w:pPr>
              <w:spacing w:after="0"/>
              <w:rPr>
                <w:rFonts w:ascii="Times New Roman" w:eastAsia="Times New Roman" w:hAnsi="Times New Roman"/>
                <w:bCs/>
                <w:sz w:val="24"/>
                <w:szCs w:val="24"/>
              </w:rPr>
            </w:pPr>
          </w:p>
          <w:p w14:paraId="091B762B" w14:textId="77777777" w:rsidR="00A4381C" w:rsidRPr="00A4381C" w:rsidRDefault="00A4381C" w:rsidP="00A4381C">
            <w:pPr>
              <w:spacing w:after="0"/>
              <w:rPr>
                <w:rFonts w:ascii="Times New Roman" w:eastAsia="Times New Roman" w:hAnsi="Times New Roman"/>
                <w:sz w:val="24"/>
                <w:szCs w:val="24"/>
              </w:rPr>
            </w:pPr>
          </w:p>
          <w:p w14:paraId="7D90F6A8" w14:textId="2902CF0D" w:rsidR="00A4381C" w:rsidRPr="00A4381C" w:rsidRDefault="00A4381C" w:rsidP="00A4381C">
            <w:pPr>
              <w:tabs>
                <w:tab w:val="left" w:pos="720"/>
              </w:tabs>
              <w:spacing w:after="0" w:line="240" w:lineRule="auto"/>
              <w:rPr>
                <w:rFonts w:ascii="Times New Roman" w:eastAsia="Times New Roman" w:hAnsi="Times New Roman"/>
                <w:sz w:val="24"/>
                <w:szCs w:val="24"/>
              </w:rPr>
            </w:pPr>
            <w:r w:rsidRPr="00A4381C">
              <w:rPr>
                <w:rFonts w:ascii="Times New Roman" w:eastAsia="Times New Roman" w:hAnsi="Times New Roman"/>
                <w:bCs/>
                <w:sz w:val="24"/>
                <w:szCs w:val="24"/>
              </w:rPr>
              <w:t xml:space="preserve">Duomenys kaupiami ir saugomi Juridinių asmenų registre, </w:t>
            </w:r>
            <w:r w:rsidR="00B85DEA">
              <w:rPr>
                <w:rFonts w:ascii="Times New Roman" w:eastAsia="Times New Roman" w:hAnsi="Times New Roman"/>
                <w:sz w:val="24"/>
                <w:szCs w:val="24"/>
              </w:rPr>
              <w:t>kodas 111445337</w:t>
            </w:r>
          </w:p>
          <w:p w14:paraId="3D537D39" w14:textId="0E7B8A4A" w:rsidR="00A4381C" w:rsidRPr="00A4381C" w:rsidRDefault="00A4381C" w:rsidP="00A4381C">
            <w:pPr>
              <w:tabs>
                <w:tab w:val="left" w:pos="720"/>
              </w:tabs>
              <w:spacing w:after="0" w:line="240" w:lineRule="auto"/>
              <w:rPr>
                <w:rFonts w:ascii="Times New Roman" w:eastAsia="Times New Roman" w:hAnsi="Times New Roman"/>
                <w:sz w:val="24"/>
                <w:szCs w:val="24"/>
              </w:rPr>
            </w:pPr>
            <w:r w:rsidRPr="00A4381C">
              <w:rPr>
                <w:rFonts w:ascii="Times New Roman" w:eastAsia="Times New Roman" w:hAnsi="Times New Roman"/>
                <w:sz w:val="24"/>
                <w:szCs w:val="24"/>
              </w:rPr>
              <w:t xml:space="preserve">PVM mokėtojo kodas </w:t>
            </w:r>
            <w:r w:rsidR="00D878BC" w:rsidRPr="00D878BC">
              <w:rPr>
                <w:rFonts w:ascii="Times New Roman" w:eastAsia="Times New Roman" w:hAnsi="Times New Roman"/>
                <w:sz w:val="24"/>
                <w:szCs w:val="24"/>
              </w:rPr>
              <w:t>LT114453314</w:t>
            </w:r>
          </w:p>
          <w:p w14:paraId="46F7C6A7" w14:textId="77777777" w:rsidR="00A4381C" w:rsidRPr="00A4381C" w:rsidRDefault="00A4381C" w:rsidP="00A4381C">
            <w:pPr>
              <w:tabs>
                <w:tab w:val="left" w:pos="720"/>
              </w:tabs>
              <w:spacing w:after="0" w:line="240" w:lineRule="auto"/>
              <w:rPr>
                <w:rFonts w:ascii="Times New Roman" w:eastAsia="Times New Roman" w:hAnsi="Times New Roman"/>
                <w:sz w:val="24"/>
                <w:szCs w:val="24"/>
              </w:rPr>
            </w:pPr>
            <w:r w:rsidRPr="00A4381C">
              <w:rPr>
                <w:rFonts w:ascii="Times New Roman" w:eastAsia="Times New Roman" w:hAnsi="Times New Roman"/>
                <w:sz w:val="24"/>
                <w:szCs w:val="24"/>
              </w:rPr>
              <w:t>J. Jasinskio g. 16A, 03163 Vilnius</w:t>
            </w:r>
          </w:p>
          <w:p w14:paraId="2A8CD16E" w14:textId="4FA5AD20" w:rsidR="00A4381C" w:rsidRPr="00A4381C" w:rsidRDefault="00D878BC" w:rsidP="00A4381C">
            <w:pPr>
              <w:tabs>
                <w:tab w:val="left" w:pos="7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Tel. (8 5) 252 6060</w:t>
            </w:r>
          </w:p>
          <w:p w14:paraId="774B3DDA" w14:textId="77777777" w:rsidR="00A4381C" w:rsidRPr="00A4381C" w:rsidRDefault="00A4381C" w:rsidP="00A4381C">
            <w:pPr>
              <w:tabs>
                <w:tab w:val="left" w:pos="720"/>
              </w:tabs>
              <w:spacing w:after="0" w:line="240" w:lineRule="auto"/>
              <w:rPr>
                <w:rFonts w:ascii="Times New Roman" w:eastAsia="Times New Roman" w:hAnsi="Times New Roman"/>
                <w:sz w:val="24"/>
                <w:szCs w:val="24"/>
              </w:rPr>
            </w:pPr>
            <w:r w:rsidRPr="00A4381C">
              <w:rPr>
                <w:rFonts w:ascii="Times New Roman" w:eastAsia="Times New Roman" w:hAnsi="Times New Roman"/>
                <w:sz w:val="24"/>
                <w:szCs w:val="24"/>
              </w:rPr>
              <w:t xml:space="preserve">El. paštas: </w:t>
            </w:r>
            <w:r w:rsidRPr="00A4381C">
              <w:rPr>
                <w:rFonts w:ascii="Times New Roman" w:eastAsia="Times New Roman" w:hAnsi="Times New Roman"/>
                <w:sz w:val="24"/>
                <w:szCs w:val="24"/>
                <w:lang w:val="en-GB"/>
              </w:rPr>
              <w:t xml:space="preserve"> </w:t>
            </w:r>
            <w:r w:rsidRPr="00A4381C">
              <w:rPr>
                <w:rFonts w:ascii="Times New Roman" w:eastAsia="Times New Roman" w:hAnsi="Times New Roman"/>
                <w:sz w:val="24"/>
                <w:szCs w:val="24"/>
              </w:rPr>
              <w:t>info@bluebridge.lt</w:t>
            </w:r>
          </w:p>
          <w:p w14:paraId="1C90CCAF" w14:textId="21EF86B5" w:rsidR="00A4381C" w:rsidRDefault="00A4381C" w:rsidP="00A4381C">
            <w:pPr>
              <w:tabs>
                <w:tab w:val="left" w:pos="720"/>
              </w:tabs>
              <w:spacing w:after="0" w:line="240" w:lineRule="auto"/>
              <w:rPr>
                <w:rFonts w:ascii="Times New Roman" w:eastAsia="Times New Roman" w:hAnsi="Times New Roman"/>
                <w:sz w:val="24"/>
                <w:szCs w:val="24"/>
              </w:rPr>
            </w:pPr>
            <w:r w:rsidRPr="00A4381C">
              <w:rPr>
                <w:rFonts w:ascii="Times New Roman" w:eastAsia="Times New Roman" w:hAnsi="Times New Roman"/>
                <w:sz w:val="24"/>
                <w:szCs w:val="24"/>
              </w:rPr>
              <w:t xml:space="preserve">A. s. </w:t>
            </w:r>
            <w:r w:rsidRPr="00A4381C">
              <w:rPr>
                <w:rFonts w:ascii="Times New Roman" w:eastAsia="Times New Roman" w:hAnsi="Times New Roman"/>
                <w:sz w:val="24"/>
                <w:szCs w:val="24"/>
                <w:lang w:val="en-GB"/>
              </w:rPr>
              <w:t xml:space="preserve"> </w:t>
            </w:r>
            <w:r w:rsidR="00B85DEA" w:rsidRPr="00B85DEA">
              <w:rPr>
                <w:rFonts w:ascii="Times New Roman" w:eastAsia="Times New Roman" w:hAnsi="Times New Roman"/>
                <w:sz w:val="24"/>
                <w:szCs w:val="24"/>
              </w:rPr>
              <w:t>LT</w:t>
            </w:r>
            <w:r w:rsidR="00D878BC">
              <w:rPr>
                <w:rFonts w:ascii="Times New Roman" w:eastAsia="Times New Roman" w:hAnsi="Times New Roman"/>
                <w:sz w:val="24"/>
                <w:szCs w:val="24"/>
              </w:rPr>
              <w:t xml:space="preserve"> </w:t>
            </w:r>
            <w:r w:rsidR="00B85DEA" w:rsidRPr="00B85DEA">
              <w:rPr>
                <w:rFonts w:ascii="Times New Roman" w:eastAsia="Times New Roman" w:hAnsi="Times New Roman"/>
                <w:sz w:val="24"/>
                <w:szCs w:val="24"/>
              </w:rPr>
              <w:t>71 7044 0600 0109 3756</w:t>
            </w:r>
          </w:p>
          <w:p w14:paraId="7AEEFDF8" w14:textId="3D91FC98" w:rsidR="00D878BC" w:rsidRPr="00A4381C" w:rsidRDefault="00D878BC" w:rsidP="00A4381C">
            <w:pPr>
              <w:tabs>
                <w:tab w:val="left" w:pos="72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SEB bankas</w:t>
            </w:r>
          </w:p>
          <w:p w14:paraId="48200439" w14:textId="62217AAC" w:rsidR="00A4381C" w:rsidRPr="00A4381C" w:rsidRDefault="00A4381C" w:rsidP="00A4381C">
            <w:pPr>
              <w:spacing w:after="0"/>
              <w:rPr>
                <w:rFonts w:ascii="Times New Roman" w:eastAsia="Times New Roman" w:hAnsi="Times New Roman"/>
                <w:bCs/>
                <w:color w:val="000000"/>
                <w:sz w:val="24"/>
                <w:szCs w:val="24"/>
              </w:rPr>
            </w:pPr>
            <w:r w:rsidRPr="00A4381C">
              <w:rPr>
                <w:rFonts w:ascii="Times New Roman" w:eastAsia="Times New Roman" w:hAnsi="Times New Roman"/>
                <w:bCs/>
                <w:color w:val="000000"/>
                <w:sz w:val="24"/>
                <w:szCs w:val="24"/>
              </w:rPr>
              <w:t>B</w:t>
            </w:r>
            <w:r w:rsidR="00D878BC">
              <w:rPr>
                <w:rFonts w:ascii="Times New Roman" w:eastAsia="Times New Roman" w:hAnsi="Times New Roman"/>
                <w:bCs/>
                <w:color w:val="000000"/>
                <w:sz w:val="24"/>
                <w:szCs w:val="24"/>
              </w:rPr>
              <w:t>anko kodas 70440</w:t>
            </w:r>
          </w:p>
          <w:p w14:paraId="0F4ECCDC" w14:textId="77777777" w:rsidR="00A4381C" w:rsidRPr="00A4381C" w:rsidRDefault="00A4381C" w:rsidP="00A4381C">
            <w:pPr>
              <w:spacing w:after="0"/>
              <w:rPr>
                <w:rFonts w:ascii="Times New Roman" w:eastAsia="Times New Roman" w:hAnsi="Times New Roman"/>
                <w:color w:val="000000"/>
                <w:sz w:val="24"/>
                <w:szCs w:val="24"/>
              </w:rPr>
            </w:pPr>
          </w:p>
          <w:p w14:paraId="5D15D8B4" w14:textId="77777777" w:rsidR="00A4381C" w:rsidRDefault="00A4381C" w:rsidP="00A4381C">
            <w:pPr>
              <w:spacing w:after="0"/>
              <w:rPr>
                <w:rFonts w:ascii="Times New Roman" w:eastAsia="Times New Roman" w:hAnsi="Times New Roman"/>
                <w:i/>
                <w:color w:val="000000"/>
                <w:sz w:val="24"/>
                <w:szCs w:val="24"/>
              </w:rPr>
            </w:pPr>
          </w:p>
          <w:p w14:paraId="79113A77" w14:textId="77777777" w:rsidR="004F0232" w:rsidRPr="00A4381C" w:rsidRDefault="004F0232" w:rsidP="00A4381C">
            <w:pPr>
              <w:spacing w:after="0"/>
              <w:rPr>
                <w:rFonts w:ascii="Times New Roman" w:eastAsia="Times New Roman" w:hAnsi="Times New Roman"/>
                <w:i/>
                <w:color w:val="000000"/>
                <w:sz w:val="24"/>
                <w:szCs w:val="24"/>
              </w:rPr>
            </w:pPr>
          </w:p>
          <w:p w14:paraId="2A2767DB" w14:textId="77777777" w:rsidR="00A4381C" w:rsidRPr="00A4381C" w:rsidRDefault="00A4381C" w:rsidP="00A4381C">
            <w:pPr>
              <w:spacing w:after="0"/>
              <w:rPr>
                <w:rFonts w:ascii="Times New Roman" w:eastAsia="Times New Roman" w:hAnsi="Times New Roman"/>
                <w:color w:val="000000"/>
                <w:sz w:val="24"/>
                <w:szCs w:val="24"/>
              </w:rPr>
            </w:pPr>
            <w:r w:rsidRPr="00A4381C">
              <w:rPr>
                <w:rFonts w:ascii="Times New Roman" w:eastAsia="Times New Roman" w:hAnsi="Times New Roman"/>
                <w:color w:val="000000"/>
                <w:sz w:val="24"/>
                <w:szCs w:val="24"/>
              </w:rPr>
              <w:t>Direktorius</w:t>
            </w:r>
          </w:p>
          <w:p w14:paraId="44C7F6B4" w14:textId="1BE59B10" w:rsidR="00A4381C" w:rsidRPr="00A4381C" w:rsidRDefault="00A4381C" w:rsidP="00A4381C">
            <w:pPr>
              <w:spacing w:after="0"/>
              <w:ind w:left="720"/>
              <w:contextualSpacing/>
              <w:jc w:val="center"/>
              <w:rPr>
                <w:rFonts w:ascii="Times New Roman" w:eastAsia="Times New Roman" w:hAnsi="Times New Roman"/>
                <w:color w:val="000000"/>
                <w:sz w:val="24"/>
                <w:szCs w:val="24"/>
              </w:rPr>
            </w:pPr>
            <w:r w:rsidRPr="00A4381C">
              <w:rPr>
                <w:rFonts w:ascii="Times New Roman" w:eastAsia="Times New Roman" w:hAnsi="Times New Roman"/>
                <w:color w:val="000000"/>
                <w:sz w:val="24"/>
                <w:szCs w:val="24"/>
              </w:rPr>
              <w:t xml:space="preserve">          </w:t>
            </w:r>
            <w:r w:rsidR="009C6DAB">
              <w:rPr>
                <w:rFonts w:ascii="Times New Roman" w:eastAsia="Times New Roman" w:hAnsi="Times New Roman"/>
                <w:color w:val="000000"/>
                <w:sz w:val="24"/>
                <w:szCs w:val="24"/>
              </w:rPr>
              <w:t xml:space="preserve">                           </w:t>
            </w:r>
            <w:bookmarkStart w:id="0" w:name="_GoBack"/>
            <w:bookmarkEnd w:id="0"/>
          </w:p>
          <w:p w14:paraId="0C522AEC" w14:textId="46502F6E" w:rsidR="00A4381C" w:rsidRPr="00BD28F3" w:rsidRDefault="00A4381C" w:rsidP="00A4381C">
            <w:pPr>
              <w:spacing w:after="0"/>
              <w:rPr>
                <w:rFonts w:ascii="Times New Roman" w:eastAsia="Times New Roman" w:hAnsi="Times New Roman"/>
                <w:sz w:val="24"/>
                <w:szCs w:val="24"/>
              </w:rPr>
            </w:pPr>
            <w:r w:rsidRPr="00A4381C">
              <w:rPr>
                <w:rFonts w:ascii="Times New Roman" w:eastAsia="Times New Roman" w:hAnsi="Times New Roman"/>
                <w:color w:val="000000"/>
                <w:sz w:val="24"/>
                <w:szCs w:val="24"/>
              </w:rPr>
              <w:t>Dalius Butkus</w:t>
            </w:r>
          </w:p>
        </w:tc>
      </w:tr>
    </w:tbl>
    <w:p w14:paraId="48935BEE" w14:textId="77777777" w:rsidR="00BD28F3" w:rsidRPr="00BD28F3" w:rsidRDefault="00BD28F3" w:rsidP="00BD28F3">
      <w:pPr>
        <w:spacing w:after="0" w:line="360" w:lineRule="auto"/>
        <w:rPr>
          <w:rFonts w:ascii="Times New Roman" w:eastAsia="Times New Roman" w:hAnsi="Times New Roman"/>
          <w:sz w:val="24"/>
          <w:szCs w:val="24"/>
        </w:rPr>
      </w:pPr>
    </w:p>
    <w:p w14:paraId="2FEF60AF" w14:textId="77777777" w:rsidR="0030080D" w:rsidRPr="00AF6609" w:rsidRDefault="0030080D">
      <w:pPr>
        <w:rPr>
          <w:rFonts w:ascii="Times New Roman" w:hAnsi="Times New Roman"/>
          <w:sz w:val="24"/>
          <w:szCs w:val="24"/>
        </w:rPr>
      </w:pPr>
    </w:p>
    <w:sectPr w:rsidR="0030080D" w:rsidRPr="00AF6609" w:rsidSect="00F76B4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41DA6" w14:textId="77777777" w:rsidR="004B06A9" w:rsidRDefault="004B06A9" w:rsidP="00F76B48">
      <w:pPr>
        <w:spacing w:after="0" w:line="240" w:lineRule="auto"/>
      </w:pPr>
      <w:r>
        <w:separator/>
      </w:r>
    </w:p>
  </w:endnote>
  <w:endnote w:type="continuationSeparator" w:id="0">
    <w:p w14:paraId="31750D51" w14:textId="77777777" w:rsidR="004B06A9" w:rsidRDefault="004B06A9" w:rsidP="00F7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FA244" w14:textId="77777777" w:rsidR="004B06A9" w:rsidRDefault="004B06A9" w:rsidP="00F76B48">
      <w:pPr>
        <w:spacing w:after="0" w:line="240" w:lineRule="auto"/>
      </w:pPr>
      <w:r>
        <w:separator/>
      </w:r>
    </w:p>
  </w:footnote>
  <w:footnote w:type="continuationSeparator" w:id="0">
    <w:p w14:paraId="18AAD546" w14:textId="77777777" w:rsidR="004B06A9" w:rsidRDefault="004B06A9" w:rsidP="00F76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585650"/>
      <w:docPartObj>
        <w:docPartGallery w:val="Page Numbers (Top of Page)"/>
        <w:docPartUnique/>
      </w:docPartObj>
    </w:sdtPr>
    <w:sdtEndPr/>
    <w:sdtContent>
      <w:p w14:paraId="61BC32F1" w14:textId="3FFCDFCE" w:rsidR="00F76B48" w:rsidRDefault="00F76B48">
        <w:pPr>
          <w:pStyle w:val="Antrats"/>
          <w:jc w:val="center"/>
        </w:pPr>
        <w:r>
          <w:fldChar w:fldCharType="begin"/>
        </w:r>
        <w:r>
          <w:instrText>PAGE   \* MERGEFORMAT</w:instrText>
        </w:r>
        <w:r>
          <w:fldChar w:fldCharType="separate"/>
        </w:r>
        <w:r w:rsidR="009C6DAB">
          <w:rPr>
            <w:noProof/>
          </w:rPr>
          <w:t>5</w:t>
        </w:r>
        <w:r>
          <w:fldChar w:fldCharType="end"/>
        </w:r>
      </w:p>
    </w:sdtContent>
  </w:sdt>
  <w:p w14:paraId="00D9A4EE" w14:textId="77777777" w:rsidR="00F76B48" w:rsidRDefault="00F76B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41955"/>
    <w:multiLevelType w:val="multilevel"/>
    <w:tmpl w:val="C61E0D0E"/>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97C2C9E"/>
    <w:multiLevelType w:val="multilevel"/>
    <w:tmpl w:val="D17E5C1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782581"/>
    <w:multiLevelType w:val="hybridMultilevel"/>
    <w:tmpl w:val="E648F3C4"/>
    <w:lvl w:ilvl="0" w:tplc="E7C02EF6">
      <w:start w:val="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76B073A"/>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11223"/>
    <w:multiLevelType w:val="multilevel"/>
    <w:tmpl w:val="83028B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7525"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6085C9F"/>
    <w:multiLevelType w:val="multilevel"/>
    <w:tmpl w:val="F7B8DE34"/>
    <w:lvl w:ilvl="0">
      <w:start w:val="4"/>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num w:numId="1">
    <w:abstractNumId w:val="0"/>
  </w:num>
  <w:num w:numId="2">
    <w:abstractNumId w:val="1"/>
  </w:num>
  <w:num w:numId="3">
    <w:abstractNumId w:val="7"/>
  </w:num>
  <w:num w:numId="4">
    <w:abstractNumId w:val="4"/>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2D"/>
    <w:rsid w:val="00003055"/>
    <w:rsid w:val="00006B79"/>
    <w:rsid w:val="000120A8"/>
    <w:rsid w:val="00031392"/>
    <w:rsid w:val="00044997"/>
    <w:rsid w:val="0004773D"/>
    <w:rsid w:val="00047ACF"/>
    <w:rsid w:val="00050C7A"/>
    <w:rsid w:val="000520C8"/>
    <w:rsid w:val="00065FCC"/>
    <w:rsid w:val="000669EF"/>
    <w:rsid w:val="00074A2A"/>
    <w:rsid w:val="00094977"/>
    <w:rsid w:val="00094B57"/>
    <w:rsid w:val="000962D2"/>
    <w:rsid w:val="000A0E18"/>
    <w:rsid w:val="000A6EC6"/>
    <w:rsid w:val="000C463C"/>
    <w:rsid w:val="000C5D3E"/>
    <w:rsid w:val="000D23CA"/>
    <w:rsid w:val="000D2725"/>
    <w:rsid w:val="000F2765"/>
    <w:rsid w:val="001008A5"/>
    <w:rsid w:val="001100E8"/>
    <w:rsid w:val="00112A01"/>
    <w:rsid w:val="0011427B"/>
    <w:rsid w:val="00117C66"/>
    <w:rsid w:val="001265E3"/>
    <w:rsid w:val="00132637"/>
    <w:rsid w:val="00172771"/>
    <w:rsid w:val="001A2CF5"/>
    <w:rsid w:val="001B07FA"/>
    <w:rsid w:val="001B67C3"/>
    <w:rsid w:val="001B76A5"/>
    <w:rsid w:val="001C4316"/>
    <w:rsid w:val="001C6470"/>
    <w:rsid w:val="001E16E4"/>
    <w:rsid w:val="001E3E91"/>
    <w:rsid w:val="001E7043"/>
    <w:rsid w:val="001F1D07"/>
    <w:rsid w:val="001F268C"/>
    <w:rsid w:val="001F5256"/>
    <w:rsid w:val="00201D84"/>
    <w:rsid w:val="00230349"/>
    <w:rsid w:val="00232D08"/>
    <w:rsid w:val="002479E3"/>
    <w:rsid w:val="00266F19"/>
    <w:rsid w:val="002729E1"/>
    <w:rsid w:val="00277AEC"/>
    <w:rsid w:val="0029292A"/>
    <w:rsid w:val="002930A1"/>
    <w:rsid w:val="00294140"/>
    <w:rsid w:val="002A6988"/>
    <w:rsid w:val="002B097B"/>
    <w:rsid w:val="002B358C"/>
    <w:rsid w:val="002B4492"/>
    <w:rsid w:val="002B5975"/>
    <w:rsid w:val="002C5254"/>
    <w:rsid w:val="002C7AA1"/>
    <w:rsid w:val="002D4CDB"/>
    <w:rsid w:val="002E2E25"/>
    <w:rsid w:val="002E72B6"/>
    <w:rsid w:val="002F0DF7"/>
    <w:rsid w:val="002F452E"/>
    <w:rsid w:val="0030080D"/>
    <w:rsid w:val="00300B04"/>
    <w:rsid w:val="00305598"/>
    <w:rsid w:val="00312A10"/>
    <w:rsid w:val="00324DD2"/>
    <w:rsid w:val="00327A8B"/>
    <w:rsid w:val="0035655C"/>
    <w:rsid w:val="00364385"/>
    <w:rsid w:val="00384988"/>
    <w:rsid w:val="0039214E"/>
    <w:rsid w:val="003B369F"/>
    <w:rsid w:val="003B386A"/>
    <w:rsid w:val="003C54BE"/>
    <w:rsid w:val="003D5F80"/>
    <w:rsid w:val="003E2C3D"/>
    <w:rsid w:val="003F0B0B"/>
    <w:rsid w:val="00403597"/>
    <w:rsid w:val="004204A7"/>
    <w:rsid w:val="00423C26"/>
    <w:rsid w:val="004255DE"/>
    <w:rsid w:val="00445CF3"/>
    <w:rsid w:val="00451D85"/>
    <w:rsid w:val="00452437"/>
    <w:rsid w:val="004528EE"/>
    <w:rsid w:val="004553BB"/>
    <w:rsid w:val="00455787"/>
    <w:rsid w:val="0046731C"/>
    <w:rsid w:val="00471034"/>
    <w:rsid w:val="0047745D"/>
    <w:rsid w:val="00495ABE"/>
    <w:rsid w:val="00496081"/>
    <w:rsid w:val="004A30F8"/>
    <w:rsid w:val="004A432D"/>
    <w:rsid w:val="004B06A9"/>
    <w:rsid w:val="004B5A48"/>
    <w:rsid w:val="004B5BEA"/>
    <w:rsid w:val="004C0D8C"/>
    <w:rsid w:val="004C179A"/>
    <w:rsid w:val="004D6CA5"/>
    <w:rsid w:val="004F0232"/>
    <w:rsid w:val="004F13E6"/>
    <w:rsid w:val="00522D84"/>
    <w:rsid w:val="005334F1"/>
    <w:rsid w:val="00540724"/>
    <w:rsid w:val="005521D4"/>
    <w:rsid w:val="005551B1"/>
    <w:rsid w:val="00557506"/>
    <w:rsid w:val="00560A7A"/>
    <w:rsid w:val="00570801"/>
    <w:rsid w:val="00575903"/>
    <w:rsid w:val="00576F35"/>
    <w:rsid w:val="0058155B"/>
    <w:rsid w:val="005907C0"/>
    <w:rsid w:val="00590AC9"/>
    <w:rsid w:val="005958A3"/>
    <w:rsid w:val="00597C3C"/>
    <w:rsid w:val="005A2901"/>
    <w:rsid w:val="005B2724"/>
    <w:rsid w:val="005C308B"/>
    <w:rsid w:val="005C3DF3"/>
    <w:rsid w:val="005D1833"/>
    <w:rsid w:val="005D1A53"/>
    <w:rsid w:val="005D28E1"/>
    <w:rsid w:val="005E6658"/>
    <w:rsid w:val="0061685E"/>
    <w:rsid w:val="00632105"/>
    <w:rsid w:val="00633D6E"/>
    <w:rsid w:val="0063586A"/>
    <w:rsid w:val="006419F9"/>
    <w:rsid w:val="00646C38"/>
    <w:rsid w:val="0065690F"/>
    <w:rsid w:val="0065766F"/>
    <w:rsid w:val="00661ABE"/>
    <w:rsid w:val="0066597F"/>
    <w:rsid w:val="0066673D"/>
    <w:rsid w:val="00676BB2"/>
    <w:rsid w:val="0068268D"/>
    <w:rsid w:val="00691227"/>
    <w:rsid w:val="00692C0D"/>
    <w:rsid w:val="006B547F"/>
    <w:rsid w:val="006B75E3"/>
    <w:rsid w:val="006C77E3"/>
    <w:rsid w:val="006D1BCB"/>
    <w:rsid w:val="006D2A81"/>
    <w:rsid w:val="006D30A7"/>
    <w:rsid w:val="006D6902"/>
    <w:rsid w:val="006E5049"/>
    <w:rsid w:val="00705592"/>
    <w:rsid w:val="0071151C"/>
    <w:rsid w:val="00712C78"/>
    <w:rsid w:val="00714DD6"/>
    <w:rsid w:val="00731E2A"/>
    <w:rsid w:val="00732CDB"/>
    <w:rsid w:val="00734A95"/>
    <w:rsid w:val="00743E5B"/>
    <w:rsid w:val="007561D5"/>
    <w:rsid w:val="00756A32"/>
    <w:rsid w:val="007621F6"/>
    <w:rsid w:val="00770882"/>
    <w:rsid w:val="007746DA"/>
    <w:rsid w:val="00783986"/>
    <w:rsid w:val="007845CA"/>
    <w:rsid w:val="00791557"/>
    <w:rsid w:val="007936D0"/>
    <w:rsid w:val="007D2EB0"/>
    <w:rsid w:val="007D5916"/>
    <w:rsid w:val="007D74EB"/>
    <w:rsid w:val="007E25E3"/>
    <w:rsid w:val="007E2C97"/>
    <w:rsid w:val="007F09F0"/>
    <w:rsid w:val="007F0DE2"/>
    <w:rsid w:val="007F1EF7"/>
    <w:rsid w:val="007F539F"/>
    <w:rsid w:val="008127CD"/>
    <w:rsid w:val="00825647"/>
    <w:rsid w:val="008369A8"/>
    <w:rsid w:val="008527C5"/>
    <w:rsid w:val="0085321C"/>
    <w:rsid w:val="00857FCA"/>
    <w:rsid w:val="0086370C"/>
    <w:rsid w:val="0086521B"/>
    <w:rsid w:val="008722F2"/>
    <w:rsid w:val="00873F50"/>
    <w:rsid w:val="00881F85"/>
    <w:rsid w:val="00882C48"/>
    <w:rsid w:val="00895BD4"/>
    <w:rsid w:val="008B10D7"/>
    <w:rsid w:val="008D0431"/>
    <w:rsid w:val="0090346F"/>
    <w:rsid w:val="0090524B"/>
    <w:rsid w:val="0092086A"/>
    <w:rsid w:val="00922ABD"/>
    <w:rsid w:val="00923FAA"/>
    <w:rsid w:val="009302BA"/>
    <w:rsid w:val="00942A1C"/>
    <w:rsid w:val="009452C1"/>
    <w:rsid w:val="009629B6"/>
    <w:rsid w:val="009731D6"/>
    <w:rsid w:val="0097477C"/>
    <w:rsid w:val="00976FF6"/>
    <w:rsid w:val="00981D5B"/>
    <w:rsid w:val="00983F2D"/>
    <w:rsid w:val="009860E8"/>
    <w:rsid w:val="009975F0"/>
    <w:rsid w:val="009A1D14"/>
    <w:rsid w:val="009B018B"/>
    <w:rsid w:val="009B4748"/>
    <w:rsid w:val="009C6DAB"/>
    <w:rsid w:val="009C7620"/>
    <w:rsid w:val="009D58A5"/>
    <w:rsid w:val="009D79D4"/>
    <w:rsid w:val="009D7D47"/>
    <w:rsid w:val="009E1CF5"/>
    <w:rsid w:val="009F0D72"/>
    <w:rsid w:val="00A10600"/>
    <w:rsid w:val="00A15AB0"/>
    <w:rsid w:val="00A20603"/>
    <w:rsid w:val="00A225FA"/>
    <w:rsid w:val="00A25E00"/>
    <w:rsid w:val="00A30DD9"/>
    <w:rsid w:val="00A323E6"/>
    <w:rsid w:val="00A42A09"/>
    <w:rsid w:val="00A4381C"/>
    <w:rsid w:val="00A52188"/>
    <w:rsid w:val="00A574DE"/>
    <w:rsid w:val="00A60709"/>
    <w:rsid w:val="00A675B6"/>
    <w:rsid w:val="00A711B6"/>
    <w:rsid w:val="00A74604"/>
    <w:rsid w:val="00A87DFF"/>
    <w:rsid w:val="00A91F72"/>
    <w:rsid w:val="00A94721"/>
    <w:rsid w:val="00AA2F6E"/>
    <w:rsid w:val="00AA7063"/>
    <w:rsid w:val="00AC2D79"/>
    <w:rsid w:val="00AD343D"/>
    <w:rsid w:val="00AF4068"/>
    <w:rsid w:val="00AF6609"/>
    <w:rsid w:val="00B1074F"/>
    <w:rsid w:val="00B13F82"/>
    <w:rsid w:val="00B14551"/>
    <w:rsid w:val="00B26D9B"/>
    <w:rsid w:val="00B3372F"/>
    <w:rsid w:val="00B37C74"/>
    <w:rsid w:val="00B55660"/>
    <w:rsid w:val="00B57480"/>
    <w:rsid w:val="00B6299A"/>
    <w:rsid w:val="00B65A10"/>
    <w:rsid w:val="00B74F0E"/>
    <w:rsid w:val="00B85DEA"/>
    <w:rsid w:val="00B95D80"/>
    <w:rsid w:val="00B97140"/>
    <w:rsid w:val="00BA32E5"/>
    <w:rsid w:val="00BB4883"/>
    <w:rsid w:val="00BC3638"/>
    <w:rsid w:val="00BD1B3F"/>
    <w:rsid w:val="00BD2695"/>
    <w:rsid w:val="00BD28F3"/>
    <w:rsid w:val="00BD61F0"/>
    <w:rsid w:val="00C173E3"/>
    <w:rsid w:val="00C2139F"/>
    <w:rsid w:val="00C241CA"/>
    <w:rsid w:val="00C260E7"/>
    <w:rsid w:val="00C32A53"/>
    <w:rsid w:val="00C33061"/>
    <w:rsid w:val="00C46AB3"/>
    <w:rsid w:val="00C47116"/>
    <w:rsid w:val="00C47F9C"/>
    <w:rsid w:val="00C57B54"/>
    <w:rsid w:val="00C6795F"/>
    <w:rsid w:val="00C67CE6"/>
    <w:rsid w:val="00C67E4E"/>
    <w:rsid w:val="00C827FD"/>
    <w:rsid w:val="00C94F99"/>
    <w:rsid w:val="00CA152D"/>
    <w:rsid w:val="00CA22AD"/>
    <w:rsid w:val="00CA708E"/>
    <w:rsid w:val="00CC1F9E"/>
    <w:rsid w:val="00CC3FC9"/>
    <w:rsid w:val="00CD65DB"/>
    <w:rsid w:val="00CE3C3F"/>
    <w:rsid w:val="00CE63BD"/>
    <w:rsid w:val="00CF5C8C"/>
    <w:rsid w:val="00D02484"/>
    <w:rsid w:val="00D04F58"/>
    <w:rsid w:val="00D07250"/>
    <w:rsid w:val="00D074F4"/>
    <w:rsid w:val="00D13E9E"/>
    <w:rsid w:val="00D14911"/>
    <w:rsid w:val="00D24B98"/>
    <w:rsid w:val="00D32C97"/>
    <w:rsid w:val="00D35A39"/>
    <w:rsid w:val="00D36EC1"/>
    <w:rsid w:val="00D41EDD"/>
    <w:rsid w:val="00D57D36"/>
    <w:rsid w:val="00D775EE"/>
    <w:rsid w:val="00D82BDF"/>
    <w:rsid w:val="00D878BC"/>
    <w:rsid w:val="00D91F69"/>
    <w:rsid w:val="00D95351"/>
    <w:rsid w:val="00DE4724"/>
    <w:rsid w:val="00DE552D"/>
    <w:rsid w:val="00DE63AA"/>
    <w:rsid w:val="00DE703B"/>
    <w:rsid w:val="00DF2409"/>
    <w:rsid w:val="00DF63C6"/>
    <w:rsid w:val="00DF6D72"/>
    <w:rsid w:val="00E21DAA"/>
    <w:rsid w:val="00E25705"/>
    <w:rsid w:val="00E316DB"/>
    <w:rsid w:val="00E33483"/>
    <w:rsid w:val="00E4007F"/>
    <w:rsid w:val="00E410B0"/>
    <w:rsid w:val="00E515B0"/>
    <w:rsid w:val="00E62D3F"/>
    <w:rsid w:val="00E66410"/>
    <w:rsid w:val="00E665A5"/>
    <w:rsid w:val="00E75E39"/>
    <w:rsid w:val="00E7750B"/>
    <w:rsid w:val="00E863FC"/>
    <w:rsid w:val="00E95398"/>
    <w:rsid w:val="00E960C7"/>
    <w:rsid w:val="00EB3E68"/>
    <w:rsid w:val="00EB53A4"/>
    <w:rsid w:val="00EC251C"/>
    <w:rsid w:val="00EC77F6"/>
    <w:rsid w:val="00ED26ED"/>
    <w:rsid w:val="00EE70AF"/>
    <w:rsid w:val="00EF14A1"/>
    <w:rsid w:val="00EF1E32"/>
    <w:rsid w:val="00EF33FC"/>
    <w:rsid w:val="00EF4491"/>
    <w:rsid w:val="00F01EE8"/>
    <w:rsid w:val="00F14A4A"/>
    <w:rsid w:val="00F258B4"/>
    <w:rsid w:val="00F25EA6"/>
    <w:rsid w:val="00F41570"/>
    <w:rsid w:val="00F45086"/>
    <w:rsid w:val="00F542BC"/>
    <w:rsid w:val="00F61D42"/>
    <w:rsid w:val="00F641EE"/>
    <w:rsid w:val="00F64816"/>
    <w:rsid w:val="00F73553"/>
    <w:rsid w:val="00F76B48"/>
    <w:rsid w:val="00F91BAB"/>
    <w:rsid w:val="00FA251D"/>
    <w:rsid w:val="00FA28A2"/>
    <w:rsid w:val="00FB4AA5"/>
    <w:rsid w:val="00FD760A"/>
    <w:rsid w:val="00FE4E2D"/>
    <w:rsid w:val="00FF26B5"/>
    <w:rsid w:val="00FF2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FFF6"/>
  <w15:chartTrackingRefBased/>
  <w15:docId w15:val="{401C0A08-D2BD-43C1-A346-C4F6A6F3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06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E55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552D"/>
    <w:rPr>
      <w:rFonts w:ascii="Segoe UI" w:eastAsia="Calibri" w:hAnsi="Segoe UI" w:cs="Segoe UI"/>
      <w:sz w:val="18"/>
      <w:szCs w:val="18"/>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Sąrašo pastraipa1"/>
    <w:basedOn w:val="prastasis"/>
    <w:link w:val="SraopastraipaDiagrama"/>
    <w:uiPriority w:val="34"/>
    <w:qFormat/>
    <w:rsid w:val="005551B1"/>
    <w:pPr>
      <w:ind w:left="720"/>
      <w:contextualSpacing/>
    </w:pPr>
  </w:style>
  <w:style w:type="character" w:styleId="Komentaronuoroda">
    <w:name w:val="annotation reference"/>
    <w:basedOn w:val="Numatytasispastraiposriftas"/>
    <w:uiPriority w:val="99"/>
    <w:semiHidden/>
    <w:unhideWhenUsed/>
    <w:rsid w:val="00CC3FC9"/>
    <w:rPr>
      <w:sz w:val="16"/>
      <w:szCs w:val="16"/>
    </w:rPr>
  </w:style>
  <w:style w:type="paragraph" w:styleId="Komentarotekstas">
    <w:name w:val="annotation text"/>
    <w:basedOn w:val="prastasis"/>
    <w:link w:val="KomentarotekstasDiagrama"/>
    <w:uiPriority w:val="99"/>
    <w:unhideWhenUsed/>
    <w:rsid w:val="00CC3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C3FC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C3FC9"/>
    <w:rPr>
      <w:b/>
      <w:bCs/>
    </w:rPr>
  </w:style>
  <w:style w:type="character" w:customStyle="1" w:styleId="KomentarotemaDiagrama">
    <w:name w:val="Komentaro tema Diagrama"/>
    <w:basedOn w:val="KomentarotekstasDiagrama"/>
    <w:link w:val="Komentarotema"/>
    <w:uiPriority w:val="99"/>
    <w:semiHidden/>
    <w:rsid w:val="00CC3FC9"/>
    <w:rPr>
      <w:rFonts w:ascii="Calibri" w:eastAsia="Calibri" w:hAnsi="Calibri" w:cs="Times New Roman"/>
      <w:b/>
      <w:bCs/>
      <w:sz w:val="20"/>
      <w:szCs w:val="20"/>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E63BD"/>
    <w:rPr>
      <w:rFonts w:ascii="Calibri" w:eastAsia="Calibri" w:hAnsi="Calibri" w:cs="Times New Roman"/>
    </w:rPr>
  </w:style>
  <w:style w:type="character" w:customStyle="1" w:styleId="ListParagraphChar">
    <w:name w:val="List Paragraph Char"/>
    <w:aliases w:val="lp1 Char,Bullet 1 Char,Use Case List Paragraph Char"/>
    <w:uiPriority w:val="99"/>
    <w:locked/>
    <w:rsid w:val="00D95351"/>
    <w:rPr>
      <w:rFonts w:ascii="Times New Roman" w:eastAsia="Times New Roman" w:hAnsi="Times New Roman" w:cs="Times New Roman"/>
      <w:sz w:val="24"/>
      <w:lang w:val="lt-LT"/>
    </w:rPr>
  </w:style>
  <w:style w:type="character" w:customStyle="1" w:styleId="Internetosaitas">
    <w:name w:val="Interneto saitas"/>
    <w:basedOn w:val="Numatytasispastraiposriftas"/>
    <w:uiPriority w:val="99"/>
    <w:rsid w:val="0071151C"/>
    <w:rPr>
      <w:rFonts w:cs="Times New Roman"/>
      <w:color w:val="0000FF"/>
      <w:u w:val="single"/>
    </w:rPr>
  </w:style>
  <w:style w:type="character" w:styleId="Hipersaitas">
    <w:name w:val="Hyperlink"/>
    <w:basedOn w:val="Numatytasispastraiposriftas"/>
    <w:uiPriority w:val="99"/>
    <w:unhideWhenUsed/>
    <w:rsid w:val="00C47F9C"/>
    <w:rPr>
      <w:color w:val="0563C1" w:themeColor="hyperlink"/>
      <w:u w:val="single"/>
    </w:rPr>
  </w:style>
  <w:style w:type="character" w:styleId="Perirtashipersaitas">
    <w:name w:val="FollowedHyperlink"/>
    <w:basedOn w:val="Numatytasispastraiposriftas"/>
    <w:uiPriority w:val="99"/>
    <w:semiHidden/>
    <w:unhideWhenUsed/>
    <w:rsid w:val="00F14A4A"/>
    <w:rPr>
      <w:color w:val="954F72" w:themeColor="followedHyperlink"/>
      <w:u w:val="single"/>
    </w:rPr>
  </w:style>
  <w:style w:type="paragraph" w:styleId="Pagrindinistekstas">
    <w:name w:val="Body Text"/>
    <w:basedOn w:val="prastasis"/>
    <w:link w:val="PagrindinistekstasDiagrama"/>
    <w:rsid w:val="00B95D80"/>
    <w:pPr>
      <w:spacing w:after="140" w:line="288" w:lineRule="auto"/>
    </w:pPr>
    <w:rPr>
      <w:rFonts w:ascii="Times New Roman" w:eastAsiaTheme="minorHAnsi" w:hAnsi="Times New Roman" w:cstheme="minorBidi"/>
      <w:sz w:val="24"/>
    </w:rPr>
  </w:style>
  <w:style w:type="character" w:customStyle="1" w:styleId="PagrindinistekstasDiagrama">
    <w:name w:val="Pagrindinis tekstas Diagrama"/>
    <w:basedOn w:val="Numatytasispastraiposriftas"/>
    <w:link w:val="Pagrindinistekstas"/>
    <w:rsid w:val="00B95D80"/>
    <w:rPr>
      <w:rFonts w:ascii="Times New Roman" w:hAnsi="Times New Roman"/>
      <w:sz w:val="24"/>
    </w:rPr>
  </w:style>
  <w:style w:type="paragraph" w:styleId="Antrats">
    <w:name w:val="header"/>
    <w:basedOn w:val="prastasis"/>
    <w:link w:val="AntratsDiagrama"/>
    <w:uiPriority w:val="99"/>
    <w:unhideWhenUsed/>
    <w:rsid w:val="00F76B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6B48"/>
    <w:rPr>
      <w:rFonts w:ascii="Calibri" w:eastAsia="Calibri" w:hAnsi="Calibri" w:cs="Times New Roman"/>
    </w:rPr>
  </w:style>
  <w:style w:type="paragraph" w:styleId="Porat">
    <w:name w:val="footer"/>
    <w:basedOn w:val="prastasis"/>
    <w:link w:val="PoratDiagrama"/>
    <w:uiPriority w:val="99"/>
    <w:unhideWhenUsed/>
    <w:rsid w:val="00F76B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6B4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35362">
      <w:bodyDiv w:val="1"/>
      <w:marLeft w:val="0"/>
      <w:marRight w:val="0"/>
      <w:marTop w:val="0"/>
      <w:marBottom w:val="0"/>
      <w:divBdr>
        <w:top w:val="none" w:sz="0" w:space="0" w:color="auto"/>
        <w:left w:val="none" w:sz="0" w:space="0" w:color="auto"/>
        <w:bottom w:val="none" w:sz="0" w:space="0" w:color="auto"/>
        <w:right w:val="none" w:sz="0" w:space="0" w:color="auto"/>
      </w:divBdr>
    </w:div>
    <w:div w:id="810438529">
      <w:bodyDiv w:val="1"/>
      <w:marLeft w:val="0"/>
      <w:marRight w:val="0"/>
      <w:marTop w:val="0"/>
      <w:marBottom w:val="0"/>
      <w:divBdr>
        <w:top w:val="none" w:sz="0" w:space="0" w:color="auto"/>
        <w:left w:val="none" w:sz="0" w:space="0" w:color="auto"/>
        <w:bottom w:val="none" w:sz="0" w:space="0" w:color="auto"/>
        <w:right w:val="none" w:sz="0" w:space="0" w:color="auto"/>
      </w:divBdr>
      <w:divsChild>
        <w:div w:id="651984679">
          <w:marLeft w:val="0"/>
          <w:marRight w:val="0"/>
          <w:marTop w:val="0"/>
          <w:marBottom w:val="0"/>
          <w:divBdr>
            <w:top w:val="none" w:sz="0" w:space="0" w:color="auto"/>
            <w:left w:val="none" w:sz="0" w:space="0" w:color="auto"/>
            <w:bottom w:val="none" w:sz="0" w:space="0" w:color="auto"/>
            <w:right w:val="none" w:sz="0" w:space="0" w:color="auto"/>
          </w:divBdr>
        </w:div>
      </w:divsChild>
    </w:div>
    <w:div w:id="9495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DE46-1ABD-4655-9635-F3CB9B6F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11719</Words>
  <Characters>6681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Kaminskaitė</dc:creator>
  <cp:keywords/>
  <dc:description/>
  <cp:lastModifiedBy>Diana Zujevič</cp:lastModifiedBy>
  <cp:revision>11</cp:revision>
  <cp:lastPrinted>2015-08-07T06:54:00Z</cp:lastPrinted>
  <dcterms:created xsi:type="dcterms:W3CDTF">2021-11-09T12:13:00Z</dcterms:created>
  <dcterms:modified xsi:type="dcterms:W3CDTF">2021-11-09T14:05:00Z</dcterms:modified>
</cp:coreProperties>
</file>