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731E" w14:textId="77777777" w:rsidR="00D14114" w:rsidRDefault="00D14114" w:rsidP="00D14114">
      <w:pPr>
        <w:jc w:val="center"/>
        <w:rPr>
          <w:b/>
        </w:rPr>
      </w:pPr>
      <w:r>
        <w:rPr>
          <w:b/>
        </w:rPr>
        <w:t>PASLAUGŲ VIEŠOJO PIRKIMO-PARDAVIMO SUTARTI</w:t>
      </w:r>
      <w:r w:rsidRPr="00EF7207">
        <w:rPr>
          <w:b/>
        </w:rPr>
        <w:t>S</w:t>
      </w:r>
      <w:r>
        <w:rPr>
          <w:b/>
        </w:rPr>
        <w:t xml:space="preserve">  </w:t>
      </w:r>
    </w:p>
    <w:p w14:paraId="6B7C0044" w14:textId="77777777" w:rsidR="00D14114" w:rsidRDefault="00D14114" w:rsidP="00D14114">
      <w:pPr>
        <w:jc w:val="center"/>
        <w:rPr>
          <w:color w:val="000000"/>
        </w:rPr>
      </w:pPr>
    </w:p>
    <w:p w14:paraId="0F231DA7"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51354757" w14:textId="77777777" w:rsidR="00D14114" w:rsidRPr="00414F4A" w:rsidRDefault="00D14114" w:rsidP="00D14114">
      <w:pPr>
        <w:rPr>
          <w:sz w:val="22"/>
          <w:szCs w:val="22"/>
        </w:rPr>
      </w:pPr>
    </w:p>
    <w:p w14:paraId="03FEACE0" w14:textId="48C175D9" w:rsidR="00D14114" w:rsidRDefault="00D14114" w:rsidP="00D14114">
      <w:pPr>
        <w:ind w:left="2880" w:firstLine="720"/>
        <w:jc w:val="both"/>
      </w:pPr>
      <w:r>
        <w:t>20</w:t>
      </w:r>
      <w:r w:rsidR="00C34DB8">
        <w:t xml:space="preserve">21-11-12 </w:t>
      </w:r>
      <w:r>
        <w:t xml:space="preserve"> Nr.</w:t>
      </w:r>
      <w:r w:rsidR="00C34DB8">
        <w:t xml:space="preserve"> S-106</w:t>
      </w:r>
    </w:p>
    <w:p w14:paraId="5C3ABFCD" w14:textId="7F486E99" w:rsidR="00D14114" w:rsidRDefault="00D14114" w:rsidP="00D14114">
      <w:pPr>
        <w:ind w:left="3600"/>
        <w:jc w:val="both"/>
        <w:rPr>
          <w:i/>
        </w:rPr>
      </w:pPr>
      <w:r>
        <w:rPr>
          <w:sz w:val="22"/>
          <w:szCs w:val="22"/>
        </w:rPr>
        <w:t xml:space="preserve">         </w:t>
      </w:r>
      <w:bookmarkStart w:id="0" w:name="_GoBack"/>
      <w:bookmarkEnd w:id="0"/>
      <w:r w:rsidR="00C34DB8">
        <w:rPr>
          <w:i/>
        </w:rPr>
        <w:t>Vilnius</w:t>
      </w:r>
    </w:p>
    <w:p w14:paraId="54DCFEAD" w14:textId="77777777" w:rsidR="00D14114" w:rsidRDefault="00D14114" w:rsidP="00D14114">
      <w:pPr>
        <w:ind w:left="3600"/>
        <w:jc w:val="both"/>
        <w:rPr>
          <w:i/>
          <w:sz w:val="20"/>
          <w:szCs w:val="20"/>
        </w:rPr>
      </w:pPr>
    </w:p>
    <w:p w14:paraId="5DF4EE22" w14:textId="37C121B0" w:rsidR="00D14114" w:rsidRPr="00824FD9" w:rsidRDefault="006B5064" w:rsidP="00D14114">
      <w:pPr>
        <w:jc w:val="both"/>
        <w:rPr>
          <w:color w:val="000000"/>
        </w:rPr>
      </w:pPr>
      <w:r w:rsidRPr="00DE1795">
        <w:rPr>
          <w:b/>
          <w:color w:val="000000"/>
        </w:rPr>
        <w:t>Informacinių technologijų tarnyba prie Krašto apsaugos ministerijos</w:t>
      </w:r>
      <w:r w:rsidRPr="00DE1795">
        <w:rPr>
          <w:color w:val="000000"/>
        </w:rPr>
        <w:t xml:space="preserve">, juridinio asmens kodas 191823126, Šilo g. 5a, LT-10322 Vilnius, atstovaujama direktoriaus plk. ltn. Sauliaus Juškevičiaus, veikiančio pagal tarnybos nuostatus, (toliau – </w:t>
      </w:r>
      <w:r w:rsidRPr="00DE1795">
        <w:rPr>
          <w:b/>
          <w:color w:val="000000"/>
        </w:rPr>
        <w:t>Pirkėjas</w:t>
      </w:r>
      <w:r w:rsidRPr="00DE1795">
        <w:rPr>
          <w:color w:val="000000"/>
        </w:rPr>
        <w:t>),</w:t>
      </w:r>
      <w:r w:rsidR="00D14114" w:rsidRPr="00DE1795">
        <w:rPr>
          <w:color w:val="000000"/>
        </w:rPr>
        <w:t xml:space="preserve"> ir</w:t>
      </w:r>
      <w:r w:rsidR="004203F8" w:rsidRPr="00DE1795">
        <w:rPr>
          <w:color w:val="000000"/>
        </w:rPr>
        <w:t xml:space="preserve"> </w:t>
      </w:r>
      <w:r w:rsidR="004203F8" w:rsidRPr="00DE1795">
        <w:t xml:space="preserve"> UAB „Novian Technologies“, juridinio asmens kodas  301318539, Gynėjų 14, LT-01109, Vilnius, atstovaujama </w:t>
      </w:r>
      <w:r w:rsidR="00DE1795" w:rsidRPr="00DE1795">
        <w:rPr>
          <w:color w:val="333333"/>
        </w:rPr>
        <w:t>generalini</w:t>
      </w:r>
      <w:r w:rsidR="00DE1795">
        <w:rPr>
          <w:color w:val="333333"/>
        </w:rPr>
        <w:t>o</w:t>
      </w:r>
      <w:r w:rsidR="00DE1795" w:rsidRPr="00DE1795">
        <w:rPr>
          <w:color w:val="333333"/>
        </w:rPr>
        <w:t xml:space="preserve"> direktori</w:t>
      </w:r>
      <w:r w:rsidR="00DE1795">
        <w:rPr>
          <w:color w:val="333333"/>
        </w:rPr>
        <w:t>a</w:t>
      </w:r>
      <w:r w:rsidR="00DE1795" w:rsidRPr="00DE1795">
        <w:rPr>
          <w:color w:val="333333"/>
        </w:rPr>
        <w:t>us Gy</w:t>
      </w:r>
      <w:r w:rsidR="00DE1795">
        <w:rPr>
          <w:color w:val="333333"/>
        </w:rPr>
        <w:t>čio</w:t>
      </w:r>
      <w:r w:rsidR="00DE1795" w:rsidRPr="00DE1795">
        <w:rPr>
          <w:color w:val="333333"/>
        </w:rPr>
        <w:t xml:space="preserve"> Umant</w:t>
      </w:r>
      <w:r w:rsidR="00DE1795">
        <w:rPr>
          <w:color w:val="333333"/>
        </w:rPr>
        <w:t>o</w:t>
      </w:r>
      <w:r w:rsidR="00DE1795" w:rsidRPr="00DE1795">
        <w:rPr>
          <w:color w:val="333333"/>
        </w:rPr>
        <w:t>, veikian</w:t>
      </w:r>
      <w:r w:rsidR="00DE1795">
        <w:rPr>
          <w:color w:val="333333"/>
        </w:rPr>
        <w:t>čio</w:t>
      </w:r>
      <w:r w:rsidR="00DE1795" w:rsidRPr="00DE1795">
        <w:rPr>
          <w:color w:val="333333"/>
        </w:rPr>
        <w:t xml:space="preserve"> pagal bendrovės įstatus</w:t>
      </w:r>
      <w:r w:rsidR="00DE1795" w:rsidRPr="00DE1795">
        <w:rPr>
          <w:color w:val="000000"/>
        </w:rPr>
        <w:t xml:space="preserve"> </w:t>
      </w:r>
      <w:r w:rsidR="00D14114" w:rsidRPr="00DE1795">
        <w:rPr>
          <w:color w:val="000000"/>
        </w:rPr>
        <w:t xml:space="preserve">(toliau – Teikėjas), toliau kartu šioje paslaugų </w:t>
      </w:r>
      <w:r w:rsidR="00E8116B" w:rsidRPr="00DE1795">
        <w:rPr>
          <w:color w:val="000000"/>
        </w:rPr>
        <w:t xml:space="preserve">viešojo </w:t>
      </w:r>
      <w:r w:rsidR="00D14114" w:rsidRPr="00DE1795">
        <w:rPr>
          <w:color w:val="000000"/>
        </w:rPr>
        <w:t>pirkimo-pardavimo sutartyje vadinami</w:t>
      </w:r>
      <w:r w:rsidR="00D14114" w:rsidRPr="00824FD9">
        <w:rPr>
          <w:color w:val="000000"/>
        </w:rPr>
        <w:t xml:space="preserve"> „Šalimis“, o kiekvienas atskirai – „Šalimi“, vadovaudamosi </w:t>
      </w:r>
      <w:r w:rsidR="00D14114" w:rsidRPr="006B57C4">
        <w:rPr>
          <w:i/>
          <w:color w:val="000000"/>
        </w:rPr>
        <w:t>Lietuvos Respublikos viešųjų pirkimų įstatym</w:t>
      </w:r>
      <w:r w:rsidR="00456821" w:rsidRPr="006B57C4">
        <w:rPr>
          <w:i/>
          <w:color w:val="000000"/>
        </w:rPr>
        <w:t>u</w:t>
      </w:r>
      <w:r w:rsidR="00D14114" w:rsidRPr="00824FD9">
        <w:rPr>
          <w:color w:val="000000"/>
        </w:rPr>
        <w:t xml:space="preserve"> </w:t>
      </w:r>
      <w:r w:rsidR="00AB39FF" w:rsidRPr="000A3ACE">
        <w:rPr>
          <w:color w:val="000000"/>
        </w:rPr>
        <w:t>(toliau – Viešųjų pirkimų įstatymas)</w:t>
      </w:r>
      <w:r w:rsidR="00A179BF" w:rsidRPr="00824FD9">
        <w:rPr>
          <w:bCs/>
        </w:rPr>
        <w:t>,</w:t>
      </w:r>
      <w:r>
        <w:rPr>
          <w:bCs/>
        </w:rPr>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p w14:paraId="18607B60"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286C742B" w14:textId="77777777" w:rsidTr="001A3760">
        <w:tc>
          <w:tcPr>
            <w:tcW w:w="10368" w:type="dxa"/>
            <w:shd w:val="clear" w:color="auto" w:fill="auto"/>
          </w:tcPr>
          <w:p w14:paraId="4869D05D" w14:textId="77777777" w:rsidR="00D14114" w:rsidRPr="007A4D14" w:rsidRDefault="00D14114" w:rsidP="001A3760">
            <w:pPr>
              <w:numPr>
                <w:ilvl w:val="0"/>
                <w:numId w:val="3"/>
              </w:numPr>
              <w:ind w:left="252" w:hanging="252"/>
              <w:jc w:val="both"/>
              <w:rPr>
                <w:b/>
              </w:rPr>
            </w:pPr>
            <w:r w:rsidRPr="007A4D14">
              <w:rPr>
                <w:b/>
              </w:rPr>
              <w:t>Sutarties objektas</w:t>
            </w:r>
          </w:p>
          <w:p w14:paraId="1E6B6C5C" w14:textId="60EAA4B7" w:rsidR="00D14114" w:rsidRDefault="00456821" w:rsidP="00A607CF">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w:t>
            </w:r>
            <w:r w:rsidR="006B5064">
              <w:t xml:space="preserve"> </w:t>
            </w:r>
            <w:r w:rsidR="006B2389" w:rsidRPr="005367DA">
              <w:rPr>
                <w:color w:val="000000"/>
              </w:rPr>
              <w:t xml:space="preserve">Oracle Database Standard Edition </w:t>
            </w:r>
            <w:r w:rsidR="006B2389">
              <w:rPr>
                <w:color w:val="000000"/>
              </w:rPr>
              <w:t xml:space="preserve">2 </w:t>
            </w:r>
            <w:r w:rsidR="00FB0438" w:rsidRPr="009C44CA">
              <w:rPr>
                <w:i/>
              </w:rPr>
              <w:t xml:space="preserve">programinės įrangos </w:t>
            </w:r>
            <w:r w:rsidR="00FB0438">
              <w:rPr>
                <w:i/>
              </w:rPr>
              <w:t xml:space="preserve">licencijų </w:t>
            </w:r>
            <w:r w:rsidR="00FB0438" w:rsidRPr="009C44CA">
              <w:rPr>
                <w:i/>
              </w:rPr>
              <w:t>pratęsimo paslaug</w:t>
            </w:r>
            <w:r w:rsidR="006B2389">
              <w:t>as</w:t>
            </w:r>
            <w:r w:rsidR="006B5064" w:rsidRPr="006B5064">
              <w:t>(toliau –</w:t>
            </w:r>
            <w:r w:rsidR="00FB0438">
              <w:t>P</w:t>
            </w:r>
            <w:r w:rsidR="006B5064" w:rsidRPr="006B5064">
              <w:t xml:space="preserve">aslaugos) </w:t>
            </w:r>
            <w:r w:rsidR="00A607CF" w:rsidRPr="00A607CF">
              <w:t xml:space="preserve">atitinkančias Sutarties </w:t>
            </w:r>
            <w:r w:rsidR="00784AD2">
              <w:t>2</w:t>
            </w:r>
            <w:r w:rsidR="00A607CF" w:rsidRPr="00A607CF">
              <w:t xml:space="preserve"> priede „</w:t>
            </w:r>
            <w:r w:rsidR="00154FBD">
              <w:rPr>
                <w:color w:val="000000"/>
              </w:rPr>
              <w:t xml:space="preserve">Programinės įrangos licencijų pratęsimo </w:t>
            </w:r>
            <w:r w:rsidR="00A607CF" w:rsidRPr="00A607CF">
              <w:t xml:space="preserve">paslaugų techninė specifikacija“ (toliau – </w:t>
            </w:r>
            <w:r w:rsidR="00784AD2">
              <w:t>2</w:t>
            </w:r>
            <w:r w:rsidR="00A607CF" w:rsidRPr="00A607CF">
              <w:t xml:space="preserve"> priedas) nustatytus reikalavimus.</w:t>
            </w:r>
          </w:p>
          <w:p w14:paraId="1A28C078" w14:textId="1ED8A690" w:rsidR="00923760" w:rsidRPr="002728C6" w:rsidRDefault="00204C0D" w:rsidP="00722266">
            <w:pPr>
              <w:jc w:val="both"/>
            </w:pPr>
            <w:r>
              <w:t>1.</w:t>
            </w:r>
            <w:r w:rsidRPr="00204C0D">
              <w:t xml:space="preserve">2. </w:t>
            </w:r>
            <w:r w:rsidRPr="00CD770E">
              <w:rPr>
                <w:b/>
              </w:rPr>
              <w:t xml:space="preserve">Pirkėjas </w:t>
            </w:r>
            <w:r w:rsidRPr="00204C0D">
              <w:t xml:space="preserve">įsipareigoja priimti suteiktas Sutarties </w:t>
            </w:r>
            <w:r w:rsidR="00722266">
              <w:t>2 priede</w:t>
            </w:r>
            <w:r>
              <w:t xml:space="preserve"> </w:t>
            </w:r>
            <w:r w:rsidR="00722266">
              <w:t xml:space="preserve">pateiktas Sutarties </w:t>
            </w:r>
            <w:r w:rsidRPr="00204C0D">
              <w:t>reikalavimus atitinkančias Paslaugas ir už jas sumokėti Sutartyje nustatyta tvarka.</w:t>
            </w:r>
          </w:p>
        </w:tc>
      </w:tr>
      <w:tr w:rsidR="00D14114" w14:paraId="7C45C6A6" w14:textId="77777777" w:rsidTr="001A3760">
        <w:tc>
          <w:tcPr>
            <w:tcW w:w="10368" w:type="dxa"/>
            <w:shd w:val="clear" w:color="auto" w:fill="auto"/>
          </w:tcPr>
          <w:p w14:paraId="63B14E6A"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241A2C93" w14:textId="747D6603" w:rsidR="00820E76" w:rsidRPr="00F9643E" w:rsidRDefault="00A607CF" w:rsidP="00820E76">
            <w:pPr>
              <w:jc w:val="both"/>
            </w:pPr>
            <w:r>
              <w:t>2.1</w:t>
            </w:r>
            <w:r w:rsidRPr="004203F8">
              <w:t xml:space="preserve">. </w:t>
            </w:r>
            <w:r w:rsidR="00820E76" w:rsidRPr="004203F8">
              <w:t xml:space="preserve"> Sutarties kaina: </w:t>
            </w:r>
            <w:r w:rsidR="00820E76" w:rsidRPr="004203F8">
              <w:rPr>
                <w:i/>
              </w:rPr>
              <w:t xml:space="preserve"> </w:t>
            </w:r>
            <w:r w:rsidR="004203F8" w:rsidRPr="0096382A">
              <w:rPr>
                <w:rFonts w:eastAsiaTheme="minorHAnsi"/>
              </w:rPr>
              <w:t xml:space="preserve"> 10 936,10 EUR (dešimt tūkstančių devyni šimtai trisdešimt šeši eurai, 10 centų)</w:t>
            </w:r>
            <w:r w:rsidR="00820E76" w:rsidRPr="004203F8">
              <w:t xml:space="preserve">. </w:t>
            </w:r>
            <w:r w:rsidR="00784AD2" w:rsidRPr="0096382A">
              <w:t>Sutarties kaina detalizuota Sutarties 1 priede  „Teikiamų paslaugų kiekiai ir įkainiai“ (toliau – 1 priedas).</w:t>
            </w:r>
          </w:p>
          <w:p w14:paraId="768E83EE" w14:textId="50D4B5B0" w:rsidR="0087784C" w:rsidRPr="00FD6779" w:rsidRDefault="0087784C" w:rsidP="0087784C">
            <w:pPr>
              <w:jc w:val="both"/>
            </w:pPr>
            <w:r w:rsidRPr="00F9643E">
              <w:t xml:space="preserve">2.2. Sutarties kaina nurodyta </w:t>
            </w:r>
            <w:r w:rsidR="00E7224B">
              <w:t>su</w:t>
            </w:r>
            <w:r w:rsidRPr="00FD6779">
              <w:t xml:space="preserve"> pridėtinės vertės mokesči</w:t>
            </w:r>
            <w:r w:rsidR="00E7224B">
              <w:t>u</w:t>
            </w:r>
            <w:r w:rsidRPr="00FD6779">
              <w:t xml:space="preserve"> (toliau – PVM) be</w:t>
            </w:r>
            <w:r w:rsidR="00E7224B">
              <w:t>i</w:t>
            </w:r>
            <w:r w:rsidRPr="00FD6779">
              <w:t xml:space="preserve"> su visais kitais mokesčiais </w:t>
            </w:r>
            <w:r w:rsidRPr="00072088">
              <w:t>(</w:t>
            </w:r>
            <w:r w:rsidRPr="002D35A2">
              <w:rPr>
                <w:i/>
              </w:rPr>
              <w:t>įskaitant gamintojo paslaugos administravimo, paslaugos atnaujinimo ar kitus mokesčius, jeigu tokie yra</w:t>
            </w:r>
            <w:r w:rsidRPr="00072088">
              <w:t xml:space="preserve">) </w:t>
            </w:r>
            <w:r w:rsidRPr="00FD6779">
              <w:t>bei visomis Teikėjo išlaidomis, kurios yra būtinos paslaugoms tinkamai suteikti.</w:t>
            </w:r>
          </w:p>
          <w:p w14:paraId="5637742B" w14:textId="4D80E395" w:rsidR="0087784C" w:rsidRDefault="0087784C" w:rsidP="00A607CF">
            <w:pPr>
              <w:jc w:val="both"/>
            </w:pPr>
            <w:r w:rsidRPr="00F9643E">
              <w:t xml:space="preserve">2.3. </w:t>
            </w:r>
            <w:r>
              <w:t xml:space="preserve">Sutarčiai taikomos fiksuotos kainos su peržiūra kainodaros taisyklės: </w:t>
            </w:r>
            <w:r w:rsidRPr="00F9643E">
              <w:t>Sutarties kaina negali būti keičiama visą Sutarties galiojimo laikotarpį, išskyrus atvejį, kai po Sutarties įsigaliojimo pasikeičia paslaugai taikomas PVM. Pasikeitus paslaugoms taikomam PVM dydžiui, Sutarties kaina keičiama Sutarties bendrosios dalies 2.2 punkte nustatyta tvarka.</w:t>
            </w:r>
          </w:p>
          <w:p w14:paraId="76858B81" w14:textId="57097462" w:rsidR="00656B7D" w:rsidRPr="007A4D14" w:rsidRDefault="00656B7D" w:rsidP="0087784C">
            <w:pPr>
              <w:jc w:val="both"/>
              <w:rPr>
                <w:b/>
              </w:rPr>
            </w:pPr>
          </w:p>
        </w:tc>
      </w:tr>
      <w:tr w:rsidR="00D14114" w14:paraId="3BEC8D76" w14:textId="77777777" w:rsidTr="001A3760">
        <w:tc>
          <w:tcPr>
            <w:tcW w:w="10368" w:type="dxa"/>
            <w:shd w:val="clear" w:color="auto" w:fill="auto"/>
          </w:tcPr>
          <w:p w14:paraId="1BE2D900" w14:textId="77777777" w:rsidR="00D14114" w:rsidRDefault="00D14114" w:rsidP="001A3760">
            <w:pPr>
              <w:rPr>
                <w:b/>
              </w:rPr>
            </w:pPr>
            <w:r w:rsidRPr="007A4D14">
              <w:rPr>
                <w:b/>
              </w:rPr>
              <w:t xml:space="preserve">3. Paslaugų teikimo vieta, terminas ir sąlygos </w:t>
            </w:r>
          </w:p>
          <w:p w14:paraId="68AB90DE" w14:textId="77777777" w:rsidR="002460F0" w:rsidRPr="009960A3" w:rsidRDefault="00B31155" w:rsidP="002460F0">
            <w:pPr>
              <w:tabs>
                <w:tab w:val="left" w:pos="0"/>
              </w:tabs>
              <w:jc w:val="both"/>
            </w:pPr>
            <w:r w:rsidRPr="009960A3">
              <w:t>3.1.</w:t>
            </w:r>
            <w:r w:rsidR="002460F0" w:rsidRPr="009960A3">
              <w:rPr>
                <w:b/>
              </w:rPr>
              <w:t>Teikėjas</w:t>
            </w:r>
            <w:r w:rsidR="002460F0" w:rsidRPr="009960A3">
              <w:t xml:space="preserve"> įsipareigoja suteikti Sutarties 1 priede numatytos programinės įrangos licencijų prisijungimo kodus, pagal nurodytus kiekius per 10 (dešimt) dienų nuo Sutarties įsigaliojimo dienos.</w:t>
            </w:r>
          </w:p>
          <w:p w14:paraId="18E17383" w14:textId="37A87F73" w:rsidR="002460F0" w:rsidRPr="009960A3" w:rsidRDefault="002460F0" w:rsidP="002460F0">
            <w:pPr>
              <w:tabs>
                <w:tab w:val="left" w:pos="0"/>
              </w:tabs>
              <w:jc w:val="both"/>
              <w:rPr>
                <w:i/>
              </w:rPr>
            </w:pPr>
            <w:r w:rsidRPr="009960A3">
              <w:t>3.2. Paslaugų teikimo pradžia:</w:t>
            </w:r>
            <w:r w:rsidR="006B2389">
              <w:t xml:space="preserve"> </w:t>
            </w:r>
            <w:r w:rsidR="006B2389">
              <w:rPr>
                <w:i/>
              </w:rPr>
              <w:t>nuo sutarties sudarymo</w:t>
            </w:r>
            <w:r w:rsidRPr="009960A3">
              <w:rPr>
                <w:i/>
              </w:rPr>
              <w:t>.</w:t>
            </w:r>
          </w:p>
          <w:p w14:paraId="1C191A6B" w14:textId="2EBFF6BA" w:rsidR="002460F0" w:rsidRPr="00F9643E" w:rsidRDefault="002460F0" w:rsidP="002460F0">
            <w:pPr>
              <w:tabs>
                <w:tab w:val="left" w:pos="0"/>
              </w:tabs>
              <w:jc w:val="both"/>
              <w:rPr>
                <w:i/>
              </w:rPr>
            </w:pPr>
            <w:r w:rsidRPr="009960A3">
              <w:t xml:space="preserve">3.3. Paslaugų teikimo terminas: </w:t>
            </w:r>
            <w:r w:rsidR="00EE1771">
              <w:t xml:space="preserve">iki 2024 m. rugpjūčio 12 d. </w:t>
            </w:r>
          </w:p>
          <w:p w14:paraId="0A174CB2" w14:textId="4C52817F" w:rsidR="002460F0" w:rsidRPr="009C44CA" w:rsidRDefault="002460F0" w:rsidP="002460F0">
            <w:pPr>
              <w:jc w:val="both"/>
            </w:pPr>
            <w:r w:rsidRPr="009C44CA">
              <w:t>3.4.</w:t>
            </w:r>
            <w:r w:rsidR="003C2847">
              <w:t xml:space="preserve"> </w:t>
            </w:r>
            <w:r w:rsidRPr="009C44CA">
              <w:rPr>
                <w:b/>
              </w:rPr>
              <w:t>Teikėjas</w:t>
            </w:r>
            <w:r w:rsidRPr="009C44CA">
              <w:t xml:space="preserve">  kartu su suteiktais programinės įrangos licencijų kodais privalo nemokamai pateikti aktualią dokumentaciją ir visus kitus dokumentus</w:t>
            </w:r>
            <w:r>
              <w:t>,</w:t>
            </w:r>
            <w:r w:rsidRPr="009C44CA">
              <w:t xml:space="preserve"> numatytus techninėje specifikacijoje skaitmeniniu pavidalu lietuvių arba anglų kalbomis.</w:t>
            </w:r>
          </w:p>
          <w:p w14:paraId="3AE609A1" w14:textId="77777777" w:rsidR="002460F0" w:rsidRPr="007A4D14" w:rsidRDefault="002460F0" w:rsidP="002460F0">
            <w:pPr>
              <w:jc w:val="both"/>
              <w:rPr>
                <w:b/>
              </w:rPr>
            </w:pPr>
            <w:r w:rsidRPr="009C44CA">
              <w:rPr>
                <w:szCs w:val="20"/>
                <w:lang w:eastAsia="en-US"/>
              </w:rPr>
              <w:t>3.5.</w:t>
            </w:r>
            <w:r w:rsidRPr="009C44CA">
              <w:rPr>
                <w:b/>
                <w:szCs w:val="20"/>
                <w:lang w:eastAsia="en-US"/>
              </w:rPr>
              <w:t xml:space="preserve"> Paslaugos </w:t>
            </w:r>
            <w:r w:rsidRPr="009C44CA">
              <w:rPr>
                <w:szCs w:val="20"/>
                <w:lang w:eastAsia="en-US"/>
              </w:rPr>
              <w:t xml:space="preserve">laikomos suteiktomis </w:t>
            </w:r>
            <w:r w:rsidR="00960D97" w:rsidRPr="009C44CA">
              <w:rPr>
                <w:szCs w:val="20"/>
                <w:lang w:eastAsia="en-US"/>
              </w:rPr>
              <w:t>abiem</w:t>
            </w:r>
            <w:r w:rsidRPr="009C44CA">
              <w:rPr>
                <w:szCs w:val="20"/>
                <w:lang w:eastAsia="en-US"/>
              </w:rPr>
              <w:t xml:space="preserve"> Šalims pasirašius </w:t>
            </w:r>
            <w:r>
              <w:rPr>
                <w:szCs w:val="20"/>
                <w:lang w:eastAsia="en-US"/>
              </w:rPr>
              <w:t xml:space="preserve">suteiktų </w:t>
            </w:r>
            <w:r w:rsidRPr="009C44CA">
              <w:rPr>
                <w:szCs w:val="20"/>
                <w:lang w:eastAsia="en-US"/>
              </w:rPr>
              <w:t>paslaugų</w:t>
            </w:r>
            <w:r w:rsidRPr="009C44CA">
              <w:rPr>
                <w:b/>
                <w:szCs w:val="20"/>
                <w:lang w:eastAsia="en-US"/>
              </w:rPr>
              <w:t xml:space="preserve"> </w:t>
            </w:r>
            <w:r w:rsidRPr="009C44CA">
              <w:t xml:space="preserve">perdavimo-priėmimo aktą. </w:t>
            </w:r>
            <w:r>
              <w:t>Suteiktų p</w:t>
            </w:r>
            <w:r w:rsidRPr="009C44CA">
              <w:t xml:space="preserve">aslaugų perdavimo-priėmimo aktas pasirašomas suteikus programinės įrangos licencijų prisijungimo kodus </w:t>
            </w:r>
            <w:r>
              <w:t>ir</w:t>
            </w:r>
            <w:r w:rsidRPr="009C44CA">
              <w:t xml:space="preserve"> kai visos paslaugos </w:t>
            </w:r>
            <w:r w:rsidRPr="002A1383">
              <w:t>(kokybiškos, su reikalaujamais dokumentais ir atitinkančios visus šioje sutartyje ir jos 2 priede nustatytus reikalavimus</w:t>
            </w:r>
            <w:r w:rsidRPr="009C44CA">
              <w:t>) yra suteiktos Sutartyje ir jos prieduose nustatyta tvarka.</w:t>
            </w:r>
            <w:r w:rsidRPr="007A4D14">
              <w:rPr>
                <w:b/>
              </w:rPr>
              <w:t xml:space="preserve"> </w:t>
            </w:r>
          </w:p>
          <w:p w14:paraId="260C2B79" w14:textId="77777777" w:rsidR="00DD4220" w:rsidRPr="006A66D5" w:rsidRDefault="00DD4220" w:rsidP="002460F0">
            <w:pPr>
              <w:tabs>
                <w:tab w:val="left" w:pos="536"/>
              </w:tabs>
              <w:spacing w:line="276" w:lineRule="auto"/>
              <w:jc w:val="both"/>
              <w:rPr>
                <w:strike/>
              </w:rPr>
            </w:pPr>
          </w:p>
        </w:tc>
      </w:tr>
      <w:tr w:rsidR="00D14114" w14:paraId="32E8F869" w14:textId="77777777" w:rsidTr="001A3760">
        <w:tc>
          <w:tcPr>
            <w:tcW w:w="10368" w:type="dxa"/>
            <w:shd w:val="clear" w:color="auto" w:fill="auto"/>
          </w:tcPr>
          <w:p w14:paraId="7CFBACCC" w14:textId="77777777" w:rsidR="00D14114" w:rsidRPr="007A4D14" w:rsidRDefault="00D14114" w:rsidP="001A3760">
            <w:pPr>
              <w:rPr>
                <w:b/>
              </w:rPr>
            </w:pPr>
            <w:r w:rsidRPr="007A4D14">
              <w:rPr>
                <w:b/>
              </w:rPr>
              <w:t>4. Apmokėjimo tvarka</w:t>
            </w:r>
          </w:p>
          <w:p w14:paraId="5E211282"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35CFDD91" w14:textId="77777777" w:rsidR="00E86C82" w:rsidRDefault="00E86C82" w:rsidP="00E86C82">
            <w:pPr>
              <w:jc w:val="both"/>
            </w:pPr>
            <w:r>
              <w:t>4.2. Avanso mokėjimas nenumatomas</w:t>
            </w:r>
            <w:r w:rsidRPr="00CE7DFE">
              <w:t>.</w:t>
            </w:r>
          </w:p>
          <w:p w14:paraId="0273E370" w14:textId="77777777" w:rsidR="00D14114" w:rsidRPr="00256EDC" w:rsidRDefault="00E86C82" w:rsidP="00E83E52">
            <w:r>
              <w:lastRenderedPageBreak/>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t xml:space="preserve">Sutarties numerį ir datą. </w:t>
            </w:r>
            <w:r w:rsidRPr="00CE7DFE">
              <w:t xml:space="preserve">Jeigu </w:t>
            </w:r>
            <w:r w:rsidR="00B9181F">
              <w:rPr>
                <w:b/>
              </w:rPr>
              <w:t>Teikėjas</w:t>
            </w:r>
            <w:r w:rsidRPr="00CE7DFE">
              <w:t xml:space="preserve"> nepateikia sąskaitos informacinės sistemos „E. sąskaita“ priemonėmis, </w:t>
            </w:r>
            <w:r w:rsidRPr="00EE7AD9">
              <w:t>mokėjimas neatliekamas</w:t>
            </w:r>
            <w:r w:rsidRPr="00E86C82">
              <w:t>.</w:t>
            </w:r>
          </w:p>
        </w:tc>
      </w:tr>
      <w:tr w:rsidR="00D14114" w14:paraId="5185B871" w14:textId="77777777" w:rsidTr="001A3760">
        <w:tc>
          <w:tcPr>
            <w:tcW w:w="10368" w:type="dxa"/>
            <w:shd w:val="clear" w:color="auto" w:fill="auto"/>
          </w:tcPr>
          <w:p w14:paraId="2E8E9AE1" w14:textId="77777777" w:rsidR="00D14114" w:rsidRPr="007F0ACB" w:rsidRDefault="00D14114" w:rsidP="001A3760">
            <w:pPr>
              <w:jc w:val="both"/>
              <w:rPr>
                <w:b/>
              </w:rPr>
            </w:pPr>
            <w:r w:rsidRPr="007F0ACB">
              <w:rPr>
                <w:b/>
              </w:rPr>
              <w:lastRenderedPageBreak/>
              <w:t xml:space="preserve">5. Pirkėjo teisė vienašališkai nutraukti Sutartį </w:t>
            </w:r>
          </w:p>
          <w:p w14:paraId="2FD88633" w14:textId="58084653" w:rsidR="00D14114" w:rsidRPr="007F0ACB" w:rsidRDefault="00D14114" w:rsidP="001A3760">
            <w:pPr>
              <w:jc w:val="both"/>
            </w:pPr>
            <w:r w:rsidRPr="007F0ACB">
              <w:t xml:space="preserve">5.1. </w:t>
            </w:r>
            <w:r w:rsidR="00DD4220" w:rsidRPr="007F0ACB">
              <w:rPr>
                <w:b/>
              </w:rPr>
              <w:t>Teikėjui</w:t>
            </w:r>
            <w:r w:rsidR="00DD4220" w:rsidRPr="007F0ACB">
              <w:t xml:space="preserve"> </w:t>
            </w:r>
            <w:r w:rsidR="002B171D" w:rsidRPr="007F0ACB">
              <w:t xml:space="preserve">nesuteikus Sutarties 1 priede numatytos programinės įrangos licencijų prisijungimo kodų, pagal nurodytus kiekius per </w:t>
            </w:r>
            <w:r w:rsidR="00DD4220" w:rsidRPr="007F0ACB">
              <w:t xml:space="preserve">daugiau kaip </w:t>
            </w:r>
            <w:r w:rsidR="00960D97" w:rsidRPr="007F0ACB">
              <w:t>30</w:t>
            </w:r>
            <w:r w:rsidR="00DD4220" w:rsidRPr="007F0ACB">
              <w:t xml:space="preserve"> (</w:t>
            </w:r>
            <w:r w:rsidR="00960D97" w:rsidRPr="007F0ACB">
              <w:t>tris</w:t>
            </w:r>
            <w:r w:rsidR="00DD4220" w:rsidRPr="007F0ACB">
              <w:t xml:space="preserve">dešimt) dienų nuo Sutarties įsigaliojimo dienos, </w:t>
            </w:r>
            <w:r w:rsidR="00DD4220" w:rsidRPr="007F0ACB">
              <w:rPr>
                <w:b/>
              </w:rPr>
              <w:t>Pirkėjas</w:t>
            </w:r>
            <w:r w:rsidR="00DD4220" w:rsidRPr="007F0ACB">
              <w:t xml:space="preserve"> turi teisę Sutarties bendrosios dalies 9.2. punkte nustatyta tvarka Sutartį nutraukti.</w:t>
            </w:r>
          </w:p>
          <w:p w14:paraId="20A131EA" w14:textId="26D2FD56" w:rsidR="00D14114" w:rsidRPr="007F0ACB" w:rsidRDefault="00D14114" w:rsidP="001A3760">
            <w:pPr>
              <w:jc w:val="both"/>
            </w:pPr>
            <w:r w:rsidRPr="007F0ACB">
              <w:t xml:space="preserve">5.2. </w:t>
            </w:r>
            <w:r w:rsidR="00DD4220" w:rsidRPr="007F0ACB">
              <w:rPr>
                <w:b/>
              </w:rPr>
              <w:t>Teikėjui</w:t>
            </w:r>
            <w:r w:rsidR="00DD4220" w:rsidRPr="007F0ACB">
              <w:t xml:space="preserve"> vėluojant teikti paslaugas Sutarties specialiosios dalies 3.</w:t>
            </w:r>
            <w:r w:rsidR="00960D97" w:rsidRPr="007F0ACB">
              <w:t>2</w:t>
            </w:r>
            <w:r w:rsidR="00DD4220" w:rsidRPr="007F0ACB">
              <w:t xml:space="preserve">. papunktyje nustatytais terminais daugiau kaip </w:t>
            </w:r>
            <w:r w:rsidR="00B92DED" w:rsidRPr="007F0ACB">
              <w:t>30 dienų</w:t>
            </w:r>
            <w:r w:rsidR="00DD4220" w:rsidRPr="007F0ACB">
              <w:t xml:space="preserve">, </w:t>
            </w:r>
            <w:r w:rsidR="00DD4220" w:rsidRPr="007F0ACB">
              <w:rPr>
                <w:b/>
              </w:rPr>
              <w:t>Pirkėjas</w:t>
            </w:r>
            <w:r w:rsidR="00DD4220" w:rsidRPr="007F0ACB">
              <w:t xml:space="preserve"> turi teisę Sutarties bendrosios dalies 9.2. punkte nustatyta tvarka Sutartį nutraukti.</w:t>
            </w:r>
          </w:p>
          <w:p w14:paraId="63049A40" w14:textId="77777777" w:rsidR="00D14114" w:rsidRPr="007F0ACB" w:rsidRDefault="00D14114" w:rsidP="001A3760">
            <w:pPr>
              <w:jc w:val="both"/>
            </w:pPr>
            <w:r w:rsidRPr="007F0ACB">
              <w:t>5.3. Kiti vienašalio Sutarties nutraukimo atvejai numatyti Sutarties bendrosios dalies 9.2 punkte.</w:t>
            </w:r>
          </w:p>
          <w:p w14:paraId="429E6496" w14:textId="77777777" w:rsidR="00D14114" w:rsidRPr="007F0ACB" w:rsidRDefault="00D14114" w:rsidP="001A3760">
            <w:pPr>
              <w:jc w:val="both"/>
              <w:rPr>
                <w:b/>
              </w:rPr>
            </w:pPr>
          </w:p>
        </w:tc>
      </w:tr>
      <w:tr w:rsidR="00D14114" w14:paraId="3361CF6D" w14:textId="77777777" w:rsidTr="001A3760">
        <w:tc>
          <w:tcPr>
            <w:tcW w:w="10368" w:type="dxa"/>
            <w:shd w:val="clear" w:color="auto" w:fill="auto"/>
          </w:tcPr>
          <w:p w14:paraId="12019AC0" w14:textId="77777777" w:rsidR="00D14114" w:rsidRPr="007A4D14" w:rsidRDefault="00D14114" w:rsidP="001A3760">
            <w:pPr>
              <w:rPr>
                <w:b/>
              </w:rPr>
            </w:pPr>
            <w:r w:rsidRPr="007A4D14">
              <w:rPr>
                <w:b/>
              </w:rPr>
              <w:t xml:space="preserve">6. Paslaugų kokybė </w:t>
            </w:r>
          </w:p>
          <w:p w14:paraId="629A671A" w14:textId="77777777" w:rsidR="00D14114" w:rsidRPr="00D14114" w:rsidRDefault="00BE3144"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14:paraId="587248DB" w14:textId="77777777" w:rsidR="00D14114" w:rsidRPr="00A84F67" w:rsidRDefault="00D14114" w:rsidP="001A3760">
            <w:pPr>
              <w:jc w:val="both"/>
              <w:rPr>
                <w:b/>
              </w:rPr>
            </w:pPr>
          </w:p>
        </w:tc>
      </w:tr>
      <w:tr w:rsidR="00D14114" w14:paraId="5E53B864" w14:textId="77777777" w:rsidTr="001A3760">
        <w:tc>
          <w:tcPr>
            <w:tcW w:w="10368" w:type="dxa"/>
            <w:shd w:val="clear" w:color="auto" w:fill="auto"/>
          </w:tcPr>
          <w:p w14:paraId="4A5F6895" w14:textId="77777777" w:rsidR="00D14114" w:rsidRPr="00D14114" w:rsidRDefault="00D14114" w:rsidP="001A3760">
            <w:pPr>
              <w:jc w:val="both"/>
              <w:rPr>
                <w:b/>
              </w:rPr>
            </w:pPr>
            <w:r w:rsidRPr="00D14114">
              <w:rPr>
                <w:b/>
              </w:rPr>
              <w:t>7. Garantiniai įsipareigojimai</w:t>
            </w:r>
          </w:p>
          <w:p w14:paraId="493BE9C1" w14:textId="77777777" w:rsidR="0018028E" w:rsidRPr="00D14114" w:rsidRDefault="00190182" w:rsidP="0018028E">
            <w:pPr>
              <w:jc w:val="both"/>
            </w:pPr>
            <w:r w:rsidRPr="00190182">
              <w:t>7</w:t>
            </w:r>
            <w:r>
              <w:t>.1</w:t>
            </w:r>
            <w:r w:rsidRPr="00190182">
              <w:t>.</w:t>
            </w:r>
            <w:r>
              <w:t xml:space="preserve"> </w:t>
            </w:r>
            <w:r w:rsidR="0018028E" w:rsidRPr="006039B3">
              <w:rPr>
                <w:b/>
              </w:rPr>
              <w:t xml:space="preserve"> Teikėjo</w:t>
            </w:r>
            <w:r w:rsidR="0018028E" w:rsidRPr="00D14114">
              <w:t xml:space="preserve"> perduotų paslaugų/prekių garantijos terminas –</w:t>
            </w:r>
            <w:r w:rsidR="0018028E">
              <w:t xml:space="preserve"> </w:t>
            </w:r>
            <w:r w:rsidR="0018028E">
              <w:rPr>
                <w:b/>
              </w:rPr>
              <w:t xml:space="preserve">Teikėjas, </w:t>
            </w:r>
            <w:r w:rsidR="0018028E" w:rsidRPr="00396D42">
              <w:t xml:space="preserve">suteikdamas paslaugas, </w:t>
            </w:r>
            <w:r w:rsidR="0018028E" w:rsidRPr="00571042">
              <w:t>garantuoja Sutarties 2 priede nurodytą programinės įrangos licencijų priežiūros ir palaikymo laikotarpį</w:t>
            </w:r>
            <w:r w:rsidR="0018028E">
              <w:t>.</w:t>
            </w:r>
          </w:p>
          <w:p w14:paraId="1A8371D9" w14:textId="77777777" w:rsidR="0018028E" w:rsidRPr="00D14114" w:rsidRDefault="0018028E" w:rsidP="0018028E">
            <w:pPr>
              <w:jc w:val="both"/>
            </w:pPr>
            <w:r w:rsidRPr="00D14114">
              <w:t xml:space="preserve">7.2. </w:t>
            </w:r>
            <w:r w:rsidRPr="006039B3">
              <w:rPr>
                <w:b/>
              </w:rPr>
              <w:t>Teikėjas</w:t>
            </w:r>
            <w:r w:rsidRPr="00D14114">
              <w:t xml:space="preserve"> po raštiško Pirkėjo pranešimo per </w:t>
            </w:r>
            <w:r w:rsidRPr="005F5364">
              <w:t>5 dienas</w:t>
            </w:r>
            <w:r>
              <w:rPr>
                <w:color w:val="FF0000"/>
              </w:rPr>
              <w:t xml:space="preserve"> </w:t>
            </w:r>
            <w:r w:rsidRPr="00D14114">
              <w:t xml:space="preserve"> turi pašalinti paslaugų teikimo trūkumus bei kompensuoti Pirkėjo patirtus nuostolius (jeigu tokie buvo).</w:t>
            </w:r>
          </w:p>
          <w:p w14:paraId="3FB3586A" w14:textId="77777777" w:rsidR="00D14114" w:rsidRPr="00A84F67" w:rsidRDefault="00D14114" w:rsidP="0018028E">
            <w:pPr>
              <w:jc w:val="both"/>
              <w:rPr>
                <w:b/>
              </w:rPr>
            </w:pPr>
          </w:p>
        </w:tc>
      </w:tr>
      <w:tr w:rsidR="00D14114" w14:paraId="1629344A" w14:textId="77777777" w:rsidTr="00551BC4">
        <w:trPr>
          <w:trHeight w:val="689"/>
        </w:trPr>
        <w:tc>
          <w:tcPr>
            <w:tcW w:w="10368" w:type="dxa"/>
            <w:shd w:val="clear" w:color="auto" w:fill="auto"/>
          </w:tcPr>
          <w:p w14:paraId="1A6F15C0" w14:textId="77777777" w:rsidR="00551BC4" w:rsidRDefault="00D14114" w:rsidP="00E7224B">
            <w:pPr>
              <w:spacing w:after="200"/>
              <w:contextualSpacing/>
              <w:jc w:val="both"/>
              <w:rPr>
                <w:rFonts w:eastAsia="Calibri"/>
                <w:lang w:eastAsia="en-US"/>
              </w:rPr>
            </w:pPr>
            <w:r w:rsidRPr="00354A22">
              <w:rPr>
                <w:b/>
              </w:rPr>
              <w:t>8</w:t>
            </w:r>
            <w:r w:rsidRPr="00121237">
              <w:rPr>
                <w:b/>
              </w:rPr>
              <w:t xml:space="preserve">. </w:t>
            </w:r>
            <w:r w:rsidRPr="00D14114">
              <w:rPr>
                <w:b/>
              </w:rPr>
              <w:t>Papildomas prievolių įvykdymo užtikrinimas</w:t>
            </w:r>
          </w:p>
          <w:p w14:paraId="7D2E6B75" w14:textId="77777777" w:rsidR="00C559E3" w:rsidRDefault="006A1B25" w:rsidP="00E7224B">
            <w:pPr>
              <w:spacing w:after="200"/>
              <w:contextualSpacing/>
              <w:jc w:val="both"/>
            </w:pPr>
            <w:r w:rsidRPr="006A1B25">
              <w:rPr>
                <w:rFonts w:eastAsia="Calibri"/>
                <w:lang w:eastAsia="en-US"/>
              </w:rPr>
              <w:t>8.</w:t>
            </w:r>
            <w:r w:rsidR="00E7224B" w:rsidRPr="006A1B25" w:rsidDel="00E7224B">
              <w:rPr>
                <w:rFonts w:eastAsia="Calibri"/>
                <w:lang w:eastAsia="en-US"/>
              </w:rPr>
              <w:t xml:space="preserve"> </w:t>
            </w:r>
            <w:r w:rsidR="00E7224B" w:rsidRPr="00D14114">
              <w:t xml:space="preserve"> Sutarties įvykdymui užtikrinti draudimo bendrovės laidavimo rašto arba banko garantijos nebus reikalaujama.</w:t>
            </w:r>
          </w:p>
          <w:p w14:paraId="3FF431D9" w14:textId="34E98209" w:rsidR="00551BC4" w:rsidRPr="007A4D14" w:rsidRDefault="00551BC4" w:rsidP="00E7224B">
            <w:pPr>
              <w:spacing w:after="200"/>
              <w:contextualSpacing/>
              <w:jc w:val="both"/>
              <w:rPr>
                <w:b/>
                <w:color w:val="FF0000"/>
              </w:rPr>
            </w:pPr>
          </w:p>
        </w:tc>
      </w:tr>
      <w:tr w:rsidR="00D14114" w14:paraId="5F422B64" w14:textId="77777777" w:rsidTr="002B171D">
        <w:trPr>
          <w:trHeight w:val="1040"/>
        </w:trPr>
        <w:tc>
          <w:tcPr>
            <w:tcW w:w="10368" w:type="dxa"/>
            <w:shd w:val="clear" w:color="auto" w:fill="auto"/>
          </w:tcPr>
          <w:p w14:paraId="45C7C849" w14:textId="77777777" w:rsidR="00D14114" w:rsidRPr="007A4D14" w:rsidRDefault="00D14114" w:rsidP="001A3760">
            <w:pPr>
              <w:jc w:val="both"/>
              <w:rPr>
                <w:b/>
              </w:rPr>
            </w:pPr>
            <w:r w:rsidRPr="007A4D14">
              <w:rPr>
                <w:b/>
              </w:rPr>
              <w:t>9. Kitos sąlygos</w:t>
            </w:r>
          </w:p>
          <w:p w14:paraId="1C5B6459" w14:textId="77777777" w:rsidR="00D14114" w:rsidRPr="00D14114" w:rsidRDefault="00D14114" w:rsidP="001A3760">
            <w:pPr>
              <w:jc w:val="both"/>
            </w:pPr>
            <w:r w:rsidRPr="00D14114">
              <w:t xml:space="preserve">9.1. </w:t>
            </w:r>
            <w:r w:rsidR="00BF4176" w:rsidRPr="00D14114">
              <w:t xml:space="preserve">Sutarties bendrosios dalies 11.1 punkte nurodytų Šalių iš anksto sutartų minimalių nuostolių dydis yra </w:t>
            </w:r>
            <w:r w:rsidR="00BF4176">
              <w:t>–</w:t>
            </w:r>
            <w:r w:rsidR="00BF4176" w:rsidRPr="00D14114">
              <w:t xml:space="preserve"> </w:t>
            </w:r>
            <w:r w:rsidR="00BF4176">
              <w:t xml:space="preserve">0,05 procento dydžio nuo paslaugų, kurių trūkumai neištaisyti, kainos be PVM už kiekvieną uždelstą dieną. </w:t>
            </w:r>
          </w:p>
          <w:p w14:paraId="79257D46" w14:textId="5DDD8B51" w:rsidR="00D14114" w:rsidRPr="00D14114" w:rsidRDefault="00D14114" w:rsidP="001A3760">
            <w:pPr>
              <w:jc w:val="both"/>
            </w:pPr>
            <w:r w:rsidRPr="00D14114">
              <w:t xml:space="preserve">9.2. </w:t>
            </w:r>
            <w:r w:rsidR="00BF4176" w:rsidRPr="00D14114">
              <w:t>Sutarties bendrosios dalies 11.2 punkte nurodytų Šalių iš anksto sutartų minimalių nuostolių dydis yra</w:t>
            </w:r>
            <w:r w:rsidR="00BF4176">
              <w:t xml:space="preserve"> </w:t>
            </w:r>
            <w:r w:rsidR="0096382A">
              <w:t xml:space="preserve">632,67 Eur (šeši šimtai trisdešimt du </w:t>
            </w:r>
            <w:r w:rsidR="008C233D">
              <w:t>e</w:t>
            </w:r>
            <w:r w:rsidR="0096382A">
              <w:t xml:space="preserve">urai, 67 centai) </w:t>
            </w:r>
            <w:r w:rsidR="00BF4176">
              <w:t xml:space="preserve">7 (septyni) procentai </w:t>
            </w:r>
            <w:r w:rsidR="00BF4176" w:rsidRPr="00D14114">
              <w:rPr>
                <w:bCs/>
              </w:rPr>
              <w:t xml:space="preserve">nuo </w:t>
            </w:r>
            <w:r w:rsidR="00BF4176">
              <w:rPr>
                <w:bCs/>
              </w:rPr>
              <w:t xml:space="preserve">bendros </w:t>
            </w:r>
            <w:r w:rsidR="00BF4176" w:rsidRPr="00D14114">
              <w:rPr>
                <w:bCs/>
              </w:rPr>
              <w:t>Sutarties kainos</w:t>
            </w:r>
            <w:r w:rsidR="00BF4176" w:rsidRPr="001E58A3">
              <w:rPr>
                <w:b/>
                <w:bCs/>
              </w:rPr>
              <w:t xml:space="preserve"> </w:t>
            </w:r>
            <w:r w:rsidR="00BF4176" w:rsidRPr="001E58A3">
              <w:rPr>
                <w:bCs/>
              </w:rPr>
              <w:t>be PVM.</w:t>
            </w:r>
          </w:p>
          <w:p w14:paraId="2E43E98E" w14:textId="246AA02F" w:rsidR="00D14114" w:rsidRPr="00D14114" w:rsidRDefault="00D14114" w:rsidP="001A3760">
            <w:pPr>
              <w:jc w:val="both"/>
            </w:pPr>
            <w:r w:rsidRPr="00D14114">
              <w:t xml:space="preserve">9.3. </w:t>
            </w:r>
            <w:r w:rsidR="00BF4176" w:rsidRPr="00D14114">
              <w:t>Sutarties bendrosios dalies 11.</w:t>
            </w:r>
            <w:r w:rsidR="00BF4176">
              <w:t>3</w:t>
            </w:r>
            <w:r w:rsidR="00BF4176" w:rsidRPr="00D14114">
              <w:t xml:space="preserve"> punkte numatytų Šalių iš anksto sutartų minimalių nuostolių dydis –</w:t>
            </w:r>
            <w:r w:rsidR="00BF4176">
              <w:t xml:space="preserve"> </w:t>
            </w:r>
            <w:r w:rsidR="008A091A" w:rsidRPr="008A091A">
              <w:t>10 (dešim</w:t>
            </w:r>
            <w:r w:rsidR="008A091A">
              <w:t>t</w:t>
            </w:r>
            <w:r w:rsidR="008A091A" w:rsidRPr="008A091A">
              <w:t>) procentų nuo nesuteiktų ar nekokybiškai suteiktų paslaugų kainos be PVM</w:t>
            </w:r>
            <w:r w:rsidR="00BF4176">
              <w:t xml:space="preserve">, </w:t>
            </w:r>
            <w:r w:rsidR="00BF4176" w:rsidRPr="009768BA">
              <w:t>bet ne daugiau kaip neįvykdytų įsipareigojimų vertė</w:t>
            </w:r>
            <w:r w:rsidR="00A41B92">
              <w:t xml:space="preserve">. </w:t>
            </w:r>
            <w:r w:rsidR="00BF4176" w:rsidRPr="009768BA">
              <w:t xml:space="preserve"> </w:t>
            </w:r>
          </w:p>
          <w:p w14:paraId="7E63C1A0" w14:textId="77777777" w:rsidR="00D14114" w:rsidRDefault="00E6390D" w:rsidP="001A3760">
            <w:pPr>
              <w:jc w:val="both"/>
            </w:pPr>
            <w:r>
              <w:t>9.4</w:t>
            </w:r>
            <w:r w:rsidR="00D14114" w:rsidRPr="00D14114">
              <w:t>. Nenugalimos jėgos aplinkybių trukmė –</w:t>
            </w:r>
            <w:r w:rsidR="00BF4176">
              <w:t xml:space="preserve"> 30 (trisdešimt) </w:t>
            </w:r>
            <w:r w:rsidR="00D14114" w:rsidRPr="00D14114">
              <w:t>dienų, taikant Sutarties bendrosios dalies 9.1.2 punkto sąlygas.</w:t>
            </w:r>
          </w:p>
          <w:p w14:paraId="54081D8C" w14:textId="64D6618E" w:rsidR="003F755B" w:rsidRPr="00D14114" w:rsidRDefault="003F755B" w:rsidP="001A3760">
            <w:pPr>
              <w:jc w:val="both"/>
            </w:pPr>
            <w:r>
              <w:t xml:space="preserve">9.5. </w:t>
            </w:r>
            <w:r>
              <w:rPr>
                <w:b/>
              </w:rPr>
              <w:t>Teikėjas</w:t>
            </w:r>
            <w:r>
              <w:t xml:space="preserve"> šiai Sutarčiai vykdyti pasitelks subtiekėją (-us): </w:t>
            </w:r>
            <w:r>
              <w:rPr>
                <w:b/>
              </w:rPr>
              <w:t>Teikėjas</w:t>
            </w:r>
            <w:r>
              <w:t xml:space="preserve"> šiai Sutarčiai vykdyti subtiekėjo (-ų) nepasitelks</w:t>
            </w:r>
            <w:r w:rsidR="008C233D">
              <w:t>.</w:t>
            </w:r>
          </w:p>
          <w:p w14:paraId="7DEF46D9" w14:textId="19A489B1" w:rsidR="00003E1E" w:rsidRPr="00A003BE" w:rsidRDefault="00E6390D" w:rsidP="00003E1E">
            <w:pPr>
              <w:spacing w:line="300" w:lineRule="atLeast"/>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r w:rsidR="00003E1E" w:rsidRPr="00A003BE">
              <w:t xml:space="preserve"> UAB „Novian Technologies“ centralizuotų pardavimų ir operacijų skyriaus vadovas Valdimaras Anickis, tel.: 861413621, el.p. V.Anickis@novian.lt  (mailto:V.Anickis@novian.lt)</w:t>
            </w:r>
          </w:p>
          <w:p w14:paraId="27146FC4" w14:textId="4D185543" w:rsidR="00EE174D" w:rsidRPr="00A003BE" w:rsidRDefault="00E6390D" w:rsidP="00EE174D">
            <w:pPr>
              <w:ind w:right="113"/>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w:t>
            </w:r>
            <w:r w:rsidR="00BF4176" w:rsidRPr="00D14114">
              <w:t>–</w:t>
            </w:r>
            <w:r w:rsidR="00D14114" w:rsidRPr="00D14114">
              <w:t xml:space="preserve"> </w:t>
            </w:r>
            <w:r w:rsidR="00EE174D" w:rsidRPr="00A003BE">
              <w:t xml:space="preserve">ITT prie KAM  Administracinio departamento Bendrųjų reikalų skyriaus vyresnysis specialistas vyr. srž. Edvardas Matiušonok, el. paštas: </w:t>
            </w:r>
            <w:hyperlink r:id="rId8" w:history="1">
              <w:r w:rsidR="00EE174D" w:rsidRPr="00A003BE">
                <w:rPr>
                  <w:rStyle w:val="Hyperlink"/>
                  <w:color w:val="auto"/>
                </w:rPr>
                <w:t>edvardas.matiusonok@kam.lt</w:t>
              </w:r>
            </w:hyperlink>
            <w:r w:rsidR="00EE174D" w:rsidRPr="00A003BE">
              <w:t xml:space="preserve">,  tel. Nr. </w:t>
            </w:r>
            <w:r w:rsidR="00EE174D" w:rsidRPr="00A003BE">
              <w:rPr>
                <w:shd w:val="clear" w:color="auto" w:fill="FFFFFF"/>
              </w:rPr>
              <w:t>+370 680 62 765</w:t>
            </w:r>
            <w:r w:rsidR="00EE174D">
              <w:rPr>
                <w:shd w:val="clear" w:color="auto" w:fill="FFFFFF"/>
              </w:rPr>
              <w:t>.</w:t>
            </w:r>
          </w:p>
          <w:p w14:paraId="490D6410" w14:textId="49AFB420" w:rsidR="00F82CA9" w:rsidRPr="00A003BE" w:rsidRDefault="00E6390D" w:rsidP="00F82CA9">
            <w:pPr>
              <w:ind w:right="113"/>
              <w:jc w:val="both"/>
            </w:pPr>
            <w:r>
              <w:t>9.</w:t>
            </w:r>
            <w:r w:rsidR="003F755B">
              <w:t>8</w:t>
            </w:r>
            <w:r w:rsidR="00D14114" w:rsidRPr="00D14114">
              <w:t xml:space="preserve">. </w:t>
            </w:r>
            <w:r w:rsidR="003F755B">
              <w:t>A</w:t>
            </w:r>
            <w:r w:rsidR="003F755B">
              <w:rPr>
                <w:color w:val="000000"/>
              </w:rPr>
              <w:t>smuo, atsakingas už Sutarties ir pakeitimų paskelbimą</w:t>
            </w:r>
            <w:r w:rsidR="00BF4176">
              <w:rPr>
                <w:i/>
                <w:color w:val="000000"/>
              </w:rPr>
              <w:t xml:space="preserve"> </w:t>
            </w:r>
            <w:r w:rsidR="00CB6354" w:rsidRPr="00CB6354">
              <w:rPr>
                <w:color w:val="000000"/>
              </w:rPr>
              <w:t xml:space="preserve">– </w:t>
            </w:r>
            <w:r w:rsidR="00F82CA9" w:rsidRPr="00A003BE">
              <w:t xml:space="preserve">ITT prie KAM  Administracinio departamento Pirkimų skyriaus  vyresnioji specialistė kpt. Rita Kazlauskienė, el. paštas: </w:t>
            </w:r>
            <w:hyperlink r:id="rId9" w:history="1">
              <w:r w:rsidR="00F82CA9" w:rsidRPr="00A003BE">
                <w:rPr>
                  <w:rStyle w:val="Hyperlink"/>
                  <w:color w:val="auto"/>
                </w:rPr>
                <w:t>rita.kazlauskiene@kam.lt</w:t>
              </w:r>
            </w:hyperlink>
            <w:r w:rsidR="00F82CA9" w:rsidRPr="00A003BE">
              <w:t xml:space="preserve">,  tel. </w:t>
            </w:r>
            <w:r w:rsidR="00EE174D">
              <w:t>N</w:t>
            </w:r>
            <w:r w:rsidR="00F82CA9" w:rsidRPr="00A003BE">
              <w:t xml:space="preserve">r. </w:t>
            </w:r>
            <w:r w:rsidR="00F82CA9" w:rsidRPr="00A003BE">
              <w:rPr>
                <w:shd w:val="clear" w:color="auto" w:fill="FFFFFF"/>
              </w:rPr>
              <w:t>+370 706 82 261</w:t>
            </w:r>
            <w:r w:rsidR="00EE174D">
              <w:rPr>
                <w:shd w:val="clear" w:color="auto" w:fill="FFFFFF"/>
              </w:rPr>
              <w:t>.</w:t>
            </w:r>
          </w:p>
          <w:p w14:paraId="1D909A4F" w14:textId="77777777" w:rsidR="0044016F" w:rsidRDefault="003F755B" w:rsidP="001A3760">
            <w:pPr>
              <w:jc w:val="both"/>
            </w:pPr>
            <w:r>
              <w:t>9.9</w:t>
            </w:r>
            <w:r w:rsidR="0044016F">
              <w:t xml:space="preserve">. </w:t>
            </w:r>
            <w:r w:rsidRPr="00D14114">
              <w:t>Sutarties priedai:</w:t>
            </w:r>
          </w:p>
          <w:p w14:paraId="4F7C9DBE" w14:textId="6AFE0681" w:rsidR="00BF4176" w:rsidRPr="00926DA2" w:rsidRDefault="00BF4176" w:rsidP="00BF4176">
            <w:pPr>
              <w:shd w:val="clear" w:color="auto" w:fill="FFFFFF"/>
              <w:jc w:val="both"/>
            </w:pPr>
            <w:r w:rsidRPr="00926DA2">
              <w:t>9.</w:t>
            </w:r>
            <w:r>
              <w:t>9</w:t>
            </w:r>
            <w:r w:rsidRPr="00926DA2">
              <w:t>.1. 1 priedas „</w:t>
            </w:r>
            <w:r w:rsidR="00A41B92" w:rsidRPr="005F1BF7">
              <w:t>Paslaugų kiekiai ir įkainiai</w:t>
            </w:r>
            <w:r w:rsidRPr="00926DA2">
              <w:t xml:space="preserve">“, </w:t>
            </w:r>
            <w:r>
              <w:t xml:space="preserve"> </w:t>
            </w:r>
            <w:r w:rsidR="00B47581">
              <w:t xml:space="preserve">1 </w:t>
            </w:r>
            <w:r>
              <w:t>lapas</w:t>
            </w:r>
            <w:r w:rsidRPr="00926DA2">
              <w:t>.</w:t>
            </w:r>
          </w:p>
          <w:p w14:paraId="280B943A" w14:textId="78475A5A" w:rsidR="00D14114" w:rsidRPr="00A84F67" w:rsidRDefault="00BF4176" w:rsidP="00972253">
            <w:pPr>
              <w:jc w:val="both"/>
              <w:rPr>
                <w:b/>
              </w:rPr>
            </w:pPr>
            <w:r w:rsidRPr="00926DA2">
              <w:t>9.</w:t>
            </w:r>
            <w:r>
              <w:t>9</w:t>
            </w:r>
            <w:r w:rsidRPr="00926DA2">
              <w:t xml:space="preserve">.2. 2 priedas </w:t>
            </w:r>
            <w:r w:rsidR="00A41B92" w:rsidRPr="00A607CF">
              <w:t>„</w:t>
            </w:r>
            <w:r w:rsidR="00A41B92">
              <w:rPr>
                <w:color w:val="000000"/>
              </w:rPr>
              <w:t xml:space="preserve">Programinės įrangos licencijų pratęsimo </w:t>
            </w:r>
            <w:r w:rsidR="00A41B92" w:rsidRPr="00A607CF">
              <w:t>paslaugų techninė specifikacija</w:t>
            </w:r>
            <w:r w:rsidRPr="00926DA2">
              <w:t>“,</w:t>
            </w:r>
            <w:r w:rsidRPr="000D61D0">
              <w:rPr>
                <w:color w:val="FF0000"/>
              </w:rPr>
              <w:t xml:space="preserve"> </w:t>
            </w:r>
            <w:r w:rsidR="00B47581">
              <w:rPr>
                <w:color w:val="FF0000"/>
              </w:rPr>
              <w:t>2</w:t>
            </w:r>
            <w:r w:rsidRPr="00BD36A3">
              <w:t xml:space="preserve"> lapai.</w:t>
            </w:r>
          </w:p>
        </w:tc>
      </w:tr>
      <w:tr w:rsidR="00D14114" w14:paraId="7DB83D0E" w14:textId="77777777" w:rsidTr="001A3760">
        <w:trPr>
          <w:trHeight w:val="573"/>
        </w:trPr>
        <w:tc>
          <w:tcPr>
            <w:tcW w:w="10368" w:type="dxa"/>
            <w:shd w:val="clear" w:color="auto" w:fill="auto"/>
          </w:tcPr>
          <w:p w14:paraId="08878F9F"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539D76A4" w14:textId="61175AC1" w:rsidR="00192AB9" w:rsidRDefault="00D14114" w:rsidP="00204C0D">
            <w:pPr>
              <w:tabs>
                <w:tab w:val="left" w:pos="0"/>
              </w:tabs>
              <w:jc w:val="both"/>
              <w:rPr>
                <w:bCs/>
              </w:rPr>
            </w:pPr>
            <w:r w:rsidRPr="00D14114">
              <w:rPr>
                <w:bCs/>
              </w:rPr>
              <w:t xml:space="preserve">10.1. </w:t>
            </w:r>
            <w:r w:rsidR="00192AB9" w:rsidRPr="00D14114">
              <w:rPr>
                <w:bCs/>
              </w:rPr>
              <w:t>Sutartis galioja</w:t>
            </w:r>
            <w:r w:rsidR="00192AB9">
              <w:rPr>
                <w:bCs/>
              </w:rPr>
              <w:t xml:space="preserve"> </w:t>
            </w:r>
            <w:r w:rsidR="00204C0D" w:rsidRPr="00204C0D">
              <w:rPr>
                <w:bCs/>
              </w:rPr>
              <w:t>nuo Sutarties įsigaliojimo dienos</w:t>
            </w:r>
            <w:r w:rsidR="00EE1771">
              <w:rPr>
                <w:bCs/>
              </w:rPr>
              <w:t xml:space="preserve"> </w:t>
            </w:r>
            <w:r w:rsidR="00EE1771">
              <w:t>iki 2024 m. rugpjūčio 12 d.</w:t>
            </w:r>
            <w:r w:rsidR="00192AB9">
              <w:rPr>
                <w:bCs/>
              </w:rPr>
              <w:t>, o finansinių ir garantinių įsipareigojimų atžvilgiu – iki visiško šių įsipareigojimų įvykdymo.</w:t>
            </w:r>
          </w:p>
          <w:p w14:paraId="7707B503" w14:textId="77777777" w:rsidR="00D14114" w:rsidRPr="00A84F67" w:rsidRDefault="00D14114" w:rsidP="00FA27FD">
            <w:pPr>
              <w:rPr>
                <w:b/>
              </w:rPr>
            </w:pPr>
          </w:p>
        </w:tc>
      </w:tr>
      <w:tr w:rsidR="00D14114" w14:paraId="3D1BD3A2" w14:textId="77777777" w:rsidTr="001A3760">
        <w:trPr>
          <w:trHeight w:val="695"/>
        </w:trPr>
        <w:tc>
          <w:tcPr>
            <w:tcW w:w="10368" w:type="dxa"/>
            <w:shd w:val="clear" w:color="auto" w:fill="auto"/>
          </w:tcPr>
          <w:p w14:paraId="200B43CA" w14:textId="77777777" w:rsidR="00D14114" w:rsidRPr="007A4D14" w:rsidRDefault="00D14114" w:rsidP="001A3760">
            <w:pPr>
              <w:rPr>
                <w:b/>
              </w:rPr>
            </w:pPr>
            <w:r w:rsidRPr="007A4D14">
              <w:rPr>
                <w:b/>
              </w:rPr>
              <w:t>11. Pirkėjo rekvizitai</w:t>
            </w:r>
          </w:p>
          <w:p w14:paraId="6B34600A" w14:textId="77777777" w:rsidR="00CB6354" w:rsidRPr="005A45BE" w:rsidRDefault="00CB6354" w:rsidP="00054F84">
            <w:r w:rsidRPr="005A45BE">
              <w:rPr>
                <w:color w:val="000000"/>
              </w:rPr>
              <w:t>Informacinių technologijų</w:t>
            </w:r>
            <w:r w:rsidRPr="005A45BE">
              <w:t xml:space="preserve"> tarnyba prie Krašto apsaugos ministerijos</w:t>
            </w:r>
          </w:p>
          <w:p w14:paraId="535560A9" w14:textId="77777777" w:rsidR="00CB6354" w:rsidRPr="005A45BE" w:rsidRDefault="00CB6354" w:rsidP="00054F84">
            <w:r w:rsidRPr="005A45BE">
              <w:t>Kodas 191823126</w:t>
            </w:r>
          </w:p>
          <w:p w14:paraId="0D6A0525" w14:textId="77777777" w:rsidR="00CB6354" w:rsidRPr="005A45BE" w:rsidRDefault="00CB6354" w:rsidP="00054F84">
            <w:pPr>
              <w:rPr>
                <w:lang w:val="en-US"/>
              </w:rPr>
            </w:pPr>
            <w:r w:rsidRPr="005A45BE">
              <w:t>Šilo g. 5A, LT-10322 Vilnius</w:t>
            </w:r>
          </w:p>
          <w:p w14:paraId="37541670" w14:textId="77777777" w:rsidR="00CB6354" w:rsidRPr="005A45BE" w:rsidRDefault="00CB6354" w:rsidP="00054F84">
            <w:r w:rsidRPr="005A45BE">
              <w:t xml:space="preserve">AB SEB bankas, banko kodas 70440 </w:t>
            </w:r>
          </w:p>
          <w:p w14:paraId="2FED90CB" w14:textId="77777777" w:rsidR="00CB6354" w:rsidRPr="005A45BE" w:rsidRDefault="00CB6354" w:rsidP="00054F84">
            <w:r w:rsidRPr="005A45BE">
              <w:t>a.s. LT88 7044 0600 0638 4800</w:t>
            </w:r>
          </w:p>
          <w:p w14:paraId="47D887E0" w14:textId="77777777" w:rsidR="00CB6354" w:rsidRPr="005A45BE" w:rsidRDefault="00CB6354" w:rsidP="00054F84">
            <w:r w:rsidRPr="005A45BE">
              <w:t>Tel. +370 5 273 5751</w:t>
            </w:r>
          </w:p>
          <w:p w14:paraId="58E164D4" w14:textId="77777777" w:rsidR="00CB6354" w:rsidRPr="005A45BE" w:rsidRDefault="00CB6354" w:rsidP="00054F84">
            <w:r w:rsidRPr="005A45BE">
              <w:t>Faksas +370 5 2735555</w:t>
            </w:r>
          </w:p>
          <w:p w14:paraId="59E60BA8" w14:textId="77777777" w:rsidR="00D14114" w:rsidRPr="005A45BE" w:rsidRDefault="00CB6354" w:rsidP="00054F84">
            <w:pPr>
              <w:jc w:val="both"/>
            </w:pPr>
            <w:r w:rsidRPr="005A45BE">
              <w:t xml:space="preserve">El. paštas: </w:t>
            </w:r>
            <w:hyperlink r:id="rId10" w:history="1">
              <w:r w:rsidRPr="005A45BE">
                <w:rPr>
                  <w:rStyle w:val="Hyperlink"/>
                </w:rPr>
                <w:t>itt@kam.lt</w:t>
              </w:r>
            </w:hyperlink>
          </w:p>
          <w:p w14:paraId="695A026C" w14:textId="77777777" w:rsidR="00CB6354" w:rsidRPr="007D463B" w:rsidRDefault="00CB6354" w:rsidP="00CB6354">
            <w:pPr>
              <w:jc w:val="both"/>
            </w:pPr>
          </w:p>
        </w:tc>
      </w:tr>
      <w:tr w:rsidR="00D14114" w14:paraId="3DA91FEF" w14:textId="77777777" w:rsidTr="001A3760">
        <w:trPr>
          <w:trHeight w:val="695"/>
        </w:trPr>
        <w:tc>
          <w:tcPr>
            <w:tcW w:w="10368" w:type="dxa"/>
            <w:shd w:val="clear" w:color="auto" w:fill="auto"/>
          </w:tcPr>
          <w:p w14:paraId="3E36616F" w14:textId="77777777" w:rsidR="00034E0A" w:rsidRPr="00A003BE" w:rsidRDefault="00034E0A" w:rsidP="00034E0A">
            <w:pPr>
              <w:rPr>
                <w:b/>
              </w:rPr>
            </w:pPr>
            <w:r w:rsidRPr="00A003BE">
              <w:rPr>
                <w:b/>
              </w:rPr>
              <w:t>12. Teikėjo rekvizitai</w:t>
            </w:r>
          </w:p>
          <w:p w14:paraId="6C9C27A0" w14:textId="4744C407" w:rsidR="00D14114" w:rsidRPr="007D463B" w:rsidRDefault="00034E0A" w:rsidP="00034E0A">
            <w:r w:rsidRPr="00A003BE">
              <w:t>Pateikiame įmonės rekvizitus:</w:t>
            </w:r>
            <w:r w:rsidRPr="00A003BE">
              <w:br/>
              <w:t>UAB „Novian Technologies“</w:t>
            </w:r>
            <w:r w:rsidRPr="00A003BE">
              <w:br/>
              <w:t>Gynėjų g. 14, LT-01109 Vilnius</w:t>
            </w:r>
            <w:r w:rsidRPr="00A003BE">
              <w:br/>
              <w:t>Įm.k. 301318539</w:t>
            </w:r>
            <w:r w:rsidRPr="00A003BE">
              <w:br/>
              <w:t>PVM LT10003654017</w:t>
            </w:r>
            <w:r w:rsidRPr="00A003BE">
              <w:br/>
              <w:t>A.s. LT947290099010593379</w:t>
            </w:r>
            <w:r w:rsidRPr="00A003BE">
              <w:br/>
              <w:t>AS „Citadele banka“ Lietuvos filialas</w:t>
            </w:r>
            <w:r w:rsidRPr="00A003BE">
              <w:br/>
              <w:t>Tel.: 852190000</w:t>
            </w:r>
            <w:r w:rsidRPr="00A003BE">
              <w:br/>
              <w:t>El.p. Info.technologies@novian.lt</w:t>
            </w:r>
          </w:p>
        </w:tc>
      </w:tr>
    </w:tbl>
    <w:p w14:paraId="1C3AE294" w14:textId="77777777" w:rsidR="00BB5EA8" w:rsidRDefault="00BB5EA8" w:rsidP="00D14114">
      <w:pPr>
        <w:pStyle w:val="BodyText1"/>
        <w:ind w:firstLine="0"/>
        <w:rPr>
          <w:rFonts w:ascii="Times New Roman" w:eastAsia="Times New Roman" w:hAnsi="Times New Roman"/>
          <w:b/>
          <w:lang w:val="lt-LT" w:eastAsia="en-US"/>
        </w:rPr>
      </w:pPr>
    </w:p>
    <w:p w14:paraId="1A12F793" w14:textId="77777777" w:rsidR="00BB5EA8" w:rsidRDefault="00BB5EA8" w:rsidP="00D14114">
      <w:pPr>
        <w:pStyle w:val="BodyText1"/>
        <w:ind w:firstLine="0"/>
        <w:rPr>
          <w:rFonts w:ascii="Times New Roman" w:eastAsia="Times New Roman" w:hAnsi="Times New Roman"/>
          <w:b/>
          <w:lang w:val="lt-LT" w:eastAsia="en-US"/>
        </w:rPr>
      </w:pPr>
    </w:p>
    <w:p w14:paraId="66104B95" w14:textId="77777777" w:rsidR="0073059B" w:rsidRPr="00A003BE" w:rsidRDefault="0073059B" w:rsidP="0073059B">
      <w:pPr>
        <w:pStyle w:val="BodyText1"/>
        <w:ind w:firstLine="0"/>
        <w:rPr>
          <w:rFonts w:ascii="Times New Roman" w:hAnsi="Times New Roman"/>
          <w:b/>
          <w:sz w:val="24"/>
          <w:szCs w:val="24"/>
          <w:lang w:val="lt-LT"/>
        </w:rPr>
      </w:pPr>
      <w:r w:rsidRPr="00A003BE">
        <w:rPr>
          <w:rFonts w:ascii="Times New Roman" w:hAnsi="Times New Roman"/>
          <w:b/>
          <w:sz w:val="24"/>
          <w:szCs w:val="24"/>
          <w:lang w:val="lt-LT"/>
        </w:rPr>
        <w:t>PIRKĖJAS</w:t>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t xml:space="preserve">       </w:t>
      </w:r>
      <w:r w:rsidRPr="00A003BE">
        <w:rPr>
          <w:rFonts w:ascii="Times New Roman" w:hAnsi="Times New Roman"/>
          <w:b/>
          <w:sz w:val="24"/>
          <w:szCs w:val="24"/>
          <w:lang w:val="lt-LT"/>
        </w:rPr>
        <w:tab/>
        <w:t xml:space="preserve">         TEIKĖJAS</w:t>
      </w:r>
    </w:p>
    <w:p w14:paraId="1A307344" w14:textId="77777777" w:rsidR="0073059B" w:rsidRPr="00A003BE" w:rsidRDefault="0073059B" w:rsidP="0073059B">
      <w:pPr>
        <w:tabs>
          <w:tab w:val="left" w:pos="6248"/>
        </w:tabs>
      </w:pPr>
      <w:r w:rsidRPr="00A003BE">
        <w:t xml:space="preserve">Informacinių technologijų tarnybos prie </w:t>
      </w:r>
      <w:r w:rsidRPr="00A003BE">
        <w:tab/>
      </w:r>
      <w:r w:rsidRPr="00A003BE">
        <w:tab/>
        <w:t xml:space="preserve">         UAB „Novian Technologies“</w:t>
      </w:r>
    </w:p>
    <w:p w14:paraId="4FC2ACE7" w14:textId="77777777" w:rsidR="0073059B" w:rsidRPr="00A003BE" w:rsidRDefault="0073059B" w:rsidP="0073059B">
      <w:pPr>
        <w:tabs>
          <w:tab w:val="left" w:pos="6261"/>
        </w:tabs>
      </w:pPr>
      <w:r w:rsidRPr="00A003BE">
        <w:t>Krašto apsaugos ministerijos</w:t>
      </w:r>
      <w:r w:rsidRPr="00A003BE">
        <w:tab/>
      </w:r>
    </w:p>
    <w:p w14:paraId="7A6FF268" w14:textId="585D4878" w:rsidR="0073059B" w:rsidRPr="00A003BE" w:rsidRDefault="0073059B" w:rsidP="0073059B">
      <w:pPr>
        <w:tabs>
          <w:tab w:val="left" w:pos="6261"/>
        </w:tabs>
      </w:pPr>
      <w:r w:rsidRPr="00A003BE">
        <w:t>Direktorius</w:t>
      </w:r>
      <w:r w:rsidRPr="00A003BE">
        <w:tab/>
      </w:r>
      <w:r w:rsidRPr="00A003BE">
        <w:tab/>
        <w:t xml:space="preserve">         </w:t>
      </w:r>
      <w:r w:rsidR="00DE1795">
        <w:t>Generalinis direktorius</w:t>
      </w:r>
    </w:p>
    <w:p w14:paraId="33B36D7A" w14:textId="4102902C" w:rsidR="0073059B" w:rsidRPr="00A003BE" w:rsidRDefault="0073059B" w:rsidP="0073059B">
      <w:pPr>
        <w:tabs>
          <w:tab w:val="left" w:pos="6261"/>
        </w:tabs>
      </w:pPr>
      <w:r w:rsidRPr="00A003BE">
        <w:t>Plk. ltn. Saulius Juškevičius</w:t>
      </w:r>
      <w:r w:rsidRPr="00A003BE">
        <w:tab/>
      </w:r>
      <w:r w:rsidRPr="00A003BE">
        <w:tab/>
        <w:t xml:space="preserve">         </w:t>
      </w:r>
      <w:r w:rsidR="00DE1795">
        <w:t>Gytis Umantas</w:t>
      </w:r>
    </w:p>
    <w:p w14:paraId="600051E9" w14:textId="77777777" w:rsidR="00056A9A" w:rsidRDefault="00056A9A" w:rsidP="00D14114">
      <w:pPr>
        <w:rPr>
          <w:b/>
        </w:rPr>
      </w:pPr>
    </w:p>
    <w:p w14:paraId="075339E1" w14:textId="77777777" w:rsidR="00D14114" w:rsidRPr="0060348F" w:rsidRDefault="00BE797F" w:rsidP="00D14114">
      <w:r>
        <w:t>A. V.</w:t>
      </w:r>
    </w:p>
    <w:p w14:paraId="1EE0253D" w14:textId="77777777" w:rsidR="00FA6927" w:rsidRDefault="00FA6927" w:rsidP="00052638"/>
    <w:p w14:paraId="180146FE" w14:textId="77777777" w:rsidR="00961C75" w:rsidRDefault="00961C75" w:rsidP="00052638"/>
    <w:p w14:paraId="040D29BC" w14:textId="77777777" w:rsidR="00CB6354" w:rsidRDefault="008F30C9" w:rsidP="00CB6354">
      <w:pPr>
        <w:rPr>
          <w:b/>
        </w:rPr>
      </w:pPr>
      <w:r>
        <w:br w:type="page"/>
      </w:r>
    </w:p>
    <w:p w14:paraId="0806D243" w14:textId="77777777" w:rsidR="006644F0" w:rsidRDefault="002A177A" w:rsidP="00BB485F">
      <w:pPr>
        <w:jc w:val="center"/>
        <w:rPr>
          <w:b/>
        </w:rPr>
      </w:pPr>
      <w:r>
        <w:rPr>
          <w:b/>
        </w:rPr>
        <w:lastRenderedPageBreak/>
        <w:t>PASLAUGŲ PIRKIMO-PARDAVIMO SUTARTI</w:t>
      </w:r>
      <w:r w:rsidRPr="00EF7207">
        <w:rPr>
          <w:b/>
        </w:rPr>
        <w:t>S</w:t>
      </w:r>
    </w:p>
    <w:p w14:paraId="08BD1A54" w14:textId="77777777" w:rsidR="00E07BD7" w:rsidRDefault="00E07BD7" w:rsidP="00024413">
      <w:pPr>
        <w:jc w:val="center"/>
        <w:rPr>
          <w:b/>
        </w:rPr>
      </w:pPr>
    </w:p>
    <w:p w14:paraId="59A7AEA7" w14:textId="77777777" w:rsidR="00024413" w:rsidRDefault="00E07BD7" w:rsidP="006644F0">
      <w:pPr>
        <w:jc w:val="center"/>
        <w:rPr>
          <w:b/>
        </w:rPr>
      </w:pPr>
      <w:r>
        <w:rPr>
          <w:b/>
        </w:rPr>
        <w:t xml:space="preserve">II. </w:t>
      </w:r>
      <w:r w:rsidR="00024413" w:rsidRPr="00014F80">
        <w:rPr>
          <w:b/>
        </w:rPr>
        <w:t>BENDROJI DALIS</w:t>
      </w:r>
    </w:p>
    <w:p w14:paraId="01D23B63" w14:textId="77777777" w:rsidR="00024413" w:rsidRPr="00120A77" w:rsidRDefault="00024413" w:rsidP="00024413">
      <w:pPr>
        <w:jc w:val="both"/>
        <w:rPr>
          <w:b/>
        </w:rPr>
      </w:pPr>
      <w:r w:rsidRPr="00120A77">
        <w:rPr>
          <w:b/>
        </w:rPr>
        <w:t>1.</w:t>
      </w:r>
      <w:r w:rsidRPr="00120A77">
        <w:t xml:space="preserve"> </w:t>
      </w:r>
      <w:r w:rsidRPr="00120A77">
        <w:rPr>
          <w:b/>
        </w:rPr>
        <w:t>Sąvokos</w:t>
      </w:r>
    </w:p>
    <w:p w14:paraId="7AEBD903" w14:textId="77777777" w:rsidR="008F1870" w:rsidRDefault="008F1870" w:rsidP="00024413">
      <w:pPr>
        <w:jc w:val="both"/>
      </w:pPr>
    </w:p>
    <w:p w14:paraId="793D01CE" w14:textId="277CD45E" w:rsidR="00024413" w:rsidRPr="00120A77" w:rsidRDefault="00024413" w:rsidP="00024413">
      <w:pPr>
        <w:jc w:val="both"/>
      </w:pPr>
      <w:r w:rsidRPr="00120A77">
        <w:t xml:space="preserve">1.1. Šioje </w:t>
      </w:r>
      <w:r w:rsidR="004876D3">
        <w:t>S</w:t>
      </w:r>
      <w:r w:rsidRPr="00120A77">
        <w:t>utartyje naudojamos pagrindinės sąvokos:</w:t>
      </w:r>
    </w:p>
    <w:p w14:paraId="347B288F"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73CFD5EE"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074EFF74"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7CAABF82"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D81CB2C"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75C3505"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676AD914"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0916D36C"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BB99313"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294C2CA0"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6A58BF1A"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69A84580"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777F1F68"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62E4C5CD"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7D852E66"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7951F297"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57D48EA7"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07189FE"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EC78945"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77EA1E8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6BA190EE" w14:textId="77777777" w:rsidR="00324EE5" w:rsidRPr="00120A77" w:rsidRDefault="00324EE5" w:rsidP="00024413">
      <w:pPr>
        <w:jc w:val="both"/>
        <w:rPr>
          <w:b/>
        </w:rPr>
      </w:pPr>
    </w:p>
    <w:p w14:paraId="3041F8B7"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06D9DE6A" w14:textId="77777777" w:rsidR="008F1870" w:rsidRDefault="008F1870" w:rsidP="00024413">
      <w:pPr>
        <w:jc w:val="both"/>
      </w:pPr>
    </w:p>
    <w:p w14:paraId="6DEF60DD" w14:textId="30AA0DA2"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1363FD11"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7DF03589"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0342CA1A"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344FE857" w14:textId="77777777" w:rsidR="00024413" w:rsidRPr="00120A77" w:rsidRDefault="00024413" w:rsidP="00024413">
      <w:pPr>
        <w:widowControl w:val="0"/>
        <w:shd w:val="clear" w:color="auto" w:fill="FFFFFF"/>
        <w:jc w:val="both"/>
      </w:pPr>
      <w:r w:rsidRPr="00120A77">
        <w:t>2.4.1. logistikos (transportavimo) išlaidas;</w:t>
      </w:r>
    </w:p>
    <w:p w14:paraId="7891217A"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72BE4E49"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09CE4839"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49B5765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18ACED0"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552CD329"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3AD9E51"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69F5BC6"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A90864F"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257D5433"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5413F7A7" w14:textId="77777777" w:rsidR="006179F7" w:rsidRDefault="006179F7" w:rsidP="006179F7">
      <w:pPr>
        <w:jc w:val="both"/>
      </w:pPr>
      <w:r>
        <w:t xml:space="preserve">2.7.1. Pagrindinės tiesioginio tiekimo sutarties sąlygos nurodytos Sutarties bendrosios dalies 2.8 punkte. </w:t>
      </w:r>
    </w:p>
    <w:p w14:paraId="1D109451"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2016A851"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2043EA71"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6885C1AC"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6E63CE68"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5F24D57"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3B8DC943"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496EF431" w14:textId="77777777" w:rsidR="006179F7" w:rsidRPr="00120A77" w:rsidRDefault="006179F7" w:rsidP="006179F7">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09AE85F" w14:textId="77777777" w:rsidR="00024413" w:rsidRPr="00120A77" w:rsidRDefault="00024413" w:rsidP="00024413">
      <w:pPr>
        <w:jc w:val="both"/>
      </w:pPr>
    </w:p>
    <w:p w14:paraId="11D165EC"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725DDA69" w14:textId="77777777" w:rsidR="008F1870" w:rsidRDefault="008F1870" w:rsidP="00024413">
      <w:pPr>
        <w:jc w:val="both"/>
      </w:pPr>
    </w:p>
    <w:p w14:paraId="293FC74F" w14:textId="63273660"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0ECDDA80"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A4407D7" w14:textId="77777777" w:rsidR="00024413" w:rsidRPr="00120A77" w:rsidRDefault="00024413" w:rsidP="00024413">
      <w:pPr>
        <w:jc w:val="both"/>
      </w:pPr>
    </w:p>
    <w:p w14:paraId="6EED8471" w14:textId="77777777" w:rsidR="00024413" w:rsidRPr="00120A77" w:rsidRDefault="00024413" w:rsidP="00024413">
      <w:pPr>
        <w:jc w:val="both"/>
        <w:rPr>
          <w:b/>
        </w:rPr>
      </w:pPr>
      <w:r w:rsidRPr="00120A77">
        <w:rPr>
          <w:b/>
        </w:rPr>
        <w:t>4. Mokėjimo terminai ir sąlygos</w:t>
      </w:r>
    </w:p>
    <w:p w14:paraId="1CF9BD6F" w14:textId="77777777" w:rsidR="008F1870" w:rsidRDefault="008F1870" w:rsidP="00923A29">
      <w:pPr>
        <w:jc w:val="both"/>
      </w:pPr>
    </w:p>
    <w:p w14:paraId="28FECBE1" w14:textId="6130820B"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51E02EB5"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06CC9E5"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88A1E8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35C0D2D7"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416560BD"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693D1C4F" w14:textId="77777777" w:rsidR="00140EF8" w:rsidRPr="00140EF8" w:rsidRDefault="00140EF8" w:rsidP="00140EF8">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6873E0E2" w14:textId="77777777" w:rsidR="00024413" w:rsidRPr="00120A77" w:rsidRDefault="00024413" w:rsidP="00024413">
      <w:pPr>
        <w:jc w:val="both"/>
      </w:pPr>
    </w:p>
    <w:p w14:paraId="4087244E" w14:textId="77777777" w:rsidR="00024413" w:rsidRPr="00120A77" w:rsidRDefault="0004215D" w:rsidP="00024413">
      <w:pPr>
        <w:jc w:val="both"/>
        <w:rPr>
          <w:b/>
        </w:rPr>
      </w:pPr>
      <w:r w:rsidRPr="00120A77">
        <w:rPr>
          <w:b/>
        </w:rPr>
        <w:t>5. Paslaugų</w:t>
      </w:r>
      <w:r w:rsidR="00024413" w:rsidRPr="00120A77">
        <w:rPr>
          <w:b/>
        </w:rPr>
        <w:t xml:space="preserve"> kokybė</w:t>
      </w:r>
    </w:p>
    <w:p w14:paraId="5488F925" w14:textId="77777777" w:rsidR="008F1870" w:rsidRDefault="008F1870" w:rsidP="00024413">
      <w:pPr>
        <w:jc w:val="both"/>
      </w:pPr>
    </w:p>
    <w:p w14:paraId="1B8894E3" w14:textId="1874D12A"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61C4860E"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B57ACC3"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D8BA15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70B93AA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0D0D0858" w14:textId="77777777" w:rsidR="004A79F8" w:rsidRPr="00120A77" w:rsidRDefault="004A79F8" w:rsidP="00024413">
      <w:pPr>
        <w:jc w:val="both"/>
        <w:rPr>
          <w:b/>
        </w:rPr>
      </w:pPr>
    </w:p>
    <w:p w14:paraId="4805D76F"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20459B7D" w14:textId="77777777" w:rsidR="008F1870" w:rsidRDefault="008F1870" w:rsidP="00024413">
      <w:pPr>
        <w:jc w:val="both"/>
      </w:pPr>
    </w:p>
    <w:p w14:paraId="23269165" w14:textId="64620ACF"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9A4A1E4"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BE3654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3DB0DFC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4586D693"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60E29F17"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70FE1F74"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0EB7373" w14:textId="77777777" w:rsidR="00BC289E" w:rsidRPr="00120A77" w:rsidRDefault="00BC289E" w:rsidP="00024413">
      <w:pPr>
        <w:jc w:val="both"/>
      </w:pPr>
    </w:p>
    <w:p w14:paraId="53B8CD7B"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37087A5A" w14:textId="77777777" w:rsidR="008F1870" w:rsidRDefault="008F1870" w:rsidP="00E36032">
      <w:pPr>
        <w:jc w:val="both"/>
      </w:pPr>
    </w:p>
    <w:p w14:paraId="73AFC531" w14:textId="5F0DFF50"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2CDD04"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0927B1CE" w14:textId="77777777" w:rsidR="00BE2AC2" w:rsidRDefault="00BE2AC2" w:rsidP="00024413">
      <w:pPr>
        <w:pStyle w:val="BodyTextIndent2"/>
        <w:ind w:left="0" w:firstLine="0"/>
        <w:jc w:val="both"/>
        <w:rPr>
          <w:b/>
          <w:i w:val="0"/>
          <w:color w:val="auto"/>
          <w:sz w:val="24"/>
          <w:szCs w:val="24"/>
          <w:lang w:val="lt-LT"/>
        </w:rPr>
      </w:pPr>
    </w:p>
    <w:p w14:paraId="52DCED06"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528D2C6A" w14:textId="77777777" w:rsidR="008F1870" w:rsidRDefault="008F1870" w:rsidP="00024413">
      <w:pPr>
        <w:jc w:val="both"/>
      </w:pPr>
    </w:p>
    <w:p w14:paraId="007DDA12" w14:textId="26CE472C"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7723A4AD"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2D716D46" w14:textId="77777777" w:rsidR="00024413" w:rsidRPr="00120A77" w:rsidRDefault="00024413" w:rsidP="00024413">
      <w:pPr>
        <w:jc w:val="both"/>
      </w:pPr>
    </w:p>
    <w:p w14:paraId="7379CF26" w14:textId="77777777" w:rsidR="00024413" w:rsidRPr="00120A77" w:rsidRDefault="00024413" w:rsidP="00024413">
      <w:pPr>
        <w:jc w:val="both"/>
        <w:rPr>
          <w:b/>
        </w:rPr>
      </w:pPr>
      <w:r w:rsidRPr="00120A77">
        <w:rPr>
          <w:b/>
        </w:rPr>
        <w:t>9. Sutarties nutraukimas</w:t>
      </w:r>
    </w:p>
    <w:p w14:paraId="1B6513E8" w14:textId="77777777" w:rsidR="008F1870" w:rsidRDefault="008F1870" w:rsidP="00024413">
      <w:pPr>
        <w:jc w:val="both"/>
      </w:pPr>
    </w:p>
    <w:p w14:paraId="230CD1E7" w14:textId="75CED8EE" w:rsidR="00024413" w:rsidRPr="00120A77" w:rsidRDefault="00024413" w:rsidP="00024413">
      <w:pPr>
        <w:jc w:val="both"/>
      </w:pPr>
      <w:r w:rsidRPr="00120A77">
        <w:t>9.1. Ši Sutartis gali būti nutraukta:</w:t>
      </w:r>
    </w:p>
    <w:p w14:paraId="3DDD5061"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6E615B53"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27F960F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5088C50"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3FBAA95"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78CC07F1"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659A562"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782A6BC0" w14:textId="77777777" w:rsidR="002035B2" w:rsidRPr="00120A77" w:rsidRDefault="00AB5FFB" w:rsidP="002035B2">
      <w:pPr>
        <w:jc w:val="both"/>
      </w:pPr>
      <w:r w:rsidRPr="00120A77">
        <w:lastRenderedPageBreak/>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0E74AC13"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2CFA0A2E"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0F653F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3A4DAB69"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50B5B25C"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65885DBE"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3B813890"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6763AD6C"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76010284" w14:textId="77777777" w:rsidR="009D270B" w:rsidRPr="00120A77" w:rsidRDefault="009D270B" w:rsidP="00024413">
      <w:pPr>
        <w:jc w:val="both"/>
      </w:pPr>
    </w:p>
    <w:p w14:paraId="1FCA6C94" w14:textId="77777777" w:rsidR="00024413" w:rsidRPr="00120A77" w:rsidRDefault="00024413" w:rsidP="00024413">
      <w:pPr>
        <w:rPr>
          <w:b/>
        </w:rPr>
      </w:pPr>
      <w:r w:rsidRPr="00120A77">
        <w:rPr>
          <w:b/>
        </w:rPr>
        <w:t>10. Ginčų sprendimo tvarka</w:t>
      </w:r>
    </w:p>
    <w:p w14:paraId="2FCF225E" w14:textId="77777777" w:rsidR="008F1870" w:rsidRDefault="008F1870" w:rsidP="00024413"/>
    <w:p w14:paraId="33B42F86" w14:textId="72C94E56" w:rsidR="00024413" w:rsidRPr="00120A77" w:rsidRDefault="00024413" w:rsidP="00024413">
      <w:r w:rsidRPr="00120A77">
        <w:t>10.1. Sutartis sudaryta ir turi būti aiškinama pagal Lietuvos Respublikos teisę.</w:t>
      </w:r>
    </w:p>
    <w:p w14:paraId="229005A4"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0A3535E1" w14:textId="77777777" w:rsidR="008F30C9" w:rsidRPr="00120A77" w:rsidRDefault="008F30C9" w:rsidP="00024413">
      <w:pPr>
        <w:jc w:val="both"/>
      </w:pPr>
    </w:p>
    <w:p w14:paraId="3660AF49" w14:textId="77777777" w:rsidR="00024413" w:rsidRPr="004A1813" w:rsidRDefault="00024413" w:rsidP="00024413">
      <w:pPr>
        <w:jc w:val="both"/>
        <w:rPr>
          <w:b/>
        </w:rPr>
      </w:pPr>
      <w:r w:rsidRPr="004A1813">
        <w:rPr>
          <w:b/>
        </w:rPr>
        <w:t>11. Atsakomybė</w:t>
      </w:r>
    </w:p>
    <w:p w14:paraId="4C5A5FB3" w14:textId="77777777" w:rsidR="008F1870" w:rsidRDefault="008F1870" w:rsidP="00024413">
      <w:pPr>
        <w:pStyle w:val="BodyTextIndent2"/>
        <w:ind w:left="0" w:firstLine="0"/>
        <w:jc w:val="both"/>
        <w:rPr>
          <w:i w:val="0"/>
          <w:color w:val="auto"/>
          <w:sz w:val="24"/>
          <w:szCs w:val="24"/>
          <w:lang w:val="lt-LT"/>
        </w:rPr>
      </w:pPr>
    </w:p>
    <w:p w14:paraId="3631665A" w14:textId="5D84D7DF"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20305494"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792968FC" w14:textId="77777777" w:rsidR="0046409F" w:rsidRDefault="00D16B17" w:rsidP="00D53F1A">
      <w:pPr>
        <w:jc w:val="both"/>
      </w:pPr>
      <w:r w:rsidRPr="00120A77">
        <w:lastRenderedPageBreak/>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4AD86BB"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50167F1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0A164FF4" w14:textId="77777777" w:rsidR="003E04CF" w:rsidRPr="00EF7207" w:rsidRDefault="003E04CF" w:rsidP="00024413">
      <w:pPr>
        <w:jc w:val="both"/>
      </w:pPr>
    </w:p>
    <w:p w14:paraId="1505F8C5" w14:textId="77777777" w:rsidR="00024413" w:rsidRPr="00120A77" w:rsidRDefault="00024413" w:rsidP="00024413">
      <w:pPr>
        <w:jc w:val="both"/>
        <w:rPr>
          <w:b/>
        </w:rPr>
      </w:pPr>
      <w:r w:rsidRPr="00120A77">
        <w:rPr>
          <w:b/>
        </w:rPr>
        <w:t>12. Sutarties galiojimas</w:t>
      </w:r>
    </w:p>
    <w:p w14:paraId="40F367CC" w14:textId="77777777" w:rsidR="008F1870" w:rsidRDefault="008F1870" w:rsidP="00024413">
      <w:pPr>
        <w:jc w:val="both"/>
      </w:pPr>
    </w:p>
    <w:p w14:paraId="212548BA" w14:textId="410D93FF"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E63D306"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46A363A6"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0532A250"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028983B9"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08F0D92"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3B08912E" w14:textId="77777777" w:rsidR="00120A77" w:rsidRPr="00120A77" w:rsidRDefault="00120A77" w:rsidP="00024413">
      <w:pPr>
        <w:jc w:val="both"/>
      </w:pPr>
      <w:r w:rsidRPr="00120A77">
        <w:t xml:space="preserve">12.7. Sutarties galiojimo metu Šalims pastebėjus techninio apsirikimo, rašybos klaidų (netinkamai perkeltos nuostatos iš pasiūlymo ar pirkimo sąlygų ir kt.), pasikeitus Sutartyje nurodytiems už Sutarties </w:t>
      </w:r>
      <w:r w:rsidRPr="00120A77">
        <w:lastRenderedPageBreak/>
        <w:t>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52B654EC"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37E4B8F4"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C982C99" w14:textId="77777777" w:rsidR="00543EA4" w:rsidRPr="008F30C9" w:rsidRDefault="00543EA4" w:rsidP="00024413">
      <w:pPr>
        <w:jc w:val="both"/>
        <w:rPr>
          <w:b/>
        </w:rPr>
      </w:pPr>
    </w:p>
    <w:p w14:paraId="54F3E01E" w14:textId="77777777" w:rsidR="000760E7" w:rsidRPr="00120A77" w:rsidRDefault="000760E7" w:rsidP="000760E7">
      <w:pPr>
        <w:pStyle w:val="BodyText"/>
        <w:spacing w:after="0"/>
        <w:ind w:right="125"/>
        <w:jc w:val="both"/>
        <w:rPr>
          <w:b/>
          <w:bCs/>
        </w:rPr>
      </w:pPr>
      <w:r w:rsidRPr="00120A77">
        <w:rPr>
          <w:b/>
          <w:bCs/>
        </w:rPr>
        <w:t>13. Susirašinėjimas</w:t>
      </w:r>
    </w:p>
    <w:p w14:paraId="3AD6F461" w14:textId="77777777" w:rsidR="008F1870" w:rsidRDefault="008F1870" w:rsidP="000760E7">
      <w:pPr>
        <w:pStyle w:val="BodyText"/>
        <w:spacing w:after="0"/>
        <w:ind w:right="125"/>
        <w:jc w:val="both"/>
      </w:pPr>
    </w:p>
    <w:p w14:paraId="2AE9C660" w14:textId="0D095A39"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56C24CB"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0CC6A60" w14:textId="77777777" w:rsidR="008F30C9" w:rsidRPr="00120A77" w:rsidRDefault="008F30C9" w:rsidP="00024413">
      <w:pPr>
        <w:jc w:val="both"/>
        <w:rPr>
          <w:b/>
        </w:rPr>
      </w:pPr>
    </w:p>
    <w:p w14:paraId="3D198432"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47CC3FDF" w14:textId="77777777" w:rsidR="008F1870" w:rsidRDefault="008F1870" w:rsidP="00120A77">
      <w:pPr>
        <w:jc w:val="both"/>
      </w:pPr>
    </w:p>
    <w:p w14:paraId="16F14929" w14:textId="048D9CFD"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4190646A"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5B690B0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67D8E12F"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643B985"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6F30D6F0"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3FB2BB29" w14:textId="77777777" w:rsidR="006578B3" w:rsidRDefault="006578B3" w:rsidP="006578B3">
      <w:pPr>
        <w:jc w:val="both"/>
      </w:pPr>
      <w:r>
        <w:lastRenderedPageBreak/>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46C2E50B"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DD9A5F9"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61C1062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51668C0"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07BD7262" w14:textId="77777777" w:rsidR="00F7463F" w:rsidRPr="00120A77" w:rsidRDefault="00F7463F" w:rsidP="00024413">
      <w:pPr>
        <w:jc w:val="both"/>
        <w:rPr>
          <w:b/>
        </w:rPr>
      </w:pPr>
    </w:p>
    <w:p w14:paraId="09D9CAE8" w14:textId="77777777" w:rsidR="00024413" w:rsidRPr="00120A77" w:rsidRDefault="000760E7" w:rsidP="00024413">
      <w:pPr>
        <w:jc w:val="both"/>
        <w:rPr>
          <w:b/>
        </w:rPr>
      </w:pPr>
      <w:r w:rsidRPr="00120A77">
        <w:rPr>
          <w:b/>
        </w:rPr>
        <w:t>15</w:t>
      </w:r>
      <w:r w:rsidR="00024413" w:rsidRPr="00120A77">
        <w:rPr>
          <w:b/>
        </w:rPr>
        <w:t>. Baigiamosios nuostatos</w:t>
      </w:r>
    </w:p>
    <w:p w14:paraId="7DC5AEBF" w14:textId="77777777" w:rsidR="008F1870" w:rsidRDefault="008F1870" w:rsidP="00024413">
      <w:pPr>
        <w:jc w:val="both"/>
      </w:pPr>
    </w:p>
    <w:p w14:paraId="0349EDB1" w14:textId="3D584116"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463056BF"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477CC71D"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8EF7955"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360E648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61338727"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4C38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4D5DDC26"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24D369EF"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 xml:space="preserve">dėl subtiekėjo pasikeitimo neprarado </w:t>
      </w:r>
      <w:r w:rsidR="00A418A3">
        <w:lastRenderedPageBreak/>
        <w:t>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5D93BE47"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07F79C70"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A71DA5F" w14:textId="77777777" w:rsidR="00743FA8" w:rsidRDefault="00743FA8" w:rsidP="00743FA8">
      <w:pPr>
        <w:pStyle w:val="BodyText1"/>
        <w:ind w:firstLine="0"/>
        <w:rPr>
          <w:rFonts w:ascii="Times New Roman" w:hAnsi="Times New Roman"/>
          <w:b/>
          <w:sz w:val="24"/>
          <w:szCs w:val="24"/>
          <w:lang w:val="lt-LT"/>
        </w:rPr>
      </w:pPr>
    </w:p>
    <w:p w14:paraId="4B1E72FC" w14:textId="77777777" w:rsidR="008F1870" w:rsidRDefault="008F1870" w:rsidP="00743FA8">
      <w:pPr>
        <w:pStyle w:val="BodyText1"/>
        <w:ind w:firstLine="0"/>
        <w:rPr>
          <w:rFonts w:ascii="Times New Roman" w:hAnsi="Times New Roman"/>
          <w:b/>
          <w:sz w:val="24"/>
          <w:szCs w:val="24"/>
          <w:lang w:val="lt-LT"/>
        </w:rPr>
      </w:pPr>
    </w:p>
    <w:p w14:paraId="62986C6F" w14:textId="202BCB2E" w:rsidR="00743FA8" w:rsidRPr="00A003BE" w:rsidRDefault="00743FA8" w:rsidP="00743FA8">
      <w:pPr>
        <w:pStyle w:val="BodyText1"/>
        <w:ind w:firstLine="0"/>
        <w:rPr>
          <w:rFonts w:ascii="Times New Roman" w:hAnsi="Times New Roman"/>
          <w:b/>
          <w:sz w:val="24"/>
          <w:szCs w:val="24"/>
          <w:lang w:val="lt-LT"/>
        </w:rPr>
      </w:pPr>
      <w:r w:rsidRPr="00A003BE">
        <w:rPr>
          <w:rFonts w:ascii="Times New Roman" w:hAnsi="Times New Roman"/>
          <w:b/>
          <w:sz w:val="24"/>
          <w:szCs w:val="24"/>
          <w:lang w:val="lt-LT"/>
        </w:rPr>
        <w:t>PIRKĖJAS</w:t>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r>
      <w:r w:rsidRPr="00A003BE">
        <w:rPr>
          <w:rFonts w:ascii="Times New Roman" w:hAnsi="Times New Roman"/>
          <w:b/>
          <w:sz w:val="24"/>
          <w:szCs w:val="24"/>
          <w:lang w:val="lt-LT"/>
        </w:rPr>
        <w:tab/>
        <w:t xml:space="preserve">       </w:t>
      </w:r>
      <w:r w:rsidRPr="00A003BE">
        <w:rPr>
          <w:rFonts w:ascii="Times New Roman" w:hAnsi="Times New Roman"/>
          <w:b/>
          <w:sz w:val="24"/>
          <w:szCs w:val="24"/>
          <w:lang w:val="lt-LT"/>
        </w:rPr>
        <w:tab/>
        <w:t xml:space="preserve">         TEIKĖJAS</w:t>
      </w:r>
    </w:p>
    <w:p w14:paraId="5F3B7E76" w14:textId="77777777" w:rsidR="008F1870" w:rsidRDefault="008F1870" w:rsidP="00743FA8">
      <w:pPr>
        <w:tabs>
          <w:tab w:val="left" w:pos="6248"/>
        </w:tabs>
      </w:pPr>
    </w:p>
    <w:p w14:paraId="0C84B8B1" w14:textId="38A2F91C" w:rsidR="00743FA8" w:rsidRPr="00A003BE" w:rsidRDefault="00743FA8" w:rsidP="00743FA8">
      <w:pPr>
        <w:tabs>
          <w:tab w:val="left" w:pos="6248"/>
        </w:tabs>
      </w:pPr>
      <w:r w:rsidRPr="00A003BE">
        <w:t xml:space="preserve">Informacinių technologijų tarnybos prie </w:t>
      </w:r>
      <w:r w:rsidRPr="00A003BE">
        <w:tab/>
      </w:r>
      <w:r w:rsidRPr="00A003BE">
        <w:tab/>
        <w:t xml:space="preserve">         UAB „Novian Technologies“</w:t>
      </w:r>
    </w:p>
    <w:p w14:paraId="5AAE1406" w14:textId="77777777" w:rsidR="00743FA8" w:rsidRPr="00A003BE" w:rsidRDefault="00743FA8" w:rsidP="00743FA8">
      <w:pPr>
        <w:tabs>
          <w:tab w:val="left" w:pos="6261"/>
        </w:tabs>
      </w:pPr>
      <w:r w:rsidRPr="00A003BE">
        <w:t>Krašto apsaugos ministerijos</w:t>
      </w:r>
      <w:r w:rsidRPr="00A003BE">
        <w:tab/>
      </w:r>
    </w:p>
    <w:p w14:paraId="562649EA" w14:textId="77777777" w:rsidR="008B6AB2" w:rsidRPr="00A003BE" w:rsidRDefault="008B6AB2" w:rsidP="008B6AB2">
      <w:pPr>
        <w:tabs>
          <w:tab w:val="left" w:pos="6261"/>
        </w:tabs>
      </w:pPr>
      <w:r w:rsidRPr="00A003BE">
        <w:t>Direktorius</w:t>
      </w:r>
      <w:r w:rsidRPr="00A003BE">
        <w:tab/>
      </w:r>
      <w:r w:rsidRPr="00A003BE">
        <w:tab/>
        <w:t xml:space="preserve">         </w:t>
      </w:r>
      <w:r>
        <w:t>Generalinis direktorius</w:t>
      </w:r>
    </w:p>
    <w:p w14:paraId="15EE88BA" w14:textId="77777777" w:rsidR="008B6AB2" w:rsidRPr="00A003BE" w:rsidRDefault="008B6AB2" w:rsidP="008B6AB2">
      <w:pPr>
        <w:tabs>
          <w:tab w:val="left" w:pos="6261"/>
        </w:tabs>
      </w:pPr>
      <w:r w:rsidRPr="00A003BE">
        <w:t>Plk. ltn. Saulius Juškevičius</w:t>
      </w:r>
      <w:r w:rsidRPr="00A003BE">
        <w:tab/>
      </w:r>
      <w:r w:rsidRPr="00A003BE">
        <w:tab/>
        <w:t xml:space="preserve">         </w:t>
      </w:r>
      <w:r>
        <w:t>Gytis Umantas</w:t>
      </w:r>
    </w:p>
    <w:p w14:paraId="1A7BB2D8" w14:textId="1465CE9E" w:rsidR="00170FF3" w:rsidRDefault="00170FF3" w:rsidP="0013714B"/>
    <w:p w14:paraId="20B44483" w14:textId="3388ECC8" w:rsidR="004374A1" w:rsidRDefault="004374A1" w:rsidP="0013714B"/>
    <w:p w14:paraId="26F0916B" w14:textId="13C0C7E0" w:rsidR="004374A1" w:rsidRDefault="004374A1" w:rsidP="0013714B"/>
    <w:p w14:paraId="50A31CED" w14:textId="77777777" w:rsidR="004374A1" w:rsidRPr="0060348F" w:rsidRDefault="004374A1" w:rsidP="004374A1">
      <w:r>
        <w:t>A. V.</w:t>
      </w:r>
    </w:p>
    <w:p w14:paraId="65C0A1AF" w14:textId="77777777" w:rsidR="004374A1" w:rsidRDefault="004374A1" w:rsidP="0013714B">
      <w:pPr>
        <w:sectPr w:rsidR="004374A1" w:rsidSect="003C2FF9">
          <w:headerReference w:type="even" r:id="rId11"/>
          <w:headerReference w:type="default" r:id="rId12"/>
          <w:pgSz w:w="11906" w:h="16838"/>
          <w:pgMar w:top="993" w:right="746" w:bottom="1276" w:left="1260" w:header="567" w:footer="567" w:gutter="0"/>
          <w:cols w:space="1296"/>
          <w:titlePg/>
          <w:docGrid w:linePitch="360"/>
        </w:sectPr>
      </w:pPr>
    </w:p>
    <w:tbl>
      <w:tblPr>
        <w:tblW w:w="4527" w:type="dxa"/>
        <w:jc w:val="right"/>
        <w:tblLook w:val="01E0" w:firstRow="1" w:lastRow="1" w:firstColumn="1" w:lastColumn="1" w:noHBand="0" w:noVBand="0"/>
      </w:tblPr>
      <w:tblGrid>
        <w:gridCol w:w="4527"/>
      </w:tblGrid>
      <w:tr w:rsidR="00170FF3" w:rsidRPr="00281BCD" w14:paraId="2FE97C2D" w14:textId="77777777" w:rsidTr="00EC30B0">
        <w:trPr>
          <w:trHeight w:val="362"/>
          <w:jc w:val="right"/>
        </w:trPr>
        <w:tc>
          <w:tcPr>
            <w:tcW w:w="4527" w:type="dxa"/>
          </w:tcPr>
          <w:p w14:paraId="7728A1A3" w14:textId="77777777" w:rsidR="00170FF3" w:rsidRDefault="00170FF3" w:rsidP="00EC30B0">
            <w:pPr>
              <w:spacing w:after="100" w:afterAutospacing="1"/>
            </w:pPr>
            <w:r>
              <w:lastRenderedPageBreak/>
              <w:t xml:space="preserve">2021 m.           ___d. Paslaugų viešojo </w:t>
            </w:r>
          </w:p>
          <w:p w14:paraId="6CCDD822" w14:textId="77777777" w:rsidR="00170FF3" w:rsidRPr="00281BCD" w:rsidRDefault="00170FF3" w:rsidP="00EC30B0">
            <w:pPr>
              <w:spacing w:after="100" w:afterAutospacing="1"/>
            </w:pPr>
            <w:r>
              <w:t>pirkimo-pardavimo sutarties Nr._____</w:t>
            </w:r>
          </w:p>
        </w:tc>
      </w:tr>
      <w:tr w:rsidR="00170FF3" w:rsidRPr="00281BCD" w14:paraId="59143FFA" w14:textId="77777777" w:rsidTr="00EC30B0">
        <w:trPr>
          <w:trHeight w:val="358"/>
          <w:jc w:val="right"/>
        </w:trPr>
        <w:tc>
          <w:tcPr>
            <w:tcW w:w="4527" w:type="dxa"/>
          </w:tcPr>
          <w:p w14:paraId="2B4D8C83" w14:textId="77777777" w:rsidR="00170FF3" w:rsidRPr="00281BCD" w:rsidRDefault="00170FF3" w:rsidP="00EC30B0">
            <w:r>
              <w:t>1</w:t>
            </w:r>
            <w:r w:rsidRPr="00281BCD">
              <w:t xml:space="preserve"> priedas</w:t>
            </w:r>
          </w:p>
        </w:tc>
      </w:tr>
    </w:tbl>
    <w:p w14:paraId="78E7311C" w14:textId="77777777" w:rsidR="00170FF3" w:rsidRDefault="00170FF3" w:rsidP="00170FF3">
      <w:pPr>
        <w:jc w:val="center"/>
        <w:rPr>
          <w:b/>
        </w:rPr>
      </w:pPr>
      <w:r>
        <w:rPr>
          <w:b/>
        </w:rPr>
        <w:t>PASLAUGŲ KIEKIAI IR ĮKAINIAI</w:t>
      </w:r>
    </w:p>
    <w:p w14:paraId="5853F076" w14:textId="77777777" w:rsidR="00170FF3" w:rsidRPr="00F3582A" w:rsidRDefault="00170FF3" w:rsidP="00170FF3">
      <w:pPr>
        <w:jc w:val="both"/>
        <w:rPr>
          <w:b/>
          <w:bCs/>
        </w:rPr>
      </w:pPr>
    </w:p>
    <w:tbl>
      <w:tblPr>
        <w:tblW w:w="147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6032"/>
        <w:gridCol w:w="1348"/>
        <w:gridCol w:w="1710"/>
        <w:gridCol w:w="2430"/>
        <w:gridCol w:w="2430"/>
      </w:tblGrid>
      <w:tr w:rsidR="00170FF3" w:rsidRPr="00972D43" w14:paraId="40CA07CB" w14:textId="77777777" w:rsidTr="00EC30B0">
        <w:trPr>
          <w:cantSplit/>
          <w:trHeight w:val="1035"/>
        </w:trPr>
        <w:tc>
          <w:tcPr>
            <w:tcW w:w="810" w:type="dxa"/>
            <w:tcBorders>
              <w:bottom w:val="single" w:sz="4" w:space="0" w:color="auto"/>
            </w:tcBorders>
            <w:shd w:val="clear" w:color="auto" w:fill="FFFFFF"/>
            <w:vAlign w:val="center"/>
          </w:tcPr>
          <w:p w14:paraId="273CD149" w14:textId="77777777" w:rsidR="00170FF3" w:rsidRPr="00972D43" w:rsidRDefault="00170FF3" w:rsidP="00EC30B0">
            <w:pPr>
              <w:jc w:val="center"/>
              <w:rPr>
                <w:b/>
                <w:bCs/>
                <w:sz w:val="22"/>
                <w:szCs w:val="22"/>
              </w:rPr>
            </w:pPr>
            <w:r>
              <w:rPr>
                <w:b/>
                <w:bCs/>
                <w:sz w:val="22"/>
                <w:szCs w:val="22"/>
              </w:rPr>
              <w:t xml:space="preserve">Eil.   </w:t>
            </w:r>
            <w:r w:rsidRPr="00972D43">
              <w:rPr>
                <w:b/>
                <w:bCs/>
                <w:sz w:val="22"/>
                <w:szCs w:val="22"/>
              </w:rPr>
              <w:t>Nr.</w:t>
            </w:r>
          </w:p>
        </w:tc>
        <w:tc>
          <w:tcPr>
            <w:tcW w:w="6032" w:type="dxa"/>
            <w:tcBorders>
              <w:bottom w:val="single" w:sz="4" w:space="0" w:color="auto"/>
            </w:tcBorders>
            <w:shd w:val="clear" w:color="auto" w:fill="FFFFFF"/>
            <w:vAlign w:val="center"/>
          </w:tcPr>
          <w:p w14:paraId="63359F01" w14:textId="77777777" w:rsidR="00170FF3" w:rsidRPr="00972D43" w:rsidRDefault="00170FF3" w:rsidP="00EC30B0">
            <w:pPr>
              <w:jc w:val="center"/>
              <w:rPr>
                <w:b/>
                <w:bCs/>
                <w:sz w:val="22"/>
                <w:szCs w:val="22"/>
              </w:rPr>
            </w:pPr>
            <w:r>
              <w:rPr>
                <w:b/>
                <w:bCs/>
                <w:sz w:val="22"/>
                <w:szCs w:val="22"/>
              </w:rPr>
              <w:t>Paslaugos</w:t>
            </w:r>
            <w:r w:rsidRPr="00972D43">
              <w:rPr>
                <w:b/>
                <w:bCs/>
                <w:sz w:val="22"/>
                <w:szCs w:val="22"/>
              </w:rPr>
              <w:t xml:space="preserve"> pavadinimas</w:t>
            </w:r>
          </w:p>
        </w:tc>
        <w:tc>
          <w:tcPr>
            <w:tcW w:w="1348" w:type="dxa"/>
            <w:tcBorders>
              <w:bottom w:val="single" w:sz="4" w:space="0" w:color="auto"/>
            </w:tcBorders>
            <w:shd w:val="clear" w:color="auto" w:fill="FFFFFF"/>
            <w:vAlign w:val="center"/>
          </w:tcPr>
          <w:p w14:paraId="1B21E021" w14:textId="77777777" w:rsidR="00170FF3" w:rsidRPr="00972D43" w:rsidRDefault="00170FF3" w:rsidP="00EC30B0">
            <w:pPr>
              <w:jc w:val="center"/>
              <w:rPr>
                <w:b/>
                <w:bCs/>
                <w:sz w:val="22"/>
                <w:szCs w:val="22"/>
              </w:rPr>
            </w:pPr>
            <w:r>
              <w:rPr>
                <w:b/>
                <w:bCs/>
                <w:sz w:val="22"/>
                <w:szCs w:val="22"/>
              </w:rPr>
              <w:t xml:space="preserve">Mato </w:t>
            </w:r>
            <w:r w:rsidRPr="00972D43">
              <w:rPr>
                <w:b/>
                <w:bCs/>
                <w:sz w:val="22"/>
                <w:szCs w:val="22"/>
              </w:rPr>
              <w:t>vnt.</w:t>
            </w:r>
          </w:p>
        </w:tc>
        <w:tc>
          <w:tcPr>
            <w:tcW w:w="1710" w:type="dxa"/>
            <w:tcBorders>
              <w:bottom w:val="single" w:sz="4" w:space="0" w:color="auto"/>
            </w:tcBorders>
            <w:shd w:val="clear" w:color="auto" w:fill="FFFFFF"/>
            <w:vAlign w:val="center"/>
          </w:tcPr>
          <w:p w14:paraId="7DA001A4" w14:textId="77777777" w:rsidR="00170FF3" w:rsidRPr="00972D43" w:rsidRDefault="00170FF3" w:rsidP="00EC30B0">
            <w:pPr>
              <w:jc w:val="center"/>
              <w:rPr>
                <w:b/>
                <w:bCs/>
                <w:sz w:val="22"/>
                <w:szCs w:val="22"/>
              </w:rPr>
            </w:pPr>
            <w:r>
              <w:rPr>
                <w:b/>
                <w:bCs/>
                <w:sz w:val="22"/>
                <w:szCs w:val="22"/>
              </w:rPr>
              <w:t>P</w:t>
            </w:r>
            <w:r w:rsidRPr="00972D43">
              <w:rPr>
                <w:b/>
                <w:bCs/>
                <w:sz w:val="22"/>
                <w:szCs w:val="22"/>
              </w:rPr>
              <w:t>erkam</w:t>
            </w:r>
            <w:r>
              <w:rPr>
                <w:b/>
                <w:bCs/>
                <w:sz w:val="22"/>
                <w:szCs w:val="22"/>
              </w:rPr>
              <w:t>ų paslaugų</w:t>
            </w:r>
            <w:r w:rsidRPr="00972D43">
              <w:rPr>
                <w:b/>
                <w:bCs/>
                <w:sz w:val="22"/>
                <w:szCs w:val="22"/>
              </w:rPr>
              <w:t xml:space="preserve"> kiekis</w:t>
            </w:r>
          </w:p>
        </w:tc>
        <w:tc>
          <w:tcPr>
            <w:tcW w:w="2430" w:type="dxa"/>
            <w:tcBorders>
              <w:bottom w:val="single" w:sz="4" w:space="0" w:color="auto"/>
            </w:tcBorders>
            <w:shd w:val="clear" w:color="auto" w:fill="FFFFFF"/>
          </w:tcPr>
          <w:p w14:paraId="7E6BDE7F" w14:textId="77777777" w:rsidR="00170FF3" w:rsidRPr="00986208" w:rsidRDefault="00170FF3" w:rsidP="00EC30B0">
            <w:pPr>
              <w:jc w:val="center"/>
              <w:rPr>
                <w:lang w:eastAsia="en-US"/>
              </w:rPr>
            </w:pPr>
            <w:r w:rsidRPr="00986208">
              <w:rPr>
                <w:lang w:eastAsia="en-US"/>
              </w:rPr>
              <w:t>Vieneto kaina,</w:t>
            </w:r>
          </w:p>
          <w:p w14:paraId="0B4399F6" w14:textId="77777777" w:rsidR="00170FF3" w:rsidRPr="00972D43" w:rsidRDefault="00170FF3" w:rsidP="00EC30B0">
            <w:pPr>
              <w:jc w:val="center"/>
              <w:rPr>
                <w:b/>
                <w:bCs/>
                <w:sz w:val="22"/>
                <w:szCs w:val="22"/>
              </w:rPr>
            </w:pPr>
            <w:r>
              <w:rPr>
                <w:lang w:eastAsia="en-US"/>
              </w:rPr>
              <w:t>EUR be PVM</w:t>
            </w:r>
          </w:p>
        </w:tc>
        <w:tc>
          <w:tcPr>
            <w:tcW w:w="2430" w:type="dxa"/>
            <w:tcBorders>
              <w:bottom w:val="single" w:sz="4" w:space="0" w:color="auto"/>
            </w:tcBorders>
            <w:shd w:val="clear" w:color="auto" w:fill="FFFFFF"/>
          </w:tcPr>
          <w:p w14:paraId="3B763488" w14:textId="77777777" w:rsidR="00170FF3" w:rsidRPr="00972D43" w:rsidRDefault="00170FF3" w:rsidP="00EC30B0">
            <w:pPr>
              <w:jc w:val="center"/>
              <w:rPr>
                <w:b/>
                <w:bCs/>
                <w:sz w:val="22"/>
                <w:szCs w:val="22"/>
              </w:rPr>
            </w:pPr>
            <w:r>
              <w:rPr>
                <w:lang w:eastAsia="en-US"/>
              </w:rPr>
              <w:t>Bendra k</w:t>
            </w:r>
            <w:r w:rsidRPr="00986208">
              <w:rPr>
                <w:lang w:eastAsia="en-US"/>
              </w:rPr>
              <w:t xml:space="preserve">aina </w:t>
            </w:r>
            <w:r>
              <w:rPr>
                <w:lang w:eastAsia="en-US"/>
              </w:rPr>
              <w:t>EUR</w:t>
            </w:r>
            <w:r w:rsidRPr="00986208">
              <w:rPr>
                <w:lang w:eastAsia="en-US"/>
              </w:rPr>
              <w:t xml:space="preserve"> </w:t>
            </w:r>
            <w:r>
              <w:rPr>
                <w:lang w:eastAsia="en-US"/>
              </w:rPr>
              <w:t>be</w:t>
            </w:r>
            <w:r w:rsidRPr="00986208">
              <w:rPr>
                <w:lang w:eastAsia="en-US"/>
              </w:rPr>
              <w:t xml:space="preserve"> PVM</w:t>
            </w:r>
          </w:p>
        </w:tc>
      </w:tr>
      <w:tr w:rsidR="00170FF3" w:rsidRPr="00972D43" w14:paraId="7A7EC1A4" w14:textId="77777777" w:rsidTr="00EC30B0">
        <w:trPr>
          <w:cantSplit/>
          <w:trHeight w:val="352"/>
        </w:trPr>
        <w:tc>
          <w:tcPr>
            <w:tcW w:w="810" w:type="dxa"/>
            <w:shd w:val="clear" w:color="auto" w:fill="EEECE1"/>
            <w:vAlign w:val="center"/>
          </w:tcPr>
          <w:p w14:paraId="2199CE0A" w14:textId="77777777" w:rsidR="00170FF3" w:rsidRDefault="00170FF3" w:rsidP="00EC30B0">
            <w:pPr>
              <w:jc w:val="center"/>
              <w:rPr>
                <w:b/>
                <w:bCs/>
                <w:sz w:val="22"/>
                <w:szCs w:val="22"/>
              </w:rPr>
            </w:pPr>
            <w:r>
              <w:rPr>
                <w:b/>
                <w:bCs/>
                <w:sz w:val="22"/>
                <w:szCs w:val="22"/>
              </w:rPr>
              <w:t>1</w:t>
            </w:r>
          </w:p>
        </w:tc>
        <w:tc>
          <w:tcPr>
            <w:tcW w:w="6032" w:type="dxa"/>
            <w:shd w:val="clear" w:color="auto" w:fill="EEECE1"/>
            <w:vAlign w:val="center"/>
          </w:tcPr>
          <w:p w14:paraId="24822090" w14:textId="77777777" w:rsidR="00170FF3" w:rsidRDefault="00170FF3" w:rsidP="00EC30B0">
            <w:pPr>
              <w:jc w:val="center"/>
              <w:rPr>
                <w:b/>
                <w:bCs/>
                <w:sz w:val="22"/>
                <w:szCs w:val="22"/>
              </w:rPr>
            </w:pPr>
            <w:r>
              <w:rPr>
                <w:b/>
                <w:bCs/>
                <w:sz w:val="22"/>
                <w:szCs w:val="22"/>
              </w:rPr>
              <w:t>2</w:t>
            </w:r>
          </w:p>
        </w:tc>
        <w:tc>
          <w:tcPr>
            <w:tcW w:w="1348" w:type="dxa"/>
            <w:shd w:val="clear" w:color="auto" w:fill="EEECE1"/>
            <w:vAlign w:val="center"/>
          </w:tcPr>
          <w:p w14:paraId="2F28005E" w14:textId="77777777" w:rsidR="00170FF3" w:rsidRDefault="00170FF3" w:rsidP="00EC30B0">
            <w:pPr>
              <w:jc w:val="center"/>
              <w:rPr>
                <w:b/>
                <w:bCs/>
                <w:sz w:val="22"/>
                <w:szCs w:val="22"/>
              </w:rPr>
            </w:pPr>
            <w:r>
              <w:rPr>
                <w:b/>
                <w:bCs/>
                <w:sz w:val="22"/>
                <w:szCs w:val="22"/>
              </w:rPr>
              <w:t>3</w:t>
            </w:r>
          </w:p>
        </w:tc>
        <w:tc>
          <w:tcPr>
            <w:tcW w:w="1710" w:type="dxa"/>
            <w:shd w:val="clear" w:color="auto" w:fill="EEECE1"/>
          </w:tcPr>
          <w:p w14:paraId="2CA2D7A3" w14:textId="77777777" w:rsidR="00170FF3" w:rsidRDefault="00170FF3" w:rsidP="00EC30B0">
            <w:pPr>
              <w:jc w:val="center"/>
              <w:rPr>
                <w:b/>
                <w:bCs/>
                <w:sz w:val="22"/>
                <w:szCs w:val="22"/>
              </w:rPr>
            </w:pPr>
          </w:p>
        </w:tc>
        <w:tc>
          <w:tcPr>
            <w:tcW w:w="2430" w:type="dxa"/>
            <w:shd w:val="clear" w:color="auto" w:fill="EEECE1"/>
            <w:vAlign w:val="center"/>
          </w:tcPr>
          <w:p w14:paraId="7E37589C" w14:textId="77777777" w:rsidR="00170FF3" w:rsidRPr="00972D43" w:rsidRDefault="00170FF3" w:rsidP="00EC30B0">
            <w:pPr>
              <w:jc w:val="center"/>
              <w:rPr>
                <w:b/>
                <w:bCs/>
                <w:sz w:val="22"/>
                <w:szCs w:val="22"/>
              </w:rPr>
            </w:pPr>
            <w:r>
              <w:rPr>
                <w:b/>
                <w:bCs/>
                <w:sz w:val="22"/>
                <w:szCs w:val="22"/>
              </w:rPr>
              <w:t>5</w:t>
            </w:r>
          </w:p>
        </w:tc>
        <w:tc>
          <w:tcPr>
            <w:tcW w:w="2430" w:type="dxa"/>
            <w:shd w:val="clear" w:color="auto" w:fill="EEECE1"/>
            <w:vAlign w:val="center"/>
          </w:tcPr>
          <w:p w14:paraId="2C4F550E" w14:textId="77777777" w:rsidR="00170FF3" w:rsidRPr="00972D43" w:rsidRDefault="00170FF3" w:rsidP="00EC30B0">
            <w:pPr>
              <w:jc w:val="center"/>
              <w:rPr>
                <w:rFonts w:eastAsia="Calibri"/>
                <w:b/>
                <w:bCs/>
                <w:sz w:val="22"/>
                <w:szCs w:val="22"/>
                <w:lang w:eastAsia="en-US"/>
              </w:rPr>
            </w:pPr>
            <w:r>
              <w:rPr>
                <w:b/>
                <w:bCs/>
                <w:sz w:val="22"/>
                <w:szCs w:val="22"/>
              </w:rPr>
              <w:t>6</w:t>
            </w:r>
          </w:p>
        </w:tc>
      </w:tr>
      <w:tr w:rsidR="00170FF3" w:rsidRPr="00972D43" w14:paraId="5E471292" w14:textId="77777777" w:rsidTr="00EC30B0">
        <w:trPr>
          <w:cantSplit/>
          <w:trHeight w:val="350"/>
        </w:trPr>
        <w:tc>
          <w:tcPr>
            <w:tcW w:w="810" w:type="dxa"/>
            <w:shd w:val="clear" w:color="auto" w:fill="FFFFFF"/>
            <w:vAlign w:val="center"/>
          </w:tcPr>
          <w:p w14:paraId="6BD79C53" w14:textId="77777777" w:rsidR="00170FF3" w:rsidRDefault="00170FF3" w:rsidP="00170FF3">
            <w:pPr>
              <w:jc w:val="center"/>
              <w:rPr>
                <w:sz w:val="22"/>
                <w:szCs w:val="22"/>
                <w:lang w:val="en-US"/>
              </w:rPr>
            </w:pPr>
            <w:r>
              <w:rPr>
                <w:sz w:val="22"/>
                <w:szCs w:val="22"/>
                <w:lang w:val="en-US"/>
              </w:rPr>
              <w:t>1.</w:t>
            </w:r>
          </w:p>
        </w:tc>
        <w:tc>
          <w:tcPr>
            <w:tcW w:w="6032" w:type="dxa"/>
            <w:shd w:val="clear" w:color="auto" w:fill="FFFFFF"/>
          </w:tcPr>
          <w:p w14:paraId="4994FDC9" w14:textId="455EAFF8" w:rsidR="00170FF3" w:rsidRPr="006D7507" w:rsidRDefault="00170FF3" w:rsidP="00170FF3">
            <w:pPr>
              <w:rPr>
                <w:b/>
                <w:bCs/>
              </w:rPr>
            </w:pPr>
            <w:r w:rsidRPr="00DB2ADB">
              <w:rPr>
                <w:color w:val="000000"/>
              </w:rPr>
              <w:t>Programinės įrangos licencijų palaikymo pratęsimas (</w:t>
            </w:r>
            <w:r w:rsidRPr="00DB2ADB">
              <w:rPr>
                <w:bCs/>
              </w:rPr>
              <w:t xml:space="preserve">Oracle Database Standard Edition 2 (Processor Perpetual) </w:t>
            </w:r>
          </w:p>
        </w:tc>
        <w:tc>
          <w:tcPr>
            <w:tcW w:w="1348" w:type="dxa"/>
            <w:shd w:val="clear" w:color="auto" w:fill="FFFFFF"/>
            <w:noWrap/>
          </w:tcPr>
          <w:p w14:paraId="73D8D591" w14:textId="77777777" w:rsidR="00170FF3" w:rsidRDefault="00170FF3" w:rsidP="00170FF3">
            <w:pPr>
              <w:rPr>
                <w:sz w:val="22"/>
                <w:szCs w:val="22"/>
                <w:lang w:val="en-US"/>
              </w:rPr>
            </w:pPr>
            <w:r>
              <w:rPr>
                <w:sz w:val="22"/>
                <w:szCs w:val="22"/>
                <w:lang w:val="en-US"/>
              </w:rPr>
              <w:t>vnt.</w:t>
            </w:r>
          </w:p>
        </w:tc>
        <w:tc>
          <w:tcPr>
            <w:tcW w:w="1710" w:type="dxa"/>
            <w:shd w:val="clear" w:color="auto" w:fill="FFFFFF"/>
          </w:tcPr>
          <w:p w14:paraId="60861BCD" w14:textId="787BB394" w:rsidR="00170FF3" w:rsidRDefault="00170FF3" w:rsidP="00170FF3">
            <w:pPr>
              <w:rPr>
                <w:sz w:val="22"/>
                <w:szCs w:val="22"/>
              </w:rPr>
            </w:pPr>
            <w:r>
              <w:rPr>
                <w:sz w:val="22"/>
                <w:szCs w:val="22"/>
              </w:rPr>
              <w:t>2</w:t>
            </w:r>
          </w:p>
        </w:tc>
        <w:tc>
          <w:tcPr>
            <w:tcW w:w="2430" w:type="dxa"/>
            <w:shd w:val="clear" w:color="auto" w:fill="FFFFFF"/>
            <w:noWrap/>
          </w:tcPr>
          <w:p w14:paraId="2CC2E7D6" w14:textId="77777777" w:rsidR="00F91ED1" w:rsidRDefault="00F91ED1" w:rsidP="00F91ED1">
            <w:pPr>
              <w:pStyle w:val="Default"/>
              <w:rPr>
                <w:sz w:val="23"/>
                <w:szCs w:val="23"/>
              </w:rPr>
            </w:pPr>
            <w:r>
              <w:rPr>
                <w:sz w:val="23"/>
                <w:szCs w:val="23"/>
              </w:rPr>
              <w:t xml:space="preserve">3 448,75 </w:t>
            </w:r>
          </w:p>
          <w:p w14:paraId="13E578B1" w14:textId="3348DA56" w:rsidR="00170FF3" w:rsidRPr="003D71D4" w:rsidRDefault="00170FF3" w:rsidP="00170FF3">
            <w:pPr>
              <w:pStyle w:val="Default"/>
              <w:rPr>
                <w:sz w:val="22"/>
                <w:szCs w:val="22"/>
              </w:rPr>
            </w:pPr>
          </w:p>
        </w:tc>
        <w:tc>
          <w:tcPr>
            <w:tcW w:w="2430" w:type="dxa"/>
            <w:shd w:val="clear" w:color="auto" w:fill="FFFFFF"/>
            <w:noWrap/>
          </w:tcPr>
          <w:p w14:paraId="113D4D3B" w14:textId="77777777" w:rsidR="00F91ED1" w:rsidRDefault="00F91ED1" w:rsidP="00F91ED1">
            <w:pPr>
              <w:pStyle w:val="Default"/>
              <w:rPr>
                <w:sz w:val="23"/>
                <w:szCs w:val="23"/>
              </w:rPr>
            </w:pPr>
            <w:r>
              <w:rPr>
                <w:sz w:val="23"/>
                <w:szCs w:val="23"/>
              </w:rPr>
              <w:t xml:space="preserve">6 897,50 </w:t>
            </w:r>
          </w:p>
          <w:p w14:paraId="6553E362" w14:textId="5E116AB1" w:rsidR="00170FF3" w:rsidRPr="003D71D4" w:rsidRDefault="00170FF3" w:rsidP="00170FF3">
            <w:pPr>
              <w:pStyle w:val="Default"/>
              <w:rPr>
                <w:sz w:val="22"/>
                <w:szCs w:val="22"/>
              </w:rPr>
            </w:pPr>
          </w:p>
        </w:tc>
      </w:tr>
      <w:tr w:rsidR="00170FF3" w:rsidRPr="00972D43" w14:paraId="337DF6F5" w14:textId="77777777" w:rsidTr="00EC30B0">
        <w:trPr>
          <w:cantSplit/>
          <w:trHeight w:val="315"/>
        </w:trPr>
        <w:tc>
          <w:tcPr>
            <w:tcW w:w="810" w:type="dxa"/>
            <w:shd w:val="clear" w:color="auto" w:fill="FFFFFF"/>
            <w:vAlign w:val="center"/>
          </w:tcPr>
          <w:p w14:paraId="67A0616C" w14:textId="77777777" w:rsidR="00170FF3" w:rsidRDefault="00170FF3" w:rsidP="00170FF3">
            <w:pPr>
              <w:jc w:val="center"/>
              <w:rPr>
                <w:sz w:val="22"/>
                <w:szCs w:val="22"/>
                <w:lang w:val="en-US"/>
              </w:rPr>
            </w:pPr>
          </w:p>
        </w:tc>
        <w:tc>
          <w:tcPr>
            <w:tcW w:w="6032" w:type="dxa"/>
            <w:shd w:val="clear" w:color="auto" w:fill="FFFFFF"/>
          </w:tcPr>
          <w:p w14:paraId="0EC66C24" w14:textId="74BA04F4" w:rsidR="00170FF3" w:rsidRPr="001C59B0" w:rsidRDefault="00170FF3" w:rsidP="00170FF3">
            <w:pPr>
              <w:rPr>
                <w:bCs/>
              </w:rPr>
            </w:pPr>
            <w:r w:rsidRPr="00DB2ADB">
              <w:rPr>
                <w:color w:val="000000"/>
              </w:rPr>
              <w:t>Programinės įrangos licencijų palaikymo pratęsimas (</w:t>
            </w:r>
            <w:r w:rsidRPr="00DB2ADB">
              <w:rPr>
                <w:bCs/>
              </w:rPr>
              <w:t xml:space="preserve">Oracle Database Standard Edition 2 (Named User Plus Perpetual) </w:t>
            </w:r>
          </w:p>
        </w:tc>
        <w:tc>
          <w:tcPr>
            <w:tcW w:w="1348" w:type="dxa"/>
            <w:shd w:val="clear" w:color="auto" w:fill="FFFFFF"/>
            <w:noWrap/>
          </w:tcPr>
          <w:p w14:paraId="6D2F56E0" w14:textId="77777777" w:rsidR="00170FF3" w:rsidRDefault="00170FF3" w:rsidP="00170FF3">
            <w:pPr>
              <w:rPr>
                <w:sz w:val="22"/>
                <w:szCs w:val="22"/>
                <w:lang w:val="en-US"/>
              </w:rPr>
            </w:pPr>
            <w:r>
              <w:rPr>
                <w:sz w:val="22"/>
                <w:szCs w:val="22"/>
                <w:lang w:val="en-US"/>
              </w:rPr>
              <w:t>vnt.</w:t>
            </w:r>
          </w:p>
        </w:tc>
        <w:tc>
          <w:tcPr>
            <w:tcW w:w="1710" w:type="dxa"/>
            <w:shd w:val="clear" w:color="auto" w:fill="FFFFFF"/>
          </w:tcPr>
          <w:p w14:paraId="4C24B940" w14:textId="5D36E270" w:rsidR="00170FF3" w:rsidRDefault="00170FF3" w:rsidP="00170FF3">
            <w:pPr>
              <w:rPr>
                <w:sz w:val="22"/>
                <w:szCs w:val="22"/>
              </w:rPr>
            </w:pPr>
            <w:r>
              <w:rPr>
                <w:sz w:val="22"/>
                <w:szCs w:val="22"/>
              </w:rPr>
              <w:t>20</w:t>
            </w:r>
          </w:p>
        </w:tc>
        <w:tc>
          <w:tcPr>
            <w:tcW w:w="2430" w:type="dxa"/>
            <w:shd w:val="clear" w:color="auto" w:fill="FFFFFF"/>
            <w:noWrap/>
          </w:tcPr>
          <w:p w14:paraId="3ECCC64C" w14:textId="77777777" w:rsidR="00F91ED1" w:rsidRDefault="00F91ED1" w:rsidP="00F91ED1">
            <w:pPr>
              <w:pStyle w:val="Default"/>
              <w:rPr>
                <w:sz w:val="23"/>
                <w:szCs w:val="23"/>
              </w:rPr>
            </w:pPr>
            <w:r>
              <w:rPr>
                <w:sz w:val="23"/>
                <w:szCs w:val="23"/>
              </w:rPr>
              <w:t xml:space="preserve">107,03 </w:t>
            </w:r>
          </w:p>
          <w:p w14:paraId="37E3990D" w14:textId="29C9071E" w:rsidR="00170FF3" w:rsidRDefault="00170FF3" w:rsidP="00170FF3">
            <w:pPr>
              <w:pStyle w:val="Default"/>
              <w:rPr>
                <w:sz w:val="22"/>
                <w:szCs w:val="22"/>
              </w:rPr>
            </w:pPr>
          </w:p>
        </w:tc>
        <w:tc>
          <w:tcPr>
            <w:tcW w:w="2430" w:type="dxa"/>
            <w:shd w:val="clear" w:color="auto" w:fill="FFFFFF"/>
            <w:noWrap/>
          </w:tcPr>
          <w:p w14:paraId="0877E16E" w14:textId="77777777" w:rsidR="00F91ED1" w:rsidRDefault="00F91ED1" w:rsidP="00F91ED1">
            <w:pPr>
              <w:pStyle w:val="Default"/>
              <w:rPr>
                <w:sz w:val="23"/>
                <w:szCs w:val="23"/>
              </w:rPr>
            </w:pPr>
            <w:r>
              <w:rPr>
                <w:sz w:val="23"/>
                <w:szCs w:val="23"/>
              </w:rPr>
              <w:t xml:space="preserve">2 140,60 </w:t>
            </w:r>
          </w:p>
          <w:p w14:paraId="31736888" w14:textId="76F35E60" w:rsidR="00170FF3" w:rsidRDefault="00170FF3" w:rsidP="00170FF3">
            <w:pPr>
              <w:pStyle w:val="Default"/>
              <w:rPr>
                <w:sz w:val="22"/>
                <w:szCs w:val="22"/>
              </w:rPr>
            </w:pPr>
          </w:p>
        </w:tc>
      </w:tr>
      <w:tr w:rsidR="00170FF3" w:rsidRPr="00972D43" w14:paraId="4C644FD1" w14:textId="77777777" w:rsidTr="00EC30B0">
        <w:trPr>
          <w:cantSplit/>
          <w:trHeight w:val="315"/>
        </w:trPr>
        <w:tc>
          <w:tcPr>
            <w:tcW w:w="12330" w:type="dxa"/>
            <w:gridSpan w:val="5"/>
            <w:shd w:val="clear" w:color="auto" w:fill="FFFFFF"/>
          </w:tcPr>
          <w:p w14:paraId="3C4E067C" w14:textId="77777777" w:rsidR="00170FF3" w:rsidRDefault="00170FF3" w:rsidP="00170FF3">
            <w:pPr>
              <w:jc w:val="right"/>
              <w:rPr>
                <w:sz w:val="22"/>
                <w:szCs w:val="22"/>
              </w:rPr>
            </w:pPr>
            <w:r>
              <w:rPr>
                <w:b/>
                <w:lang w:eastAsia="en-US"/>
              </w:rPr>
              <w:t xml:space="preserve">IŠ VISO (bendra </w:t>
            </w:r>
            <w:r w:rsidRPr="00986208">
              <w:rPr>
                <w:b/>
                <w:lang w:eastAsia="en-US"/>
              </w:rPr>
              <w:t xml:space="preserve"> </w:t>
            </w:r>
            <w:r>
              <w:rPr>
                <w:b/>
                <w:lang w:eastAsia="en-US"/>
              </w:rPr>
              <w:t xml:space="preserve">kaina be </w:t>
            </w:r>
            <w:r w:rsidRPr="00606665">
              <w:rPr>
                <w:b/>
              </w:rPr>
              <w:t xml:space="preserve">PVM </w:t>
            </w:r>
            <w:r>
              <w:rPr>
                <w:b/>
              </w:rPr>
              <w:t>)</w:t>
            </w:r>
          </w:p>
        </w:tc>
        <w:tc>
          <w:tcPr>
            <w:tcW w:w="2430" w:type="dxa"/>
            <w:shd w:val="clear" w:color="auto" w:fill="FFFFFF"/>
            <w:noWrap/>
          </w:tcPr>
          <w:p w14:paraId="0BCCD717" w14:textId="22905FED" w:rsidR="00170FF3" w:rsidRPr="0034363A" w:rsidRDefault="00F91ED1" w:rsidP="00170FF3">
            <w:pPr>
              <w:pStyle w:val="Default"/>
              <w:rPr>
                <w:sz w:val="22"/>
                <w:szCs w:val="22"/>
              </w:rPr>
            </w:pPr>
            <w:r w:rsidRPr="0034363A">
              <w:rPr>
                <w:sz w:val="22"/>
                <w:szCs w:val="22"/>
              </w:rPr>
              <w:t>9</w:t>
            </w:r>
            <w:r w:rsidR="0034363A">
              <w:rPr>
                <w:sz w:val="22"/>
                <w:szCs w:val="22"/>
              </w:rPr>
              <w:t xml:space="preserve"> </w:t>
            </w:r>
            <w:r w:rsidRPr="0034363A">
              <w:rPr>
                <w:sz w:val="22"/>
                <w:szCs w:val="22"/>
              </w:rPr>
              <w:t>038,10</w:t>
            </w:r>
          </w:p>
        </w:tc>
      </w:tr>
      <w:tr w:rsidR="00170FF3" w:rsidRPr="00972D43" w14:paraId="7F0B3163" w14:textId="77777777" w:rsidTr="00EC30B0">
        <w:trPr>
          <w:cantSplit/>
          <w:trHeight w:val="315"/>
        </w:trPr>
        <w:tc>
          <w:tcPr>
            <w:tcW w:w="12330" w:type="dxa"/>
            <w:gridSpan w:val="5"/>
            <w:shd w:val="clear" w:color="auto" w:fill="FFFFFF"/>
          </w:tcPr>
          <w:p w14:paraId="3F56E330" w14:textId="77777777" w:rsidR="00170FF3" w:rsidRPr="00650043" w:rsidRDefault="00170FF3" w:rsidP="00170FF3">
            <w:pPr>
              <w:jc w:val="right"/>
              <w:rPr>
                <w:b/>
                <w:sz w:val="22"/>
              </w:rPr>
            </w:pPr>
            <w:r w:rsidRPr="00650043">
              <w:rPr>
                <w:b/>
                <w:sz w:val="22"/>
              </w:rPr>
              <w:t>21 % PVM:</w:t>
            </w:r>
          </w:p>
        </w:tc>
        <w:tc>
          <w:tcPr>
            <w:tcW w:w="2430" w:type="dxa"/>
            <w:shd w:val="clear" w:color="auto" w:fill="FFFFFF"/>
            <w:noWrap/>
          </w:tcPr>
          <w:p w14:paraId="505519BE" w14:textId="77777777" w:rsidR="00F91ED1" w:rsidRDefault="00F91ED1" w:rsidP="00F91ED1">
            <w:pPr>
              <w:pStyle w:val="Default"/>
              <w:rPr>
                <w:sz w:val="22"/>
                <w:szCs w:val="22"/>
              </w:rPr>
            </w:pPr>
            <w:r>
              <w:rPr>
                <w:sz w:val="22"/>
                <w:szCs w:val="22"/>
              </w:rPr>
              <w:t xml:space="preserve">1 898,00 </w:t>
            </w:r>
          </w:p>
          <w:p w14:paraId="25F69051" w14:textId="77777777" w:rsidR="00170FF3" w:rsidRPr="003D71D4" w:rsidRDefault="00170FF3" w:rsidP="00170FF3">
            <w:pPr>
              <w:pStyle w:val="Default"/>
              <w:rPr>
                <w:b/>
                <w:sz w:val="22"/>
                <w:szCs w:val="22"/>
              </w:rPr>
            </w:pPr>
          </w:p>
        </w:tc>
      </w:tr>
      <w:tr w:rsidR="00170FF3" w:rsidRPr="00972D43" w14:paraId="49FB7D99" w14:textId="77777777" w:rsidTr="00EC30B0">
        <w:trPr>
          <w:cantSplit/>
          <w:trHeight w:val="315"/>
        </w:trPr>
        <w:tc>
          <w:tcPr>
            <w:tcW w:w="12330" w:type="dxa"/>
            <w:gridSpan w:val="5"/>
            <w:shd w:val="clear" w:color="auto" w:fill="FFFFFF"/>
          </w:tcPr>
          <w:p w14:paraId="6B72AB7B" w14:textId="77777777" w:rsidR="00170FF3" w:rsidRDefault="00170FF3" w:rsidP="00170FF3">
            <w:pPr>
              <w:jc w:val="right"/>
              <w:rPr>
                <w:b/>
                <w:sz w:val="22"/>
                <w:szCs w:val="22"/>
              </w:rPr>
            </w:pPr>
            <w:r>
              <w:rPr>
                <w:b/>
                <w:lang w:eastAsia="en-US"/>
              </w:rPr>
              <w:t xml:space="preserve">IŠ VISO (bendra </w:t>
            </w:r>
            <w:r w:rsidRPr="00986208">
              <w:rPr>
                <w:b/>
                <w:lang w:eastAsia="en-US"/>
              </w:rPr>
              <w:t xml:space="preserve"> </w:t>
            </w:r>
            <w:r>
              <w:rPr>
                <w:b/>
                <w:lang w:eastAsia="en-US"/>
              </w:rPr>
              <w:t xml:space="preserve">kaina su </w:t>
            </w:r>
            <w:r w:rsidRPr="00606665">
              <w:rPr>
                <w:b/>
              </w:rPr>
              <w:t xml:space="preserve">PVM </w:t>
            </w:r>
            <w:r>
              <w:rPr>
                <w:b/>
              </w:rPr>
              <w:t>)</w:t>
            </w:r>
          </w:p>
        </w:tc>
        <w:tc>
          <w:tcPr>
            <w:tcW w:w="2430" w:type="dxa"/>
            <w:shd w:val="clear" w:color="auto" w:fill="FFFFFF"/>
            <w:noWrap/>
          </w:tcPr>
          <w:p w14:paraId="6957C885" w14:textId="77777777" w:rsidR="00F91ED1" w:rsidRDefault="00F91ED1" w:rsidP="00F91ED1">
            <w:pPr>
              <w:pStyle w:val="Default"/>
              <w:rPr>
                <w:sz w:val="22"/>
                <w:szCs w:val="22"/>
              </w:rPr>
            </w:pPr>
            <w:r>
              <w:rPr>
                <w:sz w:val="22"/>
                <w:szCs w:val="22"/>
              </w:rPr>
              <w:t xml:space="preserve">10 936,10 </w:t>
            </w:r>
          </w:p>
          <w:p w14:paraId="39F01251" w14:textId="77777777" w:rsidR="00170FF3" w:rsidRPr="003D71D4" w:rsidRDefault="00170FF3" w:rsidP="00170FF3">
            <w:pPr>
              <w:pStyle w:val="Default"/>
              <w:rPr>
                <w:b/>
                <w:sz w:val="22"/>
                <w:szCs w:val="22"/>
                <w:lang w:eastAsia="en-US"/>
              </w:rPr>
            </w:pPr>
          </w:p>
        </w:tc>
      </w:tr>
    </w:tbl>
    <w:p w14:paraId="79FD4317" w14:textId="77777777" w:rsidR="00825BA3" w:rsidRDefault="00825BA3" w:rsidP="00170FF3">
      <w:pPr>
        <w:pStyle w:val="BodyText2"/>
        <w:ind w:firstLine="0"/>
        <w:rPr>
          <w:rFonts w:ascii="Times New Roman" w:hAnsi="Times New Roman"/>
          <w:b/>
          <w:sz w:val="24"/>
          <w:szCs w:val="24"/>
          <w:lang w:val="lt-LT" w:eastAsia="en-US"/>
        </w:rPr>
      </w:pPr>
    </w:p>
    <w:p w14:paraId="500E3E0F" w14:textId="3748AC0D" w:rsidR="00170FF3" w:rsidRPr="0002308A" w:rsidRDefault="00170FF3" w:rsidP="00170FF3">
      <w:pPr>
        <w:pStyle w:val="BodyText2"/>
        <w:ind w:firstLine="0"/>
        <w:rPr>
          <w:rFonts w:ascii="Times New Roman" w:hAnsi="Times New Roman"/>
          <w:sz w:val="24"/>
          <w:szCs w:val="24"/>
          <w:lang w:val="lt-LT"/>
        </w:rPr>
      </w:pPr>
      <w:r w:rsidRPr="0066431E">
        <w:rPr>
          <w:rFonts w:ascii="Times New Roman" w:hAnsi="Times New Roman"/>
          <w:b/>
          <w:sz w:val="24"/>
          <w:szCs w:val="24"/>
          <w:lang w:val="lt-LT" w:eastAsia="en-US"/>
        </w:rPr>
        <w:t xml:space="preserve">IŠ VISO ( kaina su </w:t>
      </w:r>
      <w:r w:rsidRPr="0066431E">
        <w:rPr>
          <w:rFonts w:ascii="Times New Roman" w:hAnsi="Times New Roman"/>
          <w:b/>
          <w:sz w:val="24"/>
          <w:szCs w:val="24"/>
          <w:lang w:val="lt-LT"/>
        </w:rPr>
        <w:t xml:space="preserve">PVM ) </w:t>
      </w:r>
      <w:r w:rsidR="00BF544E">
        <w:rPr>
          <w:rFonts w:ascii="Times New Roman" w:hAnsi="Times New Roman"/>
          <w:sz w:val="24"/>
          <w:szCs w:val="24"/>
          <w:lang w:val="lt-LT"/>
        </w:rPr>
        <w:t xml:space="preserve">dešimt tūkstančių </w:t>
      </w:r>
      <w:r w:rsidRPr="0002308A">
        <w:rPr>
          <w:rFonts w:ascii="Times New Roman" w:hAnsi="Times New Roman"/>
          <w:sz w:val="24"/>
          <w:szCs w:val="24"/>
          <w:lang w:val="lt-LT"/>
        </w:rPr>
        <w:t xml:space="preserve"> </w:t>
      </w:r>
      <w:r w:rsidR="00BF544E">
        <w:rPr>
          <w:rFonts w:ascii="Times New Roman" w:hAnsi="Times New Roman"/>
          <w:sz w:val="24"/>
          <w:szCs w:val="24"/>
          <w:lang w:val="lt-LT"/>
        </w:rPr>
        <w:t>devyni</w:t>
      </w:r>
      <w:r w:rsidRPr="0002308A">
        <w:rPr>
          <w:rFonts w:ascii="Times New Roman" w:hAnsi="Times New Roman"/>
          <w:sz w:val="24"/>
          <w:szCs w:val="24"/>
          <w:lang w:val="lt-LT"/>
        </w:rPr>
        <w:t xml:space="preserve"> šimtai </w:t>
      </w:r>
      <w:r w:rsidR="00BF544E">
        <w:rPr>
          <w:rFonts w:ascii="Times New Roman" w:hAnsi="Times New Roman"/>
          <w:sz w:val="24"/>
          <w:szCs w:val="24"/>
          <w:lang w:val="lt-LT"/>
        </w:rPr>
        <w:t xml:space="preserve">trisdešimt šeši </w:t>
      </w:r>
      <w:r w:rsidRPr="0002308A">
        <w:rPr>
          <w:rFonts w:ascii="Times New Roman" w:hAnsi="Times New Roman"/>
          <w:sz w:val="24"/>
          <w:szCs w:val="24"/>
          <w:lang w:val="lt-LT"/>
        </w:rPr>
        <w:t xml:space="preserve">eurai, </w:t>
      </w:r>
      <w:r w:rsidR="00BF544E">
        <w:rPr>
          <w:rFonts w:ascii="Times New Roman" w:hAnsi="Times New Roman"/>
          <w:sz w:val="24"/>
          <w:szCs w:val="24"/>
          <w:lang w:val="lt-LT"/>
        </w:rPr>
        <w:t xml:space="preserve">10 </w:t>
      </w:r>
      <w:r w:rsidRPr="0002308A">
        <w:rPr>
          <w:rFonts w:ascii="Times New Roman" w:hAnsi="Times New Roman"/>
          <w:sz w:val="24"/>
          <w:szCs w:val="24"/>
          <w:lang w:val="lt-LT"/>
        </w:rPr>
        <w:t>cent</w:t>
      </w:r>
      <w:r w:rsidR="00BF544E">
        <w:rPr>
          <w:rFonts w:ascii="Times New Roman" w:hAnsi="Times New Roman"/>
          <w:sz w:val="24"/>
          <w:szCs w:val="24"/>
          <w:lang w:val="lt-LT"/>
        </w:rPr>
        <w:t>ų</w:t>
      </w:r>
      <w:r w:rsidRPr="0002308A">
        <w:rPr>
          <w:rFonts w:ascii="Times New Roman" w:hAnsi="Times New Roman"/>
          <w:sz w:val="24"/>
          <w:szCs w:val="24"/>
          <w:lang w:val="lt-LT"/>
        </w:rPr>
        <w:t>.</w:t>
      </w:r>
    </w:p>
    <w:p w14:paraId="4D6F995E" w14:textId="77777777" w:rsidR="00170FF3" w:rsidRPr="0002308A" w:rsidRDefault="00170FF3" w:rsidP="00170FF3">
      <w:pPr>
        <w:pStyle w:val="BodyText2"/>
        <w:ind w:hanging="426"/>
        <w:rPr>
          <w:rFonts w:ascii="Times New Roman" w:hAnsi="Times New Roman"/>
          <w:sz w:val="24"/>
          <w:szCs w:val="24"/>
          <w:lang w:val="lt-LT"/>
        </w:rPr>
      </w:pPr>
      <w:r w:rsidRPr="0002308A">
        <w:rPr>
          <w:rFonts w:ascii="Times New Roman" w:hAnsi="Times New Roman"/>
          <w:sz w:val="24"/>
          <w:szCs w:val="24"/>
          <w:lang w:val="lt-LT"/>
        </w:rPr>
        <w:t xml:space="preserve">    </w:t>
      </w:r>
    </w:p>
    <w:p w14:paraId="4D5B95C5" w14:textId="77777777" w:rsidR="00170FF3" w:rsidRPr="0032344C" w:rsidRDefault="00170FF3" w:rsidP="00170FF3">
      <w:pPr>
        <w:pStyle w:val="BodyText2"/>
        <w:ind w:hanging="426"/>
        <w:rPr>
          <w:rFonts w:ascii="Times New Roman" w:hAnsi="Times New Roman"/>
          <w:sz w:val="24"/>
          <w:szCs w:val="24"/>
          <w:lang w:val="lt-LT"/>
        </w:rPr>
      </w:pPr>
      <w:r w:rsidRPr="0032344C">
        <w:rPr>
          <w:rFonts w:ascii="Times New Roman" w:hAnsi="Times New Roman"/>
          <w:sz w:val="24"/>
          <w:szCs w:val="24"/>
          <w:lang w:val="lt-LT"/>
        </w:rPr>
        <w:t xml:space="preserve">   PIRKĖJAS</w:t>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t xml:space="preserve">        </w:t>
      </w:r>
      <w:r w:rsidRPr="0032344C">
        <w:rPr>
          <w:rFonts w:ascii="Times New Roman" w:hAnsi="Times New Roman"/>
          <w:sz w:val="24"/>
          <w:szCs w:val="24"/>
          <w:lang w:val="lt-LT"/>
        </w:rPr>
        <w:tab/>
        <w:t xml:space="preserve">         </w:t>
      </w:r>
      <w:r w:rsidRPr="0032344C">
        <w:rPr>
          <w:rFonts w:ascii="Times New Roman" w:hAnsi="Times New Roman"/>
          <w:sz w:val="24"/>
          <w:szCs w:val="24"/>
          <w:lang w:val="lt-LT"/>
        </w:rPr>
        <w:tab/>
      </w:r>
      <w:r w:rsidRPr="0032344C">
        <w:rPr>
          <w:rFonts w:ascii="Times New Roman" w:hAnsi="Times New Roman"/>
          <w:sz w:val="24"/>
          <w:szCs w:val="24"/>
          <w:lang w:val="lt-LT"/>
        </w:rPr>
        <w:tab/>
        <w:t xml:space="preserve">    </w:t>
      </w:r>
      <w:r w:rsidRPr="0032344C">
        <w:rPr>
          <w:rFonts w:ascii="Times New Roman" w:hAnsi="Times New Roman"/>
          <w:sz w:val="24"/>
          <w:szCs w:val="24"/>
          <w:lang w:val="lt-LT"/>
        </w:rPr>
        <w:tab/>
        <w:t xml:space="preserve">  TEIKĖJAS</w:t>
      </w:r>
    </w:p>
    <w:tbl>
      <w:tblPr>
        <w:tblW w:w="185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3969"/>
        <w:gridCol w:w="3969"/>
      </w:tblGrid>
      <w:tr w:rsidR="00170FF3" w:rsidRPr="0032344C" w14:paraId="148EDF22" w14:textId="77777777" w:rsidTr="00EC30B0">
        <w:trPr>
          <w:trHeight w:val="627"/>
        </w:trPr>
        <w:tc>
          <w:tcPr>
            <w:tcW w:w="10632" w:type="dxa"/>
            <w:tcBorders>
              <w:top w:val="single" w:sz="4" w:space="0" w:color="FFFFFF"/>
              <w:left w:val="single" w:sz="4" w:space="0" w:color="FFFFFF"/>
              <w:bottom w:val="single" w:sz="4" w:space="0" w:color="FFFFFF"/>
              <w:right w:val="single" w:sz="4" w:space="0" w:color="FFFFFF"/>
            </w:tcBorders>
            <w:shd w:val="clear" w:color="auto" w:fill="auto"/>
          </w:tcPr>
          <w:p w14:paraId="4D8D929D" w14:textId="77777777" w:rsidR="00170FF3" w:rsidRPr="0032344C" w:rsidRDefault="00170FF3" w:rsidP="00EC30B0">
            <w:pPr>
              <w:rPr>
                <w:rFonts w:eastAsia="Arial"/>
                <w:lang w:eastAsia="ar-SA"/>
              </w:rPr>
            </w:pPr>
          </w:p>
          <w:p w14:paraId="4B3E6807" w14:textId="77777777" w:rsidR="00170FF3" w:rsidRPr="0032344C" w:rsidRDefault="00170FF3" w:rsidP="00EC30B0">
            <w:r w:rsidRPr="0032344C">
              <w:rPr>
                <w:rFonts w:eastAsia="Arial"/>
                <w:lang w:eastAsia="ar-SA"/>
              </w:rPr>
              <w:t xml:space="preserve">  Informacinių technologijų                                    </w:t>
            </w:r>
          </w:p>
          <w:p w14:paraId="3429A9F6" w14:textId="77777777" w:rsidR="00170FF3" w:rsidRPr="0032344C" w:rsidRDefault="00170FF3" w:rsidP="00EC30B0">
            <w:pPr>
              <w:tabs>
                <w:tab w:val="left" w:pos="8160"/>
              </w:tabs>
              <w:suppressAutoHyphens/>
              <w:jc w:val="both"/>
              <w:rPr>
                <w:rFonts w:eastAsia="Arial"/>
                <w:lang w:eastAsia="ar-SA"/>
              </w:rPr>
            </w:pPr>
            <w:r w:rsidRPr="0032344C">
              <w:rPr>
                <w:rFonts w:eastAsia="Arial"/>
                <w:lang w:eastAsia="ar-SA"/>
              </w:rPr>
              <w:t xml:space="preserve">  tarnybos prie Krašto apsaugos ministerijos                   </w:t>
            </w:r>
          </w:p>
          <w:p w14:paraId="3D6A1EE7" w14:textId="77777777" w:rsidR="00170FF3" w:rsidRPr="0032344C" w:rsidRDefault="00170FF3" w:rsidP="00EC30B0">
            <w:pPr>
              <w:pStyle w:val="BodyText2"/>
              <w:ind w:firstLine="0"/>
              <w:rPr>
                <w:rFonts w:ascii="Times New Roman" w:hAnsi="Times New Roman"/>
                <w:sz w:val="24"/>
                <w:szCs w:val="24"/>
                <w:lang w:val="lt-LT"/>
              </w:rPr>
            </w:pPr>
          </w:p>
        </w:tc>
        <w:tc>
          <w:tcPr>
            <w:tcW w:w="3969" w:type="dxa"/>
            <w:tcBorders>
              <w:top w:val="single" w:sz="4" w:space="0" w:color="FFFFFF"/>
              <w:left w:val="single" w:sz="4" w:space="0" w:color="FFFFFF"/>
              <w:bottom w:val="single" w:sz="4" w:space="0" w:color="FFFFFF"/>
              <w:right w:val="single" w:sz="4" w:space="0" w:color="FFFFFF"/>
            </w:tcBorders>
          </w:tcPr>
          <w:p w14:paraId="2B306A46" w14:textId="77777777" w:rsidR="00170FF3" w:rsidRPr="0032344C" w:rsidRDefault="00170FF3" w:rsidP="00EC30B0"/>
          <w:p w14:paraId="7B69B78C" w14:textId="77777777" w:rsidR="00170FF3" w:rsidRPr="0032344C" w:rsidRDefault="00170FF3" w:rsidP="00EC30B0">
            <w:r w:rsidRPr="0032344C">
              <w:t xml:space="preserve">           UAB „</w:t>
            </w:r>
            <w:r w:rsidRPr="00A003BE">
              <w:t>Novian Technologies</w:t>
            </w:r>
            <w:r w:rsidRPr="0032344C">
              <w:t>“</w:t>
            </w:r>
          </w:p>
          <w:p w14:paraId="21B377F0" w14:textId="77777777" w:rsidR="00170FF3" w:rsidRPr="0032344C" w:rsidRDefault="00170FF3" w:rsidP="00EC30B0"/>
          <w:p w14:paraId="7D0CF23F" w14:textId="77777777" w:rsidR="00170FF3" w:rsidRPr="0032344C" w:rsidRDefault="00170FF3" w:rsidP="00EC30B0">
            <w:pPr>
              <w:ind w:firstLine="720"/>
            </w:pPr>
          </w:p>
        </w:tc>
        <w:tc>
          <w:tcPr>
            <w:tcW w:w="3969" w:type="dxa"/>
            <w:tcBorders>
              <w:top w:val="single" w:sz="4" w:space="0" w:color="FFFFFF"/>
              <w:left w:val="single" w:sz="4" w:space="0" w:color="FFFFFF"/>
              <w:bottom w:val="single" w:sz="4" w:space="0" w:color="FFFFFF"/>
              <w:right w:val="single" w:sz="4" w:space="0" w:color="FFFFFF"/>
            </w:tcBorders>
            <w:shd w:val="clear" w:color="auto" w:fill="auto"/>
          </w:tcPr>
          <w:p w14:paraId="74B666B3" w14:textId="77777777" w:rsidR="00170FF3" w:rsidRPr="0032344C" w:rsidRDefault="00170FF3" w:rsidP="00EC30B0">
            <w:pPr>
              <w:ind w:firstLine="720"/>
            </w:pPr>
          </w:p>
        </w:tc>
      </w:tr>
      <w:tr w:rsidR="00170FF3" w:rsidRPr="0032344C" w14:paraId="7F95529C" w14:textId="77777777" w:rsidTr="00EC30B0">
        <w:tc>
          <w:tcPr>
            <w:tcW w:w="10632" w:type="dxa"/>
            <w:tcBorders>
              <w:top w:val="single" w:sz="4" w:space="0" w:color="FFFFFF"/>
              <w:left w:val="single" w:sz="4" w:space="0" w:color="FFFFFF"/>
              <w:bottom w:val="single" w:sz="4" w:space="0" w:color="FFFFFF"/>
              <w:right w:val="single" w:sz="4" w:space="0" w:color="FFFFFF"/>
            </w:tcBorders>
            <w:shd w:val="clear" w:color="auto" w:fill="auto"/>
          </w:tcPr>
          <w:p w14:paraId="4812E9CD" w14:textId="77777777" w:rsidR="00170FF3" w:rsidRPr="0032344C" w:rsidRDefault="00170FF3" w:rsidP="00EC30B0">
            <w:pPr>
              <w:suppressAutoHyphens/>
              <w:jc w:val="both"/>
            </w:pPr>
            <w:r w:rsidRPr="0032344C">
              <w:rPr>
                <w:rFonts w:eastAsia="Arial"/>
                <w:lang w:eastAsia="ar-SA"/>
              </w:rPr>
              <w:t xml:space="preserve">  Direktorius</w:t>
            </w:r>
          </w:p>
        </w:tc>
        <w:tc>
          <w:tcPr>
            <w:tcW w:w="3969" w:type="dxa"/>
            <w:tcBorders>
              <w:top w:val="single" w:sz="4" w:space="0" w:color="FFFFFF"/>
              <w:left w:val="single" w:sz="4" w:space="0" w:color="FFFFFF"/>
              <w:bottom w:val="single" w:sz="4" w:space="0" w:color="FFFFFF"/>
              <w:right w:val="single" w:sz="4" w:space="0" w:color="FFFFFF"/>
            </w:tcBorders>
          </w:tcPr>
          <w:p w14:paraId="18A03E22" w14:textId="5B4C336E" w:rsidR="00170FF3" w:rsidRPr="0032344C" w:rsidRDefault="00170FF3" w:rsidP="00EC30B0">
            <w:r w:rsidRPr="0032344C">
              <w:t xml:space="preserve">           </w:t>
            </w:r>
            <w:r w:rsidR="00AB3365">
              <w:t xml:space="preserve"> Generalinis direktorius</w:t>
            </w:r>
          </w:p>
          <w:p w14:paraId="567C5DF7" w14:textId="77777777" w:rsidR="00170FF3" w:rsidRPr="0032344C" w:rsidRDefault="00170FF3" w:rsidP="00EC30B0">
            <w:pPr>
              <w:rPr>
                <w:sz w:val="22"/>
                <w:szCs w:val="22"/>
              </w:rPr>
            </w:pPr>
          </w:p>
        </w:tc>
        <w:tc>
          <w:tcPr>
            <w:tcW w:w="3969" w:type="dxa"/>
            <w:tcBorders>
              <w:top w:val="single" w:sz="4" w:space="0" w:color="FFFFFF"/>
              <w:left w:val="single" w:sz="4" w:space="0" w:color="FFFFFF"/>
              <w:bottom w:val="single" w:sz="4" w:space="0" w:color="FFFFFF"/>
              <w:right w:val="single" w:sz="4" w:space="0" w:color="FFFFFF"/>
            </w:tcBorders>
            <w:shd w:val="clear" w:color="auto" w:fill="auto"/>
          </w:tcPr>
          <w:p w14:paraId="7C2DAEBC" w14:textId="77777777" w:rsidR="00170FF3" w:rsidRPr="0032344C" w:rsidRDefault="00170FF3" w:rsidP="00EC30B0">
            <w:pPr>
              <w:rPr>
                <w:sz w:val="22"/>
                <w:szCs w:val="22"/>
              </w:rPr>
            </w:pPr>
          </w:p>
        </w:tc>
      </w:tr>
      <w:tr w:rsidR="00ED67A8" w:rsidRPr="0032344C" w14:paraId="684B9936" w14:textId="77777777" w:rsidTr="00ED67A8">
        <w:tc>
          <w:tcPr>
            <w:tcW w:w="10632" w:type="dxa"/>
            <w:tcBorders>
              <w:top w:val="single" w:sz="4" w:space="0" w:color="FFFFFF"/>
              <w:left w:val="single" w:sz="4" w:space="0" w:color="FFFFFF"/>
              <w:bottom w:val="single" w:sz="4" w:space="0" w:color="FFFFFF"/>
              <w:right w:val="single" w:sz="4" w:space="0" w:color="FFFFFF"/>
            </w:tcBorders>
            <w:shd w:val="clear" w:color="auto" w:fill="auto"/>
          </w:tcPr>
          <w:p w14:paraId="1E8F35AB" w14:textId="77777777" w:rsidR="00ED67A8" w:rsidRPr="0032344C" w:rsidRDefault="00ED67A8" w:rsidP="00ED67A8">
            <w:pPr>
              <w:suppressAutoHyphens/>
              <w:jc w:val="both"/>
              <w:rPr>
                <w:rFonts w:eastAsia="Arial"/>
                <w:lang w:eastAsia="ar-SA"/>
              </w:rPr>
            </w:pPr>
            <w:r w:rsidRPr="0032344C">
              <w:rPr>
                <w:rFonts w:eastAsia="Arial"/>
                <w:lang w:eastAsia="ar-SA"/>
              </w:rPr>
              <w:t xml:space="preserve">  Plk. ltn. </w:t>
            </w:r>
            <w:r w:rsidRPr="0032344C">
              <w:t>Saulius Juškevičius</w:t>
            </w:r>
          </w:p>
        </w:tc>
        <w:tc>
          <w:tcPr>
            <w:tcW w:w="3969" w:type="dxa"/>
            <w:tcBorders>
              <w:top w:val="single" w:sz="4" w:space="0" w:color="FFFFFF"/>
              <w:left w:val="single" w:sz="4" w:space="0" w:color="FFFFFF"/>
              <w:bottom w:val="single" w:sz="4" w:space="0" w:color="FFFFFF"/>
              <w:right w:val="single" w:sz="4" w:space="0" w:color="FFFFFF"/>
            </w:tcBorders>
          </w:tcPr>
          <w:p w14:paraId="7C950723" w14:textId="2A82CF34" w:rsidR="00ED67A8" w:rsidRDefault="004C7C60" w:rsidP="004C7C60">
            <w:pPr>
              <w:spacing w:after="100" w:afterAutospacing="1"/>
            </w:pPr>
            <w:r>
              <w:t xml:space="preserve">           </w:t>
            </w:r>
            <w:r w:rsidR="00AB3365">
              <w:t xml:space="preserve"> Gytis Umantas</w:t>
            </w:r>
          </w:p>
          <w:p w14:paraId="7753CA9D" w14:textId="77777777" w:rsidR="00DF29C3" w:rsidRDefault="00DF29C3" w:rsidP="004C7C60">
            <w:pPr>
              <w:spacing w:after="100" w:afterAutospacing="1"/>
            </w:pPr>
          </w:p>
          <w:p w14:paraId="3AE83E3A" w14:textId="77777777" w:rsidR="00ED67A8" w:rsidRDefault="00ED67A8" w:rsidP="00ED67A8">
            <w:pPr>
              <w:spacing w:after="100" w:afterAutospacing="1"/>
            </w:pPr>
          </w:p>
          <w:p w14:paraId="560DA5DE" w14:textId="4D921ABE" w:rsidR="00ED67A8" w:rsidRDefault="00ED67A8" w:rsidP="00ED67A8">
            <w:pPr>
              <w:spacing w:after="100" w:afterAutospacing="1"/>
            </w:pPr>
            <w:r>
              <w:t xml:space="preserve">2021 m.           ___d. Paslaugų viešojo </w:t>
            </w:r>
          </w:p>
          <w:p w14:paraId="770A927F" w14:textId="682F7CE6" w:rsidR="00ED67A8" w:rsidRPr="0032344C" w:rsidRDefault="00ED67A8" w:rsidP="00ED67A8">
            <w:pPr>
              <w:rPr>
                <w:sz w:val="22"/>
                <w:szCs w:val="22"/>
              </w:rPr>
            </w:pPr>
            <w:r>
              <w:t>pirkimo-pardavimo sutarties Nr._____</w:t>
            </w:r>
          </w:p>
        </w:tc>
        <w:tc>
          <w:tcPr>
            <w:tcW w:w="3969" w:type="dxa"/>
            <w:tcBorders>
              <w:top w:val="single" w:sz="4" w:space="0" w:color="FFFFFF"/>
              <w:left w:val="single" w:sz="4" w:space="0" w:color="FFFFFF"/>
              <w:bottom w:val="single" w:sz="4" w:space="0" w:color="FFFFFF"/>
              <w:right w:val="single" w:sz="4" w:space="0" w:color="FFFFFF"/>
            </w:tcBorders>
            <w:shd w:val="clear" w:color="auto" w:fill="auto"/>
            <w:vAlign w:val="bottom"/>
          </w:tcPr>
          <w:p w14:paraId="6BA306DF" w14:textId="77777777" w:rsidR="00ED67A8" w:rsidRPr="0032344C" w:rsidRDefault="00ED67A8" w:rsidP="00ED67A8">
            <w:pPr>
              <w:rPr>
                <w:sz w:val="22"/>
                <w:szCs w:val="22"/>
              </w:rPr>
            </w:pPr>
          </w:p>
        </w:tc>
      </w:tr>
      <w:tr w:rsidR="00ED67A8" w:rsidRPr="0032344C" w14:paraId="04A97A40" w14:textId="77777777" w:rsidTr="00BA6046">
        <w:tc>
          <w:tcPr>
            <w:tcW w:w="10632" w:type="dxa"/>
            <w:tcBorders>
              <w:top w:val="single" w:sz="4" w:space="0" w:color="FFFFFF"/>
              <w:left w:val="single" w:sz="4" w:space="0" w:color="FFFFFF"/>
              <w:bottom w:val="single" w:sz="4" w:space="0" w:color="FFFFFF"/>
              <w:right w:val="single" w:sz="4" w:space="0" w:color="FFFFFF"/>
            </w:tcBorders>
            <w:shd w:val="clear" w:color="auto" w:fill="auto"/>
          </w:tcPr>
          <w:p w14:paraId="618E2788" w14:textId="77777777" w:rsidR="00ED67A8" w:rsidRPr="0032344C" w:rsidRDefault="00ED67A8" w:rsidP="00ED67A8">
            <w:pPr>
              <w:suppressAutoHyphens/>
              <w:jc w:val="both"/>
              <w:rPr>
                <w:rFonts w:eastAsia="Arial"/>
                <w:lang w:eastAsia="ar-SA"/>
              </w:rPr>
            </w:pPr>
          </w:p>
        </w:tc>
        <w:tc>
          <w:tcPr>
            <w:tcW w:w="3969" w:type="dxa"/>
            <w:tcBorders>
              <w:top w:val="single" w:sz="4" w:space="0" w:color="FFFFFF"/>
              <w:left w:val="single" w:sz="4" w:space="0" w:color="FFFFFF"/>
              <w:bottom w:val="single" w:sz="4" w:space="0" w:color="FFFFFF"/>
              <w:right w:val="single" w:sz="4" w:space="0" w:color="FFFFFF"/>
            </w:tcBorders>
          </w:tcPr>
          <w:p w14:paraId="58995B86" w14:textId="44276A21" w:rsidR="00ED67A8" w:rsidRDefault="00904C06" w:rsidP="00ED67A8">
            <w:pPr>
              <w:spacing w:after="100" w:afterAutospacing="1"/>
            </w:pPr>
            <w:r>
              <w:t>2</w:t>
            </w:r>
            <w:r w:rsidR="00ED67A8" w:rsidRPr="00281BCD">
              <w:t xml:space="preserve"> priedas</w:t>
            </w:r>
          </w:p>
          <w:p w14:paraId="258F66FF" w14:textId="33E7A45D" w:rsidR="00ED67A8" w:rsidRDefault="00ED67A8" w:rsidP="00ED67A8">
            <w:pPr>
              <w:spacing w:after="100" w:afterAutospacing="1"/>
            </w:pPr>
          </w:p>
        </w:tc>
        <w:tc>
          <w:tcPr>
            <w:tcW w:w="3969" w:type="dxa"/>
            <w:tcBorders>
              <w:top w:val="single" w:sz="4" w:space="0" w:color="FFFFFF"/>
              <w:left w:val="single" w:sz="4" w:space="0" w:color="FFFFFF"/>
              <w:bottom w:val="single" w:sz="4" w:space="0" w:color="FFFFFF"/>
              <w:right w:val="single" w:sz="4" w:space="0" w:color="FFFFFF"/>
            </w:tcBorders>
            <w:shd w:val="clear" w:color="auto" w:fill="auto"/>
            <w:vAlign w:val="bottom"/>
          </w:tcPr>
          <w:p w14:paraId="096F0F45" w14:textId="77777777" w:rsidR="00ED67A8" w:rsidRPr="0032344C" w:rsidRDefault="00ED67A8" w:rsidP="00ED67A8">
            <w:pPr>
              <w:rPr>
                <w:sz w:val="22"/>
                <w:szCs w:val="22"/>
              </w:rPr>
            </w:pPr>
          </w:p>
        </w:tc>
      </w:tr>
    </w:tbl>
    <w:p w14:paraId="3930255D" w14:textId="77777777" w:rsidR="00ED67A8" w:rsidRDefault="00ED67A8" w:rsidP="00ED67A8">
      <w:pPr>
        <w:widowControl w:val="0"/>
        <w:overflowPunct w:val="0"/>
        <w:autoSpaceDE w:val="0"/>
        <w:autoSpaceDN w:val="0"/>
        <w:adjustRightInd w:val="0"/>
        <w:spacing w:line="236" w:lineRule="auto"/>
        <w:jc w:val="center"/>
        <w:rPr>
          <w:b/>
        </w:rPr>
      </w:pPr>
      <w:r w:rsidRPr="00A248F0">
        <w:rPr>
          <w:b/>
        </w:rPr>
        <w:t xml:space="preserve">PROGRAMINĖS ĮRANGOS </w:t>
      </w:r>
      <w:r>
        <w:rPr>
          <w:b/>
        </w:rPr>
        <w:t xml:space="preserve">LICENCIJŲ PALAIKYMO PRATĘSIMO PASLAUGŲ </w:t>
      </w:r>
      <w:r w:rsidRPr="00A248F0">
        <w:rPr>
          <w:b/>
        </w:rPr>
        <w:t>TECHNINĖS SPECIFIKACIJA</w:t>
      </w:r>
    </w:p>
    <w:p w14:paraId="07162FB0" w14:textId="77777777" w:rsidR="00ED67A8" w:rsidRPr="00E45F66" w:rsidRDefault="00ED67A8" w:rsidP="00ED67A8">
      <w:pPr>
        <w:widowControl w:val="0"/>
        <w:overflowPunct w:val="0"/>
        <w:autoSpaceDE w:val="0"/>
        <w:autoSpaceDN w:val="0"/>
        <w:adjustRightInd w:val="0"/>
        <w:spacing w:line="236" w:lineRule="auto"/>
        <w:ind w:left="8"/>
        <w:jc w:val="center"/>
      </w:pPr>
      <w:r>
        <w:tab/>
      </w:r>
      <w:r>
        <w:tab/>
      </w:r>
    </w:p>
    <w:p w14:paraId="793030AD" w14:textId="77777777" w:rsidR="00ED67A8" w:rsidRPr="00BC44A9" w:rsidRDefault="00ED67A8" w:rsidP="00ED67A8">
      <w:pPr>
        <w:rPr>
          <w:vanish/>
        </w:rPr>
      </w:pPr>
    </w:p>
    <w:tbl>
      <w:tblPr>
        <w:tblpPr w:leftFromText="180" w:rightFromText="180" w:vertAnchor="text" w:horzAnchor="page" w:tblpX="1094" w:tblpY="447"/>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
        <w:gridCol w:w="13440"/>
      </w:tblGrid>
      <w:tr w:rsidR="00ED67A8" w:rsidRPr="00717C04" w14:paraId="37589752" w14:textId="77777777" w:rsidTr="00EC30B0">
        <w:trPr>
          <w:trHeight w:val="263"/>
        </w:trPr>
        <w:tc>
          <w:tcPr>
            <w:tcW w:w="14585" w:type="dxa"/>
            <w:gridSpan w:val="2"/>
            <w:noWrap/>
          </w:tcPr>
          <w:p w14:paraId="48C85076" w14:textId="77777777" w:rsidR="00ED67A8" w:rsidRDefault="00ED67A8" w:rsidP="00EC30B0">
            <w:pPr>
              <w:ind w:right="-108"/>
              <w:rPr>
                <w:b/>
                <w:bCs/>
              </w:rPr>
            </w:pPr>
            <w:r>
              <w:rPr>
                <w:b/>
                <w:bCs/>
              </w:rPr>
              <w:t>P</w:t>
            </w:r>
            <w:r w:rsidRPr="005D2D31">
              <w:rPr>
                <w:b/>
                <w:bCs/>
              </w:rPr>
              <w:t>rograminės įrango</w:t>
            </w:r>
            <w:r>
              <w:rPr>
                <w:b/>
                <w:bCs/>
              </w:rPr>
              <w:t>s licencijų palaikymo pratęsimo  paslaugų</w:t>
            </w:r>
            <w:r w:rsidRPr="005E3085">
              <w:rPr>
                <w:b/>
                <w:bCs/>
              </w:rPr>
              <w:t xml:space="preserve"> techniniai rodikliai</w:t>
            </w:r>
          </w:p>
          <w:p w14:paraId="47C3A332" w14:textId="77777777" w:rsidR="00ED67A8" w:rsidRPr="005D2D31" w:rsidRDefault="00ED67A8" w:rsidP="00EC30B0">
            <w:pPr>
              <w:ind w:right="-108"/>
              <w:rPr>
                <w:b/>
                <w:bCs/>
              </w:rPr>
            </w:pPr>
          </w:p>
        </w:tc>
      </w:tr>
      <w:tr w:rsidR="00ED67A8" w:rsidRPr="00717C04" w14:paraId="728A9520" w14:textId="77777777" w:rsidTr="00EC30B0">
        <w:trPr>
          <w:trHeight w:val="263"/>
        </w:trPr>
        <w:tc>
          <w:tcPr>
            <w:tcW w:w="1145" w:type="dxa"/>
            <w:noWrap/>
          </w:tcPr>
          <w:p w14:paraId="5CB1FCAE" w14:textId="77777777" w:rsidR="00ED67A8" w:rsidRPr="00717C04" w:rsidRDefault="00ED67A8" w:rsidP="00ED67A8">
            <w:pPr>
              <w:ind w:left="-59"/>
              <w:rPr>
                <w:b/>
                <w:bCs/>
              </w:rPr>
            </w:pPr>
            <w:r>
              <w:rPr>
                <w:b/>
                <w:bCs/>
              </w:rPr>
              <w:t>1.</w:t>
            </w:r>
          </w:p>
        </w:tc>
        <w:tc>
          <w:tcPr>
            <w:tcW w:w="13440" w:type="dxa"/>
          </w:tcPr>
          <w:p w14:paraId="33377B86" w14:textId="72B6FB29" w:rsidR="00ED67A8" w:rsidRPr="005D2D31" w:rsidRDefault="00ED67A8" w:rsidP="00ED67A8">
            <w:pPr>
              <w:ind w:right="-108"/>
              <w:rPr>
                <w:b/>
                <w:bCs/>
              </w:rPr>
            </w:pPr>
            <w:r w:rsidRPr="00B04992">
              <w:t>Bendrieji reikalavimai.</w:t>
            </w:r>
          </w:p>
        </w:tc>
      </w:tr>
      <w:tr w:rsidR="00ED67A8" w:rsidRPr="00957C66" w14:paraId="7D33E03A" w14:textId="77777777" w:rsidTr="00EC30B0">
        <w:trPr>
          <w:trHeight w:val="324"/>
        </w:trPr>
        <w:tc>
          <w:tcPr>
            <w:tcW w:w="1145" w:type="dxa"/>
            <w:noWrap/>
          </w:tcPr>
          <w:p w14:paraId="4987D779" w14:textId="77777777" w:rsidR="00ED67A8" w:rsidRPr="00717C04" w:rsidRDefault="00ED67A8" w:rsidP="00ED67A8">
            <w:pPr>
              <w:ind w:left="-59"/>
              <w:rPr>
                <w:bCs/>
              </w:rPr>
            </w:pPr>
            <w:r w:rsidRPr="00717C04">
              <w:rPr>
                <w:bCs/>
              </w:rPr>
              <w:t>1.1.</w:t>
            </w:r>
          </w:p>
        </w:tc>
        <w:tc>
          <w:tcPr>
            <w:tcW w:w="13440" w:type="dxa"/>
          </w:tcPr>
          <w:p w14:paraId="7B6217B1" w14:textId="66421646" w:rsidR="00ED67A8" w:rsidRPr="00957C66" w:rsidRDefault="00ED67A8" w:rsidP="00ED67A8">
            <w:pPr>
              <w:jc w:val="both"/>
              <w:rPr>
                <w:b/>
                <w:bCs/>
              </w:rPr>
            </w:pPr>
            <w:r w:rsidRPr="00B04992">
              <w:t xml:space="preserve">tiekėjas turi užtikrinti, kad gamintojas nėra paskelbęs žinios apie siūlomos programinės įrangos gamybos arba tobulinimo nutraukimą (pvz., angl. </w:t>
            </w:r>
            <w:r w:rsidRPr="00B04992">
              <w:rPr>
                <w:i/>
              </w:rPr>
              <w:t>end of life time ar Discontinued</w:t>
            </w:r>
            <w:r w:rsidRPr="00B04992">
              <w:t xml:space="preserve">);   </w:t>
            </w:r>
          </w:p>
        </w:tc>
      </w:tr>
      <w:tr w:rsidR="00ED67A8" w:rsidRPr="00957C66" w14:paraId="5E2ECB53" w14:textId="77777777" w:rsidTr="00EC30B0">
        <w:trPr>
          <w:trHeight w:val="324"/>
        </w:trPr>
        <w:tc>
          <w:tcPr>
            <w:tcW w:w="1145" w:type="dxa"/>
            <w:noWrap/>
          </w:tcPr>
          <w:p w14:paraId="4A2E05E2" w14:textId="77777777" w:rsidR="00ED67A8" w:rsidRPr="00717C04" w:rsidRDefault="00ED67A8" w:rsidP="00ED67A8">
            <w:pPr>
              <w:ind w:left="-59"/>
              <w:rPr>
                <w:bCs/>
              </w:rPr>
            </w:pPr>
            <w:r w:rsidRPr="00717C04">
              <w:rPr>
                <w:bCs/>
              </w:rPr>
              <w:t>1.2.</w:t>
            </w:r>
          </w:p>
        </w:tc>
        <w:tc>
          <w:tcPr>
            <w:tcW w:w="13440" w:type="dxa"/>
          </w:tcPr>
          <w:p w14:paraId="62A48FD5" w14:textId="0F3E18B9" w:rsidR="00ED67A8" w:rsidRPr="00957C66" w:rsidRDefault="00ED67A8" w:rsidP="00ED67A8">
            <w:pPr>
              <w:jc w:val="both"/>
              <w:rPr>
                <w:b/>
                <w:bCs/>
              </w:rPr>
            </w:pPr>
            <w:r w:rsidRPr="00B04992">
              <w:rPr>
                <w:bCs/>
              </w:rPr>
              <w:t>tiekėjas turi pateikti nuorodą į gamintojo puslapį, kuriame yra tiksli pasiūlymą atitinkančios programinės įrangos techninė specifikacija;</w:t>
            </w:r>
          </w:p>
        </w:tc>
      </w:tr>
      <w:tr w:rsidR="00ED67A8" w:rsidRPr="00957C66" w14:paraId="6C2E7866" w14:textId="77777777" w:rsidTr="00EC30B0">
        <w:trPr>
          <w:trHeight w:val="324"/>
        </w:trPr>
        <w:tc>
          <w:tcPr>
            <w:tcW w:w="1145" w:type="dxa"/>
            <w:noWrap/>
          </w:tcPr>
          <w:p w14:paraId="443B0D0A" w14:textId="77777777" w:rsidR="00ED67A8" w:rsidRPr="00717C04" w:rsidRDefault="00ED67A8" w:rsidP="00ED67A8">
            <w:pPr>
              <w:ind w:left="-59"/>
              <w:rPr>
                <w:bCs/>
              </w:rPr>
            </w:pPr>
            <w:r w:rsidRPr="00717C04">
              <w:rPr>
                <w:bCs/>
              </w:rPr>
              <w:t>1.3.</w:t>
            </w:r>
          </w:p>
        </w:tc>
        <w:tc>
          <w:tcPr>
            <w:tcW w:w="13440" w:type="dxa"/>
          </w:tcPr>
          <w:p w14:paraId="287002F7" w14:textId="31E0ED88" w:rsidR="00ED67A8" w:rsidRPr="00957C66" w:rsidRDefault="00ED67A8" w:rsidP="00ED67A8">
            <w:pPr>
              <w:tabs>
                <w:tab w:val="left" w:pos="1080"/>
              </w:tabs>
              <w:autoSpaceDE w:val="0"/>
              <w:jc w:val="both"/>
            </w:pPr>
            <w:r w:rsidRPr="00B04992">
              <w:t>programinės įrangos dokumentai turi būti lietuvių arba anglų kalba. Programinės įrangos sisteminiai pranešimai turi būti anglų arba lietuvių kalba;</w:t>
            </w:r>
          </w:p>
        </w:tc>
      </w:tr>
      <w:tr w:rsidR="00ED67A8" w:rsidRPr="00957C66" w14:paraId="42D9ACD8" w14:textId="77777777" w:rsidTr="00EC30B0">
        <w:trPr>
          <w:trHeight w:val="324"/>
        </w:trPr>
        <w:tc>
          <w:tcPr>
            <w:tcW w:w="1145" w:type="dxa"/>
            <w:noWrap/>
          </w:tcPr>
          <w:p w14:paraId="4DCDC383" w14:textId="77777777" w:rsidR="00ED67A8" w:rsidRPr="00717C04" w:rsidRDefault="00ED67A8" w:rsidP="00ED67A8">
            <w:pPr>
              <w:ind w:left="-59"/>
              <w:rPr>
                <w:bCs/>
              </w:rPr>
            </w:pPr>
            <w:r>
              <w:rPr>
                <w:bCs/>
              </w:rPr>
              <w:t>1.4.</w:t>
            </w:r>
          </w:p>
        </w:tc>
        <w:tc>
          <w:tcPr>
            <w:tcW w:w="13440" w:type="dxa"/>
          </w:tcPr>
          <w:p w14:paraId="69D24623" w14:textId="6C4D96CB" w:rsidR="00ED67A8" w:rsidRPr="00957C66" w:rsidRDefault="00ED67A8" w:rsidP="00ED67A8">
            <w:pPr>
              <w:tabs>
                <w:tab w:val="left" w:pos="390"/>
                <w:tab w:val="left" w:pos="1035"/>
                <w:tab w:val="left" w:pos="1500"/>
              </w:tabs>
              <w:jc w:val="both"/>
              <w:rPr>
                <w:b/>
                <w:bCs/>
              </w:rPr>
            </w:pPr>
            <w:r w:rsidRPr="00B04992">
              <w:rPr>
                <w:bCs/>
              </w:rPr>
              <w:t>tiekėjas į savo pasiūlymą turi įtraukti visą programinę įrangą, diegimo bei suderinimo paslaugas, reikalingas šioje specifikacijoje nurodytiems reikalavimams įvykdyti;</w:t>
            </w:r>
          </w:p>
        </w:tc>
      </w:tr>
      <w:tr w:rsidR="00ED67A8" w:rsidRPr="00957C66" w14:paraId="39E9E3FD" w14:textId="77777777" w:rsidTr="00EC30B0">
        <w:trPr>
          <w:trHeight w:val="324"/>
        </w:trPr>
        <w:tc>
          <w:tcPr>
            <w:tcW w:w="1145" w:type="dxa"/>
            <w:noWrap/>
          </w:tcPr>
          <w:p w14:paraId="33C8A52C" w14:textId="77777777" w:rsidR="00ED67A8" w:rsidRDefault="00ED67A8" w:rsidP="00ED67A8">
            <w:pPr>
              <w:ind w:left="-59"/>
              <w:rPr>
                <w:bCs/>
              </w:rPr>
            </w:pPr>
            <w:r>
              <w:rPr>
                <w:bCs/>
              </w:rPr>
              <w:t>1.5.</w:t>
            </w:r>
          </w:p>
        </w:tc>
        <w:tc>
          <w:tcPr>
            <w:tcW w:w="13440" w:type="dxa"/>
          </w:tcPr>
          <w:p w14:paraId="3375667F" w14:textId="779EEC1E" w:rsidR="00ED67A8" w:rsidRPr="000B2EEC" w:rsidRDefault="00ED67A8" w:rsidP="00ED67A8">
            <w:pPr>
              <w:spacing w:after="120"/>
              <w:jc w:val="both"/>
              <w:rPr>
                <w:rFonts w:eastAsia="Calibri"/>
                <w:lang w:eastAsia="en-US"/>
              </w:rPr>
            </w:pPr>
            <w:r w:rsidRPr="00B04992">
              <w:rPr>
                <w:bCs/>
              </w:rPr>
              <w:t xml:space="preserve">visos programinės įrangos licencija turi būti suteikiama neribotam laikui (jei nenurodyta kitaip); </w:t>
            </w:r>
          </w:p>
        </w:tc>
      </w:tr>
      <w:tr w:rsidR="00ED67A8" w:rsidRPr="00957C66" w14:paraId="2E961B0B" w14:textId="77777777" w:rsidTr="00EC30B0">
        <w:trPr>
          <w:trHeight w:val="324"/>
        </w:trPr>
        <w:tc>
          <w:tcPr>
            <w:tcW w:w="1145" w:type="dxa"/>
            <w:noWrap/>
          </w:tcPr>
          <w:p w14:paraId="5CDC302F" w14:textId="77777777" w:rsidR="00ED67A8" w:rsidRDefault="00ED67A8" w:rsidP="00ED67A8">
            <w:pPr>
              <w:ind w:left="-59"/>
              <w:rPr>
                <w:bCs/>
              </w:rPr>
            </w:pPr>
            <w:r>
              <w:rPr>
                <w:bCs/>
              </w:rPr>
              <w:t>1.6.</w:t>
            </w:r>
          </w:p>
        </w:tc>
        <w:tc>
          <w:tcPr>
            <w:tcW w:w="13440" w:type="dxa"/>
          </w:tcPr>
          <w:p w14:paraId="06315BA9" w14:textId="26D53D33" w:rsidR="00ED67A8" w:rsidRPr="000B2EEC" w:rsidRDefault="00ED67A8" w:rsidP="00ED67A8">
            <w:pPr>
              <w:spacing w:after="120"/>
              <w:jc w:val="both"/>
              <w:rPr>
                <w:rFonts w:eastAsia="Calibri"/>
                <w:lang w:eastAsia="en-US"/>
              </w:rPr>
            </w:pPr>
            <w:r w:rsidRPr="00B04992">
              <w:rPr>
                <w:bCs/>
              </w:rPr>
              <w:t>įranga turi būti pateikta programinės įrangos gamintojo nustatytu keliu;</w:t>
            </w:r>
          </w:p>
        </w:tc>
      </w:tr>
      <w:tr w:rsidR="00ED67A8" w:rsidRPr="00957C66" w14:paraId="5E907EF2" w14:textId="77777777" w:rsidTr="00EC30B0">
        <w:trPr>
          <w:trHeight w:val="324"/>
        </w:trPr>
        <w:tc>
          <w:tcPr>
            <w:tcW w:w="1145" w:type="dxa"/>
            <w:noWrap/>
          </w:tcPr>
          <w:p w14:paraId="4F9834C2" w14:textId="77777777" w:rsidR="00ED67A8" w:rsidRDefault="00ED67A8" w:rsidP="00ED67A8">
            <w:pPr>
              <w:ind w:left="-59"/>
              <w:rPr>
                <w:bCs/>
              </w:rPr>
            </w:pPr>
            <w:r w:rsidRPr="004D1D19">
              <w:t>1.7.</w:t>
            </w:r>
          </w:p>
        </w:tc>
        <w:tc>
          <w:tcPr>
            <w:tcW w:w="13440" w:type="dxa"/>
          </w:tcPr>
          <w:p w14:paraId="1D2CE66C" w14:textId="69FE9B18" w:rsidR="00ED67A8" w:rsidRPr="000B2EEC" w:rsidRDefault="00ED67A8" w:rsidP="00ED67A8">
            <w:pPr>
              <w:spacing w:after="120"/>
              <w:jc w:val="both"/>
              <w:rPr>
                <w:rFonts w:eastAsia="Calibri"/>
                <w:lang w:eastAsia="en-US"/>
              </w:rPr>
            </w:pPr>
            <w:r w:rsidRPr="00B04992">
              <w:rPr>
                <w:bCs/>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ED67A8" w:rsidRPr="00957C66" w14:paraId="67B325AE" w14:textId="77777777" w:rsidTr="00EC30B0">
        <w:trPr>
          <w:trHeight w:val="324"/>
        </w:trPr>
        <w:tc>
          <w:tcPr>
            <w:tcW w:w="1145" w:type="dxa"/>
            <w:noWrap/>
          </w:tcPr>
          <w:p w14:paraId="6862EF37" w14:textId="77777777" w:rsidR="00ED67A8" w:rsidRDefault="00ED67A8" w:rsidP="00ED67A8">
            <w:pPr>
              <w:ind w:left="-59"/>
              <w:rPr>
                <w:bCs/>
              </w:rPr>
            </w:pPr>
            <w:r w:rsidRPr="004D1D19">
              <w:t>1.7.1.</w:t>
            </w:r>
          </w:p>
        </w:tc>
        <w:tc>
          <w:tcPr>
            <w:tcW w:w="13440" w:type="dxa"/>
          </w:tcPr>
          <w:p w14:paraId="36800100" w14:textId="3C54E376" w:rsidR="00ED67A8" w:rsidRPr="000B2EEC" w:rsidRDefault="00ED67A8" w:rsidP="00ED67A8">
            <w:pPr>
              <w:spacing w:after="120"/>
              <w:jc w:val="both"/>
              <w:rPr>
                <w:rFonts w:eastAsia="Calibri"/>
                <w:lang w:eastAsia="en-US"/>
              </w:rPr>
            </w:pPr>
            <w:r w:rsidRPr="00B04992">
              <w:rPr>
                <w:rFonts w:eastAsia="Calibri"/>
              </w:rPr>
              <w:t>įranga grąžinama tiekėjui arba keičiama nauja lygiaverte ar geresne, tačiau saugumo reikalavimus atitinkančia įranga;</w:t>
            </w:r>
          </w:p>
        </w:tc>
      </w:tr>
      <w:tr w:rsidR="00ED67A8" w:rsidRPr="00957C66" w14:paraId="3376875E" w14:textId="77777777" w:rsidTr="00EC30B0">
        <w:trPr>
          <w:trHeight w:val="324"/>
        </w:trPr>
        <w:tc>
          <w:tcPr>
            <w:tcW w:w="1145" w:type="dxa"/>
            <w:noWrap/>
          </w:tcPr>
          <w:p w14:paraId="5EB96564" w14:textId="77777777" w:rsidR="00ED67A8" w:rsidRDefault="00ED67A8" w:rsidP="00ED67A8">
            <w:pPr>
              <w:ind w:left="-59"/>
              <w:rPr>
                <w:bCs/>
              </w:rPr>
            </w:pPr>
            <w:r w:rsidRPr="004D1D19">
              <w:t>1.7.2.</w:t>
            </w:r>
          </w:p>
        </w:tc>
        <w:tc>
          <w:tcPr>
            <w:tcW w:w="13440" w:type="dxa"/>
          </w:tcPr>
          <w:p w14:paraId="09739DB9" w14:textId="1FA6ECD4" w:rsidR="00ED67A8" w:rsidRPr="000B2EEC" w:rsidRDefault="00ED67A8" w:rsidP="00ED67A8">
            <w:pPr>
              <w:spacing w:after="120"/>
              <w:jc w:val="both"/>
              <w:rPr>
                <w:rFonts w:eastAsia="Calibri"/>
                <w:lang w:eastAsia="en-US"/>
              </w:rPr>
            </w:pPr>
            <w:r w:rsidRPr="00B04992">
              <w:t>tiekėjas padengia pirkimo proceso metu pirkėjo patirtą materialinę žalą;</w:t>
            </w:r>
          </w:p>
        </w:tc>
      </w:tr>
      <w:tr w:rsidR="00FC22E4" w:rsidRPr="00957C66" w14:paraId="7D410ABA" w14:textId="77777777" w:rsidTr="00EC30B0">
        <w:trPr>
          <w:trHeight w:val="324"/>
        </w:trPr>
        <w:tc>
          <w:tcPr>
            <w:tcW w:w="1145" w:type="dxa"/>
            <w:noWrap/>
          </w:tcPr>
          <w:p w14:paraId="39D1B4FB" w14:textId="6BC70BB1" w:rsidR="00FC22E4" w:rsidRPr="004D1D19" w:rsidRDefault="00FC22E4" w:rsidP="00FC22E4">
            <w:pPr>
              <w:ind w:left="-59"/>
            </w:pPr>
            <w:r>
              <w:t>2.1.</w:t>
            </w:r>
          </w:p>
        </w:tc>
        <w:tc>
          <w:tcPr>
            <w:tcW w:w="13440" w:type="dxa"/>
          </w:tcPr>
          <w:p w14:paraId="3D18D8C6" w14:textId="54E229C1" w:rsidR="00FC22E4" w:rsidRPr="00B04992" w:rsidRDefault="00FC22E4" w:rsidP="00FC22E4">
            <w:pPr>
              <w:spacing w:after="120"/>
              <w:jc w:val="both"/>
            </w:pPr>
            <w:r w:rsidRPr="00B04992">
              <w:rPr>
                <w:bCs/>
              </w:rPr>
              <w:t xml:space="preserve">Pirkėjo turimos programinės įrangos </w:t>
            </w:r>
            <w:r w:rsidRPr="00B04992">
              <w:rPr>
                <w:b/>
                <w:bCs/>
              </w:rPr>
              <w:t>„Oracle Database Standard Edition 2 (Processor Perpetual)“</w:t>
            </w:r>
            <w:r w:rsidRPr="00B04992">
              <w:rPr>
                <w:bCs/>
              </w:rPr>
              <w:t xml:space="preserve"> licencijos galiojimo pratęsimas (techninės priežiūros ir atnaujinimo paslaugų pratęsimas, toliau – pratęsimas) 3 metams. Pirkėjo turima licencija galiojo iki 2021-08-12. </w:t>
            </w:r>
            <w:r w:rsidRPr="00B04992">
              <w:rPr>
                <w:bCs/>
              </w:rPr>
              <w:lastRenderedPageBreak/>
              <w:t>Pratęsimas privalo suteikti teisę be papildomo mokesčio gauti programinės įrangos pataisymus ir atnaujinimus į naujausias versijas viso pratęsimo metu.</w:t>
            </w:r>
          </w:p>
        </w:tc>
      </w:tr>
      <w:tr w:rsidR="00FC22E4" w:rsidRPr="00957C66" w14:paraId="02E01C55" w14:textId="77777777" w:rsidTr="00EC30B0">
        <w:trPr>
          <w:trHeight w:val="324"/>
        </w:trPr>
        <w:tc>
          <w:tcPr>
            <w:tcW w:w="1145" w:type="dxa"/>
            <w:noWrap/>
          </w:tcPr>
          <w:p w14:paraId="25E0B4BD" w14:textId="6B3AE064" w:rsidR="00FC22E4" w:rsidRPr="004D1D19" w:rsidRDefault="00FC22E4" w:rsidP="00FC22E4">
            <w:pPr>
              <w:ind w:left="-59"/>
            </w:pPr>
            <w:r>
              <w:lastRenderedPageBreak/>
              <w:t>2.2.</w:t>
            </w:r>
          </w:p>
        </w:tc>
        <w:tc>
          <w:tcPr>
            <w:tcW w:w="13440" w:type="dxa"/>
          </w:tcPr>
          <w:p w14:paraId="38828975" w14:textId="6DE99821" w:rsidR="00FC22E4" w:rsidRPr="00B04992" w:rsidRDefault="00FC22E4" w:rsidP="00FC22E4">
            <w:pPr>
              <w:spacing w:after="120"/>
              <w:jc w:val="both"/>
            </w:pPr>
            <w:r w:rsidRPr="00B04992">
              <w:rPr>
                <w:bCs/>
              </w:rPr>
              <w:t xml:space="preserve">Pirkėjo turimos programinės įrangos </w:t>
            </w:r>
            <w:r w:rsidRPr="00B04992">
              <w:rPr>
                <w:b/>
                <w:bCs/>
              </w:rPr>
              <w:t>„Oracle Database Standard Edition 2 (Named User Plus Perpetual)“</w:t>
            </w:r>
            <w:r w:rsidRPr="00B04992">
              <w:rPr>
                <w:bCs/>
              </w:rPr>
              <w:t xml:space="preserve"> licencijos galiojimo pratęsimas (techninės priežiūros ir atnaujinimo paslaugų pratęsimas, toliau – pratęsimas) 3 metams. Pirkėjo turima licencija galiojo iki 2021-08-12. Pratęsimas privalo suteikti teisę be papildomo mokesčio gauti programinės įrangos pataisymus ir atnaujinimus į naujausias versijas viso pratęsimo metu.</w:t>
            </w:r>
          </w:p>
        </w:tc>
      </w:tr>
    </w:tbl>
    <w:p w14:paraId="066650F6" w14:textId="77777777" w:rsidR="00AA201D" w:rsidRDefault="00AA201D" w:rsidP="00AA201D">
      <w:pPr>
        <w:pStyle w:val="BodyText2"/>
        <w:ind w:hanging="426"/>
        <w:rPr>
          <w:rFonts w:ascii="Times New Roman" w:hAnsi="Times New Roman"/>
          <w:sz w:val="24"/>
          <w:szCs w:val="24"/>
          <w:lang w:val="lt-LT"/>
        </w:rPr>
      </w:pPr>
    </w:p>
    <w:p w14:paraId="1EB392BA" w14:textId="0C2038DF" w:rsidR="00AA201D" w:rsidRPr="0032344C" w:rsidRDefault="00AA201D" w:rsidP="00AA201D">
      <w:pPr>
        <w:pStyle w:val="BodyText2"/>
        <w:ind w:hanging="426"/>
        <w:rPr>
          <w:rFonts w:ascii="Times New Roman" w:hAnsi="Times New Roman"/>
          <w:sz w:val="24"/>
          <w:szCs w:val="24"/>
          <w:lang w:val="lt-LT"/>
        </w:rPr>
      </w:pPr>
      <w:r>
        <w:rPr>
          <w:rFonts w:ascii="Times New Roman" w:hAnsi="Times New Roman"/>
          <w:sz w:val="24"/>
          <w:szCs w:val="24"/>
          <w:lang w:val="lt-LT"/>
        </w:rPr>
        <w:t xml:space="preserve">   </w:t>
      </w:r>
      <w:r w:rsidRPr="0032344C">
        <w:rPr>
          <w:rFonts w:ascii="Times New Roman" w:hAnsi="Times New Roman"/>
          <w:sz w:val="24"/>
          <w:szCs w:val="24"/>
          <w:lang w:val="lt-LT"/>
        </w:rPr>
        <w:t>PIRKĖJAS</w:t>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r>
      <w:r w:rsidRPr="0032344C">
        <w:rPr>
          <w:rFonts w:ascii="Times New Roman" w:hAnsi="Times New Roman"/>
          <w:sz w:val="24"/>
          <w:szCs w:val="24"/>
          <w:lang w:val="lt-LT"/>
        </w:rPr>
        <w:tab/>
        <w:t xml:space="preserve">        </w:t>
      </w:r>
      <w:r w:rsidRPr="0032344C">
        <w:rPr>
          <w:rFonts w:ascii="Times New Roman" w:hAnsi="Times New Roman"/>
          <w:sz w:val="24"/>
          <w:szCs w:val="24"/>
          <w:lang w:val="lt-LT"/>
        </w:rPr>
        <w:tab/>
        <w:t xml:space="preserve">         </w:t>
      </w:r>
      <w:r w:rsidRPr="0032344C">
        <w:rPr>
          <w:rFonts w:ascii="Times New Roman" w:hAnsi="Times New Roman"/>
          <w:sz w:val="24"/>
          <w:szCs w:val="24"/>
          <w:lang w:val="lt-LT"/>
        </w:rPr>
        <w:tab/>
      </w:r>
      <w:r w:rsidRPr="0032344C">
        <w:rPr>
          <w:rFonts w:ascii="Times New Roman" w:hAnsi="Times New Roman"/>
          <w:sz w:val="24"/>
          <w:szCs w:val="24"/>
          <w:lang w:val="lt-LT"/>
        </w:rPr>
        <w:tab/>
        <w:t xml:space="preserve">    </w:t>
      </w:r>
      <w:r w:rsidRPr="0032344C">
        <w:rPr>
          <w:rFonts w:ascii="Times New Roman" w:hAnsi="Times New Roman"/>
          <w:sz w:val="24"/>
          <w:szCs w:val="24"/>
          <w:lang w:val="lt-LT"/>
        </w:rPr>
        <w:tab/>
        <w:t xml:space="preserve">  TEIKĖJAS</w:t>
      </w:r>
    </w:p>
    <w:tbl>
      <w:tblPr>
        <w:tblW w:w="185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gridCol w:w="3969"/>
        <w:gridCol w:w="3969"/>
      </w:tblGrid>
      <w:tr w:rsidR="00AA201D" w:rsidRPr="0032344C" w14:paraId="50E70AC8" w14:textId="77777777" w:rsidTr="00EC30B0">
        <w:trPr>
          <w:trHeight w:val="627"/>
        </w:trPr>
        <w:tc>
          <w:tcPr>
            <w:tcW w:w="10632" w:type="dxa"/>
            <w:tcBorders>
              <w:top w:val="single" w:sz="4" w:space="0" w:color="FFFFFF"/>
              <w:left w:val="single" w:sz="4" w:space="0" w:color="FFFFFF"/>
              <w:bottom w:val="single" w:sz="4" w:space="0" w:color="FFFFFF"/>
              <w:right w:val="single" w:sz="4" w:space="0" w:color="FFFFFF"/>
            </w:tcBorders>
            <w:shd w:val="clear" w:color="auto" w:fill="auto"/>
          </w:tcPr>
          <w:p w14:paraId="6A10AE94" w14:textId="77777777" w:rsidR="00AA201D" w:rsidRPr="0032344C" w:rsidRDefault="00AA201D" w:rsidP="00EC30B0">
            <w:pPr>
              <w:rPr>
                <w:rFonts w:eastAsia="Arial"/>
                <w:lang w:eastAsia="ar-SA"/>
              </w:rPr>
            </w:pPr>
          </w:p>
          <w:p w14:paraId="1D0648C5" w14:textId="77777777" w:rsidR="00AA201D" w:rsidRPr="0032344C" w:rsidRDefault="00AA201D" w:rsidP="00EC30B0">
            <w:r w:rsidRPr="0032344C">
              <w:rPr>
                <w:rFonts w:eastAsia="Arial"/>
                <w:lang w:eastAsia="ar-SA"/>
              </w:rPr>
              <w:t xml:space="preserve">  Informacinių technologijų                                    </w:t>
            </w:r>
          </w:p>
          <w:p w14:paraId="152281B7" w14:textId="77777777" w:rsidR="00AA201D" w:rsidRPr="0032344C" w:rsidRDefault="00AA201D" w:rsidP="00EC30B0">
            <w:pPr>
              <w:tabs>
                <w:tab w:val="left" w:pos="8160"/>
              </w:tabs>
              <w:suppressAutoHyphens/>
              <w:jc w:val="both"/>
              <w:rPr>
                <w:rFonts w:eastAsia="Arial"/>
                <w:lang w:eastAsia="ar-SA"/>
              </w:rPr>
            </w:pPr>
            <w:r w:rsidRPr="0032344C">
              <w:rPr>
                <w:rFonts w:eastAsia="Arial"/>
                <w:lang w:eastAsia="ar-SA"/>
              </w:rPr>
              <w:t xml:space="preserve">  tarnybos prie Krašto apsaugos ministerijos                   </w:t>
            </w:r>
          </w:p>
          <w:p w14:paraId="67D6FC48" w14:textId="77777777" w:rsidR="00AA201D" w:rsidRPr="0032344C" w:rsidRDefault="00AA201D" w:rsidP="00EC30B0">
            <w:pPr>
              <w:pStyle w:val="BodyText2"/>
              <w:ind w:firstLine="0"/>
              <w:rPr>
                <w:rFonts w:ascii="Times New Roman" w:hAnsi="Times New Roman"/>
                <w:sz w:val="24"/>
                <w:szCs w:val="24"/>
                <w:lang w:val="lt-LT"/>
              </w:rPr>
            </w:pPr>
          </w:p>
        </w:tc>
        <w:tc>
          <w:tcPr>
            <w:tcW w:w="3969" w:type="dxa"/>
            <w:tcBorders>
              <w:top w:val="single" w:sz="4" w:space="0" w:color="FFFFFF"/>
              <w:left w:val="single" w:sz="4" w:space="0" w:color="FFFFFF"/>
              <w:bottom w:val="single" w:sz="4" w:space="0" w:color="FFFFFF"/>
              <w:right w:val="single" w:sz="4" w:space="0" w:color="FFFFFF"/>
            </w:tcBorders>
          </w:tcPr>
          <w:p w14:paraId="3D9935D7" w14:textId="77777777" w:rsidR="00AA201D" w:rsidRPr="0032344C" w:rsidRDefault="00AA201D" w:rsidP="00EC30B0"/>
          <w:p w14:paraId="39B35139" w14:textId="77777777" w:rsidR="00AA201D" w:rsidRPr="0032344C" w:rsidRDefault="00AA201D" w:rsidP="00EC30B0">
            <w:r w:rsidRPr="0032344C">
              <w:t xml:space="preserve">           UAB „</w:t>
            </w:r>
            <w:r w:rsidRPr="00A003BE">
              <w:t>Novian Technologies</w:t>
            </w:r>
            <w:r w:rsidRPr="0032344C">
              <w:t>“</w:t>
            </w:r>
          </w:p>
          <w:p w14:paraId="2F3FC290" w14:textId="77777777" w:rsidR="00AA201D" w:rsidRPr="0032344C" w:rsidRDefault="00AA201D" w:rsidP="00EC30B0"/>
          <w:p w14:paraId="3C17D366" w14:textId="77777777" w:rsidR="00AA201D" w:rsidRPr="0032344C" w:rsidRDefault="00AA201D" w:rsidP="00EC30B0">
            <w:pPr>
              <w:ind w:firstLine="720"/>
            </w:pPr>
          </w:p>
        </w:tc>
        <w:tc>
          <w:tcPr>
            <w:tcW w:w="3969" w:type="dxa"/>
            <w:tcBorders>
              <w:top w:val="single" w:sz="4" w:space="0" w:color="FFFFFF"/>
              <w:left w:val="single" w:sz="4" w:space="0" w:color="FFFFFF"/>
              <w:bottom w:val="single" w:sz="4" w:space="0" w:color="FFFFFF"/>
              <w:right w:val="single" w:sz="4" w:space="0" w:color="FFFFFF"/>
            </w:tcBorders>
            <w:shd w:val="clear" w:color="auto" w:fill="auto"/>
          </w:tcPr>
          <w:p w14:paraId="7915B5A9" w14:textId="77777777" w:rsidR="00AA201D" w:rsidRPr="0032344C" w:rsidRDefault="00AA201D" w:rsidP="00EC30B0">
            <w:pPr>
              <w:ind w:firstLine="720"/>
            </w:pPr>
          </w:p>
        </w:tc>
      </w:tr>
      <w:tr w:rsidR="00AA201D" w:rsidRPr="0032344C" w14:paraId="431425E8" w14:textId="77777777" w:rsidTr="00EC30B0">
        <w:tc>
          <w:tcPr>
            <w:tcW w:w="10632" w:type="dxa"/>
            <w:tcBorders>
              <w:top w:val="single" w:sz="4" w:space="0" w:color="FFFFFF"/>
              <w:left w:val="single" w:sz="4" w:space="0" w:color="FFFFFF"/>
              <w:bottom w:val="single" w:sz="4" w:space="0" w:color="FFFFFF"/>
              <w:right w:val="single" w:sz="4" w:space="0" w:color="FFFFFF"/>
            </w:tcBorders>
            <w:shd w:val="clear" w:color="auto" w:fill="auto"/>
          </w:tcPr>
          <w:p w14:paraId="4A957432" w14:textId="4BAA1E15" w:rsidR="004C7C60" w:rsidRDefault="00AA201D" w:rsidP="00EC30B0">
            <w:pPr>
              <w:suppressAutoHyphens/>
              <w:jc w:val="both"/>
            </w:pPr>
            <w:r w:rsidRPr="0032344C">
              <w:rPr>
                <w:rFonts w:eastAsia="Arial"/>
                <w:lang w:eastAsia="ar-SA"/>
              </w:rPr>
              <w:t xml:space="preserve">  Direktorius</w:t>
            </w:r>
          </w:p>
          <w:p w14:paraId="5850E29F" w14:textId="31654635" w:rsidR="004C7C60" w:rsidRDefault="004C7C60" w:rsidP="004C7C60"/>
          <w:p w14:paraId="15431AD3" w14:textId="005412C0" w:rsidR="00AA201D" w:rsidRPr="004C7C60" w:rsidRDefault="008222C7" w:rsidP="004C7C60">
            <w:pPr>
              <w:tabs>
                <w:tab w:val="left" w:pos="2492"/>
              </w:tabs>
            </w:pPr>
            <w:r>
              <w:rPr>
                <w:rFonts w:eastAsia="Arial"/>
                <w:lang w:eastAsia="ar-SA"/>
              </w:rPr>
              <w:t xml:space="preserve"> </w:t>
            </w:r>
            <w:r w:rsidR="004C7C60" w:rsidRPr="0032344C">
              <w:rPr>
                <w:rFonts w:eastAsia="Arial"/>
                <w:lang w:eastAsia="ar-SA"/>
              </w:rPr>
              <w:t xml:space="preserve">Plk. ltn. </w:t>
            </w:r>
            <w:r w:rsidR="004C7C60" w:rsidRPr="0032344C">
              <w:t>Saulius Juškevičius</w:t>
            </w:r>
          </w:p>
        </w:tc>
        <w:tc>
          <w:tcPr>
            <w:tcW w:w="3969" w:type="dxa"/>
            <w:tcBorders>
              <w:top w:val="single" w:sz="4" w:space="0" w:color="FFFFFF"/>
              <w:left w:val="single" w:sz="4" w:space="0" w:color="FFFFFF"/>
              <w:bottom w:val="single" w:sz="4" w:space="0" w:color="FFFFFF"/>
              <w:right w:val="single" w:sz="4" w:space="0" w:color="FFFFFF"/>
            </w:tcBorders>
          </w:tcPr>
          <w:p w14:paraId="6624E030" w14:textId="220D4E15" w:rsidR="00AA201D" w:rsidRDefault="00AA201D" w:rsidP="00EC30B0">
            <w:r w:rsidRPr="0032344C">
              <w:t xml:space="preserve">           </w:t>
            </w:r>
            <w:r w:rsidR="00DB16F0">
              <w:t xml:space="preserve"> Generalinis direktorius</w:t>
            </w:r>
          </w:p>
          <w:p w14:paraId="73ED83AA" w14:textId="77777777" w:rsidR="00AA201D" w:rsidRDefault="00AA201D" w:rsidP="00EC30B0"/>
          <w:p w14:paraId="72B9F77A" w14:textId="2AE59195" w:rsidR="00AA201D" w:rsidRPr="0032344C" w:rsidRDefault="00514D41" w:rsidP="00EC30B0">
            <w:r>
              <w:t xml:space="preserve">           </w:t>
            </w:r>
            <w:r w:rsidR="00DB16F0">
              <w:t xml:space="preserve"> Gytis Umantas</w:t>
            </w:r>
          </w:p>
          <w:p w14:paraId="68D62006" w14:textId="77777777" w:rsidR="00AA201D" w:rsidRPr="0032344C" w:rsidRDefault="00AA201D" w:rsidP="00EC30B0">
            <w:pPr>
              <w:rPr>
                <w:sz w:val="22"/>
                <w:szCs w:val="22"/>
              </w:rPr>
            </w:pPr>
          </w:p>
        </w:tc>
        <w:tc>
          <w:tcPr>
            <w:tcW w:w="3969" w:type="dxa"/>
            <w:tcBorders>
              <w:top w:val="single" w:sz="4" w:space="0" w:color="FFFFFF"/>
              <w:left w:val="single" w:sz="4" w:space="0" w:color="FFFFFF"/>
              <w:bottom w:val="single" w:sz="4" w:space="0" w:color="FFFFFF"/>
              <w:right w:val="single" w:sz="4" w:space="0" w:color="FFFFFF"/>
            </w:tcBorders>
            <w:shd w:val="clear" w:color="auto" w:fill="auto"/>
          </w:tcPr>
          <w:p w14:paraId="79977944" w14:textId="77777777" w:rsidR="00AA201D" w:rsidRPr="0032344C" w:rsidRDefault="00AA201D" w:rsidP="00EC30B0">
            <w:pPr>
              <w:rPr>
                <w:sz w:val="22"/>
                <w:szCs w:val="22"/>
              </w:rPr>
            </w:pPr>
          </w:p>
        </w:tc>
      </w:tr>
    </w:tbl>
    <w:p w14:paraId="02FC203E" w14:textId="77777777" w:rsidR="00AA201D" w:rsidRDefault="00AA201D" w:rsidP="0013714B"/>
    <w:p w14:paraId="43F3172C" w14:textId="77777777" w:rsidR="00FC22E4" w:rsidRPr="0060348F" w:rsidRDefault="00FC22E4" w:rsidP="0013714B"/>
    <w:sectPr w:rsidR="00FC22E4" w:rsidRPr="0060348F" w:rsidSect="00170FF3">
      <w:pgSz w:w="16838" w:h="11906" w:orient="landscape"/>
      <w:pgMar w:top="1260" w:right="993" w:bottom="746"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2D0E1" w14:textId="77777777" w:rsidR="00361012" w:rsidRDefault="00361012">
      <w:r>
        <w:separator/>
      </w:r>
    </w:p>
  </w:endnote>
  <w:endnote w:type="continuationSeparator" w:id="0">
    <w:p w14:paraId="2A836E5C" w14:textId="77777777" w:rsidR="00361012" w:rsidRDefault="0036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BAB6E" w14:textId="77777777" w:rsidR="00361012" w:rsidRDefault="00361012">
      <w:r>
        <w:separator/>
      </w:r>
    </w:p>
  </w:footnote>
  <w:footnote w:type="continuationSeparator" w:id="0">
    <w:p w14:paraId="20546AC9" w14:textId="77777777" w:rsidR="00361012" w:rsidRDefault="00361012">
      <w:r>
        <w:continuationSeparator/>
      </w:r>
    </w:p>
  </w:footnote>
  <w:footnote w:id="1">
    <w:p w14:paraId="31922B80" w14:textId="77777777" w:rsidR="008F1870" w:rsidRDefault="008F1870" w:rsidP="008F1870">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p w14:paraId="091DFC19" w14:textId="21C7A611" w:rsidR="002340B5" w:rsidRPr="00743FA8" w:rsidRDefault="002340B5" w:rsidP="00743F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1EAB"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B7996"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F9A2" w14:textId="3B073317" w:rsidR="002340B5" w:rsidRDefault="002340B5">
    <w:pPr>
      <w:pStyle w:val="Header"/>
      <w:jc w:val="center"/>
    </w:pPr>
    <w:r>
      <w:fldChar w:fldCharType="begin"/>
    </w:r>
    <w:r>
      <w:instrText>PAGE   \* MERGEFORMAT</w:instrText>
    </w:r>
    <w:r>
      <w:fldChar w:fldCharType="separate"/>
    </w:r>
    <w:r w:rsidR="00C34DB8">
      <w:rPr>
        <w:noProof/>
      </w:rPr>
      <w:t>16</w:t>
    </w:r>
    <w:r>
      <w:fldChar w:fldCharType="end"/>
    </w:r>
  </w:p>
  <w:p w14:paraId="370370C0"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3E1E"/>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4E0A"/>
    <w:rsid w:val="00036FF7"/>
    <w:rsid w:val="000379E6"/>
    <w:rsid w:val="00040B1C"/>
    <w:rsid w:val="00041F8F"/>
    <w:rsid w:val="0004215D"/>
    <w:rsid w:val="00052638"/>
    <w:rsid w:val="00054409"/>
    <w:rsid w:val="00054F84"/>
    <w:rsid w:val="000567EE"/>
    <w:rsid w:val="00056A9A"/>
    <w:rsid w:val="000715E6"/>
    <w:rsid w:val="00072088"/>
    <w:rsid w:val="000760E7"/>
    <w:rsid w:val="0007692D"/>
    <w:rsid w:val="000810B4"/>
    <w:rsid w:val="00081861"/>
    <w:rsid w:val="00085219"/>
    <w:rsid w:val="00085968"/>
    <w:rsid w:val="00085CD2"/>
    <w:rsid w:val="00090732"/>
    <w:rsid w:val="00092783"/>
    <w:rsid w:val="000C0A2B"/>
    <w:rsid w:val="000C2EF7"/>
    <w:rsid w:val="000C3C8E"/>
    <w:rsid w:val="000D08D0"/>
    <w:rsid w:val="000D0CFD"/>
    <w:rsid w:val="000D1313"/>
    <w:rsid w:val="000E29A0"/>
    <w:rsid w:val="000F2E26"/>
    <w:rsid w:val="00101088"/>
    <w:rsid w:val="0010187A"/>
    <w:rsid w:val="001026C4"/>
    <w:rsid w:val="00105715"/>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4FBD"/>
    <w:rsid w:val="00155881"/>
    <w:rsid w:val="001608D7"/>
    <w:rsid w:val="00161C3F"/>
    <w:rsid w:val="00161EAC"/>
    <w:rsid w:val="00164811"/>
    <w:rsid w:val="00164D40"/>
    <w:rsid w:val="00170B08"/>
    <w:rsid w:val="00170D3B"/>
    <w:rsid w:val="00170FF3"/>
    <w:rsid w:val="001768C8"/>
    <w:rsid w:val="0018028E"/>
    <w:rsid w:val="00180313"/>
    <w:rsid w:val="00182221"/>
    <w:rsid w:val="00184A4C"/>
    <w:rsid w:val="00190182"/>
    <w:rsid w:val="00192AB9"/>
    <w:rsid w:val="001956A6"/>
    <w:rsid w:val="001968E9"/>
    <w:rsid w:val="001A3760"/>
    <w:rsid w:val="001A4291"/>
    <w:rsid w:val="001A7B7D"/>
    <w:rsid w:val="001B14A6"/>
    <w:rsid w:val="001C1A9E"/>
    <w:rsid w:val="001C39A9"/>
    <w:rsid w:val="001C4405"/>
    <w:rsid w:val="001C756B"/>
    <w:rsid w:val="001D29C1"/>
    <w:rsid w:val="001D52B7"/>
    <w:rsid w:val="001E1CA7"/>
    <w:rsid w:val="001E2C99"/>
    <w:rsid w:val="001E2FB7"/>
    <w:rsid w:val="001E58A3"/>
    <w:rsid w:val="002035B2"/>
    <w:rsid w:val="00204C0D"/>
    <w:rsid w:val="00207DD3"/>
    <w:rsid w:val="00211220"/>
    <w:rsid w:val="0021235C"/>
    <w:rsid w:val="002127B9"/>
    <w:rsid w:val="00215952"/>
    <w:rsid w:val="002166BE"/>
    <w:rsid w:val="00216B9D"/>
    <w:rsid w:val="0021713E"/>
    <w:rsid w:val="00224267"/>
    <w:rsid w:val="0022491F"/>
    <w:rsid w:val="00230596"/>
    <w:rsid w:val="002340B5"/>
    <w:rsid w:val="00240DE2"/>
    <w:rsid w:val="00240F69"/>
    <w:rsid w:val="00245BE0"/>
    <w:rsid w:val="002460F0"/>
    <w:rsid w:val="00246F7A"/>
    <w:rsid w:val="0025011F"/>
    <w:rsid w:val="00251E19"/>
    <w:rsid w:val="002530CF"/>
    <w:rsid w:val="00254ADF"/>
    <w:rsid w:val="00256250"/>
    <w:rsid w:val="00256F1A"/>
    <w:rsid w:val="002577C7"/>
    <w:rsid w:val="00261D76"/>
    <w:rsid w:val="00262E1F"/>
    <w:rsid w:val="00266459"/>
    <w:rsid w:val="00274A99"/>
    <w:rsid w:val="002761F1"/>
    <w:rsid w:val="00280798"/>
    <w:rsid w:val="0029153B"/>
    <w:rsid w:val="002915DC"/>
    <w:rsid w:val="002976AB"/>
    <w:rsid w:val="002A0421"/>
    <w:rsid w:val="002A177A"/>
    <w:rsid w:val="002A7AF3"/>
    <w:rsid w:val="002A7B79"/>
    <w:rsid w:val="002B0141"/>
    <w:rsid w:val="002B171D"/>
    <w:rsid w:val="002B601C"/>
    <w:rsid w:val="002B6A7C"/>
    <w:rsid w:val="002B7628"/>
    <w:rsid w:val="002C5032"/>
    <w:rsid w:val="002D35A2"/>
    <w:rsid w:val="002D54CF"/>
    <w:rsid w:val="002D6F09"/>
    <w:rsid w:val="002E0CFE"/>
    <w:rsid w:val="002E158A"/>
    <w:rsid w:val="002E192F"/>
    <w:rsid w:val="002E2C5C"/>
    <w:rsid w:val="002F6AC9"/>
    <w:rsid w:val="002F7051"/>
    <w:rsid w:val="002F7A63"/>
    <w:rsid w:val="00314E97"/>
    <w:rsid w:val="003230E2"/>
    <w:rsid w:val="00324EE5"/>
    <w:rsid w:val="003315AD"/>
    <w:rsid w:val="00331966"/>
    <w:rsid w:val="003341DB"/>
    <w:rsid w:val="0034363A"/>
    <w:rsid w:val="00350ADC"/>
    <w:rsid w:val="003511D6"/>
    <w:rsid w:val="00353682"/>
    <w:rsid w:val="00354A22"/>
    <w:rsid w:val="00356308"/>
    <w:rsid w:val="00361012"/>
    <w:rsid w:val="00363A89"/>
    <w:rsid w:val="00364D48"/>
    <w:rsid w:val="003672FE"/>
    <w:rsid w:val="00372210"/>
    <w:rsid w:val="003763EA"/>
    <w:rsid w:val="0037682E"/>
    <w:rsid w:val="00377E79"/>
    <w:rsid w:val="00386B69"/>
    <w:rsid w:val="00390740"/>
    <w:rsid w:val="00392BDF"/>
    <w:rsid w:val="00395ABF"/>
    <w:rsid w:val="003965A1"/>
    <w:rsid w:val="003A0C1D"/>
    <w:rsid w:val="003A259B"/>
    <w:rsid w:val="003A5F0A"/>
    <w:rsid w:val="003A7B63"/>
    <w:rsid w:val="003B34EE"/>
    <w:rsid w:val="003B6073"/>
    <w:rsid w:val="003B64FD"/>
    <w:rsid w:val="003C2847"/>
    <w:rsid w:val="003C2FF9"/>
    <w:rsid w:val="003D14A2"/>
    <w:rsid w:val="003E04CF"/>
    <w:rsid w:val="003E14F0"/>
    <w:rsid w:val="003E1E1E"/>
    <w:rsid w:val="003E3C7A"/>
    <w:rsid w:val="003E3D28"/>
    <w:rsid w:val="003E426D"/>
    <w:rsid w:val="003E64E2"/>
    <w:rsid w:val="003F43C9"/>
    <w:rsid w:val="003F54A8"/>
    <w:rsid w:val="003F755B"/>
    <w:rsid w:val="004028C8"/>
    <w:rsid w:val="0041227B"/>
    <w:rsid w:val="004203F8"/>
    <w:rsid w:val="00424903"/>
    <w:rsid w:val="00424FE1"/>
    <w:rsid w:val="00426A51"/>
    <w:rsid w:val="00427FDA"/>
    <w:rsid w:val="00431B12"/>
    <w:rsid w:val="00434EAB"/>
    <w:rsid w:val="00435A03"/>
    <w:rsid w:val="004374A1"/>
    <w:rsid w:val="00437AED"/>
    <w:rsid w:val="0044016F"/>
    <w:rsid w:val="00445E38"/>
    <w:rsid w:val="004500FB"/>
    <w:rsid w:val="004505DA"/>
    <w:rsid w:val="00453F50"/>
    <w:rsid w:val="00456821"/>
    <w:rsid w:val="00457AD3"/>
    <w:rsid w:val="004635A0"/>
    <w:rsid w:val="0046409F"/>
    <w:rsid w:val="00465C11"/>
    <w:rsid w:val="00474178"/>
    <w:rsid w:val="00481AA6"/>
    <w:rsid w:val="004876D3"/>
    <w:rsid w:val="00493A30"/>
    <w:rsid w:val="004A1813"/>
    <w:rsid w:val="004A4A2B"/>
    <w:rsid w:val="004A79F8"/>
    <w:rsid w:val="004B08E7"/>
    <w:rsid w:val="004C17B9"/>
    <w:rsid w:val="004C18B5"/>
    <w:rsid w:val="004C7C60"/>
    <w:rsid w:val="004D39DC"/>
    <w:rsid w:val="004D5396"/>
    <w:rsid w:val="004D6B00"/>
    <w:rsid w:val="004D7B28"/>
    <w:rsid w:val="004E1D41"/>
    <w:rsid w:val="004E31A6"/>
    <w:rsid w:val="004E367C"/>
    <w:rsid w:val="004E4A00"/>
    <w:rsid w:val="004F0014"/>
    <w:rsid w:val="004F1B35"/>
    <w:rsid w:val="004F4928"/>
    <w:rsid w:val="004F49C7"/>
    <w:rsid w:val="004F672E"/>
    <w:rsid w:val="004F7C00"/>
    <w:rsid w:val="005033EE"/>
    <w:rsid w:val="00503F8D"/>
    <w:rsid w:val="00505177"/>
    <w:rsid w:val="005061C4"/>
    <w:rsid w:val="005113CB"/>
    <w:rsid w:val="0051309D"/>
    <w:rsid w:val="00513960"/>
    <w:rsid w:val="00514D41"/>
    <w:rsid w:val="00515FB4"/>
    <w:rsid w:val="00516509"/>
    <w:rsid w:val="00527251"/>
    <w:rsid w:val="00531948"/>
    <w:rsid w:val="00533271"/>
    <w:rsid w:val="00542ABC"/>
    <w:rsid w:val="00543EA4"/>
    <w:rsid w:val="00550E07"/>
    <w:rsid w:val="00551BC4"/>
    <w:rsid w:val="005547C6"/>
    <w:rsid w:val="005565B3"/>
    <w:rsid w:val="00560810"/>
    <w:rsid w:val="00562B76"/>
    <w:rsid w:val="005656ED"/>
    <w:rsid w:val="005764B3"/>
    <w:rsid w:val="00580F2E"/>
    <w:rsid w:val="005828D0"/>
    <w:rsid w:val="005920C6"/>
    <w:rsid w:val="00592EAB"/>
    <w:rsid w:val="005A167F"/>
    <w:rsid w:val="005A1C01"/>
    <w:rsid w:val="005A45BE"/>
    <w:rsid w:val="005B5E33"/>
    <w:rsid w:val="005C2463"/>
    <w:rsid w:val="005C29A5"/>
    <w:rsid w:val="005C325F"/>
    <w:rsid w:val="005D029C"/>
    <w:rsid w:val="005D2D1C"/>
    <w:rsid w:val="005D5E6A"/>
    <w:rsid w:val="005E606E"/>
    <w:rsid w:val="005E627E"/>
    <w:rsid w:val="005E72B1"/>
    <w:rsid w:val="005F19EC"/>
    <w:rsid w:val="005F5F76"/>
    <w:rsid w:val="006035C7"/>
    <w:rsid w:val="00603D2E"/>
    <w:rsid w:val="00604B41"/>
    <w:rsid w:val="00605AD6"/>
    <w:rsid w:val="006103E1"/>
    <w:rsid w:val="00615ED2"/>
    <w:rsid w:val="006179F7"/>
    <w:rsid w:val="006179FB"/>
    <w:rsid w:val="00622D50"/>
    <w:rsid w:val="00623015"/>
    <w:rsid w:val="006241CF"/>
    <w:rsid w:val="006363ED"/>
    <w:rsid w:val="006425E5"/>
    <w:rsid w:val="00643742"/>
    <w:rsid w:val="00647E19"/>
    <w:rsid w:val="00654BC4"/>
    <w:rsid w:val="00654EE2"/>
    <w:rsid w:val="00656B7D"/>
    <w:rsid w:val="006578B3"/>
    <w:rsid w:val="006644F0"/>
    <w:rsid w:val="0066705E"/>
    <w:rsid w:val="006778CB"/>
    <w:rsid w:val="00677CFB"/>
    <w:rsid w:val="00680071"/>
    <w:rsid w:val="0068785C"/>
    <w:rsid w:val="00687E0C"/>
    <w:rsid w:val="00690634"/>
    <w:rsid w:val="00690A2F"/>
    <w:rsid w:val="00695321"/>
    <w:rsid w:val="0069689D"/>
    <w:rsid w:val="006A1B25"/>
    <w:rsid w:val="006A21C5"/>
    <w:rsid w:val="006A22E8"/>
    <w:rsid w:val="006A66D5"/>
    <w:rsid w:val="006B07C4"/>
    <w:rsid w:val="006B2389"/>
    <w:rsid w:val="006B3F6B"/>
    <w:rsid w:val="006B4C3C"/>
    <w:rsid w:val="006B5064"/>
    <w:rsid w:val="006B57C4"/>
    <w:rsid w:val="006C1154"/>
    <w:rsid w:val="006C7A00"/>
    <w:rsid w:val="006D32E2"/>
    <w:rsid w:val="006E6095"/>
    <w:rsid w:val="006E7E9C"/>
    <w:rsid w:val="00704F63"/>
    <w:rsid w:val="007057FE"/>
    <w:rsid w:val="00717B8D"/>
    <w:rsid w:val="00720B51"/>
    <w:rsid w:val="00722266"/>
    <w:rsid w:val="00726CD6"/>
    <w:rsid w:val="0073059B"/>
    <w:rsid w:val="007404F0"/>
    <w:rsid w:val="0074128E"/>
    <w:rsid w:val="00743A91"/>
    <w:rsid w:val="00743FA8"/>
    <w:rsid w:val="00751D78"/>
    <w:rsid w:val="00756B4F"/>
    <w:rsid w:val="00761264"/>
    <w:rsid w:val="00764763"/>
    <w:rsid w:val="007648E2"/>
    <w:rsid w:val="00771A25"/>
    <w:rsid w:val="0077218D"/>
    <w:rsid w:val="00775E3A"/>
    <w:rsid w:val="0078489C"/>
    <w:rsid w:val="00784AD2"/>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E58F0"/>
    <w:rsid w:val="007F0ACB"/>
    <w:rsid w:val="007F3FDA"/>
    <w:rsid w:val="007F723F"/>
    <w:rsid w:val="008007EA"/>
    <w:rsid w:val="00803CFE"/>
    <w:rsid w:val="008046F2"/>
    <w:rsid w:val="008051A9"/>
    <w:rsid w:val="00813FBA"/>
    <w:rsid w:val="00817D4E"/>
    <w:rsid w:val="00817E7F"/>
    <w:rsid w:val="00820E76"/>
    <w:rsid w:val="00820F7D"/>
    <w:rsid w:val="008222C7"/>
    <w:rsid w:val="00824FD9"/>
    <w:rsid w:val="00825BA3"/>
    <w:rsid w:val="00827AA3"/>
    <w:rsid w:val="00832A48"/>
    <w:rsid w:val="00832D87"/>
    <w:rsid w:val="00835DCA"/>
    <w:rsid w:val="00837D2A"/>
    <w:rsid w:val="0084509B"/>
    <w:rsid w:val="00847DF7"/>
    <w:rsid w:val="008548CF"/>
    <w:rsid w:val="008567BF"/>
    <w:rsid w:val="00857575"/>
    <w:rsid w:val="008576F2"/>
    <w:rsid w:val="00860F29"/>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B6AB2"/>
    <w:rsid w:val="008C0C0A"/>
    <w:rsid w:val="008C233D"/>
    <w:rsid w:val="008C6D2F"/>
    <w:rsid w:val="008D1081"/>
    <w:rsid w:val="008D2668"/>
    <w:rsid w:val="008D2997"/>
    <w:rsid w:val="008D634E"/>
    <w:rsid w:val="008E117F"/>
    <w:rsid w:val="008E30AE"/>
    <w:rsid w:val="008E4F1B"/>
    <w:rsid w:val="008F0847"/>
    <w:rsid w:val="008F1870"/>
    <w:rsid w:val="008F30C9"/>
    <w:rsid w:val="008F3933"/>
    <w:rsid w:val="008F3B0A"/>
    <w:rsid w:val="008F694D"/>
    <w:rsid w:val="00902A94"/>
    <w:rsid w:val="00904C06"/>
    <w:rsid w:val="009116C2"/>
    <w:rsid w:val="00911DDC"/>
    <w:rsid w:val="00911EE3"/>
    <w:rsid w:val="00914129"/>
    <w:rsid w:val="00921672"/>
    <w:rsid w:val="009222E1"/>
    <w:rsid w:val="00923760"/>
    <w:rsid w:val="00923A29"/>
    <w:rsid w:val="00923EE3"/>
    <w:rsid w:val="00924461"/>
    <w:rsid w:val="00930586"/>
    <w:rsid w:val="00944948"/>
    <w:rsid w:val="00945821"/>
    <w:rsid w:val="009479F2"/>
    <w:rsid w:val="00953DB6"/>
    <w:rsid w:val="00955E11"/>
    <w:rsid w:val="00960D97"/>
    <w:rsid w:val="009617FC"/>
    <w:rsid w:val="00961A1A"/>
    <w:rsid w:val="00961C75"/>
    <w:rsid w:val="0096382A"/>
    <w:rsid w:val="00965008"/>
    <w:rsid w:val="009650AD"/>
    <w:rsid w:val="009671C1"/>
    <w:rsid w:val="00971626"/>
    <w:rsid w:val="00972253"/>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C0895"/>
    <w:rsid w:val="009C2878"/>
    <w:rsid w:val="009C4586"/>
    <w:rsid w:val="009C5E4A"/>
    <w:rsid w:val="009D1B3B"/>
    <w:rsid w:val="009D270B"/>
    <w:rsid w:val="009D7713"/>
    <w:rsid w:val="009D7D63"/>
    <w:rsid w:val="009E1DE7"/>
    <w:rsid w:val="009E5C55"/>
    <w:rsid w:val="009E6B4A"/>
    <w:rsid w:val="009F1E59"/>
    <w:rsid w:val="009F2518"/>
    <w:rsid w:val="00A00364"/>
    <w:rsid w:val="00A07057"/>
    <w:rsid w:val="00A1106D"/>
    <w:rsid w:val="00A12D20"/>
    <w:rsid w:val="00A170FF"/>
    <w:rsid w:val="00A179BF"/>
    <w:rsid w:val="00A307D6"/>
    <w:rsid w:val="00A374B7"/>
    <w:rsid w:val="00A418A3"/>
    <w:rsid w:val="00A41B92"/>
    <w:rsid w:val="00A46006"/>
    <w:rsid w:val="00A46EFB"/>
    <w:rsid w:val="00A47B36"/>
    <w:rsid w:val="00A53097"/>
    <w:rsid w:val="00A567E1"/>
    <w:rsid w:val="00A5680A"/>
    <w:rsid w:val="00A607CF"/>
    <w:rsid w:val="00A64A50"/>
    <w:rsid w:val="00A663AD"/>
    <w:rsid w:val="00A66F5C"/>
    <w:rsid w:val="00A745FB"/>
    <w:rsid w:val="00A77A6E"/>
    <w:rsid w:val="00A84F67"/>
    <w:rsid w:val="00A85070"/>
    <w:rsid w:val="00A85B88"/>
    <w:rsid w:val="00A87C53"/>
    <w:rsid w:val="00A90953"/>
    <w:rsid w:val="00A90D21"/>
    <w:rsid w:val="00A9208F"/>
    <w:rsid w:val="00A972C2"/>
    <w:rsid w:val="00AA201D"/>
    <w:rsid w:val="00AA6705"/>
    <w:rsid w:val="00AB1663"/>
    <w:rsid w:val="00AB3365"/>
    <w:rsid w:val="00AB39FF"/>
    <w:rsid w:val="00AB3D04"/>
    <w:rsid w:val="00AB4BB5"/>
    <w:rsid w:val="00AB5FFB"/>
    <w:rsid w:val="00AC7FAF"/>
    <w:rsid w:val="00AD36EF"/>
    <w:rsid w:val="00AD3C1D"/>
    <w:rsid w:val="00AD5C52"/>
    <w:rsid w:val="00AD7ADD"/>
    <w:rsid w:val="00AD7FA9"/>
    <w:rsid w:val="00AE4A7D"/>
    <w:rsid w:val="00AF32A7"/>
    <w:rsid w:val="00AF6247"/>
    <w:rsid w:val="00B019FD"/>
    <w:rsid w:val="00B041F9"/>
    <w:rsid w:val="00B06782"/>
    <w:rsid w:val="00B07DF8"/>
    <w:rsid w:val="00B07F8F"/>
    <w:rsid w:val="00B12138"/>
    <w:rsid w:val="00B2260B"/>
    <w:rsid w:val="00B31155"/>
    <w:rsid w:val="00B32241"/>
    <w:rsid w:val="00B342D8"/>
    <w:rsid w:val="00B370F3"/>
    <w:rsid w:val="00B41D7D"/>
    <w:rsid w:val="00B427B1"/>
    <w:rsid w:val="00B47581"/>
    <w:rsid w:val="00B509D9"/>
    <w:rsid w:val="00B5367F"/>
    <w:rsid w:val="00B54971"/>
    <w:rsid w:val="00B54BDF"/>
    <w:rsid w:val="00B5511A"/>
    <w:rsid w:val="00B704A3"/>
    <w:rsid w:val="00B9181F"/>
    <w:rsid w:val="00B92DED"/>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544E"/>
    <w:rsid w:val="00BF7E2D"/>
    <w:rsid w:val="00C011C7"/>
    <w:rsid w:val="00C06AEE"/>
    <w:rsid w:val="00C10DE4"/>
    <w:rsid w:val="00C12B7E"/>
    <w:rsid w:val="00C13092"/>
    <w:rsid w:val="00C17187"/>
    <w:rsid w:val="00C20C89"/>
    <w:rsid w:val="00C24169"/>
    <w:rsid w:val="00C24272"/>
    <w:rsid w:val="00C32040"/>
    <w:rsid w:val="00C34DB8"/>
    <w:rsid w:val="00C3591A"/>
    <w:rsid w:val="00C43123"/>
    <w:rsid w:val="00C44F18"/>
    <w:rsid w:val="00C54FC5"/>
    <w:rsid w:val="00C551B6"/>
    <w:rsid w:val="00C559E3"/>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B6354"/>
    <w:rsid w:val="00CC559A"/>
    <w:rsid w:val="00CC7120"/>
    <w:rsid w:val="00CC766E"/>
    <w:rsid w:val="00CD2752"/>
    <w:rsid w:val="00CD73D7"/>
    <w:rsid w:val="00CD770E"/>
    <w:rsid w:val="00CD779A"/>
    <w:rsid w:val="00CE3FF1"/>
    <w:rsid w:val="00CF25C0"/>
    <w:rsid w:val="00CF3387"/>
    <w:rsid w:val="00CF44BB"/>
    <w:rsid w:val="00CF7981"/>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57105"/>
    <w:rsid w:val="00D632AB"/>
    <w:rsid w:val="00D64D72"/>
    <w:rsid w:val="00D66A8C"/>
    <w:rsid w:val="00D721FD"/>
    <w:rsid w:val="00D74486"/>
    <w:rsid w:val="00D7765A"/>
    <w:rsid w:val="00D82ADB"/>
    <w:rsid w:val="00D86795"/>
    <w:rsid w:val="00D87ADF"/>
    <w:rsid w:val="00D97659"/>
    <w:rsid w:val="00DA2A98"/>
    <w:rsid w:val="00DA3CC9"/>
    <w:rsid w:val="00DA3F35"/>
    <w:rsid w:val="00DB0AE3"/>
    <w:rsid w:val="00DB1288"/>
    <w:rsid w:val="00DB16F0"/>
    <w:rsid w:val="00DB2386"/>
    <w:rsid w:val="00DB25C9"/>
    <w:rsid w:val="00DC3DC5"/>
    <w:rsid w:val="00DC4026"/>
    <w:rsid w:val="00DC71E5"/>
    <w:rsid w:val="00DD13EF"/>
    <w:rsid w:val="00DD19CA"/>
    <w:rsid w:val="00DD35CB"/>
    <w:rsid w:val="00DD4220"/>
    <w:rsid w:val="00DD5EDE"/>
    <w:rsid w:val="00DD7B50"/>
    <w:rsid w:val="00DE080E"/>
    <w:rsid w:val="00DE12A5"/>
    <w:rsid w:val="00DE1795"/>
    <w:rsid w:val="00DE41CF"/>
    <w:rsid w:val="00DE593D"/>
    <w:rsid w:val="00DE6679"/>
    <w:rsid w:val="00DE7356"/>
    <w:rsid w:val="00DF052B"/>
    <w:rsid w:val="00DF0994"/>
    <w:rsid w:val="00DF1FD7"/>
    <w:rsid w:val="00DF29C3"/>
    <w:rsid w:val="00DF317C"/>
    <w:rsid w:val="00DF5C90"/>
    <w:rsid w:val="00E02B41"/>
    <w:rsid w:val="00E0683B"/>
    <w:rsid w:val="00E07BD7"/>
    <w:rsid w:val="00E119DB"/>
    <w:rsid w:val="00E17920"/>
    <w:rsid w:val="00E2047B"/>
    <w:rsid w:val="00E272B2"/>
    <w:rsid w:val="00E27F78"/>
    <w:rsid w:val="00E32F82"/>
    <w:rsid w:val="00E36032"/>
    <w:rsid w:val="00E451C4"/>
    <w:rsid w:val="00E45F66"/>
    <w:rsid w:val="00E6390D"/>
    <w:rsid w:val="00E65793"/>
    <w:rsid w:val="00E662FF"/>
    <w:rsid w:val="00E70C4B"/>
    <w:rsid w:val="00E7224B"/>
    <w:rsid w:val="00E72321"/>
    <w:rsid w:val="00E7532E"/>
    <w:rsid w:val="00E762D3"/>
    <w:rsid w:val="00E8116B"/>
    <w:rsid w:val="00E83E52"/>
    <w:rsid w:val="00E86C82"/>
    <w:rsid w:val="00EA1B44"/>
    <w:rsid w:val="00EB0181"/>
    <w:rsid w:val="00EB452D"/>
    <w:rsid w:val="00EB76D5"/>
    <w:rsid w:val="00EC508C"/>
    <w:rsid w:val="00EC707E"/>
    <w:rsid w:val="00EC767A"/>
    <w:rsid w:val="00EC7AF4"/>
    <w:rsid w:val="00ED0614"/>
    <w:rsid w:val="00ED44C8"/>
    <w:rsid w:val="00ED6167"/>
    <w:rsid w:val="00ED67A8"/>
    <w:rsid w:val="00ED7207"/>
    <w:rsid w:val="00EE174D"/>
    <w:rsid w:val="00EE1771"/>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01"/>
    <w:rsid w:val="00F257B6"/>
    <w:rsid w:val="00F26CB7"/>
    <w:rsid w:val="00F3053F"/>
    <w:rsid w:val="00F3211C"/>
    <w:rsid w:val="00F35721"/>
    <w:rsid w:val="00F364CE"/>
    <w:rsid w:val="00F3762D"/>
    <w:rsid w:val="00F4417E"/>
    <w:rsid w:val="00F46ED5"/>
    <w:rsid w:val="00F5086E"/>
    <w:rsid w:val="00F6455F"/>
    <w:rsid w:val="00F647DB"/>
    <w:rsid w:val="00F6527D"/>
    <w:rsid w:val="00F66872"/>
    <w:rsid w:val="00F71B2D"/>
    <w:rsid w:val="00F7463F"/>
    <w:rsid w:val="00F7497D"/>
    <w:rsid w:val="00F7593F"/>
    <w:rsid w:val="00F80E77"/>
    <w:rsid w:val="00F80F86"/>
    <w:rsid w:val="00F829B1"/>
    <w:rsid w:val="00F82A53"/>
    <w:rsid w:val="00F82CA9"/>
    <w:rsid w:val="00F8791E"/>
    <w:rsid w:val="00F91255"/>
    <w:rsid w:val="00F917A5"/>
    <w:rsid w:val="00F91ED1"/>
    <w:rsid w:val="00F96C38"/>
    <w:rsid w:val="00FA0609"/>
    <w:rsid w:val="00FA214E"/>
    <w:rsid w:val="00FA26A4"/>
    <w:rsid w:val="00FA27FD"/>
    <w:rsid w:val="00FA4D97"/>
    <w:rsid w:val="00FA5A24"/>
    <w:rsid w:val="00FA6927"/>
    <w:rsid w:val="00FB0438"/>
    <w:rsid w:val="00FB618A"/>
    <w:rsid w:val="00FC22E4"/>
    <w:rsid w:val="00FC684D"/>
    <w:rsid w:val="00FD1114"/>
    <w:rsid w:val="00FD1637"/>
    <w:rsid w:val="00FD6779"/>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D11D44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paragraph" w:customStyle="1" w:styleId="BodyText2">
    <w:name w:val="Body Text2"/>
    <w:rsid w:val="00170FF3"/>
    <w:pPr>
      <w:suppressAutoHyphens/>
      <w:ind w:firstLine="312"/>
      <w:jc w:val="both"/>
    </w:pPr>
    <w:rPr>
      <w:rFonts w:ascii="TimesLT" w:eastAsia="Arial" w:hAnsi="TimesLT"/>
      <w:lang w:val="en-GB" w:eastAsia="ar-SA"/>
    </w:rPr>
  </w:style>
  <w:style w:type="paragraph" w:customStyle="1" w:styleId="Default">
    <w:name w:val="Default"/>
    <w:rsid w:val="00170FF3"/>
    <w:pPr>
      <w:autoSpaceDE w:val="0"/>
      <w:autoSpaceDN w:val="0"/>
      <w:adjustRightInd w:val="0"/>
    </w:pPr>
    <w:rPr>
      <w:rFonts w:ascii="Times New Roman" w:hAnsi="Times New Roman"/>
      <w:color w:val="000000"/>
      <w:sz w:val="24"/>
      <w:szCs w:val="24"/>
      <w:lang w:val="en-US"/>
    </w:rPr>
  </w:style>
  <w:style w:type="character" w:customStyle="1" w:styleId="FootnoteTextChar">
    <w:name w:val="Footnote Text Char"/>
    <w:basedOn w:val="DefaultParagraphFont"/>
    <w:link w:val="FootnoteText"/>
    <w:semiHidden/>
    <w:rsid w:val="008F1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64299686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vardas.matiusonok@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tt@kam.lt" TargetMode="External"/><Relationship Id="rId4" Type="http://schemas.openxmlformats.org/officeDocument/2006/relationships/settings" Target="settings.xml"/><Relationship Id="rId9" Type="http://schemas.openxmlformats.org/officeDocument/2006/relationships/hyperlink" Target="mailto:rita.kazlauskiene@k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C100-7F74-4EB9-8273-B4573FAA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7429</Words>
  <Characters>42350</Characters>
  <Application>Microsoft Office Word</Application>
  <DocSecurity>0</DocSecurity>
  <Lines>352</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49680</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Rita Kazlauskienė</cp:lastModifiedBy>
  <cp:revision>35</cp:revision>
  <cp:lastPrinted>2021-04-06T11:11:00Z</cp:lastPrinted>
  <dcterms:created xsi:type="dcterms:W3CDTF">2021-11-09T13:35:00Z</dcterms:created>
  <dcterms:modified xsi:type="dcterms:W3CDTF">2021-11-30T10:39:00Z</dcterms:modified>
</cp:coreProperties>
</file>