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03FF785"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FE4664">
            <w:t>PIR21-1025</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56052613" w14:textId="77777777" w:rsidR="00F777B5" w:rsidRDefault="001926E8" w:rsidP="00CC6616">
          <w:pPr>
            <w:pStyle w:val="Pagrindinistekstas"/>
            <w:spacing w:after="0"/>
            <w:jc w:val="center"/>
            <w:rPr>
              <w:rStyle w:val="1PAVADINIMAS"/>
              <w:highlight w:val="lightGray"/>
            </w:rPr>
          </w:pPr>
          <w:r>
            <w:rPr>
              <w:rStyle w:val="1PAVADINIMAS"/>
              <w:highlight w:val="lightGray"/>
            </w:rPr>
            <w:t>(PU-8688/21) [ITP] Žoliapjovės (šlaitinės,</w:t>
          </w:r>
          <w:r w:rsidR="0033480F">
            <w:rPr>
              <w:rStyle w:val="1PAVADINIMAS"/>
              <w:highlight w:val="lightGray"/>
            </w:rPr>
            <w:t xml:space="preserve"> </w:t>
          </w:r>
          <w:r>
            <w:rPr>
              <w:rStyle w:val="1PAVADINIMAS"/>
              <w:highlight w:val="lightGray"/>
            </w:rPr>
            <w:t>atitvar</w:t>
          </w:r>
          <w:r w:rsidR="0033480F">
            <w:rPr>
              <w:rStyle w:val="1PAVADINIMAS"/>
              <w:highlight w:val="lightGray"/>
            </w:rPr>
            <w:t>ų</w:t>
          </w:r>
          <w:r>
            <w:rPr>
              <w:rStyle w:val="1PAVADINIMAS"/>
              <w:highlight w:val="lightGray"/>
            </w:rPr>
            <w:t>, kelkraščių)</w:t>
          </w:r>
        </w:p>
        <w:p w14:paraId="75816B99" w14:textId="78EDAAF8" w:rsidR="00D030DA" w:rsidRPr="00370399" w:rsidRDefault="00F777B5" w:rsidP="00CC6616">
          <w:pPr>
            <w:pStyle w:val="Pagrindinistekstas"/>
            <w:spacing w:after="0"/>
            <w:jc w:val="center"/>
            <w:rPr>
              <w:bCs/>
              <w:lang w:eastAsia="ar-SA"/>
            </w:rPr>
          </w:pPr>
          <w:r>
            <w:rPr>
              <w:rStyle w:val="1PAVADINIMAS"/>
              <w:highlight w:val="lightGray"/>
            </w:rPr>
            <w:t>7 pirkimo dalis - šlaitinė ir kelkraščių žoliapjovė</w:t>
          </w:r>
        </w:p>
      </w:sdtContent>
    </w:sdt>
    <w:sdt>
      <w:sdtPr>
        <w:rPr>
          <w:szCs w:val="24"/>
          <w:lang w:eastAsia="ar-SA"/>
        </w:rPr>
        <w:alias w:val="Sutarties data"/>
        <w:tag w:val="Sutarties data"/>
        <w:id w:val="531539186"/>
        <w:placeholder>
          <w:docPart w:val="DefaultPlaceholder_-1854013440"/>
        </w:placeholder>
      </w:sdtPr>
      <w:sdtEndPr/>
      <w:sdtContent>
        <w:p w14:paraId="38414D19" w14:textId="301CCC02"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sidRPr="0099239B">
            <w:rPr>
              <w:szCs w:val="24"/>
              <w:lang w:eastAsia="ar-SA"/>
            </w:rPr>
            <w:t>1</w:t>
          </w:r>
          <w:r w:rsidRPr="005D5495">
            <w:rPr>
              <w:szCs w:val="24"/>
              <w:lang w:eastAsia="ar-SA"/>
            </w:rPr>
            <w:t xml:space="preserve"> m.  </w:t>
          </w:r>
          <w:r w:rsidR="00FE4664">
            <w:t>gruodžio 03</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16B1A34"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E4664">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F777B5">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5A6CCC74" w:rsidR="00F40B85" w:rsidRPr="00BD2EF3" w:rsidRDefault="00DB0CC1"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F777B5">
            <w:t>UAB "</w:t>
          </w:r>
          <w:proofErr w:type="spellStart"/>
          <w:r w:rsidR="00F777B5">
            <w:t>Komuva</w:t>
          </w:r>
          <w:proofErr w:type="spellEnd"/>
          <w:r w:rsidR="00F777B5">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F777B5">
            <w:rPr>
              <w:rFonts w:eastAsia="Arial Unicode MS"/>
            </w:rPr>
            <w:t xml:space="preserve">Kalno g. 22, </w:t>
          </w:r>
          <w:proofErr w:type="spellStart"/>
          <w:r w:rsidR="00642185">
            <w:rPr>
              <w:rFonts w:eastAsia="Arial Unicode MS"/>
            </w:rPr>
            <w:t>Melekonių</w:t>
          </w:r>
          <w:proofErr w:type="spellEnd"/>
          <w:r w:rsidR="00642185">
            <w:rPr>
              <w:rFonts w:eastAsia="Arial Unicode MS"/>
            </w:rPr>
            <w:t xml:space="preserve"> k., Vilniaus raj.</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642185">
            <w:rPr>
              <w:rStyle w:val="1TEKSTAS"/>
            </w:rPr>
            <w:t>225760130</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E4664">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A23CD7">
            <w:rPr>
              <w:rFonts w:eastAsia="Arial Unicode MS"/>
            </w:rPr>
            <w:t xml:space="preserve">bendrovės </w:t>
          </w:r>
          <w:proofErr w:type="spellStart"/>
          <w:r w:rsidR="00A23CD7">
            <w:rPr>
              <w:rFonts w:eastAsia="Arial Unicode MS"/>
            </w:rPr>
            <w:t>istatus</w:t>
          </w:r>
          <w:proofErr w:type="spellEnd"/>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254F49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926E8">
                    <w:rPr>
                      <w:rFonts w:eastAsia="Arial Unicode MS"/>
                    </w:rPr>
                    <w:t>16320000-4</w:t>
                  </w:r>
                  <w:r w:rsidR="00681117">
                    <w:rPr>
                      <w:rFonts w:eastAsia="Arial Unicode MS"/>
                      <w:szCs w:val="24"/>
                    </w:rPr>
                    <w:t>.</w:t>
                  </w:r>
                </w:sdtContent>
              </w:sdt>
            </w:sdtContent>
          </w:sdt>
        </w:sdtContent>
      </w:sdt>
    </w:p>
    <w:p w14:paraId="165FE1AD" w14:textId="70B9E425"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PAVADINIMAS"/>
                      </w:rPr>
                      <w:alias w:val="PREKIŲ PAVADINIMAS"/>
                      <w:tag w:val="PREKIŲ PAVADINIMAS"/>
                      <w:id w:val="-706490439"/>
                      <w:placeholder>
                        <w:docPart w:val="158D267FC2464C1DBC55626E492B8EBD"/>
                      </w:placeholder>
                    </w:sdtPr>
                    <w:sdtEndPr>
                      <w:rPr>
                        <w:rStyle w:val="Numatytasispastraiposriftas"/>
                        <w:b w:val="0"/>
                        <w:highlight w:val="lightGray"/>
                      </w:rPr>
                    </w:sdtEndPr>
                    <w:sdtContent>
                      <w:r w:rsidR="001926E8">
                        <w:rPr>
                          <w:rStyle w:val="1PAVADINIMAS"/>
                        </w:rPr>
                        <w:t>"</w:t>
                      </w:r>
                      <w:r w:rsidR="001926E8" w:rsidRPr="001926E8">
                        <w:rPr>
                          <w:rStyle w:val="1PAVADINIMAS"/>
                          <w:highlight w:val="lightGray"/>
                        </w:rPr>
                        <w:t>(PU-8688/21) [ITP] Žoliapjovės (šlaitinės,</w:t>
                      </w:r>
                      <w:r w:rsidR="0033480F">
                        <w:rPr>
                          <w:rStyle w:val="1PAVADINIMAS"/>
                          <w:highlight w:val="lightGray"/>
                        </w:rPr>
                        <w:t xml:space="preserve"> </w:t>
                      </w:r>
                      <w:r w:rsidR="001926E8" w:rsidRPr="001926E8">
                        <w:rPr>
                          <w:rStyle w:val="1PAVADINIMAS"/>
                          <w:highlight w:val="lightGray"/>
                        </w:rPr>
                        <w:t>atitvar</w:t>
                      </w:r>
                      <w:r w:rsidR="0033480F">
                        <w:rPr>
                          <w:rStyle w:val="1PAVADINIMAS"/>
                          <w:highlight w:val="lightGray"/>
                        </w:rPr>
                        <w:t>ų</w:t>
                      </w:r>
                      <w:r w:rsidR="001926E8" w:rsidRPr="001926E8">
                        <w:rPr>
                          <w:rStyle w:val="1PAVADINIMAS"/>
                          <w:highlight w:val="lightGray"/>
                        </w:rPr>
                        <w:t>, kelkraščių)</w:t>
                      </w:r>
                    </w:sdtContent>
                  </w:sdt>
                  <w:r w:rsidR="001926E8">
                    <w:rPr>
                      <w:highlight w:val="lightGray"/>
                    </w:rPr>
                    <w:t xml:space="preserve"> </w:t>
                  </w:r>
                  <w:r w:rsidR="001926E8">
                    <w:t>"</w:t>
                  </w:r>
                  <w:r w:rsidR="0033480F">
                    <w:t xml:space="preserve">, pirkimo Nr.  </w:t>
                  </w:r>
                  <w:r w:rsidR="005B11E2">
                    <w:t>562666</w:t>
                  </w:r>
                  <w:r w:rsidR="0033480F">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6B6D1"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1D3DC9">
            <w:rPr>
              <w:rStyle w:val="1TEKSTAS"/>
            </w:rPr>
            <w:t>179 300,00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1D3DC9">
            <w:rPr>
              <w:rStyle w:val="1TEKSTAS"/>
            </w:rPr>
            <w:t>vienas šimtas septyniasdešimt devyni tūkstančiai trys šimtai eurų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1D3DC9">
            <w:rPr>
              <w:rStyle w:val="1TEKSTAS"/>
            </w:rPr>
            <w:t>37 653,00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1D3DC9">
            <w:rPr>
              <w:rStyle w:val="1TEKSTAS"/>
            </w:rPr>
            <w:t>trisdešimt septyni tūkstančiai šeši šimtai penkiasdešimt trys eurai 00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1D3DC9">
            <w:rPr>
              <w:rStyle w:val="1TEKSTAS"/>
            </w:rPr>
            <w:t>216 953,00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1D3DC9">
            <w:rPr>
              <w:rStyle w:val="1TEKSTAS"/>
            </w:rPr>
            <w:t>du šimtai šešiolika tūkstančių devyni šimtai penkiasdešimt trys eurai 00 ct</w:t>
          </w:r>
        </w:sdtContent>
      </w:sdt>
      <w:r w:rsidR="00F40B85" w:rsidRPr="00BD2EF3">
        <w:t>).</w:t>
      </w:r>
      <w:bookmarkEnd w:id="5"/>
      <w:r w:rsidR="00F40B85" w:rsidRPr="00BD2EF3">
        <w:t xml:space="preserve"> </w:t>
      </w:r>
      <w:r>
        <w:t>Bendrą Sutarties vertę sudaro:</w:t>
      </w:r>
    </w:p>
    <w:p w14:paraId="53D7869A" w14:textId="360F5E8B"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314B3D">
                <w:rPr>
                  <w:rStyle w:val="1TEKSTAS"/>
                </w:rPr>
                <w:t>176 800,00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314B3D">
                <w:rPr>
                  <w:rStyle w:val="1TEKSTAS"/>
                </w:rPr>
                <w:t>vienas šimtas septyniasdešimt šeši tūkstančiai aštuoni šimtai eurų 00 ct</w:t>
              </w:r>
            </w:sdtContent>
          </w:sdt>
        </w:sdtContent>
      </w:sdt>
      <w:r w:rsidRPr="00F65AE8">
        <w:t xml:space="preserve">) be PVM. </w:t>
      </w:r>
    </w:p>
    <w:p w14:paraId="72C95B74" w14:textId="14D881CA"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314B3D">
                <w:rPr>
                  <w:rStyle w:val="1TEKSTAS"/>
                </w:rPr>
                <w:t>2 500,00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314B3D">
                <w:rPr>
                  <w:rStyle w:val="1TEKSTAS"/>
                </w:rPr>
                <w:t>du tūkstančiai penki šimtai eurų 00 ct</w:t>
              </w:r>
            </w:sdtContent>
          </w:sdt>
        </w:sdtContent>
      </w:sdt>
      <w:r w:rsidRPr="00F65AE8">
        <w:t xml:space="preserve"> ) be PVM.</w:t>
      </w:r>
    </w:p>
    <w:bookmarkEnd w:id="6"/>
    <w:p w14:paraId="0157F94D" w14:textId="6FE1A91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F96734">
                <w:rPr>
                  <w:bCs/>
                  <w:noProof/>
                  <w:szCs w:val="24"/>
                </w:rPr>
                <w:t>f</w:t>
              </w:r>
              <w:r w:rsidR="00CB268B" w:rsidRPr="002D0520">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B268B">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1EED58D6"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1275CA7C" w14:textId="77777777" w:rsidR="00BB4393" w:rsidRDefault="00BB4393" w:rsidP="00BB4393">
      <w:pPr>
        <w:pStyle w:val="Sraopastraipa"/>
        <w:suppressAutoHyphens/>
        <w:spacing w:line="276" w:lineRule="auto"/>
        <w:ind w:left="567"/>
        <w:contextualSpacing w:val="0"/>
        <w:rPr>
          <w:b/>
          <w:bCs/>
        </w:rPr>
      </w:pP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w:t>
      </w:r>
      <w:r w:rsidRPr="00943A80">
        <w:lastRenderedPageBreak/>
        <w:t xml:space="preserve">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58B190F7"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165BEE">
            <w:rPr>
              <w:rStyle w:val="1TEKSTAS"/>
            </w:rPr>
            <w:t>180</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792D7A7F"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D14686">
            <w:rPr>
              <w:highlight w:val="lightGray"/>
            </w:rPr>
            <w:t xml:space="preserve">Liepkalnio g. 81, 02120 Vilnius - 1 </w:t>
          </w:r>
          <w:proofErr w:type="spellStart"/>
          <w:r w:rsidR="00D14686">
            <w:rPr>
              <w:highlight w:val="lightGray"/>
            </w:rPr>
            <w:t>kompl</w:t>
          </w:r>
          <w:proofErr w:type="spellEnd"/>
          <w:r w:rsidR="00D14686">
            <w:rPr>
              <w:highlight w:val="lightGray"/>
            </w:rPr>
            <w:t xml:space="preserve">; Jūžintų g. 3, 42164 Rokiškis - 1 </w:t>
          </w:r>
          <w:proofErr w:type="spellStart"/>
          <w:r w:rsidR="00D14686">
            <w:rPr>
              <w:highlight w:val="lightGray"/>
            </w:rPr>
            <w:t>kompl</w:t>
          </w:r>
          <w:proofErr w:type="spellEnd"/>
        </w:sdtContent>
      </w:sdt>
      <w:r w:rsidRPr="00340F31">
        <w:rPr>
          <w:szCs w:val="24"/>
        </w:rPr>
        <w:t>.</w:t>
      </w:r>
    </w:p>
    <w:p w14:paraId="446FAC7D" w14:textId="414D5E01" w:rsidR="00BB4393" w:rsidRPr="00967D4E" w:rsidRDefault="00A277CA" w:rsidP="00B43AC3">
      <w:pPr>
        <w:pStyle w:val="Sraopastraipa"/>
        <w:numPr>
          <w:ilvl w:val="1"/>
          <w:numId w:val="2"/>
        </w:numPr>
        <w:suppressAutoHyphens/>
        <w:spacing w:line="276" w:lineRule="auto"/>
        <w:ind w:left="567" w:hanging="567"/>
        <w:contextualSpacing w:val="0"/>
        <w:jc w:val="both"/>
      </w:pPr>
      <w:bookmarkStart w:id="14" w:name="_Hlk24544085"/>
      <w:r w:rsidRPr="00967D4E">
        <w:t>Pardavėjas Prekės pristatymo metu, bet ne vėliau negu Pirkėjas pradeda eksploatuoti Prekę, privalo atlikti Prekės eksploatacijos ir techninius mokymus, kaip tai numatyta Sutarties priede „Techninė specifikacija“.</w:t>
      </w:r>
    </w:p>
    <w:p w14:paraId="7BA9F401" w14:textId="4BE5A82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w:t>
      </w:r>
      <w:r w:rsidR="000B480A" w:rsidRPr="00BD2EF3">
        <w:rPr>
          <w:noProof/>
        </w:rPr>
        <w:lastRenderedPageBreak/>
        <w:t xml:space="preserve">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w:t>
      </w:r>
      <w:r w:rsidR="00ED2086" w:rsidRPr="00BD2EF3">
        <w:rPr>
          <w:szCs w:val="24"/>
        </w:rPr>
        <w:lastRenderedPageBreak/>
        <w:t>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7AECD36B"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r w:rsidR="00D14686">
            <w:rPr>
              <w:rStyle w:val="1TEKSTAS"/>
            </w:rPr>
            <w:t>24 mėnesių</w:t>
          </w:r>
          <w:r w:rsidR="004E665E">
            <w:rPr>
              <w:rStyle w:val="1TEKSTAS"/>
            </w:rPr>
            <w:t xml:space="preserve"> garantija</w:t>
          </w:r>
          <w:r w:rsidR="00AE7651" w:rsidRPr="00AE7651">
            <w:t xml:space="preserve"> </w:t>
          </w:r>
          <w:r w:rsidR="00AE7651" w:rsidRPr="00AE7651">
            <w:rPr>
              <w:rStyle w:val="1TEKSTAS"/>
            </w:rPr>
            <w:t>su mobiliu aptarnavimu Pirkėjo bazėse</w:t>
          </w:r>
          <w:r w:rsidR="00AF2AD7" w:rsidRPr="00AF2AD7">
            <w:rPr>
              <w:rStyle w:val="1TEKSTAS"/>
            </w:rPr>
            <w:t xml:space="preserve">. </w:t>
          </w:r>
          <w:r w:rsidR="00DC1DAA">
            <w:rPr>
              <w:rStyle w:val="1TEKSTAS"/>
            </w:rPr>
            <w:t xml:space="preserve">Papildomai įrangai suteikiama </w:t>
          </w:r>
          <w:r w:rsidR="00D14686">
            <w:rPr>
              <w:rStyle w:val="1TEKSTAS"/>
            </w:rPr>
            <w:t>24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3BCF22C"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w:t>
          </w:r>
          <w:r w:rsidR="00AE7651" w:rsidRPr="00076A26">
            <w:rPr>
              <w:szCs w:val="24"/>
            </w:rPr>
            <w:t xml:space="preserve">savo sąskaita </w:t>
          </w:r>
          <w:r w:rsidRPr="003611B1">
            <w:rPr>
              <w:szCs w:val="24"/>
            </w:rPr>
            <w:t xml:space="preserve">atlieka </w:t>
          </w:r>
          <w:r w:rsidR="00AE7651">
            <w:rPr>
              <w:szCs w:val="24"/>
            </w:rPr>
            <w:t>P</w:t>
          </w:r>
          <w:r w:rsidRPr="003611B1">
            <w:rPr>
              <w:szCs w:val="24"/>
            </w:rPr>
            <w:t>rekės  išsamų techninio stovio patikrinimą</w:t>
          </w:r>
          <w:r w:rsidR="00AE7651">
            <w:rPr>
              <w:szCs w:val="24"/>
            </w:rPr>
            <w:t xml:space="preserve">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37E8AFC0" w:rsidR="00F62DEA" w:rsidRPr="00F774CB" w:rsidRDefault="006D1ADC"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6C31AEA5" w:rsidR="00F62DEA" w:rsidRPr="00F774CB" w:rsidRDefault="006D1ADC"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 xml:space="preserve">kėjus, kurie numatyti Pardavėjo pasiūlyme. Jeigu Pardavėjas šioje Sutartyje numatytų Prekių pardavimui nori samdyti kitą, nei nurodyta pasiūlyme, subtiekėją, jis privalo prieš tai Pirkėjui įrodyti jo patikimumą ir gebėjimą vykdyti </w:t>
      </w:r>
      <w:r w:rsidRPr="00BD2EF3">
        <w:rPr>
          <w:bCs/>
          <w:szCs w:val="24"/>
        </w:rPr>
        <w:lastRenderedPageBreak/>
        <w:t>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 xml:space="preserve">pasitraukiančio(-ių) Jungtinės veiklos partnerio(-ių) prašymą pasitraukti iš Jungtinės veiklos sutarties partnerių ir perduoti visus įsipareigojimus pagal Jungtinės </w:t>
      </w:r>
      <w:r w:rsidRPr="00994BD4">
        <w:rPr>
          <w:szCs w:val="24"/>
        </w:rPr>
        <w:lastRenderedPageBreak/>
        <w:t>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0" w:name="_Hlk63254392"/>
    <w:p w14:paraId="167E9E47" w14:textId="028A4533" w:rsidR="009A0066" w:rsidRPr="00EB6BE1" w:rsidRDefault="00DB0CC1"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6D1ADC">
                <w:rPr>
                  <w:rStyle w:val="1TEKSTAS"/>
                </w:rPr>
                <w:t>180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6D1ADC">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6D1ADC">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1"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0"/>
      <w:bookmarkEnd w:id="21"/>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2"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w:t>
      </w:r>
      <w:r w:rsidRPr="00BD2EF3">
        <w:rPr>
          <w:szCs w:val="24"/>
        </w:rPr>
        <w:lastRenderedPageBreak/>
        <w:t xml:space="preserve">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3" w:name="_Hlk24545188"/>
      <w:r w:rsidRPr="00BD2EF3">
        <w:t xml:space="preserve">Pardavėjas pažeidžia Prekių pristatymo </w:t>
      </w:r>
      <w:r w:rsidR="008B48B8">
        <w:t xml:space="preserve">ir Paslaugų teikimo </w:t>
      </w:r>
      <w:r w:rsidRPr="00BD2EF3">
        <w:t>terminus</w:t>
      </w:r>
      <w:bookmarkEnd w:id="23"/>
      <w:r w:rsidR="008237E8" w:rsidRPr="00BD2EF3">
        <w:t>;</w:t>
      </w:r>
    </w:p>
    <w:bookmarkEnd w:id="22"/>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4"/>
    <w:bookmarkEnd w:id="2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Pardavėjas sutinka, kad šios Sutarties </w:t>
      </w:r>
      <w:r w:rsidRPr="00BD2EF3">
        <w:rPr>
          <w:lang w:eastAsia="lt-LT"/>
        </w:rPr>
        <w:lastRenderedPageBreak/>
        <w:t>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18F0D597"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7" w:name="_Hlk30514783"/>
      <w:r w:rsidRPr="00507E29">
        <w:t xml:space="preserve">Pirkėjo už šios Sutarties vykdymą </w:t>
      </w:r>
      <w:bookmarkStart w:id="28"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FE4664">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820DC">
            <w:rPr>
              <w:rStyle w:val="1TEKSTAS"/>
            </w:rPr>
            <w:t xml:space="preserve">+370 </w:t>
          </w:r>
          <w:r w:rsidR="00FE4664">
            <w:rPr>
              <w:rStyle w:val="1TEKSTAS"/>
            </w:rPr>
            <w:t>..............</w:t>
          </w:r>
          <w:r w:rsidR="00F820DC">
            <w:rPr>
              <w:rStyle w:val="1TEKSTAS"/>
            </w:rPr>
            <w:t xml:space="preserve">, el. p.: </w:t>
          </w:r>
          <w:r w:rsidR="00FE4664">
            <w:rPr>
              <w:rStyle w:val="1TEKSTAS"/>
            </w:rPr>
            <w:t>.............................</w:t>
          </w:r>
        </w:sdtContent>
      </w:sdt>
      <w:r w:rsidRPr="00507E29">
        <w:t>;</w:t>
      </w:r>
      <w:bookmarkEnd w:id="28"/>
    </w:p>
    <w:p w14:paraId="32295072" w14:textId="30FEB46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FE4664">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820DC">
            <w:rPr>
              <w:rStyle w:val="1TEKSTAS"/>
            </w:rPr>
            <w:t>+370</w:t>
          </w:r>
          <w:r w:rsidR="00FE4664">
            <w:rPr>
              <w:rStyle w:val="1TEKSTAS"/>
            </w:rPr>
            <w:t xml:space="preserve"> ...................................</w:t>
          </w:r>
          <w:r w:rsidR="00F820DC">
            <w:rPr>
              <w:rStyle w:val="1TEKSTAS"/>
            </w:rPr>
            <w:t xml:space="preserve">, el. p.: </w:t>
          </w:r>
          <w:r w:rsidR="00FE4664">
            <w:rPr>
              <w:rStyle w:val="1TEKSTAS"/>
            </w:rPr>
            <w:t>.....................................</w:t>
          </w:r>
        </w:sdtContent>
      </w:sdt>
      <w:r w:rsidRPr="00507E29">
        <w:t>;</w:t>
      </w:r>
    </w:p>
    <w:p w14:paraId="75FFF104" w14:textId="664B7EF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FE4664">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F820DC">
            <w:rPr>
              <w:rStyle w:val="1TEKSTAS"/>
            </w:rPr>
            <w:t xml:space="preserve">+370 </w:t>
          </w:r>
          <w:r w:rsidR="00FE4664">
            <w:rPr>
              <w:rStyle w:val="1TEKSTAS"/>
            </w:rPr>
            <w:t>..................................</w:t>
          </w:r>
          <w:r w:rsidR="00F820DC">
            <w:rPr>
              <w:rStyle w:val="1TEKSTAS"/>
            </w:rPr>
            <w:t>, el. p.</w:t>
          </w:r>
          <w:r w:rsidR="00FE4664">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29" w:name="_Hlk513465026" w:displacedByCustomXml="next"/>
    <w:bookmarkEnd w:id="29" w:displacedByCustomXml="next"/>
    <w:bookmarkStart w:id="30" w:name="_Hlk508555465" w:displacedByCustomXml="next"/>
    <w:bookmarkStart w:id="31"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58E7FC67" w:rsidR="001A3F38" w:rsidRPr="002C003D" w:rsidRDefault="001635F5" w:rsidP="00986BE5">
                <w:pPr>
                  <w:spacing w:after="0"/>
                  <w:rPr>
                    <w:b/>
                  </w:rPr>
                </w:pPr>
                <w:r>
                  <w:t>UAB "</w:t>
                </w:r>
                <w:proofErr w:type="spellStart"/>
                <w:r w:rsidR="004D52C2">
                  <w:t>K</w:t>
                </w:r>
                <w:r>
                  <w:t>omuva</w:t>
                </w:r>
                <w:proofErr w:type="spellEnd"/>
                <w: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386DAAC5" w:rsidR="001A3F38" w:rsidRPr="002C003D" w:rsidRDefault="001A3F38" w:rsidP="00986BE5">
                <w:pPr>
                  <w:spacing w:after="0"/>
                  <w:rPr>
                    <w:noProof/>
                  </w:rPr>
                </w:pPr>
                <w:r w:rsidRPr="002C003D">
                  <w:rPr>
                    <w:noProof/>
                  </w:rPr>
                  <w:t xml:space="preserve">Juridinio/fizinio asmens kodas </w:t>
                </w:r>
                <w:r w:rsidR="004D52C2">
                  <w:t>225760130</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33275AAB" w:rsidR="001A3F38" w:rsidRPr="002C003D" w:rsidRDefault="001A3F38" w:rsidP="00986BE5">
                <w:pPr>
                  <w:spacing w:after="0"/>
                  <w:rPr>
                    <w:noProof/>
                  </w:rPr>
                </w:pPr>
                <w:r w:rsidRPr="002C003D">
                  <w:rPr>
                    <w:noProof/>
                  </w:rPr>
                  <w:t xml:space="preserve">PVM mokėtojo kodas </w:t>
                </w:r>
                <w:r w:rsidRPr="00910D49">
                  <w:rPr>
                    <w:noProof/>
                  </w:rPr>
                  <w:t>LT</w:t>
                </w:r>
                <w:r w:rsidR="004D52C2">
                  <w:t>100005658616</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70083F79" w:rsidR="001A3F38" w:rsidRPr="002C003D" w:rsidRDefault="004D52C2" w:rsidP="00986BE5">
                <w:pPr>
                  <w:spacing w:after="0"/>
                  <w:rPr>
                    <w:noProof/>
                  </w:rPr>
                </w:pPr>
                <w:r>
                  <w:t xml:space="preserve">Kalno g. 22, </w:t>
                </w:r>
                <w:proofErr w:type="spellStart"/>
                <w:r>
                  <w:t>Melekonių</w:t>
                </w:r>
                <w:proofErr w:type="spellEnd"/>
                <w:r>
                  <w:t xml:space="preserve"> k. Vilniaus raj. 14119</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37851FB2" w:rsidR="001A3F38" w:rsidRPr="002C003D" w:rsidRDefault="001A3F38" w:rsidP="00986BE5">
                <w:pPr>
                  <w:spacing w:after="0"/>
                  <w:rPr>
                    <w:noProof/>
                  </w:rPr>
                </w:pPr>
                <w:r w:rsidRPr="002C003D">
                  <w:rPr>
                    <w:noProof/>
                  </w:rPr>
                  <w:t xml:space="preserve">Tel. </w:t>
                </w:r>
                <w:r w:rsidR="004D52C2">
                  <w:t>+3</w:t>
                </w:r>
                <w:r w:rsidR="00FE4664">
                  <w:t>70.............</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1A962C51" w:rsidR="001A3F38" w:rsidRPr="002C003D" w:rsidRDefault="001A3F38" w:rsidP="00986BE5">
                <w:pPr>
                  <w:spacing w:after="0"/>
                  <w:rPr>
                    <w:noProof/>
                  </w:rPr>
                </w:pPr>
                <w:r w:rsidRPr="002C003D">
                  <w:rPr>
                    <w:noProof/>
                  </w:rPr>
                  <w:t xml:space="preserve">El. Paštas: </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59056454" w:rsidR="001A3F38" w:rsidRPr="002C003D" w:rsidRDefault="001A3F38" w:rsidP="00986BE5">
                <w:pPr>
                  <w:spacing w:after="0"/>
                  <w:rPr>
                    <w:noProof/>
                  </w:rPr>
                </w:pPr>
              </w:p>
            </w:tc>
            <w:tc>
              <w:tcPr>
                <w:tcW w:w="2710" w:type="pct"/>
                <w:tcBorders>
                  <w:left w:val="single" w:sz="4" w:space="0" w:color="auto"/>
                </w:tcBorders>
              </w:tcPr>
              <w:p w14:paraId="78253362" w14:textId="0BE20C60"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648AA143" w:rsidR="001A3F38" w:rsidRPr="002C003D" w:rsidRDefault="001A3F38" w:rsidP="00986BE5">
                <w:pPr>
                  <w:spacing w:after="0"/>
                  <w:rPr>
                    <w:noProof/>
                  </w:rPr>
                </w:pPr>
              </w:p>
            </w:tc>
            <w:tc>
              <w:tcPr>
                <w:tcW w:w="2710" w:type="pct"/>
                <w:tcBorders>
                  <w:left w:val="single" w:sz="4" w:space="0" w:color="auto"/>
                </w:tcBorders>
              </w:tcPr>
              <w:p w14:paraId="1296D810" w14:textId="4B9EE53E"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0432E253" w:rsidR="001A3F38" w:rsidRPr="002C003D" w:rsidRDefault="001A3F38" w:rsidP="00986BE5">
                <w:pPr>
                  <w:rPr>
                    <w:b/>
                  </w:rPr>
                </w:pPr>
                <w:r w:rsidRPr="002C003D">
                  <w:t>____________</w:t>
                </w:r>
              </w:p>
            </w:tc>
            <w:tc>
              <w:tcPr>
                <w:tcW w:w="2710" w:type="pct"/>
                <w:tcBorders>
                  <w:left w:val="single" w:sz="4" w:space="0" w:color="auto"/>
                </w:tcBorders>
              </w:tcPr>
              <w:p w14:paraId="1EE5B115" w14:textId="5CEFBF5E" w:rsidR="001A3F38" w:rsidRPr="002C003D" w:rsidRDefault="001A3F38" w:rsidP="00986BE5">
                <w:pPr>
                  <w:rPr>
                    <w:b/>
                  </w:rPr>
                </w:pPr>
                <w:r w:rsidRPr="002C003D">
                  <w:t>____________</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1"/>
    <w:bookmarkEnd w:id="30"/>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8E47" w14:textId="77777777" w:rsidR="00DB0CC1" w:rsidRDefault="00DB0CC1" w:rsidP="00F40B85">
      <w:pPr>
        <w:spacing w:after="0" w:line="240" w:lineRule="auto"/>
      </w:pPr>
      <w:r>
        <w:separator/>
      </w:r>
    </w:p>
  </w:endnote>
  <w:endnote w:type="continuationSeparator" w:id="0">
    <w:p w14:paraId="540EF51F" w14:textId="77777777" w:rsidR="00DB0CC1" w:rsidRDefault="00DB0CC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5783" w14:textId="77777777" w:rsidR="00DB0CC1" w:rsidRDefault="00DB0CC1" w:rsidP="00F40B85">
      <w:pPr>
        <w:spacing w:after="0" w:line="240" w:lineRule="auto"/>
      </w:pPr>
      <w:r>
        <w:separator/>
      </w:r>
    </w:p>
  </w:footnote>
  <w:footnote w:type="continuationSeparator" w:id="0">
    <w:p w14:paraId="6BC70B34" w14:textId="77777777" w:rsidR="00DB0CC1" w:rsidRDefault="00DB0CC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2" w:name="_Hlk62550716"/>
  </w:p>
  <w:bookmarkEnd w:id="32"/>
  <w:p w14:paraId="730CACDE" w14:textId="29CA39BB"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9s2kAGnk+jAWgwx/9meD1nL0lULmpIyu7OC/c2txth/pdsHh8gy7Z9n7/rPPjrsMP9yFVJ9Wvwk7elNkpg0Z9A==" w:salt="od6o3XfOzhY/5Y1kj249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30DB"/>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35F5"/>
    <w:rsid w:val="00165283"/>
    <w:rsid w:val="00165BEE"/>
    <w:rsid w:val="001662C2"/>
    <w:rsid w:val="00167214"/>
    <w:rsid w:val="00167566"/>
    <w:rsid w:val="001677E7"/>
    <w:rsid w:val="00170290"/>
    <w:rsid w:val="001704B3"/>
    <w:rsid w:val="00170E3D"/>
    <w:rsid w:val="0017273B"/>
    <w:rsid w:val="00173384"/>
    <w:rsid w:val="00173B3E"/>
    <w:rsid w:val="00175241"/>
    <w:rsid w:val="0017628E"/>
    <w:rsid w:val="00177041"/>
    <w:rsid w:val="00177292"/>
    <w:rsid w:val="00177CC0"/>
    <w:rsid w:val="00181DAA"/>
    <w:rsid w:val="001839E1"/>
    <w:rsid w:val="0018403D"/>
    <w:rsid w:val="00191F2C"/>
    <w:rsid w:val="00192169"/>
    <w:rsid w:val="001926E8"/>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D3DC9"/>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29A1"/>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0520"/>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4B3D"/>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0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D52C2"/>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6E72"/>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11E2"/>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185"/>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1ADC"/>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87355"/>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E7E5D"/>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798"/>
    <w:rsid w:val="00817CE8"/>
    <w:rsid w:val="00817F63"/>
    <w:rsid w:val="00820A49"/>
    <w:rsid w:val="00820D4D"/>
    <w:rsid w:val="00822B92"/>
    <w:rsid w:val="008237E8"/>
    <w:rsid w:val="00823EA1"/>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D4E"/>
    <w:rsid w:val="00970F13"/>
    <w:rsid w:val="00971072"/>
    <w:rsid w:val="00974B8E"/>
    <w:rsid w:val="00981D71"/>
    <w:rsid w:val="009821EE"/>
    <w:rsid w:val="0098326E"/>
    <w:rsid w:val="00984A8F"/>
    <w:rsid w:val="00986297"/>
    <w:rsid w:val="00986EB3"/>
    <w:rsid w:val="0098751D"/>
    <w:rsid w:val="00991975"/>
    <w:rsid w:val="00991D24"/>
    <w:rsid w:val="0099239B"/>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3CD7"/>
    <w:rsid w:val="00A26E7A"/>
    <w:rsid w:val="00A27300"/>
    <w:rsid w:val="00A277CA"/>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651"/>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393"/>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268B"/>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14686"/>
    <w:rsid w:val="00D17565"/>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B03B7"/>
    <w:rsid w:val="00DB0C2C"/>
    <w:rsid w:val="00DB0CC1"/>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DF7"/>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77B5"/>
    <w:rsid w:val="00F818F2"/>
    <w:rsid w:val="00F820DC"/>
    <w:rsid w:val="00F825E6"/>
    <w:rsid w:val="00F841F2"/>
    <w:rsid w:val="00F848AA"/>
    <w:rsid w:val="00F85AEC"/>
    <w:rsid w:val="00F878AB"/>
    <w:rsid w:val="00F902DC"/>
    <w:rsid w:val="00F96734"/>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664"/>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158D267FC2464C1DBC55626E492B8EBD"/>
        <w:category>
          <w:name w:val="Bendrosios nuostatos"/>
          <w:gallery w:val="placeholder"/>
        </w:category>
        <w:types>
          <w:type w:val="bbPlcHdr"/>
        </w:types>
        <w:behaviors>
          <w:behavior w:val="content"/>
        </w:behaviors>
        <w:guid w:val="{0321DEAD-4897-4804-84E2-164790BD9093}"/>
      </w:docPartPr>
      <w:docPartBody>
        <w:p w:rsidR="00207E2A" w:rsidRDefault="001A3390" w:rsidP="001A3390">
          <w:pPr>
            <w:pStyle w:val="158D267FC2464C1DBC55626E492B8EB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390"/>
    <w:rsid w:val="001A38C0"/>
    <w:rsid w:val="001A42AC"/>
    <w:rsid w:val="001A7F07"/>
    <w:rsid w:val="001B0049"/>
    <w:rsid w:val="001C0B2B"/>
    <w:rsid w:val="001C6750"/>
    <w:rsid w:val="001E396F"/>
    <w:rsid w:val="001E6535"/>
    <w:rsid w:val="00207E2A"/>
    <w:rsid w:val="002228CE"/>
    <w:rsid w:val="002332FC"/>
    <w:rsid w:val="00234D5F"/>
    <w:rsid w:val="00243EEC"/>
    <w:rsid w:val="00262744"/>
    <w:rsid w:val="00264B9F"/>
    <w:rsid w:val="00291D22"/>
    <w:rsid w:val="002B021B"/>
    <w:rsid w:val="002B5EBF"/>
    <w:rsid w:val="002D0BB2"/>
    <w:rsid w:val="00315C32"/>
    <w:rsid w:val="00320C6B"/>
    <w:rsid w:val="003266F3"/>
    <w:rsid w:val="0032727C"/>
    <w:rsid w:val="00382570"/>
    <w:rsid w:val="003836A2"/>
    <w:rsid w:val="003915E9"/>
    <w:rsid w:val="0039620E"/>
    <w:rsid w:val="003B0ECE"/>
    <w:rsid w:val="003D0A21"/>
    <w:rsid w:val="003D1991"/>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9F7628"/>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540B"/>
    <w:rsid w:val="00D27C81"/>
    <w:rsid w:val="00D57CC2"/>
    <w:rsid w:val="00D71C40"/>
    <w:rsid w:val="00D7268A"/>
    <w:rsid w:val="00D921EB"/>
    <w:rsid w:val="00D92BC8"/>
    <w:rsid w:val="00DB0470"/>
    <w:rsid w:val="00DB7899"/>
    <w:rsid w:val="00DB7E0F"/>
    <w:rsid w:val="00DC723A"/>
    <w:rsid w:val="00DD5E7A"/>
    <w:rsid w:val="00DE4321"/>
    <w:rsid w:val="00E02C01"/>
    <w:rsid w:val="00E1230D"/>
    <w:rsid w:val="00E23A15"/>
    <w:rsid w:val="00E4689A"/>
    <w:rsid w:val="00E55CD7"/>
    <w:rsid w:val="00E83981"/>
    <w:rsid w:val="00E94000"/>
    <w:rsid w:val="00EA2B79"/>
    <w:rsid w:val="00EC1702"/>
    <w:rsid w:val="00ED6111"/>
    <w:rsid w:val="00F06F3F"/>
    <w:rsid w:val="00F325C6"/>
    <w:rsid w:val="00F335E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3390"/>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58D267FC2464C1DBC55626E492B8EBD">
    <w:name w:val="158D267FC2464C1DBC55626E492B8EBD"/>
    <w:rsid w:val="001A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21120</Words>
  <Characters>12039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2021-12-21T06:07:00Z</dcterms:created>
  <dcterms:modified xsi:type="dcterms:W3CDTF">2021-12-21T06:07:00Z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