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DAA38" w14:textId="77777777" w:rsidR="00A758B2" w:rsidRPr="00265DD0" w:rsidRDefault="00A758B2" w:rsidP="00A758B2">
      <w:pPr>
        <w:jc w:val="right"/>
        <w:rPr>
          <w:szCs w:val="24"/>
        </w:rPr>
      </w:pPr>
      <w:r w:rsidRPr="00265DD0">
        <w:rPr>
          <w:szCs w:val="24"/>
        </w:rPr>
        <w:t>Sutarties</w:t>
      </w:r>
    </w:p>
    <w:p w14:paraId="35480A99" w14:textId="77777777" w:rsidR="00A758B2" w:rsidRPr="00265DD0" w:rsidRDefault="00A758B2" w:rsidP="00A758B2">
      <w:pPr>
        <w:tabs>
          <w:tab w:val="left" w:pos="567"/>
          <w:tab w:val="left" w:pos="1276"/>
        </w:tabs>
        <w:jc w:val="right"/>
        <w:rPr>
          <w:szCs w:val="24"/>
        </w:rPr>
      </w:pPr>
      <w:r w:rsidRPr="00265DD0">
        <w:rPr>
          <w:szCs w:val="24"/>
        </w:rPr>
        <w:t xml:space="preserve">                                                                                                                                   1 priedas</w:t>
      </w:r>
    </w:p>
    <w:p w14:paraId="27CB6AC6" w14:textId="77777777" w:rsidR="00A758B2" w:rsidRPr="00265DD0" w:rsidRDefault="00A758B2" w:rsidP="00A758B2">
      <w:pPr>
        <w:rPr>
          <w:szCs w:val="24"/>
        </w:rPr>
      </w:pPr>
    </w:p>
    <w:p w14:paraId="41CBE394" w14:textId="77777777" w:rsidR="00A758B2" w:rsidRPr="00265DD0" w:rsidRDefault="00A758B2" w:rsidP="00A758B2">
      <w:pPr>
        <w:jc w:val="center"/>
        <w:rPr>
          <w:b/>
        </w:rPr>
      </w:pPr>
      <w:r w:rsidRPr="00265DD0">
        <w:rPr>
          <w:b/>
          <w:caps/>
          <w:szCs w:val="32"/>
        </w:rPr>
        <w:t xml:space="preserve">NACIONALINĖS MOKĖJIMO AGENTŪROS PRIE ŽEMĖS ŪKIO MINISTERIJOS </w:t>
      </w:r>
      <w:r w:rsidRPr="00265DD0">
        <w:rPr>
          <w:b/>
        </w:rPr>
        <w:t>EUROPOS ŽEMĖS ŪKIO GARANTIJŲ FONDO</w:t>
      </w:r>
      <w:r w:rsidRPr="00265DD0">
        <w:t xml:space="preserve"> </w:t>
      </w:r>
      <w:r w:rsidRPr="00265DD0">
        <w:rPr>
          <w:b/>
          <w:caps/>
          <w:szCs w:val="32"/>
        </w:rPr>
        <w:t xml:space="preserve">(EŽŪGF) IR </w:t>
      </w:r>
      <w:r w:rsidRPr="00265DD0">
        <w:rPr>
          <w:b/>
        </w:rPr>
        <w:t>EUROPOS ŽEMĖS ŪKIO FONDO KAIMO PLĖTRAI</w:t>
      </w:r>
      <w:r w:rsidRPr="00265DD0">
        <w:t xml:space="preserve"> </w:t>
      </w:r>
      <w:r w:rsidRPr="00265DD0">
        <w:rPr>
          <w:b/>
          <w:caps/>
          <w:szCs w:val="32"/>
        </w:rPr>
        <w:t xml:space="preserve">(EŽŪFKP) IŠLAIDŲ SERTIFIKAVIMO </w:t>
      </w:r>
      <w:r w:rsidRPr="00265DD0">
        <w:rPr>
          <w:b/>
        </w:rPr>
        <w:t>PASLAUGŲ PIRKIMO TECHNINĖ SPECIFIKACIJA</w:t>
      </w:r>
    </w:p>
    <w:p w14:paraId="45E680B4" w14:textId="77777777" w:rsidR="00A758B2" w:rsidRPr="00265DD0" w:rsidRDefault="00A758B2" w:rsidP="00A758B2">
      <w:pPr>
        <w:rPr>
          <w:b/>
          <w:szCs w:val="24"/>
        </w:rPr>
      </w:pPr>
    </w:p>
    <w:p w14:paraId="36E44E5C" w14:textId="77777777" w:rsidR="00A758B2" w:rsidRPr="00265DD0" w:rsidRDefault="00A758B2" w:rsidP="00A758B2">
      <w:pPr>
        <w:rPr>
          <w:b/>
          <w:szCs w:val="24"/>
        </w:rPr>
      </w:pPr>
    </w:p>
    <w:p w14:paraId="6F9EF882" w14:textId="77777777" w:rsidR="00A758B2" w:rsidRPr="00265DD0" w:rsidRDefault="00A758B2" w:rsidP="00A758B2">
      <w:pPr>
        <w:spacing w:line="360" w:lineRule="auto"/>
        <w:ind w:firstLine="709"/>
        <w:rPr>
          <w:szCs w:val="24"/>
        </w:rPr>
      </w:pPr>
      <w:r w:rsidRPr="00265DD0">
        <w:rPr>
          <w:i/>
          <w:szCs w:val="24"/>
        </w:rPr>
        <w:t>1. Teisinė aplinka ir pirkimo paslaugų poreikis.</w:t>
      </w:r>
    </w:p>
    <w:p w14:paraId="40B0924E" w14:textId="2890F995" w:rsidR="00A758B2" w:rsidRPr="00265DD0" w:rsidRDefault="00A758B2" w:rsidP="00A758B2">
      <w:pPr>
        <w:autoSpaceDE w:val="0"/>
        <w:autoSpaceDN w:val="0"/>
        <w:adjustRightInd w:val="0"/>
        <w:spacing w:line="360" w:lineRule="auto"/>
        <w:ind w:firstLine="709"/>
        <w:jc w:val="both"/>
        <w:rPr>
          <w:szCs w:val="24"/>
        </w:rPr>
      </w:pPr>
      <w:r w:rsidRPr="00265DD0">
        <w:rPr>
          <w:szCs w:val="24"/>
        </w:rPr>
        <w:t>Pagal 2013 m. gruodžio 17 d. Europos Parlamento ir</w:t>
      </w:r>
      <w:r w:rsidRPr="00265DD0">
        <w:rPr>
          <w:b/>
          <w:bCs/>
          <w:szCs w:val="24"/>
        </w:rPr>
        <w:t xml:space="preserve"> </w:t>
      </w:r>
      <w:r w:rsidRPr="00265DD0">
        <w:rPr>
          <w:szCs w:val="24"/>
        </w:rPr>
        <w:t>Tarybos reglamentą (ES) Nr. 1306/2013 dėl bendros žemės ūkio politikos finansavimo,</w:t>
      </w:r>
      <w:r w:rsidRPr="001E4B82">
        <w:rPr>
          <w:bCs/>
          <w:szCs w:val="24"/>
        </w:rPr>
        <w:t xml:space="preserve"> </w:t>
      </w:r>
      <w:r w:rsidRPr="00265DD0">
        <w:rPr>
          <w:szCs w:val="24"/>
        </w:rPr>
        <w:t xml:space="preserve">valdymo ir stebėsenos, kuriuo panaikinami Tarybos reglamentai (EEB) Nr. 352/78, (EB) Nr. 165/94, (EB) Nr. 2799/98, (EB) Nr. 814/2000, (EB) Nr. 1290/2005 ir (EB) Nr. 485/2008 (OL 2013 L 347, p. 549) (toliau </w:t>
      </w:r>
      <w:r w:rsidR="004644B8">
        <w:rPr>
          <w:szCs w:val="24"/>
        </w:rPr>
        <w:t>–</w:t>
      </w:r>
      <w:r w:rsidRPr="00265DD0">
        <w:rPr>
          <w:szCs w:val="24"/>
        </w:rPr>
        <w:t xml:space="preserve"> Reglamentas Nr. 1306/2013),</w:t>
      </w:r>
      <w:r w:rsidRPr="00265DD0">
        <w:rPr>
          <w:i/>
          <w:szCs w:val="24"/>
        </w:rPr>
        <w:t xml:space="preserve"> </w:t>
      </w:r>
      <w:r w:rsidRPr="00265DD0">
        <w:rPr>
          <w:szCs w:val="24"/>
        </w:rPr>
        <w:t>Europos Sąjungos (toliau – ES) valstybėms narėms yra teikiama finansinė parama iš Europos žemės ūkio garantijų fondo (toliau – EŽŪGF) ir Europos žemės ūkio fondo kaimo plėtrai (toliau – EŽŪFKP). EŽŪGF finansuoja tiesiogines išmokas ūkininkams pagal bendrąją žemės ūkio politiką, vaisių ir daržovių vartojimo skatinimo mokyklose programą, priemones, kuriomis reguliuojama ir remiama žemės ūkio rinka, skleidžiama informacija apie žemės ūkio produktus ir šie produktai remiami, priemones, susijusias su gyvūnų ligomis ir vartotojų pasitikėjimo praradimu, ir kitas Reglamente Nr. 1306/2013 numatytas priemones. EŽŪFKP remia kaimo plėtros programas, skiriamas pagal Europos Sąjungos (toliau – ES) teisę dėl paramos kaimo plėtrai. Pagal Reglamento Nr. 1306/2013 9 straipsnį</w:t>
      </w:r>
      <w:r w:rsidRPr="00265DD0">
        <w:rPr>
          <w:i/>
          <w:szCs w:val="24"/>
        </w:rPr>
        <w:t xml:space="preserve"> </w:t>
      </w:r>
      <w:r w:rsidRPr="00265DD0">
        <w:rPr>
          <w:szCs w:val="24"/>
        </w:rPr>
        <w:t>valstybė narė turi paskirti sertifikavimo įstaigą, kuri teikia nuomonę, parengtą pagal tarptautiniu mastu pripažintus audito standartus, ar mokėjimo agentūros metinės finansinės ataskaitos yra išsamios, tikslios ir teisingos, ar tinkamai veikia jos vidaus kontrolės sistema ir ar išlaidos, kurias Europos Komisijos (toliau – EK) prašyta kompensuoti, atitinka teisėtumo bei tvarkingumo reikalavimus. Toje nuomonėje taip pat turi būti nurodyta, ar atlikus patikrinimą kilo abejonių dėl valdymo deklaracijoje pateiktų teiginių.</w:t>
      </w:r>
    </w:p>
    <w:p w14:paraId="50E99692" w14:textId="77777777" w:rsidR="00A758B2" w:rsidRPr="00265DD0" w:rsidRDefault="00A758B2" w:rsidP="00A758B2">
      <w:pPr>
        <w:autoSpaceDE w:val="0"/>
        <w:autoSpaceDN w:val="0"/>
        <w:adjustRightInd w:val="0"/>
        <w:spacing w:line="360" w:lineRule="auto"/>
        <w:ind w:firstLine="709"/>
        <w:jc w:val="both"/>
        <w:rPr>
          <w:szCs w:val="24"/>
        </w:rPr>
      </w:pPr>
      <w:r w:rsidRPr="00265DD0">
        <w:rPr>
          <w:szCs w:val="24"/>
        </w:rPr>
        <w:t>Sertifikavimo įstaiga turi turėti būtiną techninę kompetenciją ir veiklos požiūriu turi būti nepriklausoma nuo atitinkamos mokėjimo agentūros, taip pat nuo tą agentūrą akreditavusios valdžios institucijos.</w:t>
      </w:r>
    </w:p>
    <w:p w14:paraId="2C424FE2" w14:textId="77777777" w:rsidR="00A758B2" w:rsidRPr="00265DD0" w:rsidRDefault="00A758B2" w:rsidP="00A758B2">
      <w:pPr>
        <w:spacing w:line="360" w:lineRule="auto"/>
        <w:ind w:firstLine="720"/>
        <w:jc w:val="both"/>
        <w:rPr>
          <w:i/>
          <w:szCs w:val="24"/>
        </w:rPr>
      </w:pPr>
      <w:r w:rsidRPr="00265DD0">
        <w:rPr>
          <w:i/>
          <w:szCs w:val="24"/>
        </w:rPr>
        <w:t xml:space="preserve">2. Paslaugų objektas ir apimtis. </w:t>
      </w:r>
    </w:p>
    <w:p w14:paraId="06FF59B6" w14:textId="235A1866" w:rsidR="00A758B2" w:rsidRPr="00265DD0" w:rsidRDefault="00A758B2" w:rsidP="00A758B2">
      <w:pPr>
        <w:spacing w:line="360" w:lineRule="auto"/>
        <w:ind w:firstLine="720"/>
        <w:jc w:val="both"/>
        <w:rPr>
          <w:szCs w:val="24"/>
        </w:rPr>
      </w:pPr>
      <w:r w:rsidRPr="00265DD0">
        <w:rPr>
          <w:szCs w:val="24"/>
        </w:rPr>
        <w:t>Sertifikavimo paslaugos (objektas) – pagal tarptautiniu mastu pripažintus audito standartus atliktas patikrinimas ir pateikta bei EK patvirtinta nuomonė</w:t>
      </w:r>
      <w:r w:rsidR="004644B8">
        <w:rPr>
          <w:szCs w:val="24"/>
        </w:rPr>
        <w:t>,</w:t>
      </w:r>
      <w:r w:rsidRPr="00265DD0">
        <w:rPr>
          <w:szCs w:val="24"/>
        </w:rPr>
        <w:t xml:space="preserve"> ar Nacionalinės mokėjimo agentūros prie Žemės ūkio ministerijos (toliau – Agentūra) EK teikiamos metinės finansinės ataskaitos, susijusios su 2022, 2023 ir 2024 finansinių metų EŽŪGF ir EŽŪFKP išlaidomis, yra išsamios, tikslios ir </w:t>
      </w:r>
      <w:r w:rsidRPr="00265DD0">
        <w:rPr>
          <w:szCs w:val="24"/>
        </w:rPr>
        <w:lastRenderedPageBreak/>
        <w:t>teisingos, ar tinkamai veikia įdiegtos kontrolės sistemos ir ar išlaidos, kurias EK prašyta kompensuoti, atitinka teisėtumo bei tvarkingumo reikalavimus. Šios paslaugos apima:</w:t>
      </w:r>
    </w:p>
    <w:p w14:paraId="0D214EF9" w14:textId="77777777" w:rsidR="00A758B2" w:rsidRPr="00265DD0" w:rsidRDefault="00A758B2" w:rsidP="00A758B2">
      <w:pPr>
        <w:spacing w:line="360" w:lineRule="auto"/>
        <w:ind w:firstLine="720"/>
        <w:jc w:val="both"/>
      </w:pPr>
      <w:r w:rsidRPr="00265DD0">
        <w:rPr>
          <w:szCs w:val="24"/>
        </w:rPr>
        <w:t>2.1. Paslaugos teikėjas privalo pateikti audito strategiją, kurioje detaliai nurodoma audito apimtis ir tikslai, išsidėstymas laike, audito procedūros, atrankos metodologija.</w:t>
      </w:r>
    </w:p>
    <w:p w14:paraId="51DF4E3E" w14:textId="77777777" w:rsidR="00A758B2" w:rsidRPr="00265DD0" w:rsidRDefault="00A758B2" w:rsidP="00A758B2">
      <w:pPr>
        <w:spacing w:line="360" w:lineRule="auto"/>
        <w:ind w:firstLine="720"/>
        <w:jc w:val="both"/>
        <w:rPr>
          <w:szCs w:val="24"/>
        </w:rPr>
      </w:pPr>
      <w:r w:rsidRPr="00265DD0">
        <w:rPr>
          <w:szCs w:val="24"/>
        </w:rPr>
        <w:t>2.2. Paslaugos teikėjas privalo pateikti audito planą 2022, 2023 ir 2024 finansiniams metams, parengtą remiantis įvertinta audito rizika.</w:t>
      </w:r>
    </w:p>
    <w:p w14:paraId="7EC98BAB" w14:textId="77777777" w:rsidR="00A758B2" w:rsidRPr="00265DD0" w:rsidRDefault="00A758B2" w:rsidP="00A758B2">
      <w:pPr>
        <w:spacing w:line="360" w:lineRule="auto"/>
        <w:ind w:firstLine="720"/>
        <w:jc w:val="both"/>
      </w:pPr>
      <w:r w:rsidRPr="00265DD0">
        <w:rPr>
          <w:szCs w:val="24"/>
        </w:rPr>
        <w:t>2.3. Paslaugos teikėjas, atlikęs nepriklausomą Agentūros metinių finansinių ataskaitų už 2022, 2023 ir 2024 finansinius metus</w:t>
      </w:r>
      <w:r w:rsidRPr="00265DD0">
        <w:rPr>
          <w:b/>
          <w:szCs w:val="24"/>
        </w:rPr>
        <w:t xml:space="preserve"> </w:t>
      </w:r>
      <w:r w:rsidRPr="00265DD0">
        <w:rPr>
          <w:szCs w:val="24"/>
        </w:rPr>
        <w:t xml:space="preserve">patikrinimą, privalo pateikti nuomones (atskirai EŽŪGF ir EŽŪFKP išlaidoms), kuriose nurodo, ar Agentūros metinės finansinės ataskaitos už 2022, 2023 ir 2024 finansinius metus yra išsamios, tikslios ir teisingos, ar tinkamai veikia įdiegtos kontrolės sistemos ir ar išlaidos, kurias EK prašyta kompensuoti, atitinka teisėtumo bei tvarkingumo reikalavimus. Taip pat šiose nuomonėse nurodoma, ar atlikus patikrinimą kilo abejonių dėl </w:t>
      </w:r>
      <w:r w:rsidRPr="00265DD0">
        <w:t xml:space="preserve">valdymo deklaracijoje pateiktų teiginių. </w:t>
      </w:r>
    </w:p>
    <w:p w14:paraId="15001596" w14:textId="28372A49" w:rsidR="00A758B2" w:rsidRPr="00265DD0" w:rsidRDefault="00A758B2" w:rsidP="00A758B2">
      <w:pPr>
        <w:spacing w:line="360" w:lineRule="auto"/>
        <w:ind w:firstLine="720"/>
        <w:jc w:val="both"/>
        <w:rPr>
          <w:bCs/>
          <w:szCs w:val="24"/>
        </w:rPr>
      </w:pPr>
      <w:r w:rsidRPr="00265DD0">
        <w:rPr>
          <w:szCs w:val="24"/>
        </w:rPr>
        <w:t xml:space="preserve">Nuomonės turi būti pagrįstos audito darbu, atliktu vadovaujantis tarptautiniu mastu pripažintais audito standartais, EK parengtomis Sertifikavimo gairėmis (paslaugų teikimo dieną galiojančia aktualia dokumento redakcija) bei reikalavimais, nustatytais Komisijos įgyvendinimo reglamente (ES) Nr. 908/2014, </w:t>
      </w:r>
      <w:r w:rsidRPr="00265DD0">
        <w:rPr>
          <w:bCs/>
          <w:szCs w:val="24"/>
        </w:rPr>
        <w:t>kuriuo nustatomos Europos Parlamento ir Tarybos reglamento (ES) Nr. 1306/2013 taikymo taisyklės, susijusios su mokėjimo agentūromis ir kitomis įstaigomis, finansų valdymu, sąskaitų patvirtinimu, patikrų taisyklėmis, užstatais ir skaidrumu</w:t>
      </w:r>
      <w:r w:rsidRPr="00265DD0">
        <w:rPr>
          <w:szCs w:val="24"/>
        </w:rPr>
        <w:t xml:space="preserve"> (toliau – Įgyvendinimo reglamentas Nr. 908/2014) </w:t>
      </w:r>
      <w:r w:rsidRPr="00265DD0">
        <w:rPr>
          <w:bCs/>
          <w:szCs w:val="24"/>
        </w:rPr>
        <w:t>ir Europos Parlamento ir Tarybos reglamentu (ES, Euratomas) 2018/1046 dėl Sąjungos bendrajam biudžetui taikomų finansinių taisyklių.</w:t>
      </w:r>
    </w:p>
    <w:p w14:paraId="3F48D5B6" w14:textId="77777777" w:rsidR="00A758B2" w:rsidRPr="00265DD0" w:rsidRDefault="00A758B2" w:rsidP="00A758B2">
      <w:pPr>
        <w:spacing w:line="360" w:lineRule="auto"/>
        <w:ind w:firstLine="720"/>
        <w:jc w:val="both"/>
        <w:rPr>
          <w:szCs w:val="24"/>
        </w:rPr>
      </w:pPr>
      <w:r w:rsidRPr="00265DD0">
        <w:rPr>
          <w:szCs w:val="24"/>
        </w:rPr>
        <w:t>2.4. Paslaugos teikėjas, atlikęs nepriklausomą Agentūros metinių finansinių ataskaitų už 2022, 2023 ir 2024 finansinius metus</w:t>
      </w:r>
      <w:r w:rsidRPr="00265DD0">
        <w:rPr>
          <w:b/>
          <w:szCs w:val="24"/>
        </w:rPr>
        <w:t xml:space="preserve"> </w:t>
      </w:r>
      <w:r w:rsidRPr="00265DD0">
        <w:rPr>
          <w:szCs w:val="24"/>
        </w:rPr>
        <w:t>patikrinimą, privalo pateikti rezultatų ataskaitas, kuriose taip pat turi būti įvertintos ir deleguotos funkcijos. Ataskaitose turi būti nurodyta, ar:</w:t>
      </w:r>
    </w:p>
    <w:p w14:paraId="683B8620" w14:textId="77777777" w:rsidR="00A758B2" w:rsidRPr="00265DD0" w:rsidRDefault="00A758B2" w:rsidP="00A758B2">
      <w:pPr>
        <w:numPr>
          <w:ilvl w:val="0"/>
          <w:numId w:val="4"/>
        </w:numPr>
        <w:tabs>
          <w:tab w:val="num" w:pos="993"/>
        </w:tabs>
        <w:spacing w:line="360" w:lineRule="auto"/>
        <w:ind w:left="0" w:firstLine="720"/>
        <w:jc w:val="both"/>
        <w:rPr>
          <w:szCs w:val="24"/>
        </w:rPr>
      </w:pPr>
      <w:r w:rsidRPr="00265DD0">
        <w:rPr>
          <w:szCs w:val="24"/>
        </w:rPr>
        <w:t>Agentūra atitinka akreditavimo kriterijus;</w:t>
      </w:r>
    </w:p>
    <w:p w14:paraId="4E955FC0" w14:textId="77777777" w:rsidR="00A758B2" w:rsidRPr="00265DD0" w:rsidRDefault="00A758B2" w:rsidP="00A758B2">
      <w:pPr>
        <w:spacing w:line="360" w:lineRule="auto"/>
        <w:ind w:firstLine="720"/>
        <w:jc w:val="both"/>
        <w:rPr>
          <w:szCs w:val="24"/>
        </w:rPr>
      </w:pPr>
      <w:r w:rsidRPr="00265DD0">
        <w:rPr>
          <w:szCs w:val="24"/>
        </w:rPr>
        <w:t>b) Agentūros procedūromis galima pagrįstai užtikrinti, kad mokėjimai, įrašomi į EŽŪGF ir EŽŪFKP sąskaitas, buvo atlikti pagal ES taisykles, tokiu būdu užtikrinant operacijų teisėtumą ir tvarkingumą, taip pat ar buvo įgyvendintos pateiktos patobulinimo rekomendacijos (jei tokių buvo);</w:t>
      </w:r>
    </w:p>
    <w:p w14:paraId="538738B1" w14:textId="0132F58B" w:rsidR="00A758B2" w:rsidRPr="00265DD0" w:rsidRDefault="00A758B2" w:rsidP="00A758B2">
      <w:pPr>
        <w:spacing w:line="360" w:lineRule="auto"/>
        <w:ind w:firstLine="720"/>
        <w:jc w:val="both"/>
        <w:rPr>
          <w:szCs w:val="24"/>
        </w:rPr>
      </w:pPr>
      <w:r w:rsidRPr="00265DD0">
        <w:rPr>
          <w:szCs w:val="24"/>
        </w:rPr>
        <w:t>c) Įgyvendinimo reglamento Nr. 908/2014 29 straipsnyje nurodytos metinės</w:t>
      </w:r>
      <w:r w:rsidRPr="00265DD0">
        <w:rPr>
          <w:i/>
          <w:szCs w:val="24"/>
        </w:rPr>
        <w:t xml:space="preserve"> </w:t>
      </w:r>
      <w:r w:rsidRPr="00265DD0">
        <w:rPr>
          <w:szCs w:val="24"/>
        </w:rPr>
        <w:t>sąskaitos atitinka Agentūros apskaitos knygas ir įrašus;</w:t>
      </w:r>
    </w:p>
    <w:p w14:paraId="0596C661" w14:textId="77777777" w:rsidR="00A758B2" w:rsidRPr="00265DD0" w:rsidRDefault="00A758B2" w:rsidP="00A758B2">
      <w:pPr>
        <w:spacing w:line="360" w:lineRule="auto"/>
        <w:ind w:firstLine="720"/>
        <w:jc w:val="both"/>
        <w:rPr>
          <w:szCs w:val="24"/>
        </w:rPr>
      </w:pPr>
      <w:r w:rsidRPr="00265DD0">
        <w:rPr>
          <w:szCs w:val="24"/>
        </w:rPr>
        <w:t>d) išlaidų ataskaitos ir intervencinės operacijos yra iš esmės teisingos, galutinai užbaigtos ir tiksliai įregistruotos operacijos, įrašytos į EŽŪGF ir EŽŪFKP sąskaitas;</w:t>
      </w:r>
    </w:p>
    <w:p w14:paraId="0445362F" w14:textId="77777777" w:rsidR="00A758B2" w:rsidRPr="00265DD0" w:rsidRDefault="00A758B2" w:rsidP="00A758B2">
      <w:pPr>
        <w:spacing w:line="360" w:lineRule="auto"/>
        <w:ind w:firstLine="720"/>
        <w:jc w:val="both"/>
        <w:rPr>
          <w:szCs w:val="24"/>
        </w:rPr>
      </w:pPr>
      <w:r w:rsidRPr="00265DD0">
        <w:rPr>
          <w:szCs w:val="24"/>
        </w:rPr>
        <w:t>e) tinkamai apsaugoti ES finansiniai interesai, susiję su sumokėtais avansais, gautomis garantijomis, intervencinėmis atsargomis ir surinktinomis sumomis.</w:t>
      </w:r>
    </w:p>
    <w:p w14:paraId="6E3C4C5D" w14:textId="54CE3E7F" w:rsidR="00A758B2" w:rsidRPr="00265DD0" w:rsidRDefault="00A758B2" w:rsidP="00A758B2">
      <w:pPr>
        <w:spacing w:line="360" w:lineRule="auto"/>
        <w:ind w:firstLine="720"/>
        <w:jc w:val="both"/>
        <w:rPr>
          <w:szCs w:val="24"/>
        </w:rPr>
      </w:pPr>
      <w:r w:rsidRPr="00265DD0">
        <w:rPr>
          <w:szCs w:val="24"/>
        </w:rPr>
        <w:lastRenderedPageBreak/>
        <w:t>Taip pat ataskaitose turi būti pateikta informacija apie auditą atliekančių darbuotojų skaičių ir kvalifikaciją, atliktą darbą, patikrintų operacijų skaičių, nustatytą reikšmingumo ir pasitikėjimo laipsnį, visus rastus trūkumus ir pateiktas patobulinimo rekomendacijas, taip pat kitų audito įstaigų</w:t>
      </w:r>
      <w:r w:rsidR="004644B8">
        <w:rPr>
          <w:szCs w:val="24"/>
        </w:rPr>
        <w:t>,</w:t>
      </w:r>
      <w:r w:rsidRPr="00265DD0">
        <w:rPr>
          <w:szCs w:val="24"/>
        </w:rPr>
        <w:t xml:space="preserve"> priklausančių ar nepriklausančių Agentūrai, darbą, kurio pagrindu buvo gauta patikima informacija visais ar kai kuriais ataskaitose pateiktais klausimais.</w:t>
      </w:r>
    </w:p>
    <w:p w14:paraId="1A4A7AD5" w14:textId="77777777" w:rsidR="00A758B2" w:rsidRPr="00265DD0" w:rsidRDefault="00A758B2" w:rsidP="00A758B2">
      <w:pPr>
        <w:spacing w:line="360" w:lineRule="auto"/>
        <w:ind w:firstLine="720"/>
        <w:jc w:val="both"/>
        <w:rPr>
          <w:szCs w:val="24"/>
        </w:rPr>
      </w:pPr>
      <w:r w:rsidRPr="00265DD0">
        <w:rPr>
          <w:szCs w:val="24"/>
        </w:rPr>
        <w:t>2.5. Agentūrai siekiant mažinti patikrų vietoje skaičių, Paslaugų teikėjas privalės kiekvieniems 2022, 2023 ir 2024 finansiniams metams papildomai atlikti iki 7 konkrečių schemų / priemonių įvertinimą ir pagal Reglamento (ES) Nr. 1306/2013 9 straipsnį pateikti nuomonę 2022, 2023 ir 2024 finansiniams metams atskirai, kurioje patvirtinama, kad vidaus kontrolės sistema veikia tinkamai ir kad atitinkamos tiriamosios visumos (konkrečių schemų / priemonių) klaidų lygis buvo mažesnis už 2 proc. reikšmingumo ribą, kaip numatyta Įgyvendinimo reglamento Nr. 908/2014 41 straipsnyje (toliau – Papildomos paslaugos). Papildomos paslaugos bus perkamos tik esant Užsakovo poreikiui.</w:t>
      </w:r>
    </w:p>
    <w:p w14:paraId="3656F859" w14:textId="77777777" w:rsidR="00A758B2" w:rsidRPr="00265DD0" w:rsidRDefault="00A758B2" w:rsidP="00A758B2">
      <w:pPr>
        <w:spacing w:line="360" w:lineRule="auto"/>
        <w:ind w:firstLine="720"/>
        <w:jc w:val="both"/>
        <w:rPr>
          <w:szCs w:val="24"/>
        </w:rPr>
      </w:pPr>
      <w:r w:rsidRPr="00265DD0">
        <w:rPr>
          <w:szCs w:val="24"/>
        </w:rPr>
        <w:t>2.6. Paslaugos teikėjas, kai kviečiamas Užsakovo, EK, Europos Audito Rūmų ar kitų kontroliuojančių ES ir Lietuvos Respublikos institucijų, privalo dalyvauti susitikimuose,  susijusiuose su sertifikavimo paslaugos atlikimu, ir teikti paprašytą informaciją bei dokumentus, esant poreikiui parengti pristatymus.</w:t>
      </w:r>
    </w:p>
    <w:p w14:paraId="4182464C" w14:textId="77777777" w:rsidR="00A758B2" w:rsidRPr="00265DD0" w:rsidRDefault="00A758B2" w:rsidP="00A758B2">
      <w:pPr>
        <w:spacing w:line="360" w:lineRule="auto"/>
        <w:ind w:firstLine="720"/>
        <w:jc w:val="both"/>
        <w:rPr>
          <w:szCs w:val="24"/>
        </w:rPr>
      </w:pPr>
      <w:r w:rsidRPr="00265DD0">
        <w:rPr>
          <w:szCs w:val="24"/>
        </w:rPr>
        <w:t>3. Paslaugų suteikimo terminai ir reikalavimai suteikiamų paslaugų kokybei:</w:t>
      </w:r>
    </w:p>
    <w:p w14:paraId="3DCFB4E4" w14:textId="77777777" w:rsidR="00A758B2" w:rsidRPr="00265DD0" w:rsidRDefault="00A758B2" w:rsidP="00A758B2">
      <w:pPr>
        <w:spacing w:line="360" w:lineRule="auto"/>
        <w:ind w:firstLine="720"/>
        <w:jc w:val="both"/>
        <w:rPr>
          <w:szCs w:val="24"/>
        </w:rPr>
      </w:pPr>
      <w:r w:rsidRPr="00265DD0">
        <w:rPr>
          <w:szCs w:val="24"/>
        </w:rPr>
        <w:t>3.1. Paslaugos teikėjas privalo užtikrinti teikiamų paslaugų kokybę, t. y. visa Paslaugos teikėjo teikiama informacija ir dokumentai turi pagrįsti, kad Paslaugos teikėjas turi reikalingus techninius gebėjimus teikti šioje specifikacijoje apibūdintas paslaugas.</w:t>
      </w:r>
    </w:p>
    <w:p w14:paraId="645B5C27" w14:textId="54AD5113" w:rsidR="00A758B2" w:rsidRPr="00265DD0" w:rsidRDefault="00A758B2" w:rsidP="00A758B2">
      <w:pPr>
        <w:spacing w:line="360" w:lineRule="auto"/>
        <w:ind w:firstLine="720"/>
        <w:jc w:val="both"/>
        <w:rPr>
          <w:szCs w:val="24"/>
        </w:rPr>
      </w:pPr>
      <w:r w:rsidRPr="00265DD0">
        <w:rPr>
          <w:szCs w:val="24"/>
        </w:rPr>
        <w:t xml:space="preserve">3.2. Pasikeitus teisės aktams ar paskelbus naujus teisės aktus, turinčius įtakos suteikiamų paslaugų objektui ir apimčiai, Paslaugos teikėjas teikdamas paslaugas privalo vadovautis visais paslaugų suteikimo dieną galiojančiais teisės aktais. </w:t>
      </w:r>
    </w:p>
    <w:p w14:paraId="1FEB2F65" w14:textId="77777777" w:rsidR="00A758B2" w:rsidRPr="00265DD0" w:rsidRDefault="00A758B2" w:rsidP="00A758B2">
      <w:pPr>
        <w:spacing w:line="360" w:lineRule="auto"/>
        <w:ind w:firstLine="720"/>
        <w:jc w:val="both"/>
        <w:rPr>
          <w:szCs w:val="24"/>
        </w:rPr>
      </w:pPr>
      <w:r w:rsidRPr="00265DD0">
        <w:rPr>
          <w:szCs w:val="24"/>
        </w:rPr>
        <w:t>3.3. Paslaugos teikėjas rengia šiuos dokumentus bei teikia juos nurodytais terminais:</w:t>
      </w:r>
    </w:p>
    <w:p w14:paraId="1C85E666" w14:textId="77777777" w:rsidR="00A758B2" w:rsidRPr="00265DD0" w:rsidRDefault="00A758B2" w:rsidP="00A758B2">
      <w:pPr>
        <w:spacing w:line="360" w:lineRule="auto"/>
        <w:ind w:firstLine="720"/>
        <w:jc w:val="both"/>
        <w:rPr>
          <w:szCs w:val="24"/>
        </w:rPr>
      </w:pPr>
      <w:r w:rsidRPr="00265DD0">
        <w:rPr>
          <w:szCs w:val="24"/>
        </w:rPr>
        <w:t xml:space="preserve">3.3.1. </w:t>
      </w:r>
      <w:r w:rsidRPr="00265DD0">
        <w:rPr>
          <w:b/>
          <w:szCs w:val="24"/>
        </w:rPr>
        <w:t>per 15 kalendorinių dienų</w:t>
      </w:r>
      <w:r w:rsidRPr="00265DD0">
        <w:rPr>
          <w:szCs w:val="24"/>
        </w:rPr>
        <w:t xml:space="preserve"> po sutarties įsigaliojimo Techninės specifikacijos 2.1 papunktyje nurodytą dokumentą Žemės ūkio ministerijai;</w:t>
      </w:r>
    </w:p>
    <w:p w14:paraId="57E48D14" w14:textId="77777777" w:rsidR="00A758B2" w:rsidRPr="00265DD0" w:rsidRDefault="00A758B2" w:rsidP="00A758B2">
      <w:pPr>
        <w:spacing w:line="360" w:lineRule="auto"/>
        <w:ind w:firstLine="720"/>
        <w:jc w:val="both"/>
        <w:rPr>
          <w:szCs w:val="24"/>
        </w:rPr>
      </w:pPr>
      <w:r w:rsidRPr="00265DD0">
        <w:rPr>
          <w:szCs w:val="24"/>
        </w:rPr>
        <w:t xml:space="preserve">3.3.2. </w:t>
      </w:r>
      <w:r w:rsidRPr="00265DD0">
        <w:rPr>
          <w:b/>
          <w:szCs w:val="24"/>
        </w:rPr>
        <w:t>per 15 kalendorinių dienų</w:t>
      </w:r>
      <w:r w:rsidRPr="00265DD0">
        <w:rPr>
          <w:szCs w:val="24"/>
        </w:rPr>
        <w:t xml:space="preserve"> po sutarties įsigaliojimo Techninės specifikacijos 2.2 papunktyje nurodytą audito planą 2022 finansiniams metams Žemės ūkio ministerijai ir Agentūrai;</w:t>
      </w:r>
    </w:p>
    <w:p w14:paraId="760510AE" w14:textId="77777777" w:rsidR="00A758B2" w:rsidRPr="00265DD0" w:rsidRDefault="00A758B2" w:rsidP="00A758B2">
      <w:pPr>
        <w:spacing w:line="360" w:lineRule="auto"/>
        <w:ind w:firstLine="720"/>
        <w:jc w:val="both"/>
        <w:rPr>
          <w:szCs w:val="24"/>
        </w:rPr>
      </w:pPr>
      <w:r w:rsidRPr="00265DD0">
        <w:rPr>
          <w:szCs w:val="24"/>
        </w:rPr>
        <w:t xml:space="preserve">3.3.3. </w:t>
      </w:r>
      <w:r w:rsidRPr="00265DD0">
        <w:rPr>
          <w:b/>
          <w:bCs/>
          <w:szCs w:val="24"/>
        </w:rPr>
        <w:t>iki 2022 m. birželio 1 d.</w:t>
      </w:r>
      <w:r w:rsidRPr="00265DD0">
        <w:rPr>
          <w:szCs w:val="24"/>
        </w:rPr>
        <w:t xml:space="preserve"> Techninės specifikacijos 2.2 papunktyje nurodytą audito planą 2023 finansiniams metams Žemės ūkio ministerijai ir Agentūrai;</w:t>
      </w:r>
    </w:p>
    <w:p w14:paraId="3B5DC9F0" w14:textId="45023A1B" w:rsidR="00A758B2" w:rsidRPr="00265DD0" w:rsidRDefault="00A758B2" w:rsidP="00A758B2">
      <w:pPr>
        <w:spacing w:line="360" w:lineRule="auto"/>
        <w:ind w:firstLine="720"/>
        <w:jc w:val="both"/>
        <w:rPr>
          <w:szCs w:val="24"/>
        </w:rPr>
      </w:pPr>
      <w:r w:rsidRPr="00265DD0">
        <w:rPr>
          <w:szCs w:val="24"/>
        </w:rPr>
        <w:t xml:space="preserve">3.3.4. </w:t>
      </w:r>
      <w:r w:rsidRPr="00265DD0">
        <w:rPr>
          <w:b/>
          <w:bCs/>
          <w:szCs w:val="24"/>
        </w:rPr>
        <w:t>iki 2023 m.</w:t>
      </w:r>
      <w:r w:rsidR="004644B8">
        <w:rPr>
          <w:b/>
          <w:bCs/>
          <w:szCs w:val="24"/>
        </w:rPr>
        <w:t xml:space="preserve"> </w:t>
      </w:r>
      <w:r w:rsidRPr="00265DD0">
        <w:rPr>
          <w:b/>
          <w:bCs/>
          <w:szCs w:val="24"/>
        </w:rPr>
        <w:t>birželio 1 d.</w:t>
      </w:r>
      <w:r w:rsidRPr="00265DD0">
        <w:rPr>
          <w:szCs w:val="24"/>
        </w:rPr>
        <w:t xml:space="preserve"> Techninės specifikacijos 2.2 papunktyje nurodytą audito planą 2024 finansiniams metams Žemės ūkio ministerijai ir Agentūrai;</w:t>
      </w:r>
    </w:p>
    <w:p w14:paraId="1818D73A" w14:textId="707B89B9" w:rsidR="00A758B2" w:rsidRPr="00265DD0" w:rsidRDefault="00A758B2" w:rsidP="00A758B2">
      <w:pPr>
        <w:spacing w:line="360" w:lineRule="auto"/>
        <w:ind w:firstLine="720"/>
        <w:jc w:val="both"/>
        <w:rPr>
          <w:szCs w:val="24"/>
        </w:rPr>
      </w:pPr>
      <w:r w:rsidRPr="00265DD0">
        <w:rPr>
          <w:szCs w:val="24"/>
        </w:rPr>
        <w:lastRenderedPageBreak/>
        <w:t xml:space="preserve">3.3.5. pasibaigus kiekvieniems finansiniams metams </w:t>
      </w:r>
      <w:r w:rsidRPr="00265DD0">
        <w:rPr>
          <w:b/>
          <w:szCs w:val="24"/>
        </w:rPr>
        <w:t>iki sausio 25 d.</w:t>
      </w:r>
      <w:r w:rsidRPr="00265DD0">
        <w:rPr>
          <w:szCs w:val="24"/>
        </w:rPr>
        <w:t xml:space="preserve"> Techninės specifikacijos 2.3 ir 2.4 papunkčiuose nurodytų dokumentų projektus (lietuvių kalba), tuo atveju, jei bus perkamos Papildomos paslaugos</w:t>
      </w:r>
      <w:r w:rsidR="004644B8">
        <w:rPr>
          <w:szCs w:val="24"/>
        </w:rPr>
        <w:t>,</w:t>
      </w:r>
      <w:r w:rsidRPr="00265DD0">
        <w:rPr>
          <w:szCs w:val="24"/>
        </w:rPr>
        <w:t xml:space="preserve"> ir 2.5 papunktyje nurodytą dokumento projektą (lietuvių kalba) Žemės ūkio ministerijai ir Agentūrai;</w:t>
      </w:r>
    </w:p>
    <w:p w14:paraId="0C059A26" w14:textId="2F0E3724" w:rsidR="00A758B2" w:rsidRPr="00265DD0" w:rsidRDefault="00A758B2" w:rsidP="00A758B2">
      <w:pPr>
        <w:spacing w:line="360" w:lineRule="auto"/>
        <w:ind w:firstLine="720"/>
        <w:jc w:val="both"/>
        <w:rPr>
          <w:szCs w:val="24"/>
        </w:rPr>
      </w:pPr>
      <w:r w:rsidRPr="00265DD0">
        <w:rPr>
          <w:szCs w:val="24"/>
        </w:rPr>
        <w:t xml:space="preserve">3.3.6. pasibaigus kiekvieniems finansiniams metams </w:t>
      </w:r>
      <w:r w:rsidRPr="00265DD0">
        <w:rPr>
          <w:b/>
          <w:szCs w:val="24"/>
        </w:rPr>
        <w:t xml:space="preserve">iki vasario 10 d. </w:t>
      </w:r>
      <w:r w:rsidRPr="00265DD0">
        <w:rPr>
          <w:szCs w:val="24"/>
        </w:rPr>
        <w:t>Techninės specifikacijos 2.3 ir 2.4 papunkčiuose nurodytus dokumentus (lietuvių ir anglų kalbomis), tuo atveju, jei bus perkamos Papildomos paslaugos</w:t>
      </w:r>
      <w:r w:rsidR="004644B8">
        <w:rPr>
          <w:szCs w:val="24"/>
        </w:rPr>
        <w:t>,</w:t>
      </w:r>
      <w:r w:rsidRPr="00265DD0">
        <w:rPr>
          <w:szCs w:val="24"/>
        </w:rPr>
        <w:t xml:space="preserve"> ir 2.5 papunktyje nurodytą dokumentą (lietuvių ir anglų kalbomis) Žemės ūkio ministerijai ir Agentūrai (2 egzemplioriais). Visi dokumentai pateikiami atspausdinti ir CD laikmenoje (</w:t>
      </w:r>
      <w:proofErr w:type="spellStart"/>
      <w:r w:rsidRPr="00265DD0">
        <w:rPr>
          <w:szCs w:val="24"/>
        </w:rPr>
        <w:t>doc</w:t>
      </w:r>
      <w:proofErr w:type="spellEnd"/>
      <w:r w:rsidRPr="00265DD0">
        <w:rPr>
          <w:szCs w:val="24"/>
        </w:rPr>
        <w:t xml:space="preserve"> ir </w:t>
      </w:r>
      <w:proofErr w:type="spellStart"/>
      <w:r w:rsidRPr="00265DD0">
        <w:rPr>
          <w:szCs w:val="24"/>
        </w:rPr>
        <w:t>pdf</w:t>
      </w:r>
      <w:proofErr w:type="spellEnd"/>
      <w:r w:rsidRPr="00265DD0">
        <w:rPr>
          <w:szCs w:val="24"/>
        </w:rPr>
        <w:t xml:space="preserve"> formatais);</w:t>
      </w:r>
    </w:p>
    <w:p w14:paraId="4DF7619F" w14:textId="46754373" w:rsidR="00A758B2" w:rsidRPr="00265DD0" w:rsidRDefault="00A758B2" w:rsidP="00A758B2">
      <w:pPr>
        <w:spacing w:line="360" w:lineRule="auto"/>
        <w:ind w:firstLine="720"/>
        <w:jc w:val="both"/>
        <w:rPr>
          <w:szCs w:val="24"/>
        </w:rPr>
      </w:pPr>
      <w:r w:rsidRPr="004F13C2">
        <w:rPr>
          <w:szCs w:val="24"/>
        </w:rPr>
        <w:t xml:space="preserve">3.3.7. </w:t>
      </w:r>
      <w:r w:rsidRPr="00265DD0">
        <w:rPr>
          <w:szCs w:val="24"/>
        </w:rPr>
        <w:t xml:space="preserve">pasibaigus kiekvieniems finansiniams metams </w:t>
      </w:r>
      <w:r w:rsidRPr="00265DD0">
        <w:rPr>
          <w:b/>
          <w:szCs w:val="24"/>
        </w:rPr>
        <w:t xml:space="preserve">iki vasario 10 d. </w:t>
      </w:r>
      <w:r w:rsidRPr="00265DD0">
        <w:rPr>
          <w:szCs w:val="24"/>
        </w:rPr>
        <w:t>Techninės specifikacijos 2.3 ir 2.4 papunkčiuose nurodytus dokumentus, tuo atveju, jei bus perkamos Papildomos paslaugos</w:t>
      </w:r>
      <w:r w:rsidR="004644B8">
        <w:rPr>
          <w:szCs w:val="24"/>
        </w:rPr>
        <w:t>,</w:t>
      </w:r>
      <w:r w:rsidRPr="00265DD0">
        <w:rPr>
          <w:szCs w:val="24"/>
        </w:rPr>
        <w:t xml:space="preserve"> ir 2.5 papunktyje nurodytą dokumentą, EK per SFC2014 platformą.</w:t>
      </w:r>
    </w:p>
    <w:p w14:paraId="2668E4FC" w14:textId="77777777" w:rsidR="00A758B2" w:rsidRPr="00265DD0" w:rsidRDefault="00A758B2" w:rsidP="00A758B2">
      <w:pPr>
        <w:spacing w:line="360" w:lineRule="auto"/>
        <w:ind w:firstLine="720"/>
        <w:jc w:val="both"/>
        <w:rPr>
          <w:szCs w:val="24"/>
        </w:rPr>
      </w:pPr>
      <w:r w:rsidRPr="00265DD0">
        <w:rPr>
          <w:szCs w:val="24"/>
        </w:rPr>
        <w:t xml:space="preserve">3.4. Paslaugos teikėjas privalo Užsakovui pareikalavus teikti Užsakovui per nurodytą terminą informaciją apie sertifikavimo ir patikrinimų procesą, informaciją apie paslaugas teikiantį personalą ir jo kvalifikaciją, kitą Užsakovo prašomą informaciją ir dokumentus. </w:t>
      </w:r>
    </w:p>
    <w:p w14:paraId="21255152" w14:textId="09CCE96E" w:rsidR="00A758B2" w:rsidRPr="00265DD0" w:rsidRDefault="00A758B2" w:rsidP="00A758B2">
      <w:pPr>
        <w:spacing w:line="360" w:lineRule="auto"/>
        <w:ind w:firstLine="720"/>
        <w:jc w:val="both"/>
        <w:rPr>
          <w:szCs w:val="24"/>
        </w:rPr>
      </w:pPr>
      <w:r w:rsidRPr="00265DD0">
        <w:rPr>
          <w:szCs w:val="24"/>
        </w:rPr>
        <w:t>3.5. Užsakovas ar jo įgalioti asmenys turi teisę kontroliuoti ir</w:t>
      </w:r>
      <w:r w:rsidR="004644B8">
        <w:rPr>
          <w:szCs w:val="24"/>
        </w:rPr>
        <w:t xml:space="preserve"> (</w:t>
      </w:r>
      <w:r w:rsidRPr="00265DD0">
        <w:rPr>
          <w:szCs w:val="24"/>
        </w:rPr>
        <w:t>ar</w:t>
      </w:r>
      <w:r w:rsidR="004644B8">
        <w:rPr>
          <w:szCs w:val="24"/>
        </w:rPr>
        <w:t>)</w:t>
      </w:r>
      <w:r w:rsidRPr="00265DD0">
        <w:rPr>
          <w:szCs w:val="24"/>
        </w:rPr>
        <w:t xml:space="preserve"> patikrinti Paslaugos teikėjo atliekamus darbus, susijusius su sertifikavimo paslaugos atlikimu.</w:t>
      </w:r>
    </w:p>
    <w:p w14:paraId="2FAD6BFD" w14:textId="77777777" w:rsidR="00A758B2" w:rsidRPr="00265DD0" w:rsidRDefault="00A758B2" w:rsidP="00A758B2">
      <w:pPr>
        <w:spacing w:line="360" w:lineRule="auto"/>
        <w:ind w:firstLine="720"/>
        <w:jc w:val="both"/>
        <w:rPr>
          <w:szCs w:val="24"/>
        </w:rPr>
      </w:pPr>
      <w:r w:rsidRPr="00265DD0">
        <w:rPr>
          <w:szCs w:val="24"/>
        </w:rPr>
        <w:t xml:space="preserve">3.6. Užsakovui, EK, Europos Audito Rūmams ar kitoms kontroliuojančioms ES ir Lietuvos Respublikos institucijomis paprašius paaiškinimų ar išsamesnės informacijos, susijusios su teiktomis sertifikavimo paslaugomis, Paslaugos teikėjas privalo pateikti prašomą informaciją, paaiškinimus per nurodytą laikotarpį. </w:t>
      </w:r>
    </w:p>
    <w:p w14:paraId="2B14A167" w14:textId="77777777" w:rsidR="00A758B2" w:rsidRPr="00265DD0" w:rsidRDefault="00A758B2" w:rsidP="00A758B2">
      <w:pPr>
        <w:tabs>
          <w:tab w:val="left" w:pos="1445"/>
        </w:tabs>
        <w:spacing w:line="360" w:lineRule="auto"/>
        <w:ind w:firstLine="720"/>
        <w:jc w:val="both"/>
        <w:rPr>
          <w:spacing w:val="3"/>
          <w:szCs w:val="24"/>
        </w:rPr>
      </w:pPr>
      <w:r w:rsidRPr="00265DD0">
        <w:rPr>
          <w:spacing w:val="3"/>
          <w:szCs w:val="24"/>
        </w:rPr>
        <w:t>3.7. Paslaugos yra laikomos suteiktos tinkamai, kai jos yra atliktos nustatytais terminais ir tvarka bei EK nenustačius suteiktų paslaugų trūkumų ir patvirtinus Agentūros sąskaitas bei nuomones.</w:t>
      </w:r>
    </w:p>
    <w:p w14:paraId="5180B3C0" w14:textId="1829DA6D" w:rsidR="00A758B2" w:rsidRPr="00265DD0" w:rsidRDefault="00A758B2" w:rsidP="00A758B2">
      <w:pPr>
        <w:spacing w:line="360" w:lineRule="auto"/>
        <w:ind w:firstLine="720"/>
        <w:jc w:val="both"/>
      </w:pPr>
      <w:r w:rsidRPr="00265DD0">
        <w:rPr>
          <w:szCs w:val="24"/>
        </w:rPr>
        <w:t>3.8. Tuo atveju, jei EK nurodo trūkumus ir</w:t>
      </w:r>
      <w:r w:rsidR="004644B8">
        <w:rPr>
          <w:szCs w:val="24"/>
        </w:rPr>
        <w:t xml:space="preserve"> (</w:t>
      </w:r>
      <w:r w:rsidRPr="00265DD0">
        <w:rPr>
          <w:szCs w:val="24"/>
        </w:rPr>
        <w:t>ar</w:t>
      </w:r>
      <w:r w:rsidR="004644B8">
        <w:rPr>
          <w:szCs w:val="24"/>
        </w:rPr>
        <w:t>)</w:t>
      </w:r>
      <w:r w:rsidRPr="00265DD0">
        <w:rPr>
          <w:szCs w:val="24"/>
        </w:rPr>
        <w:t xml:space="preserve"> nepatvirtina nuomonės ir</w:t>
      </w:r>
      <w:r w:rsidR="00BD3014">
        <w:rPr>
          <w:szCs w:val="24"/>
        </w:rPr>
        <w:t xml:space="preserve"> (</w:t>
      </w:r>
      <w:r w:rsidRPr="00265DD0">
        <w:rPr>
          <w:szCs w:val="24"/>
        </w:rPr>
        <w:t>ar</w:t>
      </w:r>
      <w:r w:rsidR="00BD3014">
        <w:rPr>
          <w:szCs w:val="24"/>
        </w:rPr>
        <w:t>)</w:t>
      </w:r>
      <w:r w:rsidRPr="00265DD0">
        <w:rPr>
          <w:szCs w:val="24"/>
        </w:rPr>
        <w:t xml:space="preserve"> metinių finansinių ataskaitų, Paslaugos teikėjas įsipareigoja savo sąskaita pašalinti </w:t>
      </w:r>
      <w:r w:rsidRPr="00265DD0">
        <w:t xml:space="preserve">trūkumus </w:t>
      </w:r>
      <w:r w:rsidRPr="00265DD0">
        <w:rPr>
          <w:szCs w:val="24"/>
        </w:rPr>
        <w:t>per laikotarpį, kurį nustato EK ar Užsakovas, atlikdamas darbus</w:t>
      </w:r>
      <w:r w:rsidR="00BD3014">
        <w:rPr>
          <w:szCs w:val="24"/>
        </w:rPr>
        <w:t>,</w:t>
      </w:r>
      <w:r w:rsidRPr="00265DD0">
        <w:rPr>
          <w:szCs w:val="24"/>
        </w:rPr>
        <w:t xml:space="preserve"> reikalingus trūkumams pašalinti</w:t>
      </w:r>
      <w:r w:rsidRPr="00265DD0">
        <w:t>.</w:t>
      </w:r>
    </w:p>
    <w:p w14:paraId="517CA397" w14:textId="18AD468A" w:rsidR="00A758B2" w:rsidRPr="00265DD0" w:rsidRDefault="00A758B2" w:rsidP="00A758B2">
      <w:pPr>
        <w:spacing w:line="360" w:lineRule="auto"/>
        <w:ind w:firstLine="720"/>
        <w:jc w:val="both"/>
        <w:rPr>
          <w:szCs w:val="24"/>
        </w:rPr>
      </w:pPr>
      <w:r w:rsidRPr="00265DD0">
        <w:rPr>
          <w:szCs w:val="24"/>
        </w:rPr>
        <w:t xml:space="preserve">3.9. Paslaugos teikėjas privalo bendradarbiauti visais klausimais, susijusiais su atliktu darbu </w:t>
      </w:r>
      <w:r w:rsidRPr="00265DD0">
        <w:t>ir iš jo kylančiomis užduotimis</w:t>
      </w:r>
      <w:r w:rsidRPr="00265DD0">
        <w:rPr>
          <w:szCs w:val="24"/>
        </w:rPr>
        <w:t>, ir teikti visus su sertifikavimu susijusius dokumentus ir informaciją Užsakovui, EK ar kitoms ES ir Lietuvos Respublikos institucijomis 3 metus po numatytų darbo rezultatų pateikimo.</w:t>
      </w:r>
    </w:p>
    <w:p w14:paraId="359CC5B4" w14:textId="7719BB00" w:rsidR="00A758B2" w:rsidRPr="00265DD0" w:rsidRDefault="00A758B2" w:rsidP="00A758B2">
      <w:pPr>
        <w:spacing w:line="360" w:lineRule="auto"/>
        <w:ind w:firstLine="720"/>
        <w:jc w:val="both"/>
        <w:rPr>
          <w:szCs w:val="24"/>
        </w:rPr>
      </w:pPr>
      <w:r w:rsidRPr="00265DD0">
        <w:rPr>
          <w:szCs w:val="24"/>
        </w:rPr>
        <w:t xml:space="preserve">3.10. Paslaugos teikėjas nuo atitinkamų darbo rezultatų pateikimo momento privalo saugoti visus susijusius su paslaugos teikimu dokumentus pagal terminus, numatytus Lietuvos Respublikos </w:t>
      </w:r>
      <w:r w:rsidRPr="00265DD0">
        <w:rPr>
          <w:szCs w:val="24"/>
        </w:rPr>
        <w:lastRenderedPageBreak/>
        <w:t>ir (ar) ES teisės aktuose</w:t>
      </w:r>
      <w:r w:rsidR="00BD3014">
        <w:rPr>
          <w:szCs w:val="24"/>
        </w:rPr>
        <w:t>,</w:t>
      </w:r>
      <w:r w:rsidRPr="00265DD0">
        <w:rPr>
          <w:szCs w:val="24"/>
        </w:rPr>
        <w:t xml:space="preserve"> ir pareikalavus pateikti juos prašančiai institucijai, kai toks pateikimas privalomas pagal Lietuvos Respublikos ir (ar) ES teisės aktus.</w:t>
      </w:r>
    </w:p>
    <w:p w14:paraId="5A5948CE" w14:textId="77777777" w:rsidR="00A758B2" w:rsidRPr="00265DD0" w:rsidRDefault="00A758B2" w:rsidP="00A758B2"/>
    <w:p w14:paraId="2E4AEC71" w14:textId="77777777" w:rsidR="00A758B2" w:rsidRPr="00265DD0" w:rsidRDefault="00A758B2" w:rsidP="00A758B2">
      <w:pPr>
        <w:rPr>
          <w:b/>
          <w:szCs w:val="24"/>
        </w:rPr>
      </w:pPr>
    </w:p>
    <w:p w14:paraId="0B5D6A38" w14:textId="77777777" w:rsidR="00A758B2" w:rsidRPr="00265DD0" w:rsidRDefault="00A758B2" w:rsidP="00A758B2">
      <w:pPr>
        <w:rPr>
          <w:b/>
          <w:szCs w:val="24"/>
        </w:rPr>
      </w:pPr>
    </w:p>
    <w:p w14:paraId="19C09E8B" w14:textId="77777777" w:rsidR="00A758B2" w:rsidRPr="00265DD0" w:rsidRDefault="00A758B2" w:rsidP="00A758B2">
      <w:pPr>
        <w:rPr>
          <w:b/>
          <w:szCs w:val="24"/>
        </w:rPr>
      </w:pPr>
    </w:p>
    <w:tbl>
      <w:tblPr>
        <w:tblW w:w="9757" w:type="dxa"/>
        <w:tblLook w:val="01E0" w:firstRow="1" w:lastRow="1" w:firstColumn="1" w:lastColumn="1" w:noHBand="0" w:noVBand="0"/>
      </w:tblPr>
      <w:tblGrid>
        <w:gridCol w:w="4927"/>
        <w:gridCol w:w="4830"/>
      </w:tblGrid>
      <w:tr w:rsidR="00A758B2" w:rsidRPr="00265DD0" w14:paraId="4E850EB0" w14:textId="77777777" w:rsidTr="0094015A">
        <w:trPr>
          <w:trHeight w:val="5409"/>
        </w:trPr>
        <w:tc>
          <w:tcPr>
            <w:tcW w:w="4927" w:type="dxa"/>
          </w:tcPr>
          <w:p w14:paraId="0D8EF6D1" w14:textId="77777777" w:rsidR="00A758B2" w:rsidRPr="00265DD0" w:rsidRDefault="00A758B2" w:rsidP="0094015A">
            <w:pPr>
              <w:rPr>
                <w:b/>
                <w:szCs w:val="24"/>
              </w:rPr>
            </w:pPr>
            <w:r w:rsidRPr="00265DD0">
              <w:rPr>
                <w:b/>
                <w:szCs w:val="24"/>
              </w:rPr>
              <w:t>Užsakovas</w:t>
            </w:r>
          </w:p>
          <w:p w14:paraId="409F6BDE" w14:textId="77777777" w:rsidR="00A758B2" w:rsidRPr="00265DD0" w:rsidRDefault="00A758B2" w:rsidP="0094015A">
            <w:pPr>
              <w:rPr>
                <w:szCs w:val="24"/>
              </w:rPr>
            </w:pPr>
            <w:r w:rsidRPr="00265DD0">
              <w:rPr>
                <w:szCs w:val="24"/>
              </w:rPr>
              <w:t>Lietuvos Respublikos žemės ūkio ministerija</w:t>
            </w:r>
          </w:p>
          <w:p w14:paraId="3EFA097A" w14:textId="77777777" w:rsidR="00A758B2" w:rsidRPr="00265DD0" w:rsidRDefault="00A758B2" w:rsidP="0094015A">
            <w:pPr>
              <w:rPr>
                <w:szCs w:val="24"/>
              </w:rPr>
            </w:pPr>
          </w:p>
          <w:p w14:paraId="194A6164" w14:textId="77777777" w:rsidR="00A758B2" w:rsidRPr="00265DD0" w:rsidRDefault="00A758B2" w:rsidP="0094015A">
            <w:pPr>
              <w:rPr>
                <w:szCs w:val="24"/>
              </w:rPr>
            </w:pPr>
          </w:p>
          <w:p w14:paraId="55870B86" w14:textId="73D7C81C" w:rsidR="00A758B2" w:rsidRDefault="00A758B2" w:rsidP="0094015A">
            <w:pPr>
              <w:rPr>
                <w:szCs w:val="24"/>
              </w:rPr>
            </w:pPr>
            <w:r w:rsidRPr="00265DD0">
              <w:rPr>
                <w:szCs w:val="24"/>
              </w:rPr>
              <w:t>Ministerijos kancleris</w:t>
            </w:r>
          </w:p>
          <w:p w14:paraId="3824D521" w14:textId="24689223" w:rsidR="00A758B2" w:rsidRPr="00265DD0" w:rsidRDefault="00A758B2" w:rsidP="0094015A">
            <w:pPr>
              <w:rPr>
                <w:szCs w:val="24"/>
              </w:rPr>
            </w:pPr>
            <w:r>
              <w:rPr>
                <w:szCs w:val="24"/>
              </w:rPr>
              <w:t>Valdas Aleknavičius</w:t>
            </w:r>
          </w:p>
          <w:p w14:paraId="38D1F77C" w14:textId="77777777" w:rsidR="00A758B2" w:rsidRPr="00265DD0" w:rsidRDefault="00A758B2" w:rsidP="0094015A">
            <w:pPr>
              <w:rPr>
                <w:szCs w:val="24"/>
              </w:rPr>
            </w:pPr>
            <w:r w:rsidRPr="00265DD0">
              <w:rPr>
                <w:szCs w:val="24"/>
              </w:rPr>
              <w:t xml:space="preserve">                                                          A.V.</w:t>
            </w:r>
          </w:p>
          <w:p w14:paraId="6FF81159" w14:textId="77777777" w:rsidR="0057786E" w:rsidRPr="00265DD0" w:rsidRDefault="0057786E" w:rsidP="0057786E">
            <w:pPr>
              <w:rPr>
                <w:szCs w:val="24"/>
              </w:rPr>
            </w:pPr>
            <w:r w:rsidRPr="00265DD0">
              <w:rPr>
                <w:szCs w:val="24"/>
              </w:rPr>
              <w:t>_________________________________</w:t>
            </w:r>
          </w:p>
          <w:p w14:paraId="08D33EC3" w14:textId="22D22B67" w:rsidR="00A758B2" w:rsidRPr="00265DD0" w:rsidRDefault="00A758B2" w:rsidP="0094015A">
            <w:pPr>
              <w:rPr>
                <w:szCs w:val="24"/>
              </w:rPr>
            </w:pPr>
          </w:p>
          <w:p w14:paraId="2B1B722B" w14:textId="2C896E98" w:rsidR="00A758B2" w:rsidRPr="00265DD0" w:rsidRDefault="00A758B2" w:rsidP="0094015A">
            <w:pPr>
              <w:rPr>
                <w:szCs w:val="24"/>
              </w:rPr>
            </w:pPr>
          </w:p>
          <w:p w14:paraId="56F79F5B" w14:textId="77777777" w:rsidR="00A758B2" w:rsidRPr="00265DD0" w:rsidRDefault="00A758B2" w:rsidP="0094015A">
            <w:pPr>
              <w:rPr>
                <w:szCs w:val="24"/>
              </w:rPr>
            </w:pPr>
          </w:p>
          <w:p w14:paraId="74A947B0" w14:textId="77777777" w:rsidR="00A758B2" w:rsidRPr="00265DD0" w:rsidRDefault="00A758B2" w:rsidP="0094015A">
            <w:pPr>
              <w:rPr>
                <w:szCs w:val="24"/>
              </w:rPr>
            </w:pPr>
          </w:p>
          <w:p w14:paraId="1D301EC7" w14:textId="2F6491BD" w:rsidR="00A758B2" w:rsidRPr="00265DD0" w:rsidRDefault="00A758B2" w:rsidP="0094015A">
            <w:pPr>
              <w:rPr>
                <w:szCs w:val="24"/>
              </w:rPr>
            </w:pPr>
          </w:p>
        </w:tc>
        <w:tc>
          <w:tcPr>
            <w:tcW w:w="4830" w:type="dxa"/>
          </w:tcPr>
          <w:p w14:paraId="5A198B3D" w14:textId="77777777" w:rsidR="00A758B2" w:rsidRPr="00265DD0" w:rsidRDefault="00A758B2" w:rsidP="0094015A">
            <w:pPr>
              <w:tabs>
                <w:tab w:val="left" w:pos="5954"/>
              </w:tabs>
              <w:rPr>
                <w:b/>
                <w:szCs w:val="24"/>
              </w:rPr>
            </w:pPr>
            <w:r w:rsidRPr="00265DD0">
              <w:rPr>
                <w:b/>
                <w:szCs w:val="24"/>
              </w:rPr>
              <w:t>Paslaugų teikėjas</w:t>
            </w:r>
          </w:p>
          <w:p w14:paraId="5449BFE0" w14:textId="6B203423" w:rsidR="00A758B2" w:rsidRPr="00436A96" w:rsidRDefault="00A758B2" w:rsidP="00A758B2">
            <w:pPr>
              <w:autoSpaceDE w:val="0"/>
              <w:autoSpaceDN w:val="0"/>
              <w:adjustRightInd w:val="0"/>
              <w:rPr>
                <w:szCs w:val="24"/>
              </w:rPr>
            </w:pPr>
            <w:r w:rsidRPr="00436A96">
              <w:rPr>
                <w:szCs w:val="24"/>
              </w:rPr>
              <w:t xml:space="preserve">,,KPMG </w:t>
            </w:r>
            <w:proofErr w:type="spellStart"/>
            <w:r w:rsidRPr="00436A96">
              <w:rPr>
                <w:szCs w:val="24"/>
              </w:rPr>
              <w:t>Baltics</w:t>
            </w:r>
            <w:proofErr w:type="spellEnd"/>
            <w:r w:rsidRPr="00436A96">
              <w:rPr>
                <w:szCs w:val="24"/>
              </w:rPr>
              <w:t>“,</w:t>
            </w:r>
            <w:r>
              <w:rPr>
                <w:szCs w:val="24"/>
              </w:rPr>
              <w:t xml:space="preserve"> </w:t>
            </w:r>
            <w:r w:rsidRPr="00436A96">
              <w:rPr>
                <w:szCs w:val="24"/>
              </w:rPr>
              <w:t>UAB</w:t>
            </w:r>
          </w:p>
          <w:p w14:paraId="1C72E483" w14:textId="2C52D017" w:rsidR="00A758B2" w:rsidRDefault="00A758B2" w:rsidP="0094015A">
            <w:pPr>
              <w:rPr>
                <w:szCs w:val="24"/>
              </w:rPr>
            </w:pPr>
          </w:p>
          <w:p w14:paraId="0005C26C" w14:textId="094DE3C8" w:rsidR="00A758B2" w:rsidRDefault="00A758B2" w:rsidP="0094015A">
            <w:pPr>
              <w:rPr>
                <w:szCs w:val="24"/>
              </w:rPr>
            </w:pPr>
          </w:p>
          <w:p w14:paraId="0C283604" w14:textId="07758C6C" w:rsidR="00A758B2" w:rsidRDefault="00A758B2" w:rsidP="0094015A">
            <w:pPr>
              <w:rPr>
                <w:szCs w:val="24"/>
              </w:rPr>
            </w:pPr>
            <w:r>
              <w:rPr>
                <w:szCs w:val="24"/>
              </w:rPr>
              <w:t>Direktorius</w:t>
            </w:r>
          </w:p>
          <w:p w14:paraId="42AF0FBF" w14:textId="4BE773AF" w:rsidR="00A758B2" w:rsidRPr="00265DD0" w:rsidRDefault="00A758B2" w:rsidP="0094015A">
            <w:pPr>
              <w:rPr>
                <w:szCs w:val="24"/>
              </w:rPr>
            </w:pPr>
            <w:r>
              <w:rPr>
                <w:szCs w:val="24"/>
              </w:rPr>
              <w:t>Rokas Kasperavičius</w:t>
            </w:r>
          </w:p>
          <w:p w14:paraId="0745BF3B" w14:textId="4B3807F3" w:rsidR="00A758B2" w:rsidRPr="00265DD0" w:rsidRDefault="00A758B2" w:rsidP="0094015A">
            <w:pPr>
              <w:rPr>
                <w:szCs w:val="24"/>
              </w:rPr>
            </w:pPr>
            <w:r w:rsidRPr="00265DD0">
              <w:rPr>
                <w:szCs w:val="24"/>
              </w:rPr>
              <w:t xml:space="preserve">                                                          A.V.</w:t>
            </w:r>
          </w:p>
          <w:p w14:paraId="19C5ED50" w14:textId="3F95CA3F" w:rsidR="00A758B2" w:rsidRPr="00265DD0" w:rsidRDefault="00A758B2" w:rsidP="0094015A">
            <w:pPr>
              <w:rPr>
                <w:szCs w:val="24"/>
              </w:rPr>
            </w:pPr>
            <w:r w:rsidRPr="00265DD0">
              <w:rPr>
                <w:szCs w:val="24"/>
              </w:rPr>
              <w:t>_______________________________</w:t>
            </w:r>
          </w:p>
          <w:p w14:paraId="592DD65A" w14:textId="77777777" w:rsidR="00A758B2" w:rsidRPr="00265DD0" w:rsidRDefault="00A758B2" w:rsidP="0094015A">
            <w:pPr>
              <w:rPr>
                <w:szCs w:val="24"/>
              </w:rPr>
            </w:pPr>
          </w:p>
        </w:tc>
      </w:tr>
    </w:tbl>
    <w:p w14:paraId="61916787" w14:textId="77777777" w:rsidR="00A758B2" w:rsidRPr="00265DD0" w:rsidRDefault="00A758B2" w:rsidP="00A758B2">
      <w:pPr>
        <w:rPr>
          <w:b/>
          <w:szCs w:val="24"/>
        </w:rPr>
      </w:pPr>
    </w:p>
    <w:p w14:paraId="223D8DF8" w14:textId="77777777" w:rsidR="00A758B2" w:rsidRPr="00265DD0" w:rsidRDefault="00A758B2" w:rsidP="00A758B2">
      <w:pPr>
        <w:rPr>
          <w:b/>
          <w:szCs w:val="24"/>
        </w:rPr>
      </w:pPr>
    </w:p>
    <w:sectPr w:rsidR="00A758B2" w:rsidRPr="00265DD0" w:rsidSect="00CC2051">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CA18" w14:textId="77777777" w:rsidR="00CD416C" w:rsidRDefault="00CD416C" w:rsidP="00CC2051">
      <w:r>
        <w:separator/>
      </w:r>
    </w:p>
  </w:endnote>
  <w:endnote w:type="continuationSeparator" w:id="0">
    <w:p w14:paraId="51FACB36" w14:textId="77777777" w:rsidR="00CD416C" w:rsidRDefault="00CD416C" w:rsidP="00CC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0398" w14:textId="77777777" w:rsidR="00CD416C" w:rsidRDefault="00CD416C" w:rsidP="00CC2051">
      <w:r>
        <w:separator/>
      </w:r>
    </w:p>
  </w:footnote>
  <w:footnote w:type="continuationSeparator" w:id="0">
    <w:p w14:paraId="4432971B" w14:textId="77777777" w:rsidR="00CD416C" w:rsidRDefault="00CD416C" w:rsidP="00CC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437060"/>
      <w:docPartObj>
        <w:docPartGallery w:val="Page Numbers (Top of Page)"/>
        <w:docPartUnique/>
      </w:docPartObj>
    </w:sdtPr>
    <w:sdtEndPr/>
    <w:sdtContent>
      <w:p w14:paraId="0F405EA2" w14:textId="15D34558" w:rsidR="00CC2051" w:rsidRDefault="00CC2051">
        <w:pPr>
          <w:pStyle w:val="Antrats"/>
          <w:jc w:val="center"/>
        </w:pPr>
        <w:r>
          <w:fldChar w:fldCharType="begin"/>
        </w:r>
        <w:r>
          <w:instrText>PAGE   \* MERGEFORMAT</w:instrText>
        </w:r>
        <w:r>
          <w:fldChar w:fldCharType="separate"/>
        </w:r>
        <w:r>
          <w:t>2</w:t>
        </w:r>
        <w:r>
          <w:fldChar w:fldCharType="end"/>
        </w:r>
      </w:p>
    </w:sdtContent>
  </w:sdt>
  <w:p w14:paraId="07A7264D" w14:textId="77777777" w:rsidR="00CC2051" w:rsidRDefault="00CC20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8097B8F"/>
    <w:multiLevelType w:val="multilevel"/>
    <w:tmpl w:val="A7225874"/>
    <w:lvl w:ilvl="0">
      <w:start w:val="1"/>
      <w:numFmt w:val="decimal"/>
      <w:lvlText w:val="%1."/>
      <w:lvlJc w:val="left"/>
      <w:pPr>
        <w:ind w:left="1080" w:hanging="360"/>
      </w:pPr>
      <w:rPr>
        <w:rFonts w:cs="Times New Roman"/>
      </w:rPr>
    </w:lvl>
    <w:lvl w:ilvl="1">
      <w:start w:val="1"/>
      <w:numFmt w:val="decimal"/>
      <w:isLgl/>
      <w:lvlText w:val="%1.%2."/>
      <w:lvlJc w:val="left"/>
      <w:pPr>
        <w:ind w:left="5382"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2" w15:restartNumberingAfterBreak="0">
    <w:nsid w:val="691F159A"/>
    <w:multiLevelType w:val="hybridMultilevel"/>
    <w:tmpl w:val="AFA854A4"/>
    <w:lvl w:ilvl="0" w:tplc="BB8EC0F2">
      <w:start w:val="1"/>
      <w:numFmt w:val="lowerLetter"/>
      <w:lvlText w:val="%1)"/>
      <w:lvlJc w:val="left"/>
      <w:pPr>
        <w:tabs>
          <w:tab w:val="num" w:pos="1080"/>
        </w:tabs>
        <w:ind w:left="1080" w:hanging="360"/>
      </w:pPr>
      <w:rPr>
        <w:rFonts w:cs="Times New Roman"/>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3" w15:restartNumberingAfterBreak="0">
    <w:nsid w:val="6D1B7040"/>
    <w:multiLevelType w:val="hybridMultilevel"/>
    <w:tmpl w:val="1DCC7804"/>
    <w:lvl w:ilvl="0" w:tplc="74623100">
      <w:start w:val="2014"/>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E8"/>
    <w:rsid w:val="000719A8"/>
    <w:rsid w:val="000B5AC2"/>
    <w:rsid w:val="00155D1C"/>
    <w:rsid w:val="001D2F04"/>
    <w:rsid w:val="001E0487"/>
    <w:rsid w:val="001E10A2"/>
    <w:rsid w:val="001E4B82"/>
    <w:rsid w:val="002334F4"/>
    <w:rsid w:val="00247F13"/>
    <w:rsid w:val="00292E08"/>
    <w:rsid w:val="002D767C"/>
    <w:rsid w:val="002F33F1"/>
    <w:rsid w:val="00357A46"/>
    <w:rsid w:val="0040611C"/>
    <w:rsid w:val="00415A58"/>
    <w:rsid w:val="004348EB"/>
    <w:rsid w:val="00451169"/>
    <w:rsid w:val="00452187"/>
    <w:rsid w:val="004641F2"/>
    <w:rsid w:val="004644B8"/>
    <w:rsid w:val="00475F34"/>
    <w:rsid w:val="00493450"/>
    <w:rsid w:val="004F13C2"/>
    <w:rsid w:val="00530995"/>
    <w:rsid w:val="005577FF"/>
    <w:rsid w:val="005626FF"/>
    <w:rsid w:val="0057786E"/>
    <w:rsid w:val="00592978"/>
    <w:rsid w:val="006442EE"/>
    <w:rsid w:val="006527CB"/>
    <w:rsid w:val="00671C34"/>
    <w:rsid w:val="006B1CFF"/>
    <w:rsid w:val="0070212F"/>
    <w:rsid w:val="00737F94"/>
    <w:rsid w:val="007A0692"/>
    <w:rsid w:val="007E4B94"/>
    <w:rsid w:val="00804AE2"/>
    <w:rsid w:val="00874193"/>
    <w:rsid w:val="00874369"/>
    <w:rsid w:val="008A08C7"/>
    <w:rsid w:val="008F263B"/>
    <w:rsid w:val="008F4249"/>
    <w:rsid w:val="009635F5"/>
    <w:rsid w:val="00964A53"/>
    <w:rsid w:val="00996459"/>
    <w:rsid w:val="009A1835"/>
    <w:rsid w:val="00A224FF"/>
    <w:rsid w:val="00A758B2"/>
    <w:rsid w:val="00AC32F2"/>
    <w:rsid w:val="00AD2ADA"/>
    <w:rsid w:val="00B2529D"/>
    <w:rsid w:val="00B51656"/>
    <w:rsid w:val="00B5460A"/>
    <w:rsid w:val="00B60464"/>
    <w:rsid w:val="00BC4691"/>
    <w:rsid w:val="00BD27FB"/>
    <w:rsid w:val="00BD3014"/>
    <w:rsid w:val="00BD58A8"/>
    <w:rsid w:val="00C04A67"/>
    <w:rsid w:val="00C96DF7"/>
    <w:rsid w:val="00CC2051"/>
    <w:rsid w:val="00CD416C"/>
    <w:rsid w:val="00CF4B61"/>
    <w:rsid w:val="00D17956"/>
    <w:rsid w:val="00D61C4B"/>
    <w:rsid w:val="00D66F13"/>
    <w:rsid w:val="00D91B8B"/>
    <w:rsid w:val="00DC5EE8"/>
    <w:rsid w:val="00EC397B"/>
    <w:rsid w:val="00EE517F"/>
    <w:rsid w:val="00F05F44"/>
    <w:rsid w:val="00F768C7"/>
    <w:rsid w:val="00FA23F6"/>
    <w:rsid w:val="00FD77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33DD"/>
  <w15:chartTrackingRefBased/>
  <w15:docId w15:val="{5309DED7-2A23-4928-9612-357EB57C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5EE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rsid w:val="00DC5EE8"/>
    <w:rPr>
      <w:color w:val="0000FF"/>
      <w:u w:val="single"/>
    </w:rPr>
  </w:style>
  <w:style w:type="paragraph" w:customStyle="1" w:styleId="Style1">
    <w:name w:val="Style1"/>
    <w:basedOn w:val="prastasis"/>
    <w:link w:val="Style1Char"/>
    <w:uiPriority w:val="99"/>
    <w:qFormat/>
    <w:rsid w:val="00A758B2"/>
    <w:pPr>
      <w:numPr>
        <w:numId w:val="2"/>
      </w:numPr>
      <w:tabs>
        <w:tab w:val="left" w:pos="1134"/>
      </w:tabs>
      <w:suppressAutoHyphens/>
      <w:spacing w:line="360" w:lineRule="auto"/>
      <w:jc w:val="both"/>
      <w:textAlignment w:val="baseline"/>
    </w:pPr>
    <w:rPr>
      <w:szCs w:val="24"/>
    </w:rPr>
  </w:style>
  <w:style w:type="character" w:customStyle="1" w:styleId="Style1Char">
    <w:name w:val="Style1 Char"/>
    <w:link w:val="Style1"/>
    <w:uiPriority w:val="99"/>
    <w:locked/>
    <w:rsid w:val="00A758B2"/>
    <w:rPr>
      <w:rFonts w:ascii="Times New Roman" w:eastAsia="Times New Roman" w:hAnsi="Times New Roman" w:cs="Times New Roman"/>
      <w:sz w:val="24"/>
      <w:szCs w:val="24"/>
    </w:rPr>
  </w:style>
  <w:style w:type="paragraph" w:customStyle="1" w:styleId="Style9">
    <w:name w:val="Style9"/>
    <w:basedOn w:val="prastasis"/>
    <w:uiPriority w:val="99"/>
    <w:rsid w:val="00A758B2"/>
    <w:pPr>
      <w:widowControl w:val="0"/>
      <w:autoSpaceDE w:val="0"/>
      <w:autoSpaceDN w:val="0"/>
      <w:adjustRightInd w:val="0"/>
    </w:pPr>
    <w:rPr>
      <w:rFonts w:eastAsiaTheme="minorEastAsia"/>
      <w:szCs w:val="24"/>
      <w:lang w:eastAsia="lt-LT"/>
    </w:rPr>
  </w:style>
  <w:style w:type="character" w:customStyle="1" w:styleId="FontStyle11">
    <w:name w:val="Font Style11"/>
    <w:basedOn w:val="Numatytasispastraiposriftas"/>
    <w:uiPriority w:val="99"/>
    <w:rsid w:val="00A758B2"/>
    <w:rPr>
      <w:rFonts w:ascii="Times New Roman" w:hAnsi="Times New Roman" w:cs="Times New Roman" w:hint="default"/>
      <w:sz w:val="20"/>
      <w:szCs w:val="20"/>
    </w:rPr>
  </w:style>
  <w:style w:type="character" w:customStyle="1" w:styleId="FontStyle29">
    <w:name w:val="Font Style29"/>
    <w:basedOn w:val="Numatytasispastraiposriftas"/>
    <w:uiPriority w:val="99"/>
    <w:rsid w:val="00A758B2"/>
    <w:rPr>
      <w:rFonts w:ascii="Times New Roman" w:hAnsi="Times New Roman" w:cs="Times New Roman" w:hint="default"/>
      <w:sz w:val="20"/>
      <w:szCs w:val="20"/>
    </w:rPr>
  </w:style>
  <w:style w:type="paragraph" w:styleId="Antrats">
    <w:name w:val="header"/>
    <w:basedOn w:val="prastasis"/>
    <w:link w:val="AntratsDiagrama"/>
    <w:uiPriority w:val="99"/>
    <w:unhideWhenUsed/>
    <w:rsid w:val="00CC2051"/>
    <w:pPr>
      <w:tabs>
        <w:tab w:val="center" w:pos="4819"/>
        <w:tab w:val="right" w:pos="9638"/>
      </w:tabs>
    </w:pPr>
  </w:style>
  <w:style w:type="character" w:customStyle="1" w:styleId="AntratsDiagrama">
    <w:name w:val="Antraštės Diagrama"/>
    <w:basedOn w:val="Numatytasispastraiposriftas"/>
    <w:link w:val="Antrats"/>
    <w:uiPriority w:val="99"/>
    <w:rsid w:val="00CC205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C2051"/>
    <w:pPr>
      <w:tabs>
        <w:tab w:val="center" w:pos="4819"/>
        <w:tab w:val="right" w:pos="9638"/>
      </w:tabs>
    </w:pPr>
  </w:style>
  <w:style w:type="character" w:customStyle="1" w:styleId="PoratDiagrama">
    <w:name w:val="Poraštė Diagrama"/>
    <w:basedOn w:val="Numatytasispastraiposriftas"/>
    <w:link w:val="Porat"/>
    <w:uiPriority w:val="99"/>
    <w:rsid w:val="00CC2051"/>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EC397B"/>
    <w:rPr>
      <w:color w:val="605E5C"/>
      <w:shd w:val="clear" w:color="auto" w:fill="E1DFDD"/>
    </w:rPr>
  </w:style>
  <w:style w:type="character" w:styleId="Komentaronuoroda">
    <w:name w:val="annotation reference"/>
    <w:basedOn w:val="Numatytasispastraiposriftas"/>
    <w:uiPriority w:val="99"/>
    <w:semiHidden/>
    <w:unhideWhenUsed/>
    <w:rsid w:val="0057786E"/>
    <w:rPr>
      <w:sz w:val="16"/>
      <w:szCs w:val="16"/>
    </w:rPr>
  </w:style>
  <w:style w:type="paragraph" w:styleId="Komentarotekstas">
    <w:name w:val="annotation text"/>
    <w:basedOn w:val="prastasis"/>
    <w:link w:val="KomentarotekstasDiagrama"/>
    <w:uiPriority w:val="99"/>
    <w:semiHidden/>
    <w:unhideWhenUsed/>
    <w:rsid w:val="0057786E"/>
    <w:rPr>
      <w:sz w:val="20"/>
    </w:rPr>
  </w:style>
  <w:style w:type="character" w:customStyle="1" w:styleId="KomentarotekstasDiagrama">
    <w:name w:val="Komentaro tekstas Diagrama"/>
    <w:basedOn w:val="Numatytasispastraiposriftas"/>
    <w:link w:val="Komentarotekstas"/>
    <w:uiPriority w:val="99"/>
    <w:semiHidden/>
    <w:rsid w:val="0057786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7786E"/>
    <w:rPr>
      <w:b/>
      <w:bCs/>
    </w:rPr>
  </w:style>
  <w:style w:type="character" w:customStyle="1" w:styleId="KomentarotemaDiagrama">
    <w:name w:val="Komentaro tema Diagrama"/>
    <w:basedOn w:val="KomentarotekstasDiagrama"/>
    <w:link w:val="Komentarotema"/>
    <w:uiPriority w:val="99"/>
    <w:semiHidden/>
    <w:rsid w:val="0057786E"/>
    <w:rPr>
      <w:rFonts w:ascii="Times New Roman" w:eastAsia="Times New Roman" w:hAnsi="Times New Roman" w:cs="Times New Roman"/>
      <w:b/>
      <w:bCs/>
      <w:sz w:val="20"/>
      <w:szCs w:val="20"/>
    </w:rPr>
  </w:style>
  <w:style w:type="paragraph" w:styleId="Pataisymai">
    <w:name w:val="Revision"/>
    <w:hidden/>
    <w:uiPriority w:val="99"/>
    <w:semiHidden/>
    <w:rsid w:val="00BD58A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7373</Words>
  <Characters>4203</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dcterms:created xsi:type="dcterms:W3CDTF">2021-10-28T08:15:00Z</dcterms:created>
  <dcterms:modified xsi:type="dcterms:W3CDTF">2021-10-28T08:15:00Z</dcterms:modified>
</cp:coreProperties>
</file>