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27377B40" w:rsidR="00F75225" w:rsidRPr="00185F73" w:rsidRDefault="008E4B93">
      <w:pPr>
        <w:jc w:val="center"/>
        <w:rPr>
          <w:sz w:val="22"/>
          <w:szCs w:val="22"/>
          <w:lang w:val="lt-LT"/>
        </w:rPr>
      </w:pPr>
      <w:r w:rsidRPr="00185F73">
        <w:rPr>
          <w:b/>
          <w:sz w:val="22"/>
          <w:szCs w:val="22"/>
          <w:lang w:val="lt-LT"/>
        </w:rPr>
        <w:t>PIRKIMO – PARDAVIMO SUTARTIS Nr. S1-</w:t>
      </w:r>
      <w:r w:rsidR="004C06C4">
        <w:rPr>
          <w:bCs/>
          <w:sz w:val="22"/>
          <w:szCs w:val="22"/>
          <w:lang w:val="lt-LT"/>
        </w:rPr>
        <w:t>492/21</w:t>
      </w:r>
    </w:p>
    <w:p w14:paraId="19E0DD32" w14:textId="77777777" w:rsidR="00F75225" w:rsidRPr="00185F73" w:rsidRDefault="00F75225">
      <w:pPr>
        <w:jc w:val="center"/>
        <w:rPr>
          <w:sz w:val="22"/>
          <w:szCs w:val="22"/>
          <w:lang w:val="lt-LT"/>
        </w:rPr>
      </w:pPr>
    </w:p>
    <w:p w14:paraId="62929995" w14:textId="7A09B605"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4C06C4">
        <w:rPr>
          <w:rFonts w:cs="Times New Roman"/>
          <w:color w:val="000000"/>
          <w:sz w:val="22"/>
          <w:szCs w:val="22"/>
        </w:rPr>
        <w:t xml:space="preserve">28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27CA26A6"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5F48DD">
        <w:rPr>
          <w:b/>
          <w:bCs/>
          <w:sz w:val="22"/>
          <w:szCs w:val="22"/>
          <w:lang w:val="lt-LT"/>
        </w:rPr>
        <w:t xml:space="preserve">UAB „GRIDA“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5F48DD">
        <w:rPr>
          <w:sz w:val="22"/>
          <w:szCs w:val="22"/>
          <w:lang w:val="lt-LT"/>
        </w:rPr>
        <w:t xml:space="preserve">direktoriaus Sauliaus </w:t>
      </w:r>
      <w:proofErr w:type="spellStart"/>
      <w:r w:rsidR="005F48DD">
        <w:rPr>
          <w:sz w:val="22"/>
          <w:szCs w:val="22"/>
          <w:lang w:val="lt-LT"/>
        </w:rPr>
        <w:t>Gandrimo</w:t>
      </w:r>
      <w:proofErr w:type="spellEnd"/>
      <w:r w:rsidRPr="00297604">
        <w:rPr>
          <w:sz w:val="22"/>
          <w:szCs w:val="22"/>
          <w:lang w:val="lt-LT"/>
        </w:rPr>
        <w:t xml:space="preserve">, veikiančio pagal </w:t>
      </w:r>
      <w:r w:rsidR="005F48DD">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9E0F64">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371B2282"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5F48DD">
        <w:rPr>
          <w:rFonts w:eastAsia="Arial"/>
          <w:b/>
          <w:bCs/>
          <w:sz w:val="22"/>
          <w:szCs w:val="22"/>
          <w:lang w:val="lt-LT"/>
        </w:rPr>
        <w:t xml:space="preserve">771,98 </w:t>
      </w:r>
      <w:r w:rsidRPr="00185F73">
        <w:rPr>
          <w:rFonts w:eastAsia="Arial"/>
          <w:b/>
          <w:bCs/>
          <w:sz w:val="22"/>
          <w:szCs w:val="22"/>
          <w:lang w:val="lt-LT"/>
        </w:rPr>
        <w:t>Eur su PVM</w:t>
      </w:r>
      <w:bookmarkEnd w:id="0"/>
      <w:r w:rsidR="00E02C7B">
        <w:rPr>
          <w:rFonts w:eastAsia="Arial"/>
          <w:b/>
          <w:bCs/>
          <w:sz w:val="22"/>
          <w:szCs w:val="22"/>
          <w:lang w:val="lt-LT"/>
        </w:rPr>
        <w:t xml:space="preserve"> (</w:t>
      </w:r>
      <w:r w:rsidR="005F48DD">
        <w:rPr>
          <w:rFonts w:eastAsia="Arial"/>
          <w:b/>
          <w:bCs/>
          <w:sz w:val="22"/>
          <w:szCs w:val="22"/>
          <w:lang w:val="lt-LT"/>
        </w:rPr>
        <w:t xml:space="preserve">638,00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677C22B8"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5F48DD">
        <w:rPr>
          <w:rFonts w:eastAsia="Arial"/>
          <w:sz w:val="22"/>
          <w:szCs w:val="22"/>
          <w:lang w:val="lt-LT"/>
        </w:rPr>
        <w:t>701,80</w:t>
      </w:r>
      <w:r w:rsidRPr="00BB0F18">
        <w:rPr>
          <w:rFonts w:eastAsia="Arial"/>
          <w:sz w:val="22"/>
          <w:szCs w:val="22"/>
          <w:lang w:val="lt-LT"/>
        </w:rPr>
        <w:t xml:space="preserve"> Eur su PVM (</w:t>
      </w:r>
      <w:r w:rsidR="005F48DD">
        <w:rPr>
          <w:rFonts w:eastAsia="Arial"/>
          <w:sz w:val="22"/>
          <w:szCs w:val="22"/>
          <w:lang w:val="lt-LT"/>
        </w:rPr>
        <w:t xml:space="preserve">580,00 </w:t>
      </w:r>
      <w:r w:rsidRPr="00BB0F18">
        <w:rPr>
          <w:rFonts w:eastAsia="Arial"/>
          <w:sz w:val="22"/>
          <w:szCs w:val="22"/>
          <w:lang w:val="lt-LT"/>
        </w:rPr>
        <w:t>Eur be PVM).</w:t>
      </w:r>
    </w:p>
    <w:p w14:paraId="481857D9" w14:textId="49F8C730"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5F48DD">
        <w:rPr>
          <w:rFonts w:eastAsia="Arial"/>
          <w:sz w:val="22"/>
          <w:szCs w:val="22"/>
          <w:lang w:val="lt-LT"/>
        </w:rPr>
        <w:t>70,18</w:t>
      </w:r>
      <w:r w:rsidRPr="00BB0F18">
        <w:rPr>
          <w:rFonts w:eastAsia="Arial"/>
          <w:sz w:val="22"/>
          <w:szCs w:val="22"/>
          <w:lang w:val="lt-LT"/>
        </w:rPr>
        <w:t xml:space="preserve"> Eur su PVM (</w:t>
      </w:r>
      <w:r w:rsidR="005F48DD">
        <w:rPr>
          <w:rFonts w:eastAsia="Arial"/>
          <w:sz w:val="22"/>
          <w:szCs w:val="22"/>
          <w:lang w:val="lt-LT"/>
        </w:rPr>
        <w:t xml:space="preserve">58,00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9E0F64"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9E0F64">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2817F8D5"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5F48DD">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5F48DD">
        <w:rPr>
          <w:rFonts w:eastAsia="Arial"/>
          <w:color w:val="000000"/>
          <w:sz w:val="22"/>
          <w:szCs w:val="22"/>
          <w:lang w:val="lt-LT"/>
        </w:rPr>
        <w:t xml:space="preserve">(nėra) </w:t>
      </w:r>
      <w:r w:rsidRPr="00185F73">
        <w:rPr>
          <w:rFonts w:eastAsia="Arial"/>
          <w:color w:val="000000"/>
          <w:sz w:val="22"/>
          <w:szCs w:val="22"/>
          <w:lang w:val="lt-LT"/>
        </w:rPr>
        <w:t xml:space="preserve">(įvardinti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w:t>
      </w:r>
      <w:r w:rsidRPr="00185F73">
        <w:rPr>
          <w:rFonts w:eastAsia="Arial"/>
          <w:sz w:val="22"/>
          <w:szCs w:val="22"/>
          <w:lang w:val="lt-LT"/>
        </w:rPr>
        <w:lastRenderedPageBreak/>
        <w:t xml:space="preserve">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0E34F1BD"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202A9F94"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1E38A1EC" w:rsidR="003D3898" w:rsidRPr="00185F73" w:rsidRDefault="008E4B93" w:rsidP="005F48DD">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w:t>
      </w:r>
      <w:r w:rsidR="005F48DD">
        <w:rPr>
          <w:rFonts w:ascii="Times New Roman" w:hAnsi="Times New Roman"/>
          <w:bCs/>
          <w:color w:val="000000"/>
          <w:sz w:val="22"/>
          <w:szCs w:val="22"/>
          <w:lang w:val="lt-LT"/>
        </w:rPr>
        <w:t xml:space="preserve">, el. p.: </w:t>
      </w:r>
      <w:hyperlink r:id="rId6" w:history="1">
        <w:r w:rsidR="005F48DD" w:rsidRPr="00C103E7">
          <w:rPr>
            <w:rStyle w:val="Hipersaitas"/>
            <w:rFonts w:ascii="Times New Roman" w:hAnsi="Times New Roman"/>
            <w:bCs/>
            <w:sz w:val="22"/>
            <w:szCs w:val="22"/>
            <w:lang w:val="lt-LT"/>
          </w:rPr>
          <w:t>labor@grida.lt</w:t>
        </w:r>
      </w:hyperlink>
      <w:r w:rsidR="005F48DD">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24B5F752"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5F48DD">
        <w:rPr>
          <w:rFonts w:ascii="Times New Roman" w:hAnsi="Times New Roman"/>
          <w:b/>
          <w:sz w:val="22"/>
          <w:szCs w:val="22"/>
          <w:lang w:val="lt-LT"/>
        </w:rPr>
        <w:t>UAB „GRIDA“</w:t>
      </w:r>
    </w:p>
    <w:p w14:paraId="56315D70" w14:textId="694DF2C3"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D40E56">
        <w:rPr>
          <w:rFonts w:ascii="Times New Roman" w:hAnsi="Times New Roman"/>
          <w:sz w:val="22"/>
          <w:szCs w:val="22"/>
          <w:lang w:val="lt-LT"/>
        </w:rPr>
        <w:t>Molėtų g. 16, Didžioji Riešė, LT-14260</w:t>
      </w:r>
    </w:p>
    <w:p w14:paraId="642FE541" w14:textId="661538F1"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D40E56">
        <w:rPr>
          <w:rFonts w:ascii="Times New Roman" w:hAnsi="Times New Roman"/>
          <w:sz w:val="22"/>
          <w:szCs w:val="22"/>
          <w:lang w:val="lt-LT"/>
        </w:rPr>
        <w:t>A/s LT09 7230 0000 0546 7744</w:t>
      </w:r>
    </w:p>
    <w:p w14:paraId="1C7AE1EE" w14:textId="604E915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LT86</w:t>
      </w:r>
      <w:r w:rsidR="00D40E56">
        <w:rPr>
          <w:rFonts w:ascii="Times New Roman" w:hAnsi="Times New Roman"/>
          <w:sz w:val="22"/>
          <w:szCs w:val="22"/>
          <w:lang w:val="lt-LT"/>
        </w:rPr>
        <w:t xml:space="preserve"> </w:t>
      </w:r>
      <w:r w:rsidRPr="00185F73">
        <w:rPr>
          <w:rFonts w:ascii="Times New Roman" w:hAnsi="Times New Roman"/>
          <w:sz w:val="22"/>
          <w:szCs w:val="22"/>
          <w:lang w:val="lt-LT"/>
        </w:rPr>
        <w:t>7044</w:t>
      </w:r>
      <w:r w:rsidR="00D40E56">
        <w:rPr>
          <w:rFonts w:ascii="Times New Roman" w:hAnsi="Times New Roman"/>
          <w:sz w:val="22"/>
          <w:szCs w:val="22"/>
          <w:lang w:val="lt-LT"/>
        </w:rPr>
        <w:t xml:space="preserve"> </w:t>
      </w:r>
      <w:r w:rsidRPr="00185F73">
        <w:rPr>
          <w:rFonts w:ascii="Times New Roman" w:hAnsi="Times New Roman"/>
          <w:sz w:val="22"/>
          <w:szCs w:val="22"/>
          <w:lang w:val="lt-LT"/>
        </w:rPr>
        <w:t>0600</w:t>
      </w:r>
      <w:r w:rsidR="00D40E56">
        <w:rPr>
          <w:rFonts w:ascii="Times New Roman" w:hAnsi="Times New Roman"/>
          <w:sz w:val="22"/>
          <w:szCs w:val="22"/>
          <w:lang w:val="lt-LT"/>
        </w:rPr>
        <w:t xml:space="preserve"> </w:t>
      </w:r>
      <w:r w:rsidRPr="00185F73">
        <w:rPr>
          <w:rFonts w:ascii="Times New Roman" w:hAnsi="Times New Roman"/>
          <w:sz w:val="22"/>
          <w:szCs w:val="22"/>
          <w:lang w:val="lt-LT"/>
        </w:rPr>
        <w:t>0799</w:t>
      </w:r>
      <w:r w:rsidR="00D40E56">
        <w:rPr>
          <w:rFonts w:ascii="Times New Roman" w:hAnsi="Times New Roman"/>
          <w:sz w:val="22"/>
          <w:szCs w:val="22"/>
          <w:lang w:val="lt-LT"/>
        </w:rPr>
        <w:t xml:space="preserve"> </w:t>
      </w:r>
      <w:r w:rsidRPr="00185F73">
        <w:rPr>
          <w:rFonts w:ascii="Times New Roman" w:hAnsi="Times New Roman"/>
          <w:sz w:val="22"/>
          <w:szCs w:val="22"/>
          <w:lang w:val="lt-LT"/>
        </w:rPr>
        <w:t>0186</w:t>
      </w:r>
      <w:r w:rsidRPr="00185F73">
        <w:rPr>
          <w:rFonts w:ascii="Times New Roman" w:hAnsi="Times New Roman"/>
          <w:sz w:val="22"/>
          <w:szCs w:val="22"/>
          <w:lang w:val="lt-LT"/>
        </w:rPr>
        <w:tab/>
      </w:r>
      <w:r w:rsidRPr="00185F73">
        <w:rPr>
          <w:rFonts w:ascii="Times New Roman" w:hAnsi="Times New Roman"/>
          <w:sz w:val="22"/>
          <w:szCs w:val="22"/>
          <w:lang w:val="lt-LT"/>
        </w:rPr>
        <w:tab/>
      </w:r>
      <w:r w:rsidR="00D40E56">
        <w:rPr>
          <w:rFonts w:ascii="Times New Roman" w:hAnsi="Times New Roman"/>
          <w:sz w:val="22"/>
          <w:szCs w:val="22"/>
          <w:lang w:val="lt-LT"/>
        </w:rPr>
        <w:t xml:space="preserve">UAB „Medicinos bankas“, </w:t>
      </w:r>
      <w:proofErr w:type="spellStart"/>
      <w:r w:rsidR="00D40E56">
        <w:rPr>
          <w:rFonts w:ascii="Times New Roman" w:hAnsi="Times New Roman"/>
          <w:sz w:val="22"/>
          <w:szCs w:val="22"/>
          <w:lang w:val="lt-LT"/>
        </w:rPr>
        <w:t>b.k</w:t>
      </w:r>
      <w:proofErr w:type="spellEnd"/>
      <w:r w:rsidR="00D40E56">
        <w:rPr>
          <w:rFonts w:ascii="Times New Roman" w:hAnsi="Times New Roman"/>
          <w:sz w:val="22"/>
          <w:szCs w:val="22"/>
          <w:lang w:val="lt-LT"/>
        </w:rPr>
        <w:t>. 72300</w:t>
      </w:r>
    </w:p>
    <w:p w14:paraId="204A36C8" w14:textId="1B60A6A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D40E56">
        <w:rPr>
          <w:rFonts w:ascii="Times New Roman" w:hAnsi="Times New Roman"/>
          <w:sz w:val="22"/>
          <w:szCs w:val="22"/>
          <w:lang w:val="lt-LT"/>
        </w:rPr>
        <w:t>Įmonės kodas 121464065</w:t>
      </w:r>
    </w:p>
    <w:p w14:paraId="5A244ACE" w14:textId="2392E15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D40E56">
        <w:rPr>
          <w:rFonts w:ascii="Times New Roman" w:hAnsi="Times New Roman"/>
          <w:sz w:val="22"/>
          <w:szCs w:val="22"/>
          <w:lang w:val="lt-LT"/>
        </w:rPr>
        <w:t>PVM kodas LT214640610</w:t>
      </w:r>
    </w:p>
    <w:p w14:paraId="3D56AADC" w14:textId="48356CFF"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D40E56">
        <w:rPr>
          <w:rFonts w:ascii="Times New Roman" w:hAnsi="Times New Roman"/>
          <w:sz w:val="22"/>
          <w:szCs w:val="22"/>
          <w:lang w:val="lt-LT"/>
        </w:rPr>
        <w:t>Tel.: (8 5)2469435</w:t>
      </w:r>
    </w:p>
    <w:p w14:paraId="5C1AB460" w14:textId="3539C857"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1178FF">
        <w:rPr>
          <w:rFonts w:ascii="Times New Roman" w:hAnsi="Times New Roman"/>
          <w:sz w:val="22"/>
          <w:szCs w:val="22"/>
        </w:rPr>
        <w:t xml:space="preserve"> </w:t>
      </w:r>
      <w:proofErr w:type="spellStart"/>
      <w:r w:rsidR="00D40E56">
        <w:rPr>
          <w:rFonts w:ascii="Times New Roman" w:hAnsi="Times New Roman"/>
          <w:sz w:val="22"/>
          <w:szCs w:val="22"/>
        </w:rPr>
        <w:t>El.p</w:t>
      </w:r>
      <w:proofErr w:type="spellEnd"/>
      <w:r w:rsidR="00D40E56">
        <w:rPr>
          <w:rFonts w:ascii="Times New Roman" w:hAnsi="Times New Roman"/>
          <w:sz w:val="22"/>
          <w:szCs w:val="22"/>
        </w:rPr>
        <w:t xml:space="preserve">.: </w:t>
      </w:r>
      <w:hyperlink r:id="rId7" w:history="1">
        <w:r w:rsidR="00D40E56" w:rsidRPr="00C103E7">
          <w:rPr>
            <w:rStyle w:val="Hipersaitas"/>
            <w:rFonts w:ascii="Times New Roman" w:hAnsi="Times New Roman"/>
            <w:sz w:val="22"/>
            <w:szCs w:val="22"/>
          </w:rPr>
          <w:t>labor@grida.lt</w:t>
        </w:r>
      </w:hyperlink>
      <w:r w:rsidR="00D40E56">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76969C76"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proofErr w:type="spellStart"/>
      <w:r w:rsidR="00D40E56">
        <w:rPr>
          <w:rFonts w:ascii="Times New Roman" w:hAnsi="Times New Roman"/>
          <w:sz w:val="22"/>
          <w:szCs w:val="22"/>
          <w:lang w:val="lt-LT"/>
        </w:rPr>
        <w:t>Direktorius</w:t>
      </w:r>
      <w:proofErr w:type="spellEnd"/>
      <w:r w:rsidR="00D40E56">
        <w:rPr>
          <w:rFonts w:ascii="Times New Roman" w:hAnsi="Times New Roman"/>
          <w:sz w:val="22"/>
          <w:szCs w:val="22"/>
          <w:lang w:val="lt-LT"/>
        </w:rPr>
        <w:t xml:space="preserve"> </w:t>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2D349160"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D40E56">
        <w:rPr>
          <w:rFonts w:ascii="Times New Roman" w:hAnsi="Times New Roman"/>
          <w:bCs/>
          <w:sz w:val="22"/>
          <w:szCs w:val="22"/>
          <w:lang w:val="lt-LT"/>
        </w:rPr>
        <w:t xml:space="preserve">Saulius </w:t>
      </w:r>
      <w:proofErr w:type="spellStart"/>
      <w:r w:rsidR="00D40E56">
        <w:rPr>
          <w:rFonts w:ascii="Times New Roman" w:hAnsi="Times New Roman"/>
          <w:bCs/>
          <w:sz w:val="22"/>
          <w:szCs w:val="22"/>
          <w:lang w:val="lt-LT"/>
        </w:rPr>
        <w:t>Gandrimas</w:t>
      </w:r>
      <w:proofErr w:type="spellEnd"/>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3"/>
    <w:p w14:paraId="64FEA6F4" w14:textId="77777777" w:rsidR="00F75225" w:rsidRDefault="00F75225">
      <w:pPr>
        <w:pStyle w:val="BodyText1"/>
        <w:ind w:firstLine="0"/>
        <w:rPr>
          <w:rFonts w:ascii="Times New Roman" w:hAnsi="Times New Roman"/>
          <w:b/>
          <w:sz w:val="23"/>
          <w:szCs w:val="23"/>
          <w:lang w:val="lt-LT"/>
        </w:rPr>
      </w:pPr>
    </w:p>
    <w:p w14:paraId="1857D481" w14:textId="77777777" w:rsidR="00F75225" w:rsidRDefault="00F75225">
      <w:pPr>
        <w:jc w:val="center"/>
        <w:rPr>
          <w:b/>
          <w:sz w:val="23"/>
          <w:szCs w:val="23"/>
          <w:lang w:val="lt-LT"/>
        </w:rPr>
      </w:pPr>
    </w:p>
    <w:bookmarkEnd w:id="2"/>
    <w:p w14:paraId="7C8027FC" w14:textId="77777777" w:rsidR="00F75225" w:rsidRDefault="00F75225"/>
    <w:sectPr w:rsidR="00F75225" w:rsidSect="005F48DD">
      <w:headerReference w:type="default" r:id="rId8"/>
      <w:footerReference w:type="default" r:id="rId9"/>
      <w:pgSz w:w="11906" w:h="16838"/>
      <w:pgMar w:top="851" w:right="567" w:bottom="851" w:left="1418"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DDA9" w14:textId="77777777" w:rsidR="00510312" w:rsidRDefault="00510312">
      <w:r>
        <w:separator/>
      </w:r>
    </w:p>
  </w:endnote>
  <w:endnote w:type="continuationSeparator" w:id="0">
    <w:p w14:paraId="1CC9CB6B" w14:textId="77777777" w:rsidR="00510312" w:rsidRDefault="0051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5CE0" w14:textId="77777777" w:rsidR="00510312" w:rsidRDefault="00510312">
      <w:r>
        <w:separator/>
      </w:r>
    </w:p>
  </w:footnote>
  <w:footnote w:type="continuationSeparator" w:id="0">
    <w:p w14:paraId="4AE8715C" w14:textId="77777777" w:rsidR="00510312" w:rsidRDefault="0051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65E76"/>
    <w:rsid w:val="001827EE"/>
    <w:rsid w:val="001859FF"/>
    <w:rsid w:val="00185F73"/>
    <w:rsid w:val="00195941"/>
    <w:rsid w:val="001B2B06"/>
    <w:rsid w:val="001D0F46"/>
    <w:rsid w:val="001D494D"/>
    <w:rsid w:val="0023523E"/>
    <w:rsid w:val="0023628A"/>
    <w:rsid w:val="00297604"/>
    <w:rsid w:val="00376E67"/>
    <w:rsid w:val="003D3898"/>
    <w:rsid w:val="003F5507"/>
    <w:rsid w:val="00412349"/>
    <w:rsid w:val="00436BC3"/>
    <w:rsid w:val="004A6B91"/>
    <w:rsid w:val="004B07C6"/>
    <w:rsid w:val="004C06C4"/>
    <w:rsid w:val="004C5E43"/>
    <w:rsid w:val="004D5F46"/>
    <w:rsid w:val="004E7F5E"/>
    <w:rsid w:val="004F558A"/>
    <w:rsid w:val="00510312"/>
    <w:rsid w:val="00586909"/>
    <w:rsid w:val="005D406D"/>
    <w:rsid w:val="005F3DB2"/>
    <w:rsid w:val="005F48DD"/>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C6994"/>
    <w:rsid w:val="007D4C6E"/>
    <w:rsid w:val="00842338"/>
    <w:rsid w:val="0087303B"/>
    <w:rsid w:val="008C0146"/>
    <w:rsid w:val="008E124C"/>
    <w:rsid w:val="008E4B93"/>
    <w:rsid w:val="009233CC"/>
    <w:rsid w:val="00923BBE"/>
    <w:rsid w:val="00944AD3"/>
    <w:rsid w:val="009A20ED"/>
    <w:rsid w:val="009E0F64"/>
    <w:rsid w:val="00A161F4"/>
    <w:rsid w:val="00A97B49"/>
    <w:rsid w:val="00AD5DB1"/>
    <w:rsid w:val="00AE3103"/>
    <w:rsid w:val="00B15885"/>
    <w:rsid w:val="00B858AC"/>
    <w:rsid w:val="00BB0F18"/>
    <w:rsid w:val="00BC6ABC"/>
    <w:rsid w:val="00C00835"/>
    <w:rsid w:val="00C54940"/>
    <w:rsid w:val="00C70915"/>
    <w:rsid w:val="00CF034C"/>
    <w:rsid w:val="00D00472"/>
    <w:rsid w:val="00D27109"/>
    <w:rsid w:val="00D358DA"/>
    <w:rsid w:val="00D40E56"/>
    <w:rsid w:val="00D53A5B"/>
    <w:rsid w:val="00D6277C"/>
    <w:rsid w:val="00D86F23"/>
    <w:rsid w:val="00D873C2"/>
    <w:rsid w:val="00DE1656"/>
    <w:rsid w:val="00E02C7B"/>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abor@gri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bor@grid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14152</Words>
  <Characters>8068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2022-01-07T10:00:00Z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