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6A1E" w14:textId="67145B1F" w:rsidR="00696764" w:rsidRPr="00B011DB" w:rsidRDefault="00696764" w:rsidP="006500F1">
      <w:pPr>
        <w:jc w:val="center"/>
        <w:rPr>
          <w:rFonts w:eastAsia="Times New Roman"/>
          <w:szCs w:val="22"/>
          <w:lang w:val="lt-LT"/>
        </w:rPr>
      </w:pPr>
      <w:r w:rsidRPr="00B011DB">
        <w:rPr>
          <w:rFonts w:eastAsia="Times New Roman"/>
          <w:b/>
          <w:color w:val="000000"/>
          <w:szCs w:val="22"/>
          <w:lang w:val="lt-LT"/>
        </w:rPr>
        <w:t>PIRKIMO – PARDAVIMO SUTARTIS Nr. S1-</w:t>
      </w:r>
      <w:r w:rsidR="00BE3D16">
        <w:rPr>
          <w:rFonts w:eastAsia="Times New Roman"/>
          <w:b/>
          <w:color w:val="000000"/>
          <w:szCs w:val="22"/>
          <w:lang w:val="lt-LT"/>
        </w:rPr>
        <w:t>S1-6/22</w:t>
      </w:r>
    </w:p>
    <w:p w14:paraId="2455E4B4" w14:textId="77777777" w:rsidR="00696764" w:rsidRPr="00B011DB" w:rsidRDefault="00696764" w:rsidP="00696764">
      <w:pPr>
        <w:rPr>
          <w:rFonts w:eastAsia="Times New Roman"/>
          <w:bCs/>
          <w:color w:val="000000"/>
          <w:szCs w:val="22"/>
          <w:lang w:val="lt-LT"/>
        </w:rPr>
      </w:pPr>
    </w:p>
    <w:p w14:paraId="0E33A523" w14:textId="15AA2479" w:rsidR="00696764" w:rsidRPr="00B011DB" w:rsidRDefault="00696764" w:rsidP="00696764">
      <w:pPr>
        <w:jc w:val="center"/>
        <w:rPr>
          <w:rFonts w:eastAsia="Times New Roman"/>
          <w:bCs/>
          <w:szCs w:val="22"/>
          <w:lang w:val="lt-LT"/>
        </w:rPr>
      </w:pPr>
      <w:r w:rsidRPr="00B011DB">
        <w:rPr>
          <w:rFonts w:eastAsia="Times New Roman"/>
          <w:bCs/>
          <w:color w:val="000000"/>
          <w:szCs w:val="22"/>
          <w:lang w:val="lt-LT"/>
        </w:rPr>
        <w:t>202</w:t>
      </w:r>
      <w:r w:rsidR="006500F1" w:rsidRPr="00B011DB">
        <w:rPr>
          <w:rFonts w:eastAsia="Times New Roman"/>
          <w:bCs/>
          <w:color w:val="000000"/>
          <w:szCs w:val="22"/>
          <w:lang w:val="lt-LT"/>
        </w:rPr>
        <w:t>2</w:t>
      </w:r>
      <w:r w:rsidRPr="00B011DB">
        <w:rPr>
          <w:rFonts w:eastAsia="Times New Roman"/>
          <w:bCs/>
          <w:color w:val="000000"/>
          <w:szCs w:val="22"/>
          <w:lang w:val="lt-LT"/>
        </w:rPr>
        <w:t xml:space="preserve"> m. </w:t>
      </w:r>
      <w:r w:rsidR="006500F1" w:rsidRPr="00B011DB">
        <w:rPr>
          <w:rFonts w:eastAsia="Times New Roman"/>
          <w:bCs/>
          <w:color w:val="000000"/>
          <w:szCs w:val="22"/>
          <w:lang w:val="lt-LT"/>
        </w:rPr>
        <w:t xml:space="preserve">sausio </w:t>
      </w:r>
      <w:r w:rsidR="00BE3D16">
        <w:rPr>
          <w:rFonts w:eastAsia="Times New Roman"/>
          <w:bCs/>
          <w:color w:val="000000"/>
          <w:szCs w:val="22"/>
          <w:lang w:val="lt-LT"/>
        </w:rPr>
        <w:t>10</w:t>
      </w:r>
      <w:r w:rsidR="00945470" w:rsidRPr="00B011DB">
        <w:rPr>
          <w:rFonts w:eastAsia="Times New Roman"/>
          <w:bCs/>
          <w:color w:val="000000"/>
          <w:szCs w:val="22"/>
          <w:lang w:val="lt-LT"/>
        </w:rPr>
        <w:t xml:space="preserve"> </w:t>
      </w:r>
      <w:r w:rsidRPr="00B011DB">
        <w:rPr>
          <w:rFonts w:eastAsia="Times New Roman"/>
          <w:bCs/>
          <w:color w:val="000000"/>
          <w:szCs w:val="22"/>
          <w:lang w:val="lt-LT"/>
        </w:rPr>
        <w:t>d., Vilnius</w:t>
      </w:r>
    </w:p>
    <w:p w14:paraId="6E52D7B9" w14:textId="77777777" w:rsidR="00696764" w:rsidRPr="00B011DB" w:rsidRDefault="00696764" w:rsidP="00696764">
      <w:pPr>
        <w:jc w:val="both"/>
        <w:rPr>
          <w:rFonts w:eastAsia="Times New Roman"/>
          <w:b/>
          <w:szCs w:val="22"/>
          <w:lang w:val="lt-LT"/>
        </w:rPr>
      </w:pPr>
    </w:p>
    <w:p w14:paraId="7B2AD442" w14:textId="7BA8E4E6" w:rsidR="00696764" w:rsidRPr="00B011DB" w:rsidRDefault="00B011DB" w:rsidP="00696764">
      <w:pPr>
        <w:ind w:firstLine="851"/>
        <w:jc w:val="both"/>
        <w:rPr>
          <w:rFonts w:eastAsia="Times New Roman"/>
          <w:szCs w:val="22"/>
          <w:lang w:val="lt-LT"/>
        </w:rPr>
      </w:pPr>
      <w:r w:rsidRPr="00B011DB">
        <w:rPr>
          <w:rFonts w:eastAsia="Times New Roman"/>
          <w:b/>
          <w:color w:val="000000"/>
          <w:szCs w:val="22"/>
          <w:lang w:val="lt-LT"/>
        </w:rPr>
        <w:t>Viešoji įstaiga</w:t>
      </w:r>
      <w:r w:rsidR="00696764" w:rsidRPr="00B011DB">
        <w:rPr>
          <w:rFonts w:eastAsia="Times New Roman"/>
          <w:b/>
          <w:color w:val="000000"/>
          <w:szCs w:val="22"/>
          <w:lang w:val="lt-LT"/>
        </w:rPr>
        <w:t xml:space="preserve"> Vilniaus miesto klinikinė ligoninė</w:t>
      </w:r>
      <w:r w:rsidR="00696764" w:rsidRPr="00B011DB">
        <w:rPr>
          <w:rFonts w:eastAsia="Times New Roman"/>
          <w:color w:val="000000"/>
          <w:szCs w:val="22"/>
          <w:lang w:val="lt-LT"/>
        </w:rPr>
        <w:t xml:space="preserve"> (toliau - </w:t>
      </w:r>
      <w:r w:rsidR="00696764" w:rsidRPr="00B011DB">
        <w:rPr>
          <w:rFonts w:eastAsia="Times New Roman"/>
          <w:bCs/>
          <w:color w:val="000000"/>
          <w:szCs w:val="22"/>
          <w:lang w:val="lt-LT"/>
        </w:rPr>
        <w:t>Pirkėjas),</w:t>
      </w:r>
      <w:r w:rsidR="00696764" w:rsidRPr="00B011DB">
        <w:rPr>
          <w:rFonts w:eastAsia="Times New Roman"/>
          <w:color w:val="000000"/>
          <w:szCs w:val="22"/>
          <w:lang w:val="lt-LT"/>
        </w:rPr>
        <w:t xml:space="preserve"> atstovaujama</w:t>
      </w:r>
      <w:r w:rsidR="006500F1" w:rsidRPr="00B011DB">
        <w:rPr>
          <w:rFonts w:eastAsia="Times New Roman"/>
          <w:color w:val="000000"/>
          <w:szCs w:val="22"/>
          <w:lang w:val="lt-LT"/>
        </w:rPr>
        <w:t xml:space="preserve"> direktoriaus Narimanto Markevičiaus</w:t>
      </w:r>
      <w:r w:rsidR="00696764" w:rsidRPr="00B011DB">
        <w:rPr>
          <w:rFonts w:eastAsia="Times New Roman"/>
          <w:color w:val="000000"/>
          <w:szCs w:val="22"/>
          <w:lang w:val="lt-LT"/>
        </w:rPr>
        <w:t xml:space="preserve">, ir </w:t>
      </w:r>
      <w:r w:rsidR="006500F1" w:rsidRPr="00B011DB">
        <w:rPr>
          <w:rFonts w:eastAsia="Times New Roman"/>
          <w:b/>
          <w:color w:val="000000"/>
          <w:szCs w:val="22"/>
          <w:lang w:val="lt-LT"/>
        </w:rPr>
        <w:t xml:space="preserve">Viešoji įstaiga Nacionalinis kraujo centras </w:t>
      </w:r>
      <w:r w:rsidR="00696764" w:rsidRPr="00B011DB">
        <w:rPr>
          <w:rFonts w:eastAsia="Times New Roman"/>
          <w:color w:val="000000"/>
          <w:szCs w:val="22"/>
          <w:lang w:val="lt-LT"/>
        </w:rPr>
        <w:t xml:space="preserve">(toliau - </w:t>
      </w:r>
      <w:r w:rsidR="00696764" w:rsidRPr="00B011DB">
        <w:rPr>
          <w:rFonts w:eastAsia="Times New Roman"/>
          <w:bCs/>
          <w:color w:val="000000"/>
          <w:szCs w:val="22"/>
          <w:lang w:val="lt-LT"/>
        </w:rPr>
        <w:t>Pardavėjas),</w:t>
      </w:r>
      <w:r w:rsidR="00696764" w:rsidRPr="00B011DB">
        <w:rPr>
          <w:rFonts w:eastAsia="Times New Roman"/>
          <w:color w:val="000000"/>
          <w:szCs w:val="22"/>
          <w:lang w:val="lt-LT"/>
        </w:rPr>
        <w:t xml:space="preserve"> atstovaujama</w:t>
      </w:r>
      <w:r w:rsidR="006500F1" w:rsidRPr="00B011DB">
        <w:rPr>
          <w:rFonts w:eastAsia="Times New Roman"/>
          <w:color w:val="000000"/>
          <w:szCs w:val="22"/>
          <w:lang w:val="lt-LT"/>
        </w:rPr>
        <w:t xml:space="preserve"> direktoriaus Daumanto Gutausko</w:t>
      </w:r>
      <w:r w:rsidR="00696764" w:rsidRPr="00B011DB">
        <w:rPr>
          <w:rFonts w:eastAsia="Times New Roman"/>
          <w:color w:val="000000"/>
          <w:szCs w:val="22"/>
          <w:lang w:val="lt-LT"/>
        </w:rPr>
        <w:t xml:space="preserve">, laimėjęs 2021 m. </w:t>
      </w:r>
      <w:r w:rsidR="00231614" w:rsidRPr="00B011DB">
        <w:rPr>
          <w:rFonts w:eastAsia="Times New Roman"/>
          <w:color w:val="000000"/>
          <w:szCs w:val="22"/>
          <w:lang w:val="lt-LT"/>
        </w:rPr>
        <w:t>lapkričio 21</w:t>
      </w:r>
      <w:r w:rsidR="00696764" w:rsidRPr="00B011DB">
        <w:rPr>
          <w:rFonts w:eastAsia="Times New Roman"/>
          <w:color w:val="000000"/>
          <w:szCs w:val="22"/>
          <w:lang w:val="lt-LT"/>
        </w:rPr>
        <w:t xml:space="preserve"> d. CVP IS (pirkimo Nr. </w:t>
      </w:r>
      <w:r w:rsidR="006500F1" w:rsidRPr="00B011DB">
        <w:rPr>
          <w:rFonts w:eastAsia="Times New Roman"/>
          <w:color w:val="000000"/>
          <w:szCs w:val="22"/>
          <w:lang w:val="lt-LT"/>
        </w:rPr>
        <w:t>574259</w:t>
      </w:r>
      <w:r w:rsidR="00696764" w:rsidRPr="00B011DB">
        <w:rPr>
          <w:rFonts w:eastAsia="Times New Roman"/>
          <w:color w:val="000000"/>
          <w:szCs w:val="22"/>
          <w:lang w:val="lt-LT"/>
        </w:rPr>
        <w:t xml:space="preserve">) skelbtą </w:t>
      </w:r>
      <w:r w:rsidR="00696764" w:rsidRPr="00B011DB">
        <w:rPr>
          <w:rFonts w:eastAsia="Times New Roman"/>
          <w:b/>
          <w:color w:val="000000"/>
          <w:szCs w:val="22"/>
          <w:lang w:val="lt-LT"/>
        </w:rPr>
        <w:t xml:space="preserve">kraujo ir jo komponentų </w:t>
      </w:r>
      <w:r w:rsidR="00696764" w:rsidRPr="00B011DB">
        <w:rPr>
          <w:rFonts w:eastAsia="Times New Roman"/>
          <w:color w:val="000000"/>
          <w:szCs w:val="22"/>
          <w:lang w:val="lt-LT"/>
        </w:rPr>
        <w:t>viešojo pirkimo konkursą, kartu Sutartyje vadinamos „Šalimis“ arba kiekviena atskirai „Šalimi“, sudarė šią sutartį (toliau - Sutartis):</w:t>
      </w:r>
    </w:p>
    <w:p w14:paraId="351DD227" w14:textId="77777777" w:rsidR="00696764" w:rsidRPr="00B011DB" w:rsidRDefault="00696764" w:rsidP="00696764">
      <w:pPr>
        <w:jc w:val="both"/>
        <w:rPr>
          <w:rFonts w:eastAsia="Times New Roman"/>
          <w:szCs w:val="22"/>
          <w:lang w:val="lt-LT"/>
        </w:rPr>
      </w:pPr>
    </w:p>
    <w:p w14:paraId="5413E47B"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1. Sutarties objektas</w:t>
      </w:r>
    </w:p>
    <w:p w14:paraId="1A311302"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1.1. Sutarties dalykas yra </w:t>
      </w:r>
      <w:r w:rsidRPr="00B011DB">
        <w:rPr>
          <w:rFonts w:eastAsia="Times New Roman"/>
          <w:b/>
          <w:color w:val="000000"/>
          <w:szCs w:val="22"/>
          <w:lang w:val="lt-LT"/>
        </w:rPr>
        <w:t>kraujas ir jo komponentai</w:t>
      </w:r>
      <w:r w:rsidRPr="00B011DB">
        <w:rPr>
          <w:rFonts w:eastAsia="Times New Roman"/>
          <w:color w:val="000000"/>
          <w:szCs w:val="22"/>
          <w:lang w:val="lt-LT"/>
        </w:rPr>
        <w:t xml:space="preserve"> (toliau - Prekės), kurių specifikacija ir įkainiai nurodyti Sutarties priede Nr.1.</w:t>
      </w:r>
    </w:p>
    <w:p w14:paraId="67B302C6"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597E57F8" w14:textId="77777777" w:rsidR="00696764" w:rsidRPr="00B011DB" w:rsidRDefault="00696764" w:rsidP="00696764">
      <w:pPr>
        <w:jc w:val="both"/>
        <w:rPr>
          <w:rFonts w:eastAsia="Times New Roman"/>
          <w:b/>
          <w:szCs w:val="22"/>
          <w:lang w:val="lt-LT"/>
        </w:rPr>
      </w:pPr>
    </w:p>
    <w:p w14:paraId="5F01B077"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2. Prekių kokybė</w:t>
      </w:r>
    </w:p>
    <w:p w14:paraId="5EDBAA3B"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2.1. Pardavėjas įsipareigoja pateikti Prekes, kurių kokybė atitinka Lietuvos Respublikos sveikatos apsaugos ministro 2012 m. gruodžio 19 d. įsakyme Nr. V-1186 „Dėl kraujo ir kraujo komponentų ruošimo ir  kokybės kontrolės reikalavimų aprašo patvirtinimo“, 2005 m. vasario 4 d. įsakyme Nr. V-84 „Dėl kraujo donorų sveikatos tikrinimo tvarkos aprašo, privalomųjų tyrimų sąrašo, reikiamų sveikatos rodiklių ir kraujo donorų apklausos anketos patvirtinimo“ ir jo pakeitimuose, 2000 m. balandžio 14 d. įsakyme Nr. 200 „Dėl konservuoto kraujo ir jo komponentų saugumo užtikrinimo“ ir jo pakeitimuose nurodytus reikalavimus bei kitus šioje Sutartyje nenurodytus, tačiau Prekėms taikomus Lietuvos Respublikos ir Europos Sąjungos teisės aktus.</w:t>
      </w:r>
    </w:p>
    <w:p w14:paraId="2C1E93F1"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2.2. Tiekiamų Prekių kokybė, transportavimas, saugumo užtikrinimas ir kiti reikalavimai turi atitikti Lietuvos Respublikoje galiojantiems standartams, techninėms sąlygoms ir kitiems norminiams aktams.</w:t>
      </w:r>
    </w:p>
    <w:p w14:paraId="2C1E5DB8"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2.3. Pardavėjas įsipareigoja Pirkėjui teikti Prekes ne mažesnio galiojimo laiko nei tai nustatyta Lietuvos Respublikos teisės aktuose. </w:t>
      </w:r>
    </w:p>
    <w:p w14:paraId="23FE152A" w14:textId="77777777" w:rsidR="00696764" w:rsidRPr="00B011DB" w:rsidRDefault="00696764" w:rsidP="00696764">
      <w:pPr>
        <w:jc w:val="both"/>
        <w:rPr>
          <w:rFonts w:eastAsia="Times New Roman"/>
          <w:szCs w:val="22"/>
          <w:lang w:val="lt-LT"/>
        </w:rPr>
      </w:pPr>
    </w:p>
    <w:p w14:paraId="657EC45F"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 xml:space="preserve">3. Prekių kaina ir atsiskaitymų tvarka </w:t>
      </w:r>
    </w:p>
    <w:p w14:paraId="4B4061BA" w14:textId="77777777" w:rsidR="00696764" w:rsidRPr="00B011DB" w:rsidRDefault="00696764" w:rsidP="00696764">
      <w:pPr>
        <w:rPr>
          <w:rFonts w:eastAsia="Times New Roman"/>
          <w:szCs w:val="22"/>
          <w:lang w:val="lt-LT"/>
        </w:rPr>
      </w:pPr>
      <w:r w:rsidRPr="00B011DB">
        <w:rPr>
          <w:rFonts w:eastAsia="Times New Roman"/>
          <w:color w:val="000000"/>
          <w:szCs w:val="22"/>
          <w:lang w:val="lt-LT"/>
        </w:rPr>
        <w:t>3.1. Sutarties kainos skaičiuojamos fiksuoto įkainio su peržiūra apskaičiavimo būdu.</w:t>
      </w:r>
    </w:p>
    <w:p w14:paraId="7FF20804" w14:textId="77777777" w:rsidR="00696764" w:rsidRPr="00B011DB" w:rsidRDefault="00696764" w:rsidP="00696764">
      <w:pPr>
        <w:rPr>
          <w:rFonts w:eastAsia="Times New Roman"/>
          <w:szCs w:val="22"/>
          <w:lang w:val="lt-LT"/>
        </w:rPr>
      </w:pPr>
      <w:r w:rsidRPr="00B011DB">
        <w:rPr>
          <w:rFonts w:eastAsia="Times New Roman"/>
          <w:color w:val="000000"/>
          <w:szCs w:val="22"/>
          <w:lang w:val="lt-LT"/>
        </w:rPr>
        <w:t>3.2. Prekių įkainiai dėl bendro kainų lygio pasikeitimo nebus perskaičiuojami.</w:t>
      </w:r>
    </w:p>
    <w:p w14:paraId="032A6D6E" w14:textId="1564C15B" w:rsidR="00696764" w:rsidRPr="00B011DB" w:rsidRDefault="00696764" w:rsidP="00696764">
      <w:pPr>
        <w:rPr>
          <w:rFonts w:eastAsia="Times New Roman"/>
          <w:szCs w:val="22"/>
          <w:lang w:val="lt-LT"/>
        </w:rPr>
      </w:pPr>
      <w:r w:rsidRPr="00B011DB">
        <w:rPr>
          <w:rFonts w:eastAsia="Times New Roman"/>
          <w:color w:val="000000"/>
          <w:szCs w:val="22"/>
          <w:lang w:val="lt-LT"/>
        </w:rPr>
        <w:t xml:space="preserve">3.3. Šalys susitarė, kad maksimali Sutarties vertė yra </w:t>
      </w:r>
      <w:r w:rsidR="001C539D" w:rsidRPr="00B011DB">
        <w:rPr>
          <w:rFonts w:eastAsia="Times New Roman"/>
          <w:color w:val="000000"/>
          <w:szCs w:val="22"/>
          <w:lang w:val="lt-LT"/>
        </w:rPr>
        <w:t>138</w:t>
      </w:r>
      <w:r w:rsidR="00945470" w:rsidRPr="00B011DB">
        <w:rPr>
          <w:rFonts w:eastAsia="Times New Roman"/>
          <w:color w:val="000000"/>
          <w:szCs w:val="22"/>
          <w:lang w:val="lt-LT"/>
        </w:rPr>
        <w:t xml:space="preserve"> </w:t>
      </w:r>
      <w:r w:rsidR="001C539D" w:rsidRPr="00B011DB">
        <w:rPr>
          <w:rFonts w:eastAsia="Times New Roman"/>
          <w:color w:val="000000"/>
          <w:szCs w:val="22"/>
          <w:lang w:val="lt-LT"/>
        </w:rPr>
        <w:t xml:space="preserve">6377,20 </w:t>
      </w:r>
      <w:r w:rsidRPr="00B011DB">
        <w:rPr>
          <w:rFonts w:eastAsia="Times New Roman"/>
          <w:color w:val="000000"/>
          <w:szCs w:val="22"/>
          <w:lang w:val="lt-LT"/>
        </w:rPr>
        <w:t xml:space="preserve">Eur </w:t>
      </w:r>
      <w:r w:rsidR="001C539D" w:rsidRPr="00B011DB">
        <w:rPr>
          <w:rFonts w:eastAsia="Times New Roman"/>
          <w:color w:val="000000"/>
          <w:szCs w:val="22"/>
          <w:lang w:val="lt-LT"/>
        </w:rPr>
        <w:t xml:space="preserve">be </w:t>
      </w:r>
      <w:r w:rsidRPr="00B011DB">
        <w:rPr>
          <w:rFonts w:eastAsia="Times New Roman"/>
          <w:color w:val="000000"/>
          <w:szCs w:val="22"/>
          <w:lang w:val="lt-LT"/>
        </w:rPr>
        <w:t>PVM</w:t>
      </w:r>
      <w:r w:rsidR="001C539D" w:rsidRPr="00B011DB">
        <w:rPr>
          <w:rFonts w:eastAsia="Times New Roman"/>
          <w:color w:val="000000"/>
          <w:szCs w:val="22"/>
          <w:lang w:val="lt-LT"/>
        </w:rPr>
        <w:t>.</w:t>
      </w:r>
    </w:p>
    <w:p w14:paraId="0DB4BEB3" w14:textId="77777777" w:rsidR="00696764" w:rsidRPr="00B011DB" w:rsidRDefault="00696764" w:rsidP="00696764">
      <w:pPr>
        <w:rPr>
          <w:rFonts w:eastAsia="Times New Roman"/>
          <w:color w:val="000000"/>
          <w:szCs w:val="22"/>
          <w:lang w:val="lt-LT"/>
        </w:rPr>
      </w:pPr>
      <w:r w:rsidRPr="00B011DB">
        <w:rPr>
          <w:rFonts w:eastAsia="Times New Roman"/>
          <w:color w:val="000000"/>
          <w:szCs w:val="22"/>
          <w:lang w:val="lt-LT"/>
        </w:rPr>
        <w:t>3.4. Prekių įkainiai nustatomi ir atsiskaitymai vykdomi eurais.</w:t>
      </w:r>
    </w:p>
    <w:p w14:paraId="6A04932C" w14:textId="77777777" w:rsidR="00696764" w:rsidRPr="00B011DB" w:rsidRDefault="00696764" w:rsidP="00696764">
      <w:pPr>
        <w:rPr>
          <w:rFonts w:eastAsia="Times New Roman"/>
          <w:szCs w:val="22"/>
          <w:lang w:val="lt-LT"/>
        </w:rPr>
      </w:pPr>
      <w:r w:rsidRPr="00B011DB">
        <w:rPr>
          <w:rFonts w:eastAsia="Times New Roman"/>
          <w:szCs w:val="22"/>
          <w:lang w:val="lt-LT"/>
        </w:rPr>
        <w:t>3.5. Prekių įkainiai PVM sąskaitose faktūrose nurodomi be PVM ir bendra suma su PVM.</w:t>
      </w:r>
    </w:p>
    <w:p w14:paraId="4C8EEE07"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3.6. Prekių įkainiai nurodyti pasiūlyme ir šioje Sutartyje sutampa ir nekinta visą Sutarties galiojimo laiką, išskyrus esant 8.1 ar  8.3 punktuose nurodytoms sąlygoms.</w:t>
      </w:r>
    </w:p>
    <w:p w14:paraId="224E63BA" w14:textId="77777777" w:rsidR="00696764" w:rsidRPr="00B011DB" w:rsidRDefault="00696764" w:rsidP="00696764">
      <w:pPr>
        <w:jc w:val="both"/>
        <w:rPr>
          <w:rFonts w:eastAsia="Times New Roman"/>
          <w:szCs w:val="22"/>
          <w:lang w:val="lt-LT"/>
        </w:rPr>
      </w:pPr>
      <w:r w:rsidRPr="00B011DB">
        <w:rPr>
          <w:rFonts w:eastAsia="Times New Roman"/>
          <w:szCs w:val="22"/>
          <w:lang w:val="lt-LT"/>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3454A09A" w14:textId="77777777" w:rsidR="00696764" w:rsidRPr="00B011DB" w:rsidRDefault="00696764" w:rsidP="00696764">
      <w:pPr>
        <w:jc w:val="both"/>
        <w:rPr>
          <w:rFonts w:eastAsia="Times New Roman"/>
          <w:szCs w:val="22"/>
          <w:lang w:val="lt-LT"/>
        </w:rPr>
      </w:pPr>
      <w:r w:rsidRPr="00B011DB">
        <w:rPr>
          <w:rFonts w:eastAsia="Times New Roman"/>
          <w:szCs w:val="22"/>
          <w:lang w:val="lt-LT"/>
        </w:rPr>
        <w:t>3.8. Pardavėjas įsipareigoja PVM sąskaitą faktūra išrašyti vadovaujantis Lietuvos Respublikos pridėtinės vertės mokesčio įstatymo nuostatomis.</w:t>
      </w:r>
    </w:p>
    <w:p w14:paraId="2DA1F91B" w14:textId="77777777" w:rsidR="00696764" w:rsidRPr="00B011DB" w:rsidRDefault="00696764" w:rsidP="00696764">
      <w:pPr>
        <w:jc w:val="both"/>
        <w:rPr>
          <w:rFonts w:eastAsia="Times New Roman"/>
          <w:szCs w:val="22"/>
          <w:lang w:val="lt-LT"/>
        </w:rPr>
      </w:pPr>
      <w:r w:rsidRPr="00B011DB">
        <w:rPr>
          <w:rFonts w:eastAsia="Times New Roman"/>
          <w:szCs w:val="22"/>
          <w:lang w:val="lt-LT"/>
        </w:rPr>
        <w:t>3.9. Pardavėjas įsipareigoja Pirkėjui PVM sąskaitas faktūras pateikti tik elektroniniu būdu, o Pirkėjas įsipareigoja elektronines PVM sąskaitas faktūras priimti ir apdoroti naudodamasis informacinės sistemos „E. sąskaita“ priemonėmis.</w:t>
      </w:r>
    </w:p>
    <w:p w14:paraId="39DE4D63" w14:textId="77777777" w:rsidR="00696764" w:rsidRPr="00B011DB" w:rsidRDefault="00696764" w:rsidP="00696764">
      <w:pPr>
        <w:jc w:val="both"/>
        <w:rPr>
          <w:rFonts w:eastAsia="Times New Roman"/>
          <w:szCs w:val="22"/>
          <w:lang w:val="lt-LT"/>
        </w:rPr>
      </w:pPr>
      <w:r w:rsidRPr="00B011DB">
        <w:rPr>
          <w:rFonts w:eastAsia="Times New Roman"/>
          <w:szCs w:val="22"/>
          <w:lang w:val="lt-LT"/>
        </w:rPr>
        <w:t xml:space="preserve">3.9.1. Elektroninės sąskaitos faktūros, atitinkančios Europos elektroninių sąskaitų faktūrų standartą, teikiamos tiekėjo pasirinktomis priemonėmis, o Europos elektroninių sąskaitų faktūrų standarto </w:t>
      </w:r>
      <w:r w:rsidRPr="00B011DB">
        <w:rPr>
          <w:rFonts w:eastAsia="Times New Roman"/>
          <w:szCs w:val="22"/>
          <w:lang w:val="lt-LT"/>
        </w:rPr>
        <w:lastRenderedPageBreak/>
        <w:t>neatitinkančios elektroninės sąskaitos faktūros turi būti teikiamos tik naudojantis informacinės sistemos „E. sąskaita“ priemonėmis.</w:t>
      </w:r>
    </w:p>
    <w:p w14:paraId="204B9ADF" w14:textId="77777777" w:rsidR="00696764" w:rsidRPr="00B011DB" w:rsidRDefault="00696764" w:rsidP="00696764">
      <w:pPr>
        <w:jc w:val="both"/>
        <w:rPr>
          <w:rFonts w:eastAsia="Times New Roman"/>
          <w:szCs w:val="22"/>
          <w:lang w:val="lt-LT"/>
        </w:rPr>
      </w:pPr>
      <w:r w:rsidRPr="00B011DB">
        <w:rPr>
          <w:rFonts w:eastAsia="Times New Roman"/>
          <w:szCs w:val="22"/>
          <w:lang w:val="lt-LT"/>
        </w:rPr>
        <w:t>3.10. Į Prekių įkainius įeina PVM (jei taikomas), „E. sąskaita“ teikimas, transportavimo, įpakavimo ir kitos pridėtinės išlaidos, jei tokios yra.</w:t>
      </w:r>
    </w:p>
    <w:p w14:paraId="0F811091" w14:textId="77777777" w:rsidR="00696764" w:rsidRPr="00B011DB" w:rsidRDefault="00696764" w:rsidP="00696764">
      <w:pPr>
        <w:jc w:val="both"/>
        <w:rPr>
          <w:rFonts w:eastAsia="Times New Roman"/>
          <w:szCs w:val="22"/>
          <w:lang w:val="lt-LT"/>
        </w:rPr>
      </w:pPr>
    </w:p>
    <w:p w14:paraId="65653CF3"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 xml:space="preserve">4. Prekių perdavimas ir priėmimas </w:t>
      </w:r>
    </w:p>
    <w:p w14:paraId="77E031E8" w14:textId="420CB96F" w:rsidR="00696764" w:rsidRPr="00B011DB" w:rsidRDefault="00696764" w:rsidP="00696764">
      <w:pPr>
        <w:jc w:val="both"/>
        <w:rPr>
          <w:rFonts w:eastAsia="Times New Roman"/>
          <w:szCs w:val="22"/>
          <w:lang w:val="lt-LT"/>
        </w:rPr>
      </w:pPr>
      <w:r w:rsidRPr="00B011DB">
        <w:rPr>
          <w:rFonts w:eastAsia="Times New Roman"/>
          <w:color w:val="000000"/>
          <w:szCs w:val="22"/>
          <w:lang w:val="lt-LT"/>
        </w:rPr>
        <w:t>4.1. Pirkėjas pateikia  Pardavėjui Prekių užsakymą planine tvarka iki 11.00 val. (Prekių užsakymas pateikiamas telefonu (</w:t>
      </w:r>
      <w:r w:rsidR="00B011DB" w:rsidRPr="00B011DB">
        <w:rPr>
          <w:rFonts w:eastAsia="Times New Roman"/>
          <w:color w:val="000000"/>
          <w:szCs w:val="22"/>
          <w:lang w:val="lt-LT"/>
        </w:rPr>
        <w:t>8 5) 234 0504; 8 644 27 695</w:t>
      </w:r>
      <w:r w:rsidRPr="00B011DB">
        <w:rPr>
          <w:rFonts w:eastAsia="Times New Roman"/>
          <w:color w:val="000000"/>
          <w:szCs w:val="22"/>
          <w:lang w:val="lt-LT"/>
        </w:rPr>
        <w:t>) ir el. p.</w:t>
      </w:r>
      <w:r w:rsidR="00B74B89">
        <w:rPr>
          <w:rFonts w:eastAsia="Times New Roman"/>
          <w:color w:val="000000"/>
          <w:szCs w:val="22"/>
          <w:lang w:val="lt-LT"/>
        </w:rPr>
        <w:t xml:space="preserve">: </w:t>
      </w:r>
      <w:hyperlink r:id="rId8" w:history="1">
        <w:r w:rsidR="00B74B89" w:rsidRPr="00AE0AD5">
          <w:rPr>
            <w:rStyle w:val="Hipersaitas"/>
            <w:lang w:val="lt-LT"/>
          </w:rPr>
          <w:t>ekspedicija@kraujodonoryste.lt</w:t>
        </w:r>
      </w:hyperlink>
      <w:r w:rsidRPr="00B011DB">
        <w:rPr>
          <w:rFonts w:eastAsia="Times New Roman"/>
          <w:color w:val="000000"/>
          <w:szCs w:val="22"/>
          <w:lang w:val="lt-LT"/>
        </w:rPr>
        <w:t xml:space="preserve">, Pardavėjui pristačius Prekes perduodami du Reikalavimai (VNB Nr. 268/m Patvirtinta Viešosios įstaigos Vilniaus miesto klinikinės ligoninės direktoriaus 2018 m. rugsėjo 27 d. įsakymu Nr. V1-266), kuriuose nurodomas užsakomų Prekių poreikis. Pardavėjas patvirtina </w:t>
      </w:r>
      <w:r w:rsidRPr="00B011DB">
        <w:rPr>
          <w:rFonts w:eastAsia="Times New Roman"/>
          <w:szCs w:val="22"/>
          <w:lang w:val="lt-LT"/>
        </w:rPr>
        <w:t>užsakytų ir išduotų Prekių kiekį. Vienas reikalavimo egzempliorius lieka Pardavėjui, kitas grąžinamas Pirkėjui.</w:t>
      </w:r>
    </w:p>
    <w:p w14:paraId="6EE7863E" w14:textId="77777777" w:rsidR="00696764" w:rsidRPr="00B011DB" w:rsidRDefault="00696764" w:rsidP="00696764">
      <w:pPr>
        <w:jc w:val="both"/>
        <w:rPr>
          <w:rFonts w:eastAsia="Times New Roman"/>
          <w:szCs w:val="22"/>
          <w:lang w:val="lt-LT"/>
        </w:rPr>
      </w:pPr>
      <w:r w:rsidRPr="00B011DB">
        <w:rPr>
          <w:rFonts w:eastAsia="Times New Roman"/>
          <w:szCs w:val="22"/>
          <w:lang w:val="lt-LT"/>
        </w:rPr>
        <w:t>4.2. Užsakytas planine tvarka Prekes Pardavėjas savo transportu ir išlaidomis pristato Pirkėjui į Ligoninės kraujo banką, 117 kab. Antakalnio g. 57, Vilnius, pagal Sutarties Priede Nr.1 nurodytus terminus.</w:t>
      </w:r>
    </w:p>
    <w:p w14:paraId="4315E731" w14:textId="77777777" w:rsidR="00696764" w:rsidRPr="00B011DB" w:rsidRDefault="00696764" w:rsidP="00696764">
      <w:pPr>
        <w:jc w:val="both"/>
        <w:rPr>
          <w:rFonts w:eastAsia="Times New Roman"/>
          <w:szCs w:val="22"/>
          <w:lang w:val="lt-LT"/>
        </w:rPr>
      </w:pPr>
      <w:r w:rsidRPr="00B011DB">
        <w:rPr>
          <w:rFonts w:eastAsia="Times New Roman"/>
          <w:szCs w:val="22"/>
          <w:lang w:val="lt-LT"/>
        </w:rPr>
        <w:t>4.3. Skubiais atvejais Pardavėjas įsipareigoja užsakymus iš Pirkėjo priimti ir vykdyti ištisą parą. Skubiai užsakytas Prekes Pardavėjas savo transportu ir išlaidomis pristato Pirkėjui į Ligoninės kraujo banką, 117 kab. Antakalnio g. 57, Vilnius, pagal Sutarties Priede Nr.1 nurodytus terminus.</w:t>
      </w:r>
    </w:p>
    <w:p w14:paraId="3A532794" w14:textId="77777777" w:rsidR="00696764" w:rsidRPr="00B011DB" w:rsidRDefault="00696764" w:rsidP="00696764">
      <w:pPr>
        <w:jc w:val="both"/>
        <w:rPr>
          <w:rFonts w:eastAsia="Times New Roman"/>
          <w:szCs w:val="22"/>
          <w:lang w:val="lt-LT"/>
        </w:rPr>
      </w:pPr>
      <w:r w:rsidRPr="00B011DB">
        <w:rPr>
          <w:rFonts w:eastAsia="Times New Roman"/>
          <w:szCs w:val="22"/>
          <w:lang w:val="lt-LT"/>
        </w:rPr>
        <w:t>Neturint reikiamos kraujo grupės komponentų atsargų, kai dėl atidėtos transfuzijos gali kilti grėsmė ligonio sveikatai ir gyvybei, pateikiami Lietuvos Respublikos sveikatos apsaugos ministro 2000 m. balandžio 14 d. įsakyme Nr. 200 „Dėl konservuoto kraujo ir jo komponentų saugumo užtikrinimo“ nurodyti kraujo komponentai.</w:t>
      </w:r>
    </w:p>
    <w:p w14:paraId="23223E5F" w14:textId="77777777" w:rsidR="00696764" w:rsidRPr="00B011DB" w:rsidRDefault="00696764" w:rsidP="00696764">
      <w:pPr>
        <w:jc w:val="both"/>
        <w:rPr>
          <w:rFonts w:eastAsia="Times New Roman"/>
          <w:szCs w:val="22"/>
          <w:lang w:val="lt-LT"/>
        </w:rPr>
      </w:pPr>
      <w:r w:rsidRPr="00B011DB">
        <w:rPr>
          <w:rFonts w:eastAsia="Times New Roman"/>
          <w:szCs w:val="22"/>
          <w:lang w:val="lt-LT"/>
        </w:rPr>
        <w:t xml:space="preserve">4.4. Jei Pardavėjas negali pateikti užsakytų Prekių laiku, jis apie tai informuoja Pirkėją (tel. (8 5) 234 4513 ir el. paštu </w:t>
      </w:r>
      <w:hyperlink r:id="rId9" w:history="1">
        <w:r w:rsidRPr="00B011DB">
          <w:rPr>
            <w:rStyle w:val="Hipersaitas"/>
            <w:rFonts w:eastAsia="Times New Roman"/>
            <w:szCs w:val="22"/>
            <w:lang w:val="lt-LT"/>
          </w:rPr>
          <w:t>labtransfuzija@vmkl.lt</w:t>
        </w:r>
      </w:hyperlink>
      <w:r w:rsidRPr="00B011DB">
        <w:rPr>
          <w:rFonts w:eastAsia="Times New Roman"/>
          <w:szCs w:val="22"/>
          <w:lang w:val="lt-LT"/>
        </w:rPr>
        <w:t xml:space="preserve">), tokiu atveju abi </w:t>
      </w:r>
      <w:bookmarkStart w:id="0" w:name="_Hlk84489772"/>
      <w:r w:rsidRPr="00B011DB">
        <w:rPr>
          <w:rFonts w:eastAsia="Times New Roman"/>
          <w:szCs w:val="22"/>
          <w:lang w:val="lt-LT"/>
        </w:rPr>
        <w:t>Šalys sutaria terminą, per kurį bus pristatytos Prekės.</w:t>
      </w:r>
      <w:bookmarkEnd w:id="0"/>
    </w:p>
    <w:p w14:paraId="73BF81AC" w14:textId="77777777" w:rsidR="00696764" w:rsidRPr="00B011DB" w:rsidRDefault="00696764" w:rsidP="00696764">
      <w:pPr>
        <w:jc w:val="both"/>
        <w:rPr>
          <w:rFonts w:eastAsia="Times New Roman"/>
          <w:szCs w:val="22"/>
          <w:lang w:val="lt-LT"/>
        </w:rPr>
      </w:pPr>
      <w:r w:rsidRPr="00B011DB">
        <w:rPr>
          <w:rFonts w:eastAsia="Times New Roman"/>
          <w:szCs w:val="22"/>
          <w:lang w:val="lt-LT"/>
        </w:rPr>
        <w:t>4.5. Kraujo komponentų savybės, gamybos metodai, laikymo ir transportavimo sąlygos, kokybės kontrolė ir ženklinimas turi atitikti Lietuvos Respublikos sveikatos apsaugos ministro 2012 m. gruodžio 19 d. įsakyme Nr. V-1186 ,,Dėl Kraujo ir kraujo komponentų ruošimo ir kokybės kontrolės reikalavimų aprašo patvirtinimo“ nurodytus reikalavimus.</w:t>
      </w:r>
    </w:p>
    <w:p w14:paraId="14DEA869" w14:textId="77777777" w:rsidR="00696764" w:rsidRPr="00B011DB" w:rsidRDefault="00696764" w:rsidP="00696764">
      <w:pPr>
        <w:jc w:val="both"/>
        <w:rPr>
          <w:rFonts w:eastAsia="Times New Roman"/>
          <w:szCs w:val="22"/>
          <w:lang w:val="lt-LT"/>
        </w:rPr>
      </w:pPr>
      <w:r w:rsidRPr="00B011DB">
        <w:rPr>
          <w:rFonts w:eastAsia="Times New Roman"/>
          <w:szCs w:val="22"/>
          <w:lang w:val="lt-LT"/>
        </w:rPr>
        <w:t xml:space="preserve">4.6. Sutarties 1.1. punkte nurodytas Prekes </w:t>
      </w:r>
      <w:r w:rsidRPr="00B011DB">
        <w:rPr>
          <w:rFonts w:eastAsia="Times New Roman"/>
          <w:color w:val="000000"/>
          <w:szCs w:val="22"/>
          <w:lang w:val="lt-LT"/>
        </w:rPr>
        <w:t xml:space="preserve">betarpiškai pagal kiekį ir kokybę priima Pirkėjo įgaliotas darbuotojas (sandėlininkas ar kitas Pirkėjo darbuotojas) Prekių gavimo (iškrovimo) vietoje, pasirašydamas ir užrašydamas įskaitomai savo pavardę, vardą ir pareigas važtaraštyje (reikalavime). Važtaraštyje (reikalavime) Šalys nurodo Prekių perdavimo datą, pavadinimus, kiekius. Pirkėjas, pasirašęs važtaraštyje patvirtina, kad Prekių kiekis, kompleksiškumas ir kokybė yra tinkami. Šalys, esant poreikiui ar vienos iš Šalių reikalavimu, pasirašo ir krovinio vežimo važtaraštį. </w:t>
      </w:r>
    </w:p>
    <w:p w14:paraId="3CEF809D"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 4.7. Pardavėjas pristatęs netinkamos kokybės ir/ar Prekes pažeistoje pakuotėje, privalo savo sąnaudomis per įmanomai trumpiausią laiką pakeisti Prekes tinkamomis.  </w:t>
      </w:r>
    </w:p>
    <w:p w14:paraId="4B25D0EA"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4.8. Priimant Prekes, jų kiekio, kokybės arba asortimento neatitikimą Pirkėjas su Pardavėju (jų atstovai) formina aktu ir 5 kalendorinių dienų laikotarpyje pateikia Pardavėjui raštišką pretenziją. </w:t>
      </w:r>
    </w:p>
    <w:p w14:paraId="04CC7E99"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4.9. Pirkėjas įsipareigoja nedelsiant pranešti Pardavėjui apie komplikaciją, įvykusią po kraujo komponentų, kuriuos pagamino ir perdavė Pardavėjas, transfuzijos recipientui, ir organizuoti </w:t>
      </w:r>
      <w:proofErr w:type="spellStart"/>
      <w:r w:rsidRPr="00B011DB">
        <w:rPr>
          <w:rFonts w:eastAsia="Times New Roman"/>
          <w:color w:val="000000"/>
          <w:szCs w:val="22"/>
          <w:lang w:val="lt-LT"/>
        </w:rPr>
        <w:t>transfuzinės</w:t>
      </w:r>
      <w:proofErr w:type="spellEnd"/>
      <w:r w:rsidRPr="00B011DB">
        <w:rPr>
          <w:rFonts w:eastAsia="Times New Roman"/>
          <w:color w:val="000000"/>
          <w:szCs w:val="22"/>
          <w:lang w:val="lt-LT"/>
        </w:rPr>
        <w:t xml:space="preserve"> komplikacijos priežasčių tyrimą Lietuvos Respublikos sveikatos apsaugos ministro nustatyta tvarka (Lietuvos Respublikos Sveikatos apsaugos ministro 2006 m.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p w14:paraId="3421620A" w14:textId="77777777" w:rsidR="00696764" w:rsidRPr="00B011DB" w:rsidRDefault="00696764" w:rsidP="00696764">
      <w:pPr>
        <w:jc w:val="both"/>
        <w:rPr>
          <w:rFonts w:eastAsia="Times New Roman"/>
          <w:szCs w:val="22"/>
          <w:lang w:val="lt-LT"/>
        </w:rPr>
      </w:pPr>
    </w:p>
    <w:p w14:paraId="7FBAE4C8"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 xml:space="preserve">5. Šalių atsakomybė </w:t>
      </w:r>
    </w:p>
    <w:p w14:paraId="3FE7D3FA"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 xml:space="preserve">5.1. Už šios Sutarties pažeidimą, nevykdymą ar netinkamą vykdymą šalys atsako Lietuvos Respublikos civilinio kodekso nustatyta tvarka. </w:t>
      </w:r>
    </w:p>
    <w:p w14:paraId="3BBBF975"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5.2. Pardavėjui neperdavus Pirkėjui Prekių per Sutarties 4.2 ir 4.3 punktuose nurodytus terminus, Pirkėjo rašytiniu reikalavimu Pardavėjas įsipareigoja mokėti 0,02 procentų dydžio delspinigius nuo nepatiektų Prekių sumos už kiekvieną uždelstą valandą.</w:t>
      </w:r>
    </w:p>
    <w:p w14:paraId="355DDCF7"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lastRenderedPageBreak/>
        <w:t>5.3. Pirkėjui pateikus Prekių užsakymus pagal šios Sutarties 4.1, 4.2, 4.3 punktus, o Pardavėjui nekokybiškai ar ne pagal visos Sutarties ir (ar) jos priedų reikalavimus vykdant prievoles pagal Sutartį arba jų nevykdant, Pirkėjo rašytiniu reikalavimu, Pardavėjas privalo sumokėti 20 procentų dydžio baudą nuo ne pagal Sutartį ir (ar) jos priedų reikalavimus pristatytų, Pirkėjo užsakytų Prekių vertės ir per įmanomai trumpiausią laiką turi ištaisyti prievolių vykdymą pagal Sutartį (1 pirkimo daliai taikoma 500,00 Eur bauda)).</w:t>
      </w:r>
    </w:p>
    <w:p w14:paraId="6CF2B2F0" w14:textId="7D32AF36"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 xml:space="preserve">5.4. </w:t>
      </w:r>
      <w:bookmarkStart w:id="1" w:name="_Hlk87527110"/>
      <w:r w:rsidRPr="00B011DB">
        <w:rPr>
          <w:rFonts w:eastAsia="Times New Roman"/>
          <w:color w:val="000000"/>
          <w:szCs w:val="22"/>
          <w:lang w:val="lt-LT"/>
        </w:rPr>
        <w:t>Pirkėjui nutraukus Sutartį dėl Pardavėjo esminio sutarties pažeidimo (jei Pardavėjas per visą Sutarties galiojimo laikotarpį ne mažiau nei 3 (tris) kartus per 3 mėnesius (skaičiuojant nuo paskutinio pažeidimo fiksavimo dienos) nepateikia Prekių Sutartyje nurodytais terminais ar pateikė kokybės reikalavimų neatitinkančias Prekes) ar Pardavėjo iniciatyva nutraukus Sutartį, Pirkėjo rašytiniu reikalavimu Pardavėjas įsipareigoja mokėti 20 procentų dydžio baudą nuo neįvykdytos Sutarties vertės (1 pirkimo daliai taikoma 10000,00 Eur bauda).</w:t>
      </w:r>
      <w:bookmarkEnd w:id="1"/>
      <w:r w:rsidRPr="00B011DB">
        <w:rPr>
          <w:rFonts w:eastAsia="Times New Roman"/>
          <w:color w:val="000000"/>
          <w:szCs w:val="22"/>
          <w:lang w:val="lt-LT"/>
        </w:rPr>
        <w:t xml:space="preserve"> </w:t>
      </w:r>
    </w:p>
    <w:p w14:paraId="35C79EC5"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5.5. Pirkėjui laiku nesumokėjus bet kurio iš Sutartyje nustatytų mokėjimų, Pardavėjo rašytiniu reikalavimu Pirkėjas įsipareigoja mokėti delspinigius po 0,02 procentų nuo neapmokėtos Prekių sumos už kiekvieną uždelstą dieną.</w:t>
      </w:r>
    </w:p>
    <w:p w14:paraId="4622AF87"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5.6. Pardavėjui nutraukus Sutartį dėl Pirkėjo esminio sutarties pažeidimo (3 (tris) kartus iš eilės neatlikus mokėjimo už pristatytas kokybiškas Prekes), Pardavėjo rašytiniu reikalavimu, Pirkėjas įsipareigoja mokėti 10 procentų dydžio baudą nuo laiku neapmokėtų PVM sąskaitų faktūrų vertės.</w:t>
      </w:r>
    </w:p>
    <w:p w14:paraId="3BB49E38" w14:textId="77777777" w:rsidR="00696764" w:rsidRPr="00B011DB" w:rsidRDefault="00696764" w:rsidP="00696764">
      <w:pPr>
        <w:jc w:val="both"/>
        <w:rPr>
          <w:rFonts w:eastAsia="Times New Roman"/>
          <w:color w:val="FF0000"/>
          <w:szCs w:val="22"/>
          <w:lang w:val="lt-LT"/>
        </w:rPr>
      </w:pPr>
      <w:r w:rsidRPr="00B011DB">
        <w:rPr>
          <w:rFonts w:eastAsia="Times New Roman"/>
          <w:szCs w:val="22"/>
          <w:lang w:val="lt-LT"/>
        </w:rPr>
        <w:t>5.7. Delspinigių sumokėjimas neatleidžia Šalių nuo pareigos tinkamai vykdyti šioje Sutartyje prisiimtus įsipareigojimus.</w:t>
      </w:r>
    </w:p>
    <w:p w14:paraId="1B268B76" w14:textId="77777777" w:rsidR="00696764" w:rsidRPr="00B011DB" w:rsidRDefault="00696764" w:rsidP="00696764">
      <w:pPr>
        <w:jc w:val="both"/>
        <w:rPr>
          <w:rFonts w:eastAsia="Times New Roman"/>
          <w:szCs w:val="22"/>
          <w:lang w:val="lt-LT"/>
        </w:rPr>
      </w:pPr>
    </w:p>
    <w:p w14:paraId="30C0DB6D"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6. Nenugalima jėga (Force majeure)</w:t>
      </w:r>
    </w:p>
    <w:p w14:paraId="71AEA8DB"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490C59B" w14:textId="77777777" w:rsidR="00696764" w:rsidRPr="00B011DB" w:rsidRDefault="00696764" w:rsidP="00696764">
      <w:pPr>
        <w:jc w:val="both"/>
        <w:rPr>
          <w:rFonts w:eastAsia="Times New Roman"/>
          <w:szCs w:val="22"/>
          <w:lang w:val="lt-LT"/>
        </w:rPr>
      </w:pPr>
    </w:p>
    <w:p w14:paraId="50F9A273"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7. Subtiekėjai (jeigu pasitelkiami)</w:t>
      </w:r>
    </w:p>
    <w:p w14:paraId="13D9F923" w14:textId="7F826FB2"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7.1.Pardavėjas gali pasitelkti subtiekėjus </w:t>
      </w:r>
      <w:r w:rsidR="001C539D" w:rsidRPr="00B011DB">
        <w:rPr>
          <w:rFonts w:eastAsia="Times New Roman"/>
          <w:color w:val="000000"/>
          <w:szCs w:val="22"/>
          <w:lang w:val="lt-LT"/>
        </w:rPr>
        <w:t>(nėra)</w:t>
      </w:r>
      <w:r w:rsidRPr="00B011DB">
        <w:rPr>
          <w:rFonts w:eastAsia="Times New Roman"/>
          <w:color w:val="000000"/>
          <w:szCs w:val="22"/>
          <w:lang w:val="lt-LT"/>
        </w:rPr>
        <w:t xml:space="preserve"> (išvardinti subtiekėjus) tam tikrai pirkimo daliai įvykdyti</w:t>
      </w:r>
      <w:r w:rsidR="001C539D" w:rsidRPr="00B011DB">
        <w:rPr>
          <w:rFonts w:eastAsia="Times New Roman"/>
          <w:color w:val="000000"/>
          <w:szCs w:val="22"/>
          <w:lang w:val="lt-LT"/>
        </w:rPr>
        <w:t xml:space="preserve"> (nėra)</w:t>
      </w:r>
      <w:r w:rsidRPr="00B011DB">
        <w:rPr>
          <w:rFonts w:eastAsia="Times New Roman"/>
          <w:color w:val="000000"/>
          <w:szCs w:val="22"/>
          <w:lang w:val="lt-LT"/>
        </w:rPr>
        <w:t xml:space="preserve"> (įvardinti numatomą atlikti pirkimo dalį). Toks nurodymas nekeičia pagrindinio Pardavėjo atsakomybės dėl numatomos sudaryti pirkimo sutarties įvykdymo.</w:t>
      </w:r>
    </w:p>
    <w:p w14:paraId="2C3761A6"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3A9DE0A"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7.3.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B82371"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7.4.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7.1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6134588D" w14:textId="77777777" w:rsidR="00696764" w:rsidRPr="00B011DB" w:rsidRDefault="00696764" w:rsidP="00696764">
      <w:pPr>
        <w:jc w:val="both"/>
        <w:rPr>
          <w:rFonts w:eastAsia="Times New Roman"/>
          <w:szCs w:val="22"/>
          <w:lang w:val="lt-LT"/>
        </w:rPr>
      </w:pPr>
    </w:p>
    <w:p w14:paraId="30360366"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8. Kitos Sutarties sąlygos</w:t>
      </w:r>
    </w:p>
    <w:p w14:paraId="232D224B" w14:textId="77777777" w:rsidR="00696764" w:rsidRPr="00B011DB" w:rsidRDefault="00696764" w:rsidP="00696764">
      <w:pPr>
        <w:tabs>
          <w:tab w:val="left" w:pos="1260"/>
        </w:tabs>
        <w:jc w:val="both"/>
        <w:rPr>
          <w:bCs/>
          <w:lang w:val="lt-LT"/>
        </w:rPr>
      </w:pPr>
      <w:r w:rsidRPr="00B011DB">
        <w:rPr>
          <w:bCs/>
          <w:lang w:val="lt-LT"/>
        </w:rPr>
        <w:lastRenderedPageBreak/>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1589609B" w14:textId="77777777" w:rsidR="00696764" w:rsidRPr="00B011DB" w:rsidRDefault="00696764" w:rsidP="00696764">
      <w:pPr>
        <w:tabs>
          <w:tab w:val="left" w:pos="1260"/>
        </w:tabs>
        <w:jc w:val="both"/>
        <w:rPr>
          <w:bCs/>
          <w:lang w:val="lt-LT"/>
        </w:rPr>
      </w:pPr>
      <w:r w:rsidRPr="00B011DB">
        <w:rPr>
          <w:bCs/>
          <w:lang w:val="lt-LT"/>
        </w:rPr>
        <w:t>8.2. Pagal Sutarties 8.1 punktą įkainiai keičiasi nuo Valstybės institucijų priimtų įstatymų ir poįstatyminių teisės aktų, keičiančių mokesčių dydį įsigaliojimo datos.</w:t>
      </w:r>
    </w:p>
    <w:p w14:paraId="524BC71D" w14:textId="77777777" w:rsidR="00696764" w:rsidRPr="00B011DB" w:rsidRDefault="00696764" w:rsidP="00696764">
      <w:pPr>
        <w:tabs>
          <w:tab w:val="left" w:pos="1260"/>
        </w:tabs>
        <w:jc w:val="both"/>
        <w:rPr>
          <w:bCs/>
          <w:lang w:val="lt-LT"/>
        </w:rPr>
      </w:pPr>
      <w:r w:rsidRPr="00B011DB">
        <w:rPr>
          <w:bCs/>
          <w:lang w:val="lt-LT"/>
        </w:rPr>
        <w:t>8.3. Sutarties vykdymo metu, Pardavėjas gali pasiūlyti ir mažesnius įkainius, nei Sutartyje numatyta, tačiau ne didesnius. Tokiu atveju Pirkėjas apmoka Pardavėjui pagal PVM sąskaitoje faktūroje nurodytus mažesnius įkainius.</w:t>
      </w:r>
    </w:p>
    <w:p w14:paraId="40229534" w14:textId="77777777"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 xml:space="preserve">8.4. Sutartis gali būti keičiama vadovaujantis Viešųjų pirkimų įstatymo 89 straipsnio nuostatomis. </w:t>
      </w:r>
    </w:p>
    <w:p w14:paraId="09C2B46D" w14:textId="77777777"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8.5. Sutarties galiojimo laikotarpiu Prekės perkamos pagal Pirkėjo poreikį ir Pirkėjas neįsipareigoja užsakyti tam tikrą konkretų Prekių kiekį už Sutartyje numatytą sumą per Sutarties galiojimo laiką.</w:t>
      </w:r>
    </w:p>
    <w:p w14:paraId="0D90667C" w14:textId="77777777"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8.6. Sutarties galiojimo laikotarpiu Pardavėjas įsipareigoja informuoti Pirkėją apie išpirktą Sutarties sumą ir esant tokiai situacijai Pardavėjas įsipareigoja nebeteikti Sutarties sumą viršijančių užsakymų.</w:t>
      </w:r>
    </w:p>
    <w:p w14:paraId="77B84EF4" w14:textId="77777777"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8.7. Sutarties galiojimo metu Pirkėjas turi teisę atsisakyti Sutartyje numatytų, tačiau pirkimo vykdytojui nebereikalingų Prekių, jeigu jos dar neužsakytos ir nepradėtos vykdyti.</w:t>
      </w:r>
    </w:p>
    <w:p w14:paraId="74B9D169" w14:textId="77777777" w:rsidR="00696764" w:rsidRPr="00B011DB" w:rsidRDefault="00696764" w:rsidP="00696764">
      <w:pPr>
        <w:tabs>
          <w:tab w:val="left" w:pos="720"/>
          <w:tab w:val="left" w:pos="1260"/>
        </w:tabs>
        <w:jc w:val="both"/>
        <w:rPr>
          <w:rFonts w:eastAsia="Times New Roman"/>
          <w:szCs w:val="22"/>
          <w:lang w:val="lt-LT"/>
        </w:rPr>
      </w:pPr>
    </w:p>
    <w:p w14:paraId="17A3A335"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 xml:space="preserve">9. Sutarties galiojimas </w:t>
      </w:r>
    </w:p>
    <w:p w14:paraId="7BB8D7AE" w14:textId="7A5A81FB" w:rsidR="00696764" w:rsidRPr="00B011DB" w:rsidRDefault="00696764" w:rsidP="00696764">
      <w:pPr>
        <w:tabs>
          <w:tab w:val="left" w:pos="720"/>
          <w:tab w:val="left" w:pos="4536"/>
        </w:tabs>
        <w:jc w:val="both"/>
        <w:rPr>
          <w:rFonts w:eastAsia="Times New Roman"/>
          <w:szCs w:val="22"/>
          <w:lang w:val="lt-LT"/>
        </w:rPr>
      </w:pPr>
      <w:r w:rsidRPr="00B011DB">
        <w:rPr>
          <w:rFonts w:eastAsia="Times New Roman"/>
          <w:color w:val="000000"/>
          <w:szCs w:val="22"/>
          <w:lang w:val="lt-LT"/>
        </w:rPr>
        <w:t>9.1. Ši Sutartis įsigalioja nuo Sutarties pasirašymo dienos ir galioja iki visišk</w:t>
      </w:r>
      <w:r w:rsidR="001F382C" w:rsidRPr="00B011DB">
        <w:rPr>
          <w:rFonts w:eastAsia="Times New Roman"/>
          <w:color w:val="000000"/>
          <w:szCs w:val="22"/>
          <w:lang w:val="lt-LT"/>
        </w:rPr>
        <w:t>o</w:t>
      </w:r>
      <w:r w:rsidRPr="00B011DB">
        <w:rPr>
          <w:rFonts w:eastAsia="Times New Roman"/>
          <w:color w:val="000000"/>
          <w:szCs w:val="22"/>
          <w:lang w:val="lt-LT"/>
        </w:rPr>
        <w:t xml:space="preserve"> įsipareigojimų įvykdymo.</w:t>
      </w:r>
    </w:p>
    <w:p w14:paraId="7D372D96" w14:textId="77777777" w:rsidR="00696764" w:rsidRPr="00B011DB" w:rsidRDefault="00696764" w:rsidP="00696764">
      <w:pPr>
        <w:jc w:val="both"/>
        <w:rPr>
          <w:rFonts w:eastAsia="Times New Roman"/>
          <w:b/>
          <w:szCs w:val="22"/>
          <w:lang w:val="lt-LT"/>
        </w:rPr>
      </w:pPr>
      <w:r w:rsidRPr="00B011DB">
        <w:rPr>
          <w:rFonts w:eastAsia="Times New Roman"/>
          <w:color w:val="000000"/>
          <w:szCs w:val="22"/>
          <w:lang w:val="lt-LT"/>
        </w:rPr>
        <w:t xml:space="preserve">9.2. Šios Sutarties Prekių užsakymų, tiekimo ir pristatymo laikotarpis yra </w:t>
      </w:r>
      <w:r w:rsidRPr="00B011DB">
        <w:rPr>
          <w:rFonts w:eastAsia="Times New Roman"/>
          <w:b/>
          <w:color w:val="000000"/>
          <w:szCs w:val="22"/>
          <w:lang w:val="lt-LT"/>
        </w:rPr>
        <w:t>nuo 2022 m. kovo 15 d. iki 2025 m. kovo 14 d.</w:t>
      </w:r>
      <w:r w:rsidRPr="00B011DB">
        <w:rPr>
          <w:rFonts w:eastAsia="Times New Roman"/>
          <w:color w:val="000000"/>
          <w:szCs w:val="22"/>
          <w:lang w:val="lt-LT"/>
        </w:rPr>
        <w:t xml:space="preserve"> </w:t>
      </w:r>
      <w:r w:rsidRPr="00B011DB">
        <w:rPr>
          <w:rFonts w:eastAsia="Times New Roman"/>
          <w:b/>
          <w:color w:val="000000"/>
          <w:szCs w:val="22"/>
          <w:lang w:val="lt-LT"/>
        </w:rPr>
        <w:t>(jeigu Sutartis bus pasirašyta po 2022 m. kovo 15 d., tai šios Sutarties Prekių užsakymų, tiekimo ir pristatymo laikotarpis yra nuo Sutarties pasirašymo dienos 36 mėnesiai).</w:t>
      </w:r>
    </w:p>
    <w:p w14:paraId="48DCCB9A"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9.2.1. Tokiu atveju kai maksimali Sutarties suma išpirkta – Sutartis nustoja galioti automatiškai be atskiro šalių susitarimo dėl sutarties nutraukimo.</w:t>
      </w:r>
    </w:p>
    <w:p w14:paraId="597BB360" w14:textId="77777777" w:rsidR="00696764" w:rsidRPr="00B011DB" w:rsidRDefault="00696764" w:rsidP="00696764">
      <w:pPr>
        <w:jc w:val="both"/>
        <w:rPr>
          <w:rFonts w:eastAsia="Times New Roman"/>
          <w:b/>
          <w:color w:val="000000"/>
          <w:szCs w:val="22"/>
          <w:lang w:val="lt-LT"/>
        </w:rPr>
      </w:pPr>
      <w:r w:rsidRPr="00B011DB">
        <w:rPr>
          <w:rFonts w:eastAsia="Times New Roman"/>
          <w:color w:val="000000"/>
          <w:szCs w:val="22"/>
          <w:lang w:val="lt-LT"/>
        </w:rPr>
        <w:t>9.3. Šios Sutarties priedai yra neatskiriama Sutarties dalis ir įsigalioja nuo jų pasirašymo momento, jei pačiuose susitarimuose nenurodyta vėlesnė įsigaliojimo data.</w:t>
      </w:r>
    </w:p>
    <w:p w14:paraId="799D614F"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5AB0212" w14:textId="77777777" w:rsidR="00696764" w:rsidRPr="00B011DB" w:rsidRDefault="00696764" w:rsidP="00696764">
      <w:pPr>
        <w:jc w:val="both"/>
        <w:rPr>
          <w:rFonts w:eastAsia="Times New Roman"/>
          <w:i/>
          <w:iCs/>
          <w:color w:val="000000"/>
          <w:szCs w:val="22"/>
          <w:lang w:val="lt-LT"/>
        </w:rPr>
      </w:pPr>
      <w:r w:rsidRPr="00B011DB">
        <w:rPr>
          <w:rFonts w:eastAsia="Times New Roman"/>
          <w:color w:val="000000"/>
          <w:szCs w:val="22"/>
          <w:lang w:val="lt-LT"/>
        </w:rPr>
        <w:t xml:space="preserve">9.5. Pirkėjas turi teisę vienašališkai nutraukti Sutartį, jeigu Pardavėjas ją iš esmės pažeidė: </w:t>
      </w:r>
    </w:p>
    <w:p w14:paraId="2C7B3572"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 xml:space="preserve">9.5.1. Parduota Prekė yra netinkamos kokybės ir jos trūkumų neįmanoma pašalinti per </w:t>
      </w:r>
      <w:r w:rsidRPr="00B011DB">
        <w:rPr>
          <w:rFonts w:eastAsia="Times New Roman"/>
          <w:szCs w:val="22"/>
          <w:lang w:val="lt-LT"/>
        </w:rPr>
        <w:t>Pardavėjo nurodytą įmanomai trumpiausią laiką (laikas pagrindžiamas Pardavėjo)</w:t>
      </w:r>
      <w:r w:rsidRPr="00B011DB">
        <w:rPr>
          <w:rFonts w:eastAsia="Times New Roman"/>
          <w:color w:val="000000"/>
          <w:szCs w:val="22"/>
          <w:lang w:val="lt-LT"/>
        </w:rPr>
        <w:t>;</w:t>
      </w:r>
    </w:p>
    <w:p w14:paraId="0DBE2624" w14:textId="77777777" w:rsidR="00696764" w:rsidRPr="00B011DB" w:rsidRDefault="00696764" w:rsidP="00696764">
      <w:pPr>
        <w:jc w:val="both"/>
        <w:rPr>
          <w:rFonts w:eastAsia="Times New Roman"/>
          <w:szCs w:val="22"/>
          <w:lang w:val="lt-LT"/>
        </w:rPr>
      </w:pPr>
      <w:r w:rsidRPr="00B011DB">
        <w:rPr>
          <w:rFonts w:eastAsia="Times New Roman"/>
          <w:szCs w:val="22"/>
          <w:lang w:val="lt-LT"/>
        </w:rPr>
        <w:t xml:space="preserve">9.5.2. </w:t>
      </w:r>
      <w:bookmarkStart w:id="2" w:name="_Hlk87351262"/>
      <w:r w:rsidRPr="00B011DB">
        <w:rPr>
          <w:rFonts w:eastAsia="Times New Roman"/>
          <w:szCs w:val="22"/>
          <w:lang w:val="lt-LT"/>
        </w:rPr>
        <w:t>Pardavėjas per visą Sutarties galiojimo laikotarpį ne mažiau nei 3 (tris) kartus per 3 mėnesius (skaičiuojant nuo paskutinio pažeidimo fiksavimo dienos) nepateikia Prekių Sutartyje nurodytais terminais.</w:t>
      </w:r>
      <w:bookmarkEnd w:id="2"/>
    </w:p>
    <w:p w14:paraId="52C9F0BE" w14:textId="77777777" w:rsidR="00696764" w:rsidRPr="00B011DB" w:rsidRDefault="00696764" w:rsidP="00696764">
      <w:pPr>
        <w:jc w:val="both"/>
        <w:rPr>
          <w:rFonts w:eastAsia="Times New Roman"/>
          <w:szCs w:val="22"/>
          <w:lang w:val="lt-LT"/>
        </w:rPr>
      </w:pPr>
      <w:r w:rsidRPr="00B011DB">
        <w:rPr>
          <w:rFonts w:eastAsia="Times New Roman"/>
          <w:szCs w:val="22"/>
          <w:lang w:val="lt-LT"/>
        </w:rPr>
        <w:t>9.5.3.</w:t>
      </w:r>
      <w:r w:rsidRPr="00B011DB">
        <w:rPr>
          <w:lang w:val="lt-LT"/>
        </w:rPr>
        <w:t xml:space="preserve"> </w:t>
      </w:r>
      <w:r w:rsidRPr="00B011DB">
        <w:rPr>
          <w:rFonts w:eastAsia="Times New Roman"/>
          <w:szCs w:val="22"/>
          <w:lang w:val="lt-LT"/>
        </w:rPr>
        <w:t>Pardavėjas per visą Sutarties galiojimo laikotarpį ne mažiau nei 3 (tris) kartus per 3 mėnesius (skaičiuojant nuo paskutinio pažeidimo fiksavimo dienos) pateikia kokybės reikalavimų neatitinkančias Prekes.</w:t>
      </w:r>
    </w:p>
    <w:p w14:paraId="282595AC" w14:textId="77777777" w:rsidR="00696764" w:rsidRPr="00B011DB" w:rsidRDefault="00696764" w:rsidP="00696764">
      <w:pPr>
        <w:jc w:val="both"/>
        <w:rPr>
          <w:rFonts w:eastAsia="Times New Roman"/>
          <w:szCs w:val="22"/>
          <w:lang w:val="lt-LT"/>
        </w:rPr>
      </w:pPr>
      <w:r w:rsidRPr="00B011DB">
        <w:rPr>
          <w:rFonts w:eastAsia="Times New Roman"/>
          <w:szCs w:val="22"/>
          <w:lang w:val="lt-LT"/>
        </w:rPr>
        <w:t xml:space="preserve">9.6. </w:t>
      </w:r>
      <w:r w:rsidRPr="00B011DB">
        <w:rPr>
          <w:lang w:val="lt-LT"/>
        </w:rPr>
        <w:t xml:space="preserve"> </w:t>
      </w:r>
      <w:r w:rsidRPr="00B011DB">
        <w:rPr>
          <w:rFonts w:eastAsia="Times New Roman"/>
          <w:szCs w:val="22"/>
          <w:lang w:val="lt-LT"/>
        </w:rPr>
        <w:t>Pardavėjas turi teisę vienašališkai nutraukti Sutartį, jeigu Pirkėjas ją iš esmės pažeidė:</w:t>
      </w:r>
    </w:p>
    <w:p w14:paraId="44EBA97F" w14:textId="77777777" w:rsidR="00696764" w:rsidRPr="00B011DB" w:rsidRDefault="00696764" w:rsidP="00696764">
      <w:pPr>
        <w:jc w:val="both"/>
        <w:rPr>
          <w:rFonts w:eastAsia="Times New Roman"/>
          <w:szCs w:val="22"/>
          <w:lang w:val="lt-LT"/>
        </w:rPr>
      </w:pPr>
      <w:r w:rsidRPr="00B011DB">
        <w:rPr>
          <w:rFonts w:eastAsia="Times New Roman"/>
          <w:szCs w:val="22"/>
          <w:lang w:val="lt-LT"/>
        </w:rPr>
        <w:t>9.6.1. Pirkėjas už pristatytas kokybiškas Prekes, 3 (tris) kartus iš eilės neatliko mokėjimo laiku, pagal Sutarties 3.7. punktą.</w:t>
      </w:r>
    </w:p>
    <w:p w14:paraId="1FD247F4" w14:textId="77777777" w:rsidR="00696764" w:rsidRPr="00B011DB" w:rsidRDefault="00696764" w:rsidP="00696764">
      <w:pPr>
        <w:jc w:val="both"/>
        <w:rPr>
          <w:rFonts w:eastAsia="Times New Roman"/>
          <w:szCs w:val="22"/>
          <w:lang w:val="lt-LT"/>
        </w:rPr>
      </w:pPr>
      <w:r w:rsidRPr="00B011DB">
        <w:rPr>
          <w:rFonts w:eastAsia="Times New Roman"/>
          <w:szCs w:val="22"/>
          <w:lang w:val="lt-LT"/>
        </w:rPr>
        <w:t xml:space="preserve">9.7. Sutartis gali būti nutraukta prieš terminą bendru rašytiniu abiejų Šalių susitarimu. </w:t>
      </w:r>
    </w:p>
    <w:p w14:paraId="611F14CF" w14:textId="77777777" w:rsidR="00696764" w:rsidRPr="00B011DB" w:rsidRDefault="00696764" w:rsidP="00696764">
      <w:pPr>
        <w:jc w:val="both"/>
        <w:rPr>
          <w:rFonts w:eastAsia="Times New Roman"/>
          <w:szCs w:val="22"/>
          <w:lang w:val="lt-LT"/>
        </w:rPr>
      </w:pPr>
      <w:r w:rsidRPr="00B011DB">
        <w:rPr>
          <w:rFonts w:eastAsia="Times New Roman"/>
          <w:szCs w:val="22"/>
          <w:lang w:val="lt-LT"/>
        </w:rPr>
        <w:t>9.8. Pirkėjas turi teisę nutraukti Sutartį prieš 15 kalendorinių dienų apie tai raštu įspėjęs Pardavėją. Užsakymai, kurie buvo  pateikti iki tokio įspėjimo išsiuntimo dienos, turi būti įvykdyti ir už juos tinkamai atsiskaityta.</w:t>
      </w:r>
    </w:p>
    <w:p w14:paraId="006E39BF" w14:textId="77777777" w:rsidR="00696764" w:rsidRPr="00B011DB" w:rsidRDefault="00696764" w:rsidP="00696764">
      <w:pPr>
        <w:jc w:val="both"/>
        <w:rPr>
          <w:rFonts w:eastAsia="Times New Roman"/>
          <w:color w:val="000000"/>
          <w:szCs w:val="22"/>
          <w:lang w:val="lt-LT"/>
        </w:rPr>
      </w:pPr>
      <w:r w:rsidRPr="00B011DB">
        <w:rPr>
          <w:rFonts w:eastAsia="Times New Roman"/>
          <w:szCs w:val="22"/>
          <w:lang w:val="lt-LT"/>
        </w:rPr>
        <w:t>9.9. Sutartis gali būti nutraukta prieš terminą bendru rašytiniu abiejų Šalių susitarimu, esant nenugalimos jėgos aplinkybėms, kai jos tęsiasi ilgiau nei 2 mėnesius ir Pardavėjas pateikia tai pagrindžiančius įrodymus</w:t>
      </w:r>
      <w:r w:rsidRPr="00B011DB">
        <w:rPr>
          <w:rFonts w:eastAsia="Times New Roman"/>
          <w:color w:val="000000"/>
          <w:szCs w:val="22"/>
          <w:lang w:val="lt-LT"/>
        </w:rPr>
        <w:t>/ dokumentus.</w:t>
      </w:r>
    </w:p>
    <w:p w14:paraId="1FAA011F" w14:textId="77777777" w:rsidR="00696764" w:rsidRPr="00B011DB" w:rsidRDefault="00696764" w:rsidP="00696764">
      <w:pPr>
        <w:jc w:val="both"/>
        <w:rPr>
          <w:rFonts w:eastAsia="Times New Roman"/>
          <w:strike/>
          <w:color w:val="000000"/>
          <w:szCs w:val="22"/>
          <w:lang w:val="lt-LT"/>
        </w:rPr>
      </w:pPr>
      <w:r w:rsidRPr="00B011DB">
        <w:rPr>
          <w:rFonts w:eastAsia="Times New Roman"/>
          <w:color w:val="000000"/>
          <w:szCs w:val="22"/>
          <w:lang w:val="lt-LT"/>
        </w:rPr>
        <w:t>9.10. Bendru šalių rašytiniu susitarimu atskiros pirkimo dalys gali būti nutrauktos nuo datos nurodytos susitarime, tokiais atvejais kai: Pirkėjui nebelieka poreikio atitinkamoms Prekėms.</w:t>
      </w:r>
    </w:p>
    <w:p w14:paraId="57F9C699"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lastRenderedPageBreak/>
        <w:t>9.10.1. Nutraukus pirkimo dalį/ dalis Sutarties vertė sumažėja atitinkamai pagal pasirašytą susitarimą.</w:t>
      </w:r>
    </w:p>
    <w:p w14:paraId="2444B3BD"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9.11. Sutartis gali būti nutraukta prieš terminą bendru rašytiniu abiejų Šalių susitarimu, esant nenugalimos jėgos aplinkybėms, kai jos tęsiasi ilgiau nei 2 mėnesius ir Pardavėjas pateikia tai pagrindžiančius įrodymus/ dokumentus.</w:t>
      </w:r>
    </w:p>
    <w:p w14:paraId="7AB014DA"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9.12.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501CDC11"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9.13. Sutarties galiojimo termino pabaiga neatleidžia Šalių nuo civilinės atsakomybės už Sutarties pažeidimą.</w:t>
      </w:r>
    </w:p>
    <w:p w14:paraId="7E334F2A" w14:textId="77777777" w:rsidR="00696764" w:rsidRPr="00B011DB" w:rsidRDefault="00696764" w:rsidP="00696764">
      <w:pPr>
        <w:jc w:val="both"/>
        <w:rPr>
          <w:rFonts w:eastAsia="Times New Roman"/>
          <w:color w:val="000000"/>
          <w:szCs w:val="22"/>
          <w:lang w:val="lt-LT"/>
        </w:rPr>
      </w:pPr>
    </w:p>
    <w:p w14:paraId="1170FA0B" w14:textId="77777777" w:rsidR="00696764" w:rsidRPr="00B011DB" w:rsidRDefault="00696764" w:rsidP="00696764">
      <w:pPr>
        <w:jc w:val="both"/>
        <w:rPr>
          <w:rFonts w:eastAsia="Times New Roman"/>
          <w:b/>
          <w:bCs/>
          <w:color w:val="000000"/>
          <w:szCs w:val="22"/>
          <w:lang w:val="lt-LT"/>
        </w:rPr>
      </w:pPr>
      <w:r w:rsidRPr="00B011DB">
        <w:rPr>
          <w:rFonts w:eastAsia="Times New Roman"/>
          <w:b/>
          <w:bCs/>
          <w:color w:val="000000"/>
          <w:szCs w:val="22"/>
          <w:lang w:val="lt-LT"/>
        </w:rPr>
        <w:t>10. Asmens duomenų tvarkymas</w:t>
      </w:r>
    </w:p>
    <w:p w14:paraId="36352E2C"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1390DF9"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10.2. Šalių atstovų, darbuotojų ar kitų fizinių asmenų, pasitelktų Sutarčiai vykdyti, duomenų tvarkymo teisėtumas grindžiamas būtinybe įvykdyti Sutartį arba būtinybe pasinaudoti iš Sutarties kylančiomis teisėmis.</w:t>
      </w:r>
    </w:p>
    <w:p w14:paraId="74D9E7F0"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6A3E443"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78C4C5"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0C2178A9"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B1E9C9F"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06B6690" w14:textId="77777777" w:rsidR="00696764" w:rsidRPr="00B011DB" w:rsidRDefault="00696764" w:rsidP="00696764">
      <w:pPr>
        <w:jc w:val="both"/>
        <w:rPr>
          <w:rFonts w:eastAsia="Times New Roman"/>
          <w:color w:val="000000"/>
          <w:szCs w:val="22"/>
          <w:lang w:val="lt-LT"/>
        </w:rPr>
      </w:pPr>
      <w:r w:rsidRPr="00B011DB">
        <w:rPr>
          <w:rFonts w:eastAsia="Times New Roman"/>
          <w:color w:val="000000"/>
          <w:szCs w:val="22"/>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4A843F" w14:textId="77777777" w:rsidR="00696764" w:rsidRPr="00B011DB" w:rsidRDefault="00696764" w:rsidP="00696764">
      <w:pPr>
        <w:jc w:val="both"/>
        <w:rPr>
          <w:rFonts w:eastAsia="Times New Roman"/>
          <w:szCs w:val="22"/>
          <w:lang w:val="lt-LT"/>
        </w:rPr>
      </w:pPr>
    </w:p>
    <w:p w14:paraId="2CC027E0" w14:textId="77777777" w:rsidR="00696764" w:rsidRPr="00B011DB" w:rsidRDefault="00696764" w:rsidP="00696764">
      <w:pPr>
        <w:jc w:val="both"/>
        <w:rPr>
          <w:rFonts w:eastAsia="Times New Roman"/>
          <w:szCs w:val="22"/>
          <w:lang w:val="lt-LT"/>
        </w:rPr>
      </w:pPr>
      <w:r w:rsidRPr="00B011DB">
        <w:rPr>
          <w:rFonts w:eastAsia="Times New Roman"/>
          <w:b/>
          <w:color w:val="000000"/>
          <w:szCs w:val="22"/>
          <w:lang w:val="lt-LT"/>
        </w:rPr>
        <w:t xml:space="preserve">11. Baigiamosios nuostatos </w:t>
      </w:r>
    </w:p>
    <w:p w14:paraId="62C67EAF"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11.1. Visi ginčai, kilę iš šios Sutarties sprendžiami derybų keliu. Šalims nesusitarus geruoju, ginčas gali būti perduotas nagrinėti teismui Lietuvos Respublikos įstatymų nustatyta tvarka. </w:t>
      </w:r>
    </w:p>
    <w:p w14:paraId="73F6F642" w14:textId="77777777"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11.2. Sutartis pasirašyta dviem egzemplioriais lietuvių kalba, turinčiais vienodą juridinę galią. </w:t>
      </w:r>
    </w:p>
    <w:p w14:paraId="64523763" w14:textId="77777777" w:rsidR="00696764" w:rsidRPr="00B011DB" w:rsidRDefault="00696764" w:rsidP="00696764">
      <w:pPr>
        <w:jc w:val="both"/>
        <w:rPr>
          <w:rFonts w:eastAsia="Times New Roman"/>
          <w:b/>
          <w:color w:val="000000"/>
          <w:szCs w:val="22"/>
          <w:lang w:val="lt-LT"/>
        </w:rPr>
      </w:pPr>
      <w:r w:rsidRPr="00B011DB">
        <w:rPr>
          <w:rFonts w:eastAsia="Times New Roman"/>
          <w:color w:val="000000"/>
          <w:szCs w:val="22"/>
          <w:lang w:val="lt-LT"/>
        </w:rPr>
        <w:t xml:space="preserve">11.3. Pirkėjas paskiria </w:t>
      </w:r>
      <w:r w:rsidRPr="00B011DB">
        <w:rPr>
          <w:rFonts w:eastAsia="Times New Roman"/>
          <w:b/>
          <w:color w:val="000000"/>
          <w:szCs w:val="22"/>
          <w:lang w:val="lt-LT"/>
        </w:rPr>
        <w:t>kontaktinius asmenis, atsakingus už Sutarties vykdymą:</w:t>
      </w:r>
    </w:p>
    <w:p w14:paraId="4123C315" w14:textId="5F65C5A2" w:rsidR="00696764" w:rsidRPr="00B011DB" w:rsidRDefault="00696764" w:rsidP="00696764">
      <w:pPr>
        <w:jc w:val="both"/>
        <w:rPr>
          <w:rFonts w:eastAsia="Times New Roman"/>
          <w:szCs w:val="22"/>
          <w:lang w:val="lt-LT"/>
        </w:rPr>
      </w:pPr>
      <w:r w:rsidRPr="00B011DB">
        <w:rPr>
          <w:rFonts w:eastAsia="Times New Roman"/>
          <w:color w:val="000000"/>
          <w:szCs w:val="22"/>
          <w:lang w:val="lt-LT"/>
        </w:rPr>
        <w:lastRenderedPageBreak/>
        <w:t xml:space="preserve">11.3.1. Laboratorinių tyrimų skyriaus vedėją </w:t>
      </w:r>
    </w:p>
    <w:p w14:paraId="13FFC89C" w14:textId="5E5BB6B6" w:rsidR="00696764" w:rsidRPr="00B011DB" w:rsidRDefault="00696764" w:rsidP="00696764">
      <w:pPr>
        <w:jc w:val="both"/>
        <w:rPr>
          <w:rFonts w:eastAsia="Times New Roman"/>
          <w:szCs w:val="22"/>
          <w:lang w:val="lt-LT"/>
        </w:rPr>
      </w:pPr>
      <w:r w:rsidRPr="00B011DB">
        <w:rPr>
          <w:rFonts w:eastAsia="Times New Roman"/>
          <w:color w:val="000000"/>
          <w:szCs w:val="22"/>
          <w:lang w:val="lt-LT"/>
        </w:rPr>
        <w:t xml:space="preserve">11.4.  Atsakingu už šios Sutarties bei Sutarties pakeitimų, jeigu bus, paskelbimą Centrinėje viešųjų pirkimų informacinėje sistemoje Pirkėjas paskiria Viešųjų pirkimų skyriaus vyriausiąją specialistę </w:t>
      </w:r>
    </w:p>
    <w:p w14:paraId="14C0846B" w14:textId="7F7D3C4E" w:rsidR="00945470" w:rsidRPr="00B011DB" w:rsidRDefault="00696764" w:rsidP="00B011DB">
      <w:pPr>
        <w:pStyle w:val="SLONormal"/>
        <w:tabs>
          <w:tab w:val="left" w:pos="851"/>
          <w:tab w:val="left" w:pos="993"/>
        </w:tabs>
        <w:spacing w:before="0" w:after="0"/>
        <w:rPr>
          <w:lang w:val="lt-LT" w:eastAsia="lt-LT"/>
        </w:rPr>
      </w:pPr>
      <w:r w:rsidRPr="00B011DB">
        <w:rPr>
          <w:color w:val="000000"/>
          <w:szCs w:val="22"/>
          <w:lang w:val="lt-LT"/>
        </w:rPr>
        <w:t>11.5.</w:t>
      </w:r>
      <w:r w:rsidRPr="00B011DB">
        <w:rPr>
          <w:color w:val="FFFFFF"/>
          <w:szCs w:val="22"/>
          <w:lang w:val="lt-LT"/>
        </w:rPr>
        <w:t>_</w:t>
      </w:r>
      <w:r w:rsidRPr="00B011DB">
        <w:rPr>
          <w:color w:val="000000"/>
          <w:szCs w:val="22"/>
          <w:lang w:val="lt-LT"/>
        </w:rPr>
        <w:t>Pardavėjas paskiria kontaktinius asmenis, atsakingus už Sutarties vykdymą:</w:t>
      </w:r>
      <w:r w:rsidR="00945470" w:rsidRPr="00B011DB">
        <w:rPr>
          <w:lang w:val="lt-LT"/>
        </w:rPr>
        <w:t xml:space="preserve"> </w:t>
      </w:r>
    </w:p>
    <w:p w14:paraId="1C7C366F" w14:textId="38A4C687" w:rsidR="00696764" w:rsidRPr="00B011DB" w:rsidRDefault="00696764" w:rsidP="00945470">
      <w:pPr>
        <w:jc w:val="both"/>
        <w:rPr>
          <w:rFonts w:eastAsia="Times New Roman"/>
          <w:szCs w:val="22"/>
          <w:lang w:val="lt-LT"/>
        </w:rPr>
      </w:pPr>
    </w:p>
    <w:p w14:paraId="2E5F4869" w14:textId="38D59692" w:rsidR="00696764" w:rsidRPr="00B011DB" w:rsidRDefault="00696764" w:rsidP="00696764">
      <w:pPr>
        <w:tabs>
          <w:tab w:val="left" w:pos="720"/>
          <w:tab w:val="left" w:pos="1260"/>
        </w:tabs>
        <w:jc w:val="both"/>
        <w:rPr>
          <w:rFonts w:eastAsia="Times New Roman"/>
          <w:b/>
          <w:szCs w:val="22"/>
          <w:lang w:val="lt-LT"/>
        </w:rPr>
      </w:pPr>
      <w:r w:rsidRPr="00B011DB">
        <w:rPr>
          <w:rFonts w:eastAsia="Times New Roman"/>
          <w:b/>
          <w:color w:val="000000"/>
          <w:szCs w:val="22"/>
          <w:lang w:val="lt-LT"/>
        </w:rPr>
        <w:t xml:space="preserve">Šalių parašai ir rekvizitai.:   </w:t>
      </w:r>
    </w:p>
    <w:p w14:paraId="18699D64" w14:textId="77777777" w:rsidR="00696764" w:rsidRPr="00B011DB" w:rsidRDefault="00696764" w:rsidP="00696764">
      <w:pPr>
        <w:tabs>
          <w:tab w:val="left" w:pos="720"/>
          <w:tab w:val="left" w:pos="1260"/>
        </w:tabs>
        <w:jc w:val="both"/>
        <w:rPr>
          <w:rFonts w:eastAsia="Times New Roman"/>
          <w:b/>
          <w:szCs w:val="22"/>
          <w:lang w:val="lt-LT"/>
        </w:rPr>
      </w:pPr>
      <w:r w:rsidRPr="00B011DB">
        <w:rPr>
          <w:rFonts w:eastAsia="Times New Roman"/>
          <w:b/>
          <w:color w:val="000000"/>
          <w:szCs w:val="22"/>
          <w:lang w:val="lt-LT"/>
        </w:rPr>
        <w:t xml:space="preserve">PIRKĖJAS           </w:t>
      </w:r>
      <w:r w:rsidRPr="00B011DB">
        <w:rPr>
          <w:rFonts w:eastAsia="Times New Roman"/>
          <w:b/>
          <w:color w:val="000000"/>
          <w:szCs w:val="22"/>
          <w:lang w:val="lt-LT"/>
        </w:rPr>
        <w:tab/>
      </w:r>
      <w:r w:rsidRPr="00B011DB">
        <w:rPr>
          <w:rFonts w:eastAsia="Times New Roman"/>
          <w:b/>
          <w:color w:val="000000"/>
          <w:szCs w:val="22"/>
          <w:lang w:val="lt-LT"/>
        </w:rPr>
        <w:tab/>
      </w:r>
      <w:r w:rsidRPr="00B011DB">
        <w:rPr>
          <w:rFonts w:eastAsia="Times New Roman"/>
          <w:b/>
          <w:color w:val="000000"/>
          <w:szCs w:val="22"/>
          <w:lang w:val="lt-LT"/>
        </w:rPr>
        <w:tab/>
      </w:r>
      <w:r w:rsidRPr="00B011DB">
        <w:rPr>
          <w:rFonts w:eastAsia="Times New Roman"/>
          <w:b/>
          <w:color w:val="000000"/>
          <w:szCs w:val="22"/>
          <w:lang w:val="lt-LT"/>
        </w:rPr>
        <w:tab/>
      </w:r>
      <w:r w:rsidRPr="00B011DB">
        <w:rPr>
          <w:rFonts w:eastAsia="Times New Roman"/>
          <w:b/>
          <w:color w:val="000000"/>
          <w:szCs w:val="22"/>
          <w:lang w:val="lt-LT"/>
        </w:rPr>
        <w:tab/>
        <w:t xml:space="preserve">PARDAVĖJAS </w:t>
      </w:r>
    </w:p>
    <w:p w14:paraId="26C7D67A" w14:textId="0329387C"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VšĮ Vilniaus miesto klinikinė ligoninė</w:t>
      </w:r>
      <w:r w:rsidRPr="00B011DB">
        <w:rPr>
          <w:rFonts w:eastAsia="Times New Roman"/>
          <w:color w:val="000000"/>
          <w:szCs w:val="22"/>
          <w:lang w:val="lt-LT"/>
        </w:rPr>
        <w:tab/>
      </w:r>
      <w:r w:rsidR="001C539D" w:rsidRPr="00B011DB">
        <w:rPr>
          <w:rFonts w:eastAsia="Times New Roman"/>
          <w:color w:val="000000"/>
          <w:szCs w:val="22"/>
          <w:lang w:val="lt-LT"/>
        </w:rPr>
        <w:tab/>
        <w:t>Viešoji įstaiga Nacionalinis kraujo centras</w:t>
      </w:r>
    </w:p>
    <w:p w14:paraId="5B7BD54B" w14:textId="55C036BE" w:rsidR="00696764" w:rsidRPr="00B011DB" w:rsidRDefault="00696764" w:rsidP="00696764">
      <w:pPr>
        <w:tabs>
          <w:tab w:val="left" w:pos="720"/>
          <w:tab w:val="left" w:pos="1260"/>
        </w:tabs>
        <w:jc w:val="both"/>
        <w:rPr>
          <w:rFonts w:eastAsia="Times New Roman"/>
          <w:szCs w:val="22"/>
          <w:lang w:val="lt-LT"/>
        </w:rPr>
      </w:pPr>
      <w:proofErr w:type="spellStart"/>
      <w:r w:rsidRPr="00B011DB">
        <w:rPr>
          <w:rFonts w:eastAsia="Times New Roman"/>
          <w:color w:val="000000"/>
          <w:szCs w:val="22"/>
          <w:lang w:val="lt-LT"/>
        </w:rPr>
        <w:t>Buvein</w:t>
      </w:r>
      <w:proofErr w:type="spellEnd"/>
      <w:r w:rsidRPr="00B011DB">
        <w:rPr>
          <w:rFonts w:eastAsia="Times New Roman"/>
          <w:color w:val="000000"/>
          <w:szCs w:val="22"/>
          <w:lang w:val="lt-LT"/>
        </w:rPr>
        <w:t xml:space="preserve">. </w:t>
      </w:r>
      <w:proofErr w:type="spellStart"/>
      <w:r w:rsidRPr="00B011DB">
        <w:rPr>
          <w:rFonts w:eastAsia="Times New Roman"/>
          <w:color w:val="000000"/>
          <w:szCs w:val="22"/>
          <w:lang w:val="lt-LT"/>
        </w:rPr>
        <w:t>adr</w:t>
      </w:r>
      <w:proofErr w:type="spellEnd"/>
      <w:r w:rsidRPr="00B011DB">
        <w:rPr>
          <w:rFonts w:eastAsia="Times New Roman"/>
          <w:color w:val="000000"/>
          <w:szCs w:val="22"/>
          <w:lang w:val="lt-LT"/>
        </w:rPr>
        <w:t xml:space="preserve">. Antakalnio g. 57, LT-10207 Vilnius </w:t>
      </w:r>
      <w:r w:rsidRPr="00B011DB">
        <w:rPr>
          <w:rFonts w:eastAsia="Times New Roman"/>
          <w:color w:val="000000"/>
          <w:szCs w:val="22"/>
          <w:lang w:val="lt-LT"/>
        </w:rPr>
        <w:tab/>
      </w:r>
      <w:r w:rsidR="001C539D" w:rsidRPr="00B011DB">
        <w:rPr>
          <w:rFonts w:eastAsia="Times New Roman"/>
          <w:color w:val="000000"/>
          <w:szCs w:val="22"/>
          <w:lang w:val="lt-LT"/>
        </w:rPr>
        <w:t>Žolyno g. 34, LT-10210 Vilnius</w:t>
      </w:r>
    </w:p>
    <w:p w14:paraId="38B28952" w14:textId="5EC2E9C6" w:rsidR="00696764" w:rsidRPr="00B011DB" w:rsidRDefault="00696764" w:rsidP="00696764">
      <w:pPr>
        <w:tabs>
          <w:tab w:val="left" w:pos="720"/>
          <w:tab w:val="left" w:pos="1260"/>
        </w:tabs>
        <w:jc w:val="both"/>
        <w:rPr>
          <w:rFonts w:eastAsia="Times New Roman"/>
          <w:szCs w:val="22"/>
          <w:lang w:val="lt-LT"/>
        </w:rPr>
      </w:pPr>
      <w:proofErr w:type="spellStart"/>
      <w:r w:rsidRPr="00B011DB">
        <w:rPr>
          <w:rFonts w:eastAsia="Times New Roman"/>
          <w:color w:val="000000"/>
          <w:szCs w:val="22"/>
          <w:lang w:val="lt-LT"/>
        </w:rPr>
        <w:t>Korespond</w:t>
      </w:r>
      <w:proofErr w:type="spellEnd"/>
      <w:r w:rsidRPr="00B011DB">
        <w:rPr>
          <w:rFonts w:eastAsia="Times New Roman"/>
          <w:color w:val="000000"/>
          <w:szCs w:val="22"/>
          <w:lang w:val="lt-LT"/>
        </w:rPr>
        <w:t xml:space="preserve">. </w:t>
      </w:r>
      <w:proofErr w:type="spellStart"/>
      <w:r w:rsidRPr="00B011DB">
        <w:rPr>
          <w:rFonts w:eastAsia="Times New Roman"/>
          <w:color w:val="000000"/>
          <w:szCs w:val="22"/>
          <w:lang w:val="lt-LT"/>
        </w:rPr>
        <w:t>adr</w:t>
      </w:r>
      <w:proofErr w:type="spellEnd"/>
      <w:r w:rsidRPr="00B011DB">
        <w:rPr>
          <w:rFonts w:eastAsia="Times New Roman"/>
          <w:color w:val="000000"/>
          <w:szCs w:val="22"/>
          <w:lang w:val="lt-LT"/>
        </w:rPr>
        <w:t>. Antakalnio g. 124, Vilnius</w:t>
      </w:r>
      <w:r w:rsidRPr="00B011DB">
        <w:rPr>
          <w:rFonts w:eastAsia="Times New Roman"/>
          <w:color w:val="000000"/>
          <w:szCs w:val="22"/>
          <w:lang w:val="lt-LT"/>
        </w:rPr>
        <w:tab/>
      </w:r>
      <w:r w:rsidR="001C539D" w:rsidRPr="00B011DB">
        <w:rPr>
          <w:rFonts w:eastAsia="Times New Roman"/>
          <w:color w:val="000000"/>
          <w:szCs w:val="22"/>
          <w:lang w:val="lt-LT"/>
        </w:rPr>
        <w:tab/>
        <w:t>A/s LT 22 73000 1010 1375039</w:t>
      </w:r>
    </w:p>
    <w:p w14:paraId="344AD7EC" w14:textId="1CB916E2"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 xml:space="preserve">A/s LT 867044060007990186 </w:t>
      </w:r>
      <w:r w:rsidRPr="00B011DB">
        <w:rPr>
          <w:rFonts w:eastAsia="Times New Roman"/>
          <w:color w:val="000000"/>
          <w:szCs w:val="22"/>
          <w:lang w:val="lt-LT"/>
        </w:rPr>
        <w:tab/>
      </w:r>
      <w:r w:rsidRPr="00B011DB">
        <w:rPr>
          <w:rFonts w:eastAsia="Times New Roman"/>
          <w:color w:val="000000"/>
          <w:szCs w:val="22"/>
          <w:lang w:val="lt-LT"/>
        </w:rPr>
        <w:tab/>
      </w:r>
      <w:r w:rsidR="001C539D" w:rsidRPr="00B011DB">
        <w:rPr>
          <w:rFonts w:eastAsia="Times New Roman"/>
          <w:color w:val="000000"/>
          <w:szCs w:val="22"/>
          <w:lang w:val="lt-LT"/>
        </w:rPr>
        <w:tab/>
        <w:t>AB “Swedbank”, banko kodas 73000</w:t>
      </w:r>
    </w:p>
    <w:p w14:paraId="364A3700" w14:textId="60CB777E"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AB SEB bankas, Banko kodas 70440</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r>
      <w:r w:rsidR="001C539D" w:rsidRPr="00B011DB">
        <w:rPr>
          <w:rFonts w:eastAsia="Times New Roman"/>
          <w:color w:val="000000"/>
          <w:szCs w:val="22"/>
          <w:lang w:val="lt-LT"/>
        </w:rPr>
        <w:t>Į</w:t>
      </w:r>
      <w:r w:rsidR="00B011DB" w:rsidRPr="00B011DB">
        <w:rPr>
          <w:rFonts w:eastAsia="Times New Roman"/>
          <w:color w:val="000000"/>
          <w:szCs w:val="22"/>
          <w:lang w:val="lt-LT"/>
        </w:rPr>
        <w:t>staigos</w:t>
      </w:r>
      <w:r w:rsidR="001C539D" w:rsidRPr="00B011DB">
        <w:rPr>
          <w:rFonts w:eastAsia="Times New Roman"/>
          <w:color w:val="000000"/>
          <w:szCs w:val="22"/>
          <w:lang w:val="lt-LT"/>
        </w:rPr>
        <w:t xml:space="preserve"> kodas </w:t>
      </w:r>
      <w:r w:rsidRPr="00B011DB">
        <w:rPr>
          <w:rFonts w:eastAsia="Times New Roman"/>
          <w:color w:val="000000"/>
          <w:szCs w:val="22"/>
          <w:lang w:val="lt-LT"/>
        </w:rPr>
        <w:tab/>
      </w:r>
      <w:r w:rsidR="001C539D" w:rsidRPr="00B011DB">
        <w:rPr>
          <w:rFonts w:eastAsia="Times New Roman"/>
          <w:color w:val="000000"/>
          <w:szCs w:val="22"/>
          <w:lang w:val="lt-LT"/>
        </w:rPr>
        <w:t>126413338</w:t>
      </w:r>
    </w:p>
    <w:p w14:paraId="582CD2AA" w14:textId="04261122"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Įmonės kodas 302692454</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r>
      <w:r w:rsidR="001C539D" w:rsidRPr="00B011DB">
        <w:rPr>
          <w:rFonts w:eastAsia="Times New Roman"/>
          <w:color w:val="000000"/>
          <w:szCs w:val="22"/>
          <w:lang w:val="lt-LT"/>
        </w:rPr>
        <w:tab/>
        <w:t>Tel.: (8 5) 239 2444</w:t>
      </w:r>
    </w:p>
    <w:p w14:paraId="4A9AB187" w14:textId="461230C2"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PVM kodas  LT100006560213</w:t>
      </w:r>
      <w:r w:rsidRPr="00B011DB">
        <w:rPr>
          <w:rFonts w:eastAsia="Times New Roman"/>
          <w:color w:val="000000"/>
          <w:szCs w:val="22"/>
          <w:lang w:val="lt-LT"/>
        </w:rPr>
        <w:tab/>
      </w:r>
      <w:r w:rsidRPr="00B011DB">
        <w:rPr>
          <w:rFonts w:eastAsia="Times New Roman"/>
          <w:color w:val="000000"/>
          <w:szCs w:val="22"/>
          <w:lang w:val="lt-LT"/>
        </w:rPr>
        <w:tab/>
      </w:r>
      <w:r w:rsidR="001C539D" w:rsidRPr="00B011DB">
        <w:rPr>
          <w:rFonts w:eastAsia="Times New Roman"/>
          <w:color w:val="000000"/>
          <w:szCs w:val="22"/>
          <w:lang w:val="lt-LT"/>
        </w:rPr>
        <w:tab/>
        <w:t xml:space="preserve">El. p.: </w:t>
      </w:r>
      <w:hyperlink r:id="rId10" w:history="1">
        <w:r w:rsidR="001C539D" w:rsidRPr="00B011DB">
          <w:rPr>
            <w:rStyle w:val="Hipersaitas"/>
            <w:rFonts w:eastAsia="Times New Roman"/>
            <w:szCs w:val="22"/>
            <w:lang w:val="lt-LT"/>
          </w:rPr>
          <w:t>nkcadminisracija@kraujodonoryste.lt</w:t>
        </w:r>
      </w:hyperlink>
      <w:r w:rsidR="001C539D" w:rsidRPr="00B011DB">
        <w:rPr>
          <w:rFonts w:eastAsia="Times New Roman"/>
          <w:color w:val="000000"/>
          <w:szCs w:val="22"/>
          <w:lang w:val="lt-LT"/>
        </w:rPr>
        <w:t xml:space="preserve">. </w:t>
      </w:r>
    </w:p>
    <w:p w14:paraId="2B9965DB" w14:textId="77777777"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Tel.: (8 5) 234 4487, faks.: (8 5) 234 6966</w:t>
      </w:r>
      <w:r w:rsidRPr="00B011DB">
        <w:rPr>
          <w:rFonts w:eastAsia="Times New Roman"/>
          <w:color w:val="000000"/>
          <w:szCs w:val="22"/>
          <w:lang w:val="lt-LT"/>
        </w:rPr>
        <w:tab/>
      </w:r>
    </w:p>
    <w:p w14:paraId="36E545EC" w14:textId="77777777"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 xml:space="preserve">El. paštas.: </w:t>
      </w:r>
      <w:hyperlink r:id="rId11" w:history="1">
        <w:r w:rsidRPr="00B011DB">
          <w:rPr>
            <w:rStyle w:val="Hipersaitas"/>
            <w:rFonts w:eastAsia="Times New Roman"/>
            <w:szCs w:val="22"/>
            <w:lang w:val="lt-LT"/>
          </w:rPr>
          <w:t>info@vmkl.lt</w:t>
        </w:r>
      </w:hyperlink>
      <w:r w:rsidRPr="00B011DB">
        <w:rPr>
          <w:rFonts w:eastAsia="Times New Roman"/>
          <w:color w:val="000000"/>
          <w:szCs w:val="22"/>
          <w:lang w:val="lt-LT"/>
        </w:rPr>
        <w:t xml:space="preserve">. </w:t>
      </w:r>
    </w:p>
    <w:p w14:paraId="14B82D87" w14:textId="77777777" w:rsidR="00696764" w:rsidRPr="00B011DB" w:rsidRDefault="00696764" w:rsidP="00696764">
      <w:pPr>
        <w:tabs>
          <w:tab w:val="left" w:pos="720"/>
          <w:tab w:val="left" w:pos="1260"/>
        </w:tabs>
        <w:jc w:val="both"/>
        <w:rPr>
          <w:rFonts w:eastAsia="Times New Roman"/>
          <w:szCs w:val="22"/>
          <w:lang w:val="lt-LT"/>
        </w:rPr>
      </w:pPr>
    </w:p>
    <w:p w14:paraId="78B74FC2" w14:textId="2DD913C0" w:rsidR="00696764" w:rsidRPr="00B011DB" w:rsidRDefault="001C539D" w:rsidP="00696764">
      <w:pPr>
        <w:tabs>
          <w:tab w:val="left" w:pos="720"/>
          <w:tab w:val="left" w:pos="1260"/>
        </w:tabs>
        <w:jc w:val="both"/>
        <w:rPr>
          <w:rFonts w:eastAsia="Times New Roman"/>
          <w:szCs w:val="22"/>
          <w:lang w:val="lt-LT"/>
        </w:rPr>
      </w:pPr>
      <w:r w:rsidRPr="00B011DB">
        <w:rPr>
          <w:rFonts w:eastAsia="Times New Roman"/>
          <w:szCs w:val="22"/>
          <w:lang w:val="lt-LT"/>
        </w:rPr>
        <w:t>Direktorius</w:t>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proofErr w:type="spellStart"/>
      <w:r w:rsidRPr="00B011DB">
        <w:rPr>
          <w:rFonts w:eastAsia="Times New Roman"/>
          <w:szCs w:val="22"/>
          <w:lang w:val="lt-LT"/>
        </w:rPr>
        <w:t>Direktorius</w:t>
      </w:r>
      <w:proofErr w:type="spellEnd"/>
    </w:p>
    <w:p w14:paraId="37CAA65C" w14:textId="77777777" w:rsidR="001C539D" w:rsidRPr="00B011DB" w:rsidRDefault="001C539D" w:rsidP="00696764">
      <w:pPr>
        <w:tabs>
          <w:tab w:val="left" w:pos="720"/>
          <w:tab w:val="left" w:pos="1260"/>
        </w:tabs>
        <w:jc w:val="both"/>
        <w:rPr>
          <w:rFonts w:eastAsia="Times New Roman"/>
          <w:szCs w:val="22"/>
          <w:lang w:val="lt-LT"/>
        </w:rPr>
      </w:pPr>
    </w:p>
    <w:p w14:paraId="2B7BBCC4" w14:textId="7BD773B4" w:rsidR="00696764" w:rsidRPr="00B011DB" w:rsidRDefault="00696764" w:rsidP="00696764">
      <w:pPr>
        <w:tabs>
          <w:tab w:val="left" w:pos="720"/>
          <w:tab w:val="left" w:pos="1260"/>
        </w:tabs>
        <w:jc w:val="both"/>
        <w:rPr>
          <w:rFonts w:eastAsia="Times New Roman"/>
          <w:szCs w:val="22"/>
          <w:lang w:val="lt-LT"/>
        </w:rPr>
      </w:pPr>
      <w:r w:rsidRPr="00B011DB">
        <w:rPr>
          <w:rFonts w:eastAsia="Times New Roman"/>
          <w:color w:val="000000"/>
          <w:szCs w:val="22"/>
          <w:lang w:val="lt-LT"/>
        </w:rPr>
        <w:t>______________________________</w:t>
      </w:r>
      <w:r w:rsidRPr="00B011DB">
        <w:rPr>
          <w:rFonts w:eastAsia="Times New Roman"/>
          <w:color w:val="000000"/>
          <w:szCs w:val="22"/>
          <w:lang w:val="lt-LT"/>
        </w:rPr>
        <w:tab/>
      </w:r>
      <w:r w:rsidRPr="00B011DB">
        <w:rPr>
          <w:rFonts w:eastAsia="Times New Roman"/>
          <w:color w:val="000000"/>
          <w:szCs w:val="22"/>
          <w:lang w:val="lt-LT"/>
        </w:rPr>
        <w:tab/>
        <w:t>_______________________________</w:t>
      </w:r>
    </w:p>
    <w:p w14:paraId="45056546" w14:textId="362D16AB" w:rsidR="00696764" w:rsidRPr="00B011DB" w:rsidRDefault="001C539D" w:rsidP="00696764">
      <w:pPr>
        <w:tabs>
          <w:tab w:val="left" w:pos="720"/>
          <w:tab w:val="left" w:pos="1260"/>
        </w:tabs>
        <w:jc w:val="both"/>
        <w:rPr>
          <w:rFonts w:eastAsia="Times New Roman"/>
          <w:szCs w:val="22"/>
          <w:lang w:val="lt-LT"/>
        </w:rPr>
      </w:pPr>
      <w:r w:rsidRPr="00B011DB">
        <w:rPr>
          <w:rFonts w:eastAsia="Times New Roman"/>
          <w:color w:val="000000"/>
          <w:szCs w:val="22"/>
          <w:lang w:val="lt-LT"/>
        </w:rPr>
        <w:t>Narimantas Markevičius</w:t>
      </w:r>
      <w:r w:rsidR="00696764" w:rsidRPr="00B011DB">
        <w:rPr>
          <w:rFonts w:eastAsia="Times New Roman"/>
          <w:color w:val="000000"/>
          <w:szCs w:val="22"/>
          <w:lang w:val="lt-LT"/>
        </w:rPr>
        <w:tab/>
        <w:t>A.V.</w:t>
      </w:r>
      <w:r w:rsidR="00696764" w:rsidRPr="00B011DB">
        <w:rPr>
          <w:rFonts w:eastAsia="Times New Roman"/>
          <w:color w:val="000000"/>
          <w:szCs w:val="22"/>
          <w:lang w:val="lt-LT"/>
        </w:rPr>
        <w:tab/>
      </w:r>
      <w:r w:rsidR="00696764" w:rsidRPr="00B011DB">
        <w:rPr>
          <w:rFonts w:eastAsia="Times New Roman"/>
          <w:color w:val="000000"/>
          <w:szCs w:val="22"/>
          <w:lang w:val="lt-LT"/>
        </w:rPr>
        <w:tab/>
      </w:r>
      <w:r w:rsidR="00696764" w:rsidRPr="00B011DB">
        <w:rPr>
          <w:rFonts w:eastAsia="Times New Roman"/>
          <w:color w:val="000000"/>
          <w:szCs w:val="22"/>
          <w:lang w:val="lt-LT"/>
        </w:rPr>
        <w:tab/>
      </w:r>
      <w:r w:rsidRPr="00B011DB">
        <w:rPr>
          <w:rFonts w:eastAsia="Times New Roman"/>
          <w:color w:val="000000"/>
          <w:szCs w:val="22"/>
          <w:lang w:val="lt-LT"/>
        </w:rPr>
        <w:t>Daumantas Gutauskas</w:t>
      </w:r>
      <w:r w:rsidR="00696764" w:rsidRPr="00B011DB">
        <w:rPr>
          <w:rFonts w:eastAsia="Times New Roman"/>
          <w:color w:val="000000"/>
          <w:szCs w:val="22"/>
          <w:lang w:val="lt-LT"/>
        </w:rPr>
        <w:tab/>
      </w:r>
      <w:r w:rsidR="00696764" w:rsidRPr="00B011DB">
        <w:rPr>
          <w:rFonts w:eastAsia="Times New Roman"/>
          <w:color w:val="000000"/>
          <w:szCs w:val="22"/>
          <w:lang w:val="lt-LT"/>
        </w:rPr>
        <w:tab/>
        <w:t>A.V.</w:t>
      </w:r>
    </w:p>
    <w:p w14:paraId="7B0AFF80" w14:textId="222FF1AE" w:rsidR="00696764" w:rsidRPr="00B011DB" w:rsidRDefault="00696764" w:rsidP="00696764">
      <w:pPr>
        <w:jc w:val="both"/>
        <w:rPr>
          <w:rFonts w:eastAsia="Times New Roman"/>
          <w:b/>
          <w:color w:val="000000"/>
          <w:szCs w:val="22"/>
          <w:lang w:val="lt-LT"/>
        </w:rPr>
      </w:pPr>
      <w:r w:rsidRPr="00B011DB">
        <w:rPr>
          <w:rFonts w:eastAsia="Times New Roman"/>
          <w:b/>
          <w:color w:val="000000"/>
          <w:szCs w:val="22"/>
          <w:lang w:val="lt-LT"/>
        </w:rPr>
        <w:tab/>
      </w:r>
    </w:p>
    <w:p w14:paraId="24576D64" w14:textId="490C4C40" w:rsidR="00AC0254" w:rsidRPr="00B011DB" w:rsidRDefault="00AC0254" w:rsidP="00696764">
      <w:pPr>
        <w:jc w:val="both"/>
        <w:rPr>
          <w:rFonts w:eastAsia="Times New Roman"/>
          <w:b/>
          <w:color w:val="000000"/>
          <w:szCs w:val="22"/>
          <w:lang w:val="lt-LT"/>
        </w:rPr>
      </w:pPr>
    </w:p>
    <w:p w14:paraId="2A45AF49" w14:textId="4E625C89" w:rsidR="00AC0254" w:rsidRPr="00B011DB" w:rsidRDefault="00AC0254" w:rsidP="00696764">
      <w:pPr>
        <w:jc w:val="both"/>
        <w:rPr>
          <w:rFonts w:eastAsia="Times New Roman"/>
          <w:b/>
          <w:color w:val="000000"/>
          <w:szCs w:val="22"/>
          <w:lang w:val="lt-LT"/>
        </w:rPr>
      </w:pPr>
    </w:p>
    <w:p w14:paraId="2E84C585" w14:textId="369A3950" w:rsidR="00AC0254" w:rsidRPr="00B011DB" w:rsidRDefault="00AC0254" w:rsidP="00696764">
      <w:pPr>
        <w:jc w:val="both"/>
        <w:rPr>
          <w:rFonts w:eastAsia="Times New Roman"/>
          <w:b/>
          <w:color w:val="000000"/>
          <w:szCs w:val="22"/>
          <w:lang w:val="lt-LT"/>
        </w:rPr>
      </w:pPr>
    </w:p>
    <w:p w14:paraId="55957C2A" w14:textId="62C949BF" w:rsidR="00AC0254" w:rsidRPr="00B011DB" w:rsidRDefault="00AC0254" w:rsidP="00696764">
      <w:pPr>
        <w:jc w:val="both"/>
        <w:rPr>
          <w:rFonts w:eastAsia="Times New Roman"/>
          <w:b/>
          <w:color w:val="000000"/>
          <w:szCs w:val="22"/>
          <w:lang w:val="lt-LT"/>
        </w:rPr>
      </w:pPr>
    </w:p>
    <w:p w14:paraId="5F1F1334" w14:textId="69337C24" w:rsidR="001C539D" w:rsidRPr="00B011DB" w:rsidRDefault="001C539D" w:rsidP="00696764">
      <w:pPr>
        <w:jc w:val="both"/>
        <w:rPr>
          <w:rFonts w:eastAsia="Times New Roman"/>
          <w:b/>
          <w:color w:val="000000"/>
          <w:szCs w:val="22"/>
          <w:lang w:val="lt-LT"/>
        </w:rPr>
      </w:pPr>
      <w:r w:rsidRPr="00B011DB">
        <w:rPr>
          <w:rFonts w:eastAsia="Times New Roman"/>
          <w:b/>
          <w:color w:val="000000"/>
          <w:szCs w:val="22"/>
          <w:lang w:val="lt-LT"/>
        </w:rPr>
        <w:br w:type="page"/>
      </w:r>
    </w:p>
    <w:p w14:paraId="772E727A" w14:textId="392936F5" w:rsidR="00AC0254" w:rsidRPr="00B011DB" w:rsidRDefault="00D40505" w:rsidP="00D40505">
      <w:pPr>
        <w:jc w:val="right"/>
        <w:rPr>
          <w:rFonts w:eastAsia="Times New Roman"/>
          <w:b/>
          <w:color w:val="000000"/>
          <w:szCs w:val="22"/>
          <w:lang w:val="lt-LT"/>
        </w:rPr>
      </w:pPr>
      <w:r w:rsidRPr="00B011DB">
        <w:rPr>
          <w:rFonts w:eastAsia="Times New Roman"/>
          <w:b/>
          <w:color w:val="000000"/>
          <w:szCs w:val="22"/>
          <w:lang w:val="lt-LT"/>
        </w:rPr>
        <w:lastRenderedPageBreak/>
        <w:t>Priedas Nr. 1 prie Sutarties Nr. S1-______</w:t>
      </w:r>
    </w:p>
    <w:p w14:paraId="7D2E33B6" w14:textId="41145CA8" w:rsidR="00D40505" w:rsidRPr="00B011DB" w:rsidRDefault="00D40505" w:rsidP="00D40505">
      <w:pPr>
        <w:jc w:val="right"/>
        <w:rPr>
          <w:rFonts w:eastAsia="Times New Roman"/>
          <w:b/>
          <w:color w:val="000000"/>
          <w:szCs w:val="22"/>
          <w:lang w:val="lt-LT"/>
        </w:rPr>
      </w:pPr>
      <w:r w:rsidRPr="00B011DB">
        <w:rPr>
          <w:rFonts w:eastAsia="Times New Roman"/>
          <w:b/>
          <w:color w:val="000000"/>
          <w:szCs w:val="22"/>
          <w:lang w:val="lt-LT"/>
        </w:rPr>
        <w:t xml:space="preserve">2022 m. sausio </w:t>
      </w:r>
      <w:r w:rsidR="00B011DB" w:rsidRPr="00B011DB">
        <w:rPr>
          <w:rFonts w:eastAsia="Times New Roman"/>
          <w:b/>
          <w:color w:val="000000"/>
          <w:szCs w:val="22"/>
          <w:lang w:val="lt-LT"/>
        </w:rPr>
        <w:t xml:space="preserve">10 </w:t>
      </w:r>
      <w:r w:rsidRPr="00B011DB">
        <w:rPr>
          <w:rFonts w:eastAsia="Times New Roman"/>
          <w:b/>
          <w:color w:val="000000"/>
          <w:szCs w:val="22"/>
          <w:lang w:val="lt-LT"/>
        </w:rPr>
        <w:t>d.</w:t>
      </w:r>
    </w:p>
    <w:p w14:paraId="2C118316" w14:textId="36DEB56A" w:rsidR="00D40505" w:rsidRPr="00B011DB" w:rsidRDefault="00D40505" w:rsidP="00D40505">
      <w:pPr>
        <w:jc w:val="right"/>
        <w:rPr>
          <w:rFonts w:eastAsia="Times New Roman"/>
          <w:b/>
          <w:color w:val="000000"/>
          <w:szCs w:val="22"/>
          <w:lang w:val="lt-LT"/>
        </w:rPr>
      </w:pPr>
    </w:p>
    <w:p w14:paraId="18E275DB" w14:textId="01C22899" w:rsidR="00D40505" w:rsidRPr="00B011DB" w:rsidRDefault="00D40505" w:rsidP="00D40505">
      <w:pPr>
        <w:jc w:val="center"/>
        <w:rPr>
          <w:rFonts w:eastAsia="Times New Roman"/>
          <w:bCs/>
          <w:color w:val="000000"/>
          <w:szCs w:val="22"/>
          <w:lang w:val="lt-LT"/>
        </w:rPr>
      </w:pPr>
      <w:r w:rsidRPr="00B011DB">
        <w:rPr>
          <w:rFonts w:eastAsia="Times New Roman"/>
          <w:bCs/>
          <w:color w:val="000000"/>
          <w:szCs w:val="22"/>
          <w:lang w:val="lt-LT"/>
        </w:rPr>
        <w:t>Techninė specifikacija ir įkainiai</w:t>
      </w:r>
    </w:p>
    <w:p w14:paraId="109C253D" w14:textId="514D5CB8" w:rsidR="00D40505" w:rsidRPr="00B011DB" w:rsidRDefault="00D40505" w:rsidP="00D40505">
      <w:pPr>
        <w:jc w:val="center"/>
        <w:rPr>
          <w:rFonts w:eastAsia="Times New Roman"/>
          <w:b/>
          <w:color w:val="000000"/>
          <w:szCs w:val="22"/>
          <w:lang w:val="lt-LT"/>
        </w:rPr>
      </w:pPr>
    </w:p>
    <w:tbl>
      <w:tblPr>
        <w:tblW w:w="9923" w:type="dxa"/>
        <w:tblInd w:w="-142" w:type="dxa"/>
        <w:tblLayout w:type="fixed"/>
        <w:tblLook w:val="04A0" w:firstRow="1" w:lastRow="0" w:firstColumn="1" w:lastColumn="0" w:noHBand="0" w:noVBand="1"/>
      </w:tblPr>
      <w:tblGrid>
        <w:gridCol w:w="556"/>
        <w:gridCol w:w="828"/>
        <w:gridCol w:w="3969"/>
        <w:gridCol w:w="743"/>
        <w:gridCol w:w="1134"/>
        <w:gridCol w:w="1276"/>
        <w:gridCol w:w="1417"/>
      </w:tblGrid>
      <w:tr w:rsidR="00A80CB0" w:rsidRPr="00B011DB" w14:paraId="2CED7AF0" w14:textId="77777777" w:rsidTr="00B011DB">
        <w:trPr>
          <w:trHeight w:val="80"/>
        </w:trPr>
        <w:tc>
          <w:tcPr>
            <w:tcW w:w="556" w:type="dxa"/>
            <w:tcBorders>
              <w:top w:val="nil"/>
              <w:left w:val="nil"/>
              <w:bottom w:val="nil"/>
              <w:right w:val="nil"/>
            </w:tcBorders>
            <w:shd w:val="clear" w:color="auto" w:fill="auto"/>
            <w:noWrap/>
            <w:vAlign w:val="bottom"/>
            <w:hideMark/>
          </w:tcPr>
          <w:p w14:paraId="7E2E6BB9" w14:textId="77777777" w:rsidR="00A80CB0" w:rsidRPr="00B011DB" w:rsidRDefault="00A80CB0" w:rsidP="00A80CB0">
            <w:pPr>
              <w:rPr>
                <w:rFonts w:eastAsia="Times New Roman"/>
                <w:sz w:val="20"/>
                <w:szCs w:val="20"/>
                <w:lang w:val="lt-LT"/>
              </w:rPr>
            </w:pPr>
          </w:p>
        </w:tc>
        <w:tc>
          <w:tcPr>
            <w:tcW w:w="828" w:type="dxa"/>
            <w:tcBorders>
              <w:top w:val="nil"/>
              <w:left w:val="nil"/>
              <w:bottom w:val="nil"/>
              <w:right w:val="nil"/>
            </w:tcBorders>
            <w:shd w:val="clear" w:color="auto" w:fill="auto"/>
            <w:noWrap/>
            <w:vAlign w:val="bottom"/>
            <w:hideMark/>
          </w:tcPr>
          <w:p w14:paraId="55E79736" w14:textId="77777777" w:rsidR="00A80CB0" w:rsidRPr="00B011DB" w:rsidRDefault="00A80CB0" w:rsidP="00A80CB0">
            <w:pPr>
              <w:rPr>
                <w:rFonts w:eastAsia="Times New Roman"/>
                <w:sz w:val="20"/>
                <w:szCs w:val="20"/>
                <w:lang w:val="lt-LT"/>
              </w:rPr>
            </w:pPr>
          </w:p>
        </w:tc>
        <w:tc>
          <w:tcPr>
            <w:tcW w:w="3969" w:type="dxa"/>
            <w:tcBorders>
              <w:top w:val="nil"/>
              <w:left w:val="nil"/>
              <w:bottom w:val="nil"/>
              <w:right w:val="nil"/>
            </w:tcBorders>
            <w:shd w:val="clear" w:color="auto" w:fill="auto"/>
            <w:noWrap/>
            <w:vAlign w:val="bottom"/>
            <w:hideMark/>
          </w:tcPr>
          <w:p w14:paraId="30A0C7F6" w14:textId="77777777" w:rsidR="00A80CB0" w:rsidRPr="00B011DB" w:rsidRDefault="00A80CB0" w:rsidP="00A80CB0">
            <w:pPr>
              <w:rPr>
                <w:rFonts w:eastAsia="Times New Roman"/>
                <w:sz w:val="20"/>
                <w:szCs w:val="20"/>
                <w:lang w:val="lt-LT"/>
              </w:rPr>
            </w:pPr>
          </w:p>
        </w:tc>
        <w:tc>
          <w:tcPr>
            <w:tcW w:w="743" w:type="dxa"/>
            <w:tcBorders>
              <w:top w:val="nil"/>
              <w:left w:val="nil"/>
              <w:bottom w:val="nil"/>
              <w:right w:val="nil"/>
            </w:tcBorders>
            <w:shd w:val="clear" w:color="auto" w:fill="auto"/>
            <w:noWrap/>
            <w:vAlign w:val="bottom"/>
            <w:hideMark/>
          </w:tcPr>
          <w:p w14:paraId="2323FDF0" w14:textId="77777777" w:rsidR="00A80CB0" w:rsidRPr="00B011DB" w:rsidRDefault="00A80CB0" w:rsidP="00A80CB0">
            <w:pPr>
              <w:rPr>
                <w:rFonts w:eastAsia="Times New Roman"/>
                <w:sz w:val="20"/>
                <w:szCs w:val="20"/>
                <w:lang w:val="lt-LT"/>
              </w:rPr>
            </w:pPr>
          </w:p>
        </w:tc>
        <w:tc>
          <w:tcPr>
            <w:tcW w:w="1134" w:type="dxa"/>
            <w:tcBorders>
              <w:top w:val="nil"/>
              <w:left w:val="nil"/>
              <w:bottom w:val="nil"/>
              <w:right w:val="nil"/>
            </w:tcBorders>
            <w:shd w:val="clear" w:color="auto" w:fill="auto"/>
            <w:noWrap/>
            <w:vAlign w:val="bottom"/>
            <w:hideMark/>
          </w:tcPr>
          <w:p w14:paraId="36D1A44C" w14:textId="77777777" w:rsidR="00A80CB0" w:rsidRPr="00B011DB" w:rsidRDefault="00A80CB0" w:rsidP="00A80CB0">
            <w:pPr>
              <w:rPr>
                <w:rFonts w:eastAsia="Times New Roman"/>
                <w:sz w:val="20"/>
                <w:szCs w:val="20"/>
                <w:lang w:val="lt-LT"/>
              </w:rPr>
            </w:pPr>
          </w:p>
        </w:tc>
        <w:tc>
          <w:tcPr>
            <w:tcW w:w="1276" w:type="dxa"/>
            <w:tcBorders>
              <w:top w:val="nil"/>
              <w:left w:val="nil"/>
              <w:bottom w:val="nil"/>
              <w:right w:val="nil"/>
            </w:tcBorders>
            <w:shd w:val="clear" w:color="auto" w:fill="auto"/>
            <w:noWrap/>
            <w:vAlign w:val="bottom"/>
            <w:hideMark/>
          </w:tcPr>
          <w:p w14:paraId="2398D5B9" w14:textId="77777777" w:rsidR="00A80CB0" w:rsidRPr="00B011DB" w:rsidRDefault="00A80CB0" w:rsidP="00A80CB0">
            <w:pPr>
              <w:rPr>
                <w:rFonts w:eastAsia="Times New Roman"/>
                <w:sz w:val="20"/>
                <w:szCs w:val="20"/>
                <w:lang w:val="lt-LT"/>
              </w:rPr>
            </w:pPr>
          </w:p>
        </w:tc>
        <w:tc>
          <w:tcPr>
            <w:tcW w:w="1417" w:type="dxa"/>
            <w:tcBorders>
              <w:top w:val="nil"/>
              <w:left w:val="nil"/>
              <w:bottom w:val="nil"/>
              <w:right w:val="nil"/>
            </w:tcBorders>
            <w:shd w:val="clear" w:color="auto" w:fill="auto"/>
            <w:noWrap/>
            <w:vAlign w:val="bottom"/>
            <w:hideMark/>
          </w:tcPr>
          <w:p w14:paraId="394BD314" w14:textId="77777777" w:rsidR="00A80CB0" w:rsidRPr="00B011DB" w:rsidRDefault="00A80CB0" w:rsidP="00A80CB0">
            <w:pPr>
              <w:rPr>
                <w:rFonts w:eastAsia="Times New Roman"/>
                <w:sz w:val="20"/>
                <w:szCs w:val="20"/>
                <w:lang w:val="lt-LT"/>
              </w:rPr>
            </w:pPr>
          </w:p>
        </w:tc>
      </w:tr>
      <w:tr w:rsidR="00A80CB0" w:rsidRPr="00B011DB" w14:paraId="50D82D6E" w14:textId="77777777" w:rsidTr="00B011DB">
        <w:trPr>
          <w:trHeight w:val="1064"/>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2D920668" w14:textId="77777777" w:rsidR="00A80CB0" w:rsidRPr="00B011DB" w:rsidRDefault="00A80CB0" w:rsidP="00A80CB0">
            <w:pPr>
              <w:rPr>
                <w:rFonts w:eastAsia="Times New Roman"/>
                <w:color w:val="000000"/>
                <w:lang w:val="lt-LT"/>
              </w:rPr>
            </w:pPr>
            <w:r w:rsidRPr="00B011DB">
              <w:rPr>
                <w:rFonts w:eastAsia="Times New Roman"/>
                <w:color w:val="000000"/>
                <w:lang w:val="lt-LT"/>
              </w:rPr>
              <w:t>Eil. Nr.</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560C869E" w14:textId="77777777" w:rsidR="00A80CB0" w:rsidRPr="00B011DB" w:rsidRDefault="00A80CB0" w:rsidP="00A80CB0">
            <w:pPr>
              <w:ind w:left="-130" w:right="-108"/>
              <w:jc w:val="center"/>
              <w:rPr>
                <w:rFonts w:eastAsia="Times New Roman"/>
                <w:color w:val="000000"/>
                <w:lang w:val="lt-LT"/>
              </w:rPr>
            </w:pPr>
            <w:r w:rsidRPr="00B011DB">
              <w:rPr>
                <w:rFonts w:eastAsia="Times New Roman"/>
                <w:color w:val="000000"/>
                <w:lang w:val="lt-LT"/>
              </w:rPr>
              <w:t>Pirkimo dalies Nr.</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9953623"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Pavadinimas bei reikalavimai</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2C4AB548"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95975"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Orientacinis kiekis 36 mėn.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89B039"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Įkainis Eur be PVM už vieną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3A68EC"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Orientacinio kiekio kaina (suma) Eur be PVM**</w:t>
            </w:r>
          </w:p>
        </w:tc>
      </w:tr>
      <w:tr w:rsidR="00A80CB0" w:rsidRPr="00B011DB" w14:paraId="3C6A4862" w14:textId="77777777" w:rsidTr="00B011DB">
        <w:trPr>
          <w:trHeight w:val="312"/>
        </w:trPr>
        <w:tc>
          <w:tcPr>
            <w:tcW w:w="556" w:type="dxa"/>
            <w:tcBorders>
              <w:top w:val="nil"/>
              <w:left w:val="single" w:sz="4" w:space="0" w:color="auto"/>
              <w:bottom w:val="single" w:sz="4" w:space="0" w:color="auto"/>
              <w:right w:val="single" w:sz="4" w:space="0" w:color="auto"/>
            </w:tcBorders>
            <w:shd w:val="clear" w:color="auto" w:fill="auto"/>
            <w:hideMark/>
          </w:tcPr>
          <w:p w14:paraId="1053AD01"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1</w:t>
            </w:r>
          </w:p>
        </w:tc>
        <w:tc>
          <w:tcPr>
            <w:tcW w:w="828" w:type="dxa"/>
            <w:tcBorders>
              <w:top w:val="nil"/>
              <w:left w:val="nil"/>
              <w:bottom w:val="single" w:sz="4" w:space="0" w:color="auto"/>
              <w:right w:val="single" w:sz="4" w:space="0" w:color="auto"/>
            </w:tcBorders>
            <w:shd w:val="clear" w:color="auto" w:fill="auto"/>
            <w:vAlign w:val="center"/>
            <w:hideMark/>
          </w:tcPr>
          <w:p w14:paraId="7520C33F"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2</w:t>
            </w:r>
          </w:p>
        </w:tc>
        <w:tc>
          <w:tcPr>
            <w:tcW w:w="3969" w:type="dxa"/>
            <w:tcBorders>
              <w:top w:val="nil"/>
              <w:left w:val="nil"/>
              <w:bottom w:val="single" w:sz="4" w:space="0" w:color="auto"/>
              <w:right w:val="single" w:sz="4" w:space="0" w:color="auto"/>
            </w:tcBorders>
            <w:shd w:val="clear" w:color="auto" w:fill="auto"/>
            <w:vAlign w:val="center"/>
            <w:hideMark/>
          </w:tcPr>
          <w:p w14:paraId="04EF3775"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3</w:t>
            </w:r>
          </w:p>
        </w:tc>
        <w:tc>
          <w:tcPr>
            <w:tcW w:w="743" w:type="dxa"/>
            <w:tcBorders>
              <w:top w:val="nil"/>
              <w:left w:val="nil"/>
              <w:bottom w:val="single" w:sz="4" w:space="0" w:color="auto"/>
              <w:right w:val="single" w:sz="4" w:space="0" w:color="auto"/>
            </w:tcBorders>
            <w:shd w:val="clear" w:color="auto" w:fill="auto"/>
            <w:vAlign w:val="center"/>
            <w:hideMark/>
          </w:tcPr>
          <w:p w14:paraId="682F48CF"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4</w:t>
            </w:r>
          </w:p>
        </w:tc>
        <w:tc>
          <w:tcPr>
            <w:tcW w:w="1134" w:type="dxa"/>
            <w:tcBorders>
              <w:top w:val="nil"/>
              <w:left w:val="nil"/>
              <w:bottom w:val="single" w:sz="4" w:space="0" w:color="auto"/>
              <w:right w:val="single" w:sz="4" w:space="0" w:color="auto"/>
            </w:tcBorders>
            <w:shd w:val="clear" w:color="auto" w:fill="auto"/>
            <w:vAlign w:val="center"/>
            <w:hideMark/>
          </w:tcPr>
          <w:p w14:paraId="79092E13"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5</w:t>
            </w:r>
          </w:p>
        </w:tc>
        <w:tc>
          <w:tcPr>
            <w:tcW w:w="1276" w:type="dxa"/>
            <w:tcBorders>
              <w:top w:val="nil"/>
              <w:left w:val="nil"/>
              <w:bottom w:val="single" w:sz="4" w:space="0" w:color="auto"/>
              <w:right w:val="single" w:sz="4" w:space="0" w:color="auto"/>
            </w:tcBorders>
            <w:shd w:val="clear" w:color="auto" w:fill="auto"/>
            <w:vAlign w:val="center"/>
            <w:hideMark/>
          </w:tcPr>
          <w:p w14:paraId="703978EC"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6</w:t>
            </w:r>
          </w:p>
        </w:tc>
        <w:tc>
          <w:tcPr>
            <w:tcW w:w="1417" w:type="dxa"/>
            <w:tcBorders>
              <w:top w:val="nil"/>
              <w:left w:val="nil"/>
              <w:bottom w:val="single" w:sz="4" w:space="0" w:color="auto"/>
              <w:right w:val="single" w:sz="4" w:space="0" w:color="auto"/>
            </w:tcBorders>
            <w:shd w:val="clear" w:color="auto" w:fill="auto"/>
            <w:vAlign w:val="center"/>
            <w:hideMark/>
          </w:tcPr>
          <w:p w14:paraId="67E0F6D5"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7</w:t>
            </w:r>
          </w:p>
        </w:tc>
      </w:tr>
      <w:tr w:rsidR="00A80CB0" w:rsidRPr="00B011DB" w14:paraId="3843B692" w14:textId="77777777" w:rsidTr="00B011DB">
        <w:trPr>
          <w:trHeight w:val="1230"/>
        </w:trPr>
        <w:tc>
          <w:tcPr>
            <w:tcW w:w="556" w:type="dxa"/>
            <w:tcBorders>
              <w:top w:val="nil"/>
              <w:left w:val="single" w:sz="4" w:space="0" w:color="auto"/>
              <w:bottom w:val="single" w:sz="4" w:space="0" w:color="auto"/>
              <w:right w:val="single" w:sz="4" w:space="0" w:color="auto"/>
            </w:tcBorders>
            <w:shd w:val="clear" w:color="auto" w:fill="auto"/>
            <w:noWrap/>
            <w:hideMark/>
          </w:tcPr>
          <w:p w14:paraId="5467ACDE"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2</w:t>
            </w:r>
          </w:p>
        </w:tc>
        <w:tc>
          <w:tcPr>
            <w:tcW w:w="828" w:type="dxa"/>
            <w:tcBorders>
              <w:top w:val="nil"/>
              <w:left w:val="nil"/>
              <w:bottom w:val="single" w:sz="4" w:space="0" w:color="000000"/>
              <w:right w:val="single" w:sz="4" w:space="0" w:color="000000"/>
            </w:tcBorders>
            <w:shd w:val="clear" w:color="auto" w:fill="auto"/>
            <w:hideMark/>
          </w:tcPr>
          <w:p w14:paraId="285FB59D"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1</w:t>
            </w:r>
          </w:p>
        </w:tc>
        <w:tc>
          <w:tcPr>
            <w:tcW w:w="3969" w:type="dxa"/>
            <w:tcBorders>
              <w:top w:val="nil"/>
              <w:left w:val="nil"/>
              <w:bottom w:val="single" w:sz="4" w:space="0" w:color="000000"/>
              <w:right w:val="single" w:sz="4" w:space="0" w:color="000000"/>
            </w:tcBorders>
            <w:shd w:val="clear" w:color="auto" w:fill="auto"/>
            <w:hideMark/>
          </w:tcPr>
          <w:p w14:paraId="7AC71043" w14:textId="77777777" w:rsidR="00A80CB0" w:rsidRPr="00B011DB" w:rsidRDefault="00A80CB0" w:rsidP="00A80CB0">
            <w:pPr>
              <w:rPr>
                <w:rFonts w:eastAsia="Times New Roman"/>
                <w:color w:val="000000"/>
                <w:lang w:val="lt-LT"/>
              </w:rPr>
            </w:pPr>
            <w:r w:rsidRPr="00B011DB">
              <w:rPr>
                <w:rFonts w:eastAsia="Times New Roman"/>
                <w:color w:val="000000"/>
                <w:lang w:val="lt-LT"/>
              </w:rPr>
              <w:t xml:space="preserve">Eritrocitai be leukocitų  pridėtiniame tirpale (1 V </w:t>
            </w:r>
            <w:r w:rsidRPr="00B011DB">
              <w:rPr>
                <w:rFonts w:ascii="Symbol" w:eastAsia="Times New Roman" w:hAnsi="Symbol"/>
                <w:color w:val="000000"/>
                <w:lang w:val="lt-LT"/>
              </w:rPr>
              <w:t></w:t>
            </w:r>
            <w:r w:rsidRPr="00B011DB">
              <w:rPr>
                <w:rFonts w:eastAsia="Times New Roman"/>
                <w:color w:val="000000"/>
                <w:lang w:val="lt-LT"/>
              </w:rPr>
              <w:t xml:space="preserve"> 250 ml </w:t>
            </w:r>
            <w:r w:rsidRPr="00B011DB">
              <w:rPr>
                <w:rFonts w:ascii="Symbol" w:eastAsia="Times New Roman" w:hAnsi="Symbol"/>
                <w:color w:val="000000"/>
                <w:lang w:val="lt-LT"/>
              </w:rPr>
              <w:t></w:t>
            </w:r>
            <w:r w:rsidRPr="00B011DB">
              <w:rPr>
                <w:rFonts w:eastAsia="Times New Roman"/>
                <w:color w:val="000000"/>
                <w:lang w:val="lt-LT"/>
              </w:rPr>
              <w:t xml:space="preserve"> 50 ml).</w:t>
            </w:r>
            <w:r w:rsidRPr="00B011DB">
              <w:rPr>
                <w:rFonts w:eastAsia="Times New Roman"/>
                <w:color w:val="000000"/>
                <w:lang w:val="lt-LT"/>
              </w:rPr>
              <w:br/>
              <w:t>Galiojimo laikas -  ne mažiau 2-jų savaičių nuo prekės pristatymo dienos. *</w:t>
            </w:r>
          </w:p>
        </w:tc>
        <w:tc>
          <w:tcPr>
            <w:tcW w:w="743" w:type="dxa"/>
            <w:tcBorders>
              <w:top w:val="nil"/>
              <w:left w:val="nil"/>
              <w:bottom w:val="single" w:sz="4" w:space="0" w:color="000000"/>
              <w:right w:val="single" w:sz="4" w:space="0" w:color="000000"/>
            </w:tcBorders>
            <w:shd w:val="clear" w:color="auto" w:fill="auto"/>
            <w:hideMark/>
          </w:tcPr>
          <w:p w14:paraId="41C7DE70"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2BAD5185"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14800</w:t>
            </w:r>
          </w:p>
        </w:tc>
        <w:tc>
          <w:tcPr>
            <w:tcW w:w="1276" w:type="dxa"/>
            <w:tcBorders>
              <w:top w:val="nil"/>
              <w:left w:val="nil"/>
              <w:bottom w:val="single" w:sz="4" w:space="0" w:color="000000"/>
              <w:right w:val="single" w:sz="4" w:space="0" w:color="000000"/>
            </w:tcBorders>
            <w:shd w:val="clear" w:color="auto" w:fill="auto"/>
            <w:hideMark/>
          </w:tcPr>
          <w:p w14:paraId="331D2532"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89,00 </w:t>
            </w:r>
          </w:p>
        </w:tc>
        <w:tc>
          <w:tcPr>
            <w:tcW w:w="1417" w:type="dxa"/>
            <w:tcBorders>
              <w:top w:val="nil"/>
              <w:left w:val="nil"/>
              <w:bottom w:val="single" w:sz="4" w:space="0" w:color="000000"/>
              <w:right w:val="single" w:sz="4" w:space="0" w:color="000000"/>
            </w:tcBorders>
            <w:shd w:val="clear" w:color="auto" w:fill="auto"/>
            <w:hideMark/>
          </w:tcPr>
          <w:p w14:paraId="0028CCC1"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1.317.200,00</w:t>
            </w:r>
          </w:p>
        </w:tc>
      </w:tr>
      <w:tr w:rsidR="00A80CB0" w:rsidRPr="00B011DB" w14:paraId="66AA1F97" w14:textId="77777777" w:rsidTr="00B011DB">
        <w:trPr>
          <w:trHeight w:val="810"/>
        </w:trPr>
        <w:tc>
          <w:tcPr>
            <w:tcW w:w="556" w:type="dxa"/>
            <w:tcBorders>
              <w:top w:val="nil"/>
              <w:left w:val="single" w:sz="4" w:space="0" w:color="auto"/>
              <w:bottom w:val="single" w:sz="4" w:space="0" w:color="auto"/>
              <w:right w:val="single" w:sz="4" w:space="0" w:color="auto"/>
            </w:tcBorders>
            <w:shd w:val="clear" w:color="auto" w:fill="auto"/>
            <w:noWrap/>
            <w:hideMark/>
          </w:tcPr>
          <w:p w14:paraId="18BFCA32"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3</w:t>
            </w:r>
          </w:p>
        </w:tc>
        <w:tc>
          <w:tcPr>
            <w:tcW w:w="828" w:type="dxa"/>
            <w:tcBorders>
              <w:top w:val="nil"/>
              <w:left w:val="nil"/>
              <w:bottom w:val="single" w:sz="4" w:space="0" w:color="000000"/>
              <w:right w:val="single" w:sz="4" w:space="0" w:color="000000"/>
            </w:tcBorders>
            <w:shd w:val="clear" w:color="auto" w:fill="auto"/>
            <w:hideMark/>
          </w:tcPr>
          <w:p w14:paraId="10BCA926"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2</w:t>
            </w:r>
          </w:p>
        </w:tc>
        <w:tc>
          <w:tcPr>
            <w:tcW w:w="3969" w:type="dxa"/>
            <w:tcBorders>
              <w:top w:val="nil"/>
              <w:left w:val="nil"/>
              <w:bottom w:val="single" w:sz="4" w:space="0" w:color="000000"/>
              <w:right w:val="single" w:sz="4" w:space="0" w:color="000000"/>
            </w:tcBorders>
            <w:shd w:val="clear" w:color="auto" w:fill="auto"/>
            <w:hideMark/>
          </w:tcPr>
          <w:p w14:paraId="30B1C722" w14:textId="77777777" w:rsidR="00A80CB0" w:rsidRPr="00B011DB" w:rsidRDefault="00A80CB0" w:rsidP="00A80CB0">
            <w:pPr>
              <w:rPr>
                <w:rFonts w:eastAsia="Times New Roman"/>
                <w:color w:val="000000"/>
                <w:lang w:val="lt-LT"/>
              </w:rPr>
            </w:pPr>
            <w:r w:rsidRPr="00B011DB">
              <w:rPr>
                <w:rFonts w:eastAsia="Times New Roman"/>
                <w:color w:val="000000"/>
                <w:lang w:val="lt-LT"/>
              </w:rPr>
              <w:t xml:space="preserve">Nuplauti eritrocitai (1 V </w:t>
            </w:r>
            <w:r w:rsidRPr="00B011DB">
              <w:rPr>
                <w:rFonts w:ascii="Symbol" w:eastAsia="Times New Roman" w:hAnsi="Symbol"/>
                <w:color w:val="000000"/>
                <w:lang w:val="lt-LT"/>
              </w:rPr>
              <w:t></w:t>
            </w:r>
            <w:r w:rsidRPr="00B011DB">
              <w:rPr>
                <w:rFonts w:eastAsia="Times New Roman"/>
                <w:color w:val="000000"/>
                <w:lang w:val="lt-LT"/>
              </w:rPr>
              <w:t xml:space="preserve"> 280 ml </w:t>
            </w:r>
            <w:r w:rsidRPr="00B011DB">
              <w:rPr>
                <w:rFonts w:ascii="Symbol" w:eastAsia="Times New Roman" w:hAnsi="Symbol"/>
                <w:color w:val="000000"/>
                <w:lang w:val="lt-LT"/>
              </w:rPr>
              <w:t></w:t>
            </w:r>
            <w:r w:rsidRPr="00B011DB">
              <w:rPr>
                <w:rFonts w:eastAsia="Times New Roman"/>
                <w:color w:val="000000"/>
                <w:lang w:val="lt-LT"/>
              </w:rPr>
              <w:t xml:space="preserve"> 60 ml). Galiojimo laikas iki 24 valandų nuo paruošimo *</w:t>
            </w:r>
          </w:p>
        </w:tc>
        <w:tc>
          <w:tcPr>
            <w:tcW w:w="743" w:type="dxa"/>
            <w:tcBorders>
              <w:top w:val="nil"/>
              <w:left w:val="nil"/>
              <w:bottom w:val="single" w:sz="4" w:space="0" w:color="000000"/>
              <w:right w:val="single" w:sz="4" w:space="0" w:color="000000"/>
            </w:tcBorders>
            <w:shd w:val="clear" w:color="auto" w:fill="auto"/>
            <w:hideMark/>
          </w:tcPr>
          <w:p w14:paraId="2F314343"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0FEE2800"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30</w:t>
            </w:r>
          </w:p>
        </w:tc>
        <w:tc>
          <w:tcPr>
            <w:tcW w:w="1276" w:type="dxa"/>
            <w:tcBorders>
              <w:top w:val="nil"/>
              <w:left w:val="nil"/>
              <w:bottom w:val="single" w:sz="4" w:space="0" w:color="000000"/>
              <w:right w:val="single" w:sz="4" w:space="0" w:color="000000"/>
            </w:tcBorders>
            <w:shd w:val="clear" w:color="auto" w:fill="auto"/>
            <w:hideMark/>
          </w:tcPr>
          <w:p w14:paraId="3E81467E"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109,00 </w:t>
            </w:r>
          </w:p>
        </w:tc>
        <w:tc>
          <w:tcPr>
            <w:tcW w:w="1417" w:type="dxa"/>
            <w:tcBorders>
              <w:top w:val="nil"/>
              <w:left w:val="nil"/>
              <w:bottom w:val="single" w:sz="4" w:space="0" w:color="000000"/>
              <w:right w:val="single" w:sz="4" w:space="0" w:color="000000"/>
            </w:tcBorders>
            <w:shd w:val="clear" w:color="auto" w:fill="auto"/>
            <w:hideMark/>
          </w:tcPr>
          <w:p w14:paraId="007A15FC"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3.270,00 </w:t>
            </w:r>
          </w:p>
        </w:tc>
      </w:tr>
      <w:tr w:rsidR="00A80CB0" w:rsidRPr="00B011DB" w14:paraId="436C7169" w14:textId="77777777" w:rsidTr="00B011DB">
        <w:trPr>
          <w:trHeight w:val="1110"/>
        </w:trPr>
        <w:tc>
          <w:tcPr>
            <w:tcW w:w="556" w:type="dxa"/>
            <w:tcBorders>
              <w:top w:val="nil"/>
              <w:left w:val="single" w:sz="4" w:space="0" w:color="auto"/>
              <w:bottom w:val="single" w:sz="4" w:space="0" w:color="auto"/>
              <w:right w:val="single" w:sz="4" w:space="0" w:color="auto"/>
            </w:tcBorders>
            <w:shd w:val="clear" w:color="auto" w:fill="auto"/>
            <w:noWrap/>
            <w:hideMark/>
          </w:tcPr>
          <w:p w14:paraId="278AC2CB"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4</w:t>
            </w:r>
          </w:p>
        </w:tc>
        <w:tc>
          <w:tcPr>
            <w:tcW w:w="828" w:type="dxa"/>
            <w:tcBorders>
              <w:top w:val="nil"/>
              <w:left w:val="nil"/>
              <w:bottom w:val="single" w:sz="4" w:space="0" w:color="000000"/>
              <w:right w:val="single" w:sz="4" w:space="0" w:color="000000"/>
            </w:tcBorders>
            <w:shd w:val="clear" w:color="auto" w:fill="auto"/>
            <w:hideMark/>
          </w:tcPr>
          <w:p w14:paraId="115FAA02"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3</w:t>
            </w:r>
          </w:p>
        </w:tc>
        <w:tc>
          <w:tcPr>
            <w:tcW w:w="3969" w:type="dxa"/>
            <w:tcBorders>
              <w:top w:val="nil"/>
              <w:left w:val="nil"/>
              <w:bottom w:val="single" w:sz="4" w:space="0" w:color="000000"/>
              <w:right w:val="single" w:sz="4" w:space="0" w:color="000000"/>
            </w:tcBorders>
            <w:shd w:val="clear" w:color="auto" w:fill="auto"/>
            <w:hideMark/>
          </w:tcPr>
          <w:p w14:paraId="1E09D46A" w14:textId="77777777" w:rsidR="00A80CB0" w:rsidRPr="00B011DB" w:rsidRDefault="00A80CB0" w:rsidP="00A80CB0">
            <w:pPr>
              <w:rPr>
                <w:rFonts w:eastAsia="Times New Roman"/>
                <w:color w:val="000000"/>
                <w:lang w:val="lt-LT"/>
              </w:rPr>
            </w:pPr>
            <w:r w:rsidRPr="00B011DB">
              <w:rPr>
                <w:rFonts w:eastAsia="Times New Roman"/>
                <w:color w:val="000000"/>
                <w:lang w:val="lt-LT"/>
              </w:rPr>
              <w:t xml:space="preserve">Šviežiai užšaldyta plazma (1 V </w:t>
            </w:r>
            <w:r w:rsidRPr="00B011DB">
              <w:rPr>
                <w:rFonts w:ascii="Symbol" w:eastAsia="Times New Roman" w:hAnsi="Symbol"/>
                <w:color w:val="000000"/>
                <w:lang w:val="lt-LT"/>
              </w:rPr>
              <w:t></w:t>
            </w:r>
            <w:r w:rsidRPr="00B011DB">
              <w:rPr>
                <w:rFonts w:eastAsia="Times New Roman"/>
                <w:color w:val="000000"/>
                <w:lang w:val="lt-LT"/>
              </w:rPr>
              <w:t xml:space="preserve"> 220 ml </w:t>
            </w:r>
            <w:r w:rsidRPr="00B011DB">
              <w:rPr>
                <w:rFonts w:ascii="Symbol" w:eastAsia="Times New Roman" w:hAnsi="Symbol"/>
                <w:color w:val="000000"/>
                <w:lang w:val="lt-LT"/>
              </w:rPr>
              <w:t></w:t>
            </w:r>
            <w:r w:rsidRPr="00B011DB">
              <w:rPr>
                <w:rFonts w:eastAsia="Times New Roman"/>
                <w:color w:val="000000"/>
                <w:lang w:val="lt-LT"/>
              </w:rPr>
              <w:t xml:space="preserve"> 50 ml).</w:t>
            </w:r>
            <w:r w:rsidRPr="00B011DB">
              <w:rPr>
                <w:rFonts w:eastAsia="Times New Roman"/>
                <w:color w:val="000000"/>
                <w:lang w:val="lt-LT"/>
              </w:rPr>
              <w:br/>
              <w:t>Galiojimo laikas - ne mažiau 6-ių mėn. nuo prekės pristatymo dienos.</w:t>
            </w:r>
          </w:p>
        </w:tc>
        <w:tc>
          <w:tcPr>
            <w:tcW w:w="743" w:type="dxa"/>
            <w:tcBorders>
              <w:top w:val="nil"/>
              <w:left w:val="nil"/>
              <w:bottom w:val="single" w:sz="4" w:space="0" w:color="000000"/>
              <w:right w:val="single" w:sz="4" w:space="0" w:color="000000"/>
            </w:tcBorders>
            <w:shd w:val="clear" w:color="auto" w:fill="auto"/>
            <w:hideMark/>
          </w:tcPr>
          <w:p w14:paraId="7A269722"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3580EF22"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2400</w:t>
            </w:r>
          </w:p>
        </w:tc>
        <w:tc>
          <w:tcPr>
            <w:tcW w:w="1276" w:type="dxa"/>
            <w:tcBorders>
              <w:top w:val="nil"/>
              <w:left w:val="nil"/>
              <w:bottom w:val="single" w:sz="4" w:space="0" w:color="000000"/>
              <w:right w:val="single" w:sz="4" w:space="0" w:color="000000"/>
            </w:tcBorders>
            <w:shd w:val="clear" w:color="auto" w:fill="auto"/>
            <w:hideMark/>
          </w:tcPr>
          <w:p w14:paraId="2E62C7E4"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8,00 </w:t>
            </w:r>
          </w:p>
        </w:tc>
        <w:tc>
          <w:tcPr>
            <w:tcW w:w="1417" w:type="dxa"/>
            <w:tcBorders>
              <w:top w:val="nil"/>
              <w:left w:val="nil"/>
              <w:bottom w:val="single" w:sz="4" w:space="0" w:color="000000"/>
              <w:right w:val="single" w:sz="4" w:space="0" w:color="000000"/>
            </w:tcBorders>
            <w:shd w:val="clear" w:color="auto" w:fill="auto"/>
            <w:hideMark/>
          </w:tcPr>
          <w:p w14:paraId="1E9B35D2"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 19.200,00</w:t>
            </w:r>
          </w:p>
        </w:tc>
      </w:tr>
      <w:tr w:rsidR="00A80CB0" w:rsidRPr="00B011DB" w14:paraId="42D8C296" w14:textId="77777777" w:rsidTr="00B011DB">
        <w:trPr>
          <w:trHeight w:val="960"/>
        </w:trPr>
        <w:tc>
          <w:tcPr>
            <w:tcW w:w="556" w:type="dxa"/>
            <w:tcBorders>
              <w:top w:val="nil"/>
              <w:left w:val="single" w:sz="4" w:space="0" w:color="auto"/>
              <w:bottom w:val="single" w:sz="4" w:space="0" w:color="auto"/>
              <w:right w:val="single" w:sz="4" w:space="0" w:color="auto"/>
            </w:tcBorders>
            <w:shd w:val="clear" w:color="auto" w:fill="auto"/>
            <w:noWrap/>
            <w:hideMark/>
          </w:tcPr>
          <w:p w14:paraId="3247A4DC"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5</w:t>
            </w:r>
          </w:p>
        </w:tc>
        <w:tc>
          <w:tcPr>
            <w:tcW w:w="828" w:type="dxa"/>
            <w:tcBorders>
              <w:top w:val="nil"/>
              <w:left w:val="nil"/>
              <w:bottom w:val="single" w:sz="4" w:space="0" w:color="000000"/>
              <w:right w:val="single" w:sz="4" w:space="0" w:color="000000"/>
            </w:tcBorders>
            <w:shd w:val="clear" w:color="auto" w:fill="auto"/>
            <w:hideMark/>
          </w:tcPr>
          <w:p w14:paraId="018C4BFD"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4</w:t>
            </w:r>
          </w:p>
        </w:tc>
        <w:tc>
          <w:tcPr>
            <w:tcW w:w="3969" w:type="dxa"/>
            <w:tcBorders>
              <w:top w:val="nil"/>
              <w:left w:val="nil"/>
              <w:bottom w:val="single" w:sz="4" w:space="0" w:color="000000"/>
              <w:right w:val="single" w:sz="4" w:space="0" w:color="000000"/>
            </w:tcBorders>
            <w:shd w:val="clear" w:color="auto" w:fill="auto"/>
            <w:hideMark/>
          </w:tcPr>
          <w:p w14:paraId="7E4BE7FF" w14:textId="77777777" w:rsidR="00A80CB0" w:rsidRPr="00B011DB" w:rsidRDefault="00A80CB0" w:rsidP="00A80CB0">
            <w:pPr>
              <w:rPr>
                <w:rFonts w:eastAsia="Times New Roman"/>
                <w:color w:val="000000"/>
                <w:lang w:val="lt-LT"/>
              </w:rPr>
            </w:pPr>
            <w:proofErr w:type="spellStart"/>
            <w:r w:rsidRPr="00B011DB">
              <w:rPr>
                <w:rFonts w:eastAsia="Times New Roman"/>
                <w:color w:val="000000"/>
                <w:lang w:val="lt-LT"/>
              </w:rPr>
              <w:t>Krioprecipitatas</w:t>
            </w:r>
            <w:proofErr w:type="spellEnd"/>
            <w:r w:rsidRPr="00B011DB">
              <w:rPr>
                <w:rFonts w:eastAsia="Times New Roman"/>
                <w:color w:val="000000"/>
                <w:lang w:val="lt-LT"/>
              </w:rPr>
              <w:t xml:space="preserve"> (1 V </w:t>
            </w:r>
            <w:r w:rsidRPr="00B011DB">
              <w:rPr>
                <w:rFonts w:ascii="Symbol" w:eastAsia="Times New Roman" w:hAnsi="Symbol"/>
                <w:color w:val="000000"/>
                <w:lang w:val="lt-LT"/>
              </w:rPr>
              <w:t></w:t>
            </w:r>
            <w:r w:rsidRPr="00B011DB">
              <w:rPr>
                <w:rFonts w:eastAsia="Times New Roman"/>
                <w:color w:val="000000"/>
                <w:lang w:val="lt-LT"/>
              </w:rPr>
              <w:t xml:space="preserve"> 30 - 40 ml).</w:t>
            </w:r>
            <w:r w:rsidRPr="00B011DB">
              <w:rPr>
                <w:rFonts w:eastAsia="Times New Roman"/>
                <w:color w:val="000000"/>
                <w:lang w:val="lt-LT"/>
              </w:rPr>
              <w:br/>
              <w:t>Galiojimo laikas - ne mažiau 2-jų savaičių nuo prekės pristatymo dienos.</w:t>
            </w:r>
          </w:p>
        </w:tc>
        <w:tc>
          <w:tcPr>
            <w:tcW w:w="743" w:type="dxa"/>
            <w:tcBorders>
              <w:top w:val="nil"/>
              <w:left w:val="nil"/>
              <w:bottom w:val="single" w:sz="4" w:space="0" w:color="000000"/>
              <w:right w:val="single" w:sz="4" w:space="0" w:color="000000"/>
            </w:tcBorders>
            <w:shd w:val="clear" w:color="auto" w:fill="auto"/>
            <w:hideMark/>
          </w:tcPr>
          <w:p w14:paraId="41101F98"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2298D646"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150</w:t>
            </w:r>
          </w:p>
        </w:tc>
        <w:tc>
          <w:tcPr>
            <w:tcW w:w="1276" w:type="dxa"/>
            <w:tcBorders>
              <w:top w:val="nil"/>
              <w:left w:val="nil"/>
              <w:bottom w:val="single" w:sz="4" w:space="0" w:color="000000"/>
              <w:right w:val="single" w:sz="4" w:space="0" w:color="000000"/>
            </w:tcBorders>
            <w:shd w:val="clear" w:color="auto" w:fill="auto"/>
            <w:hideMark/>
          </w:tcPr>
          <w:p w14:paraId="5C60FCEA"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13,00 </w:t>
            </w:r>
          </w:p>
        </w:tc>
        <w:tc>
          <w:tcPr>
            <w:tcW w:w="1417" w:type="dxa"/>
            <w:tcBorders>
              <w:top w:val="nil"/>
              <w:left w:val="nil"/>
              <w:bottom w:val="single" w:sz="4" w:space="0" w:color="000000"/>
              <w:right w:val="single" w:sz="4" w:space="0" w:color="000000"/>
            </w:tcBorders>
            <w:shd w:val="clear" w:color="auto" w:fill="auto"/>
            <w:hideMark/>
          </w:tcPr>
          <w:p w14:paraId="0FD393C6"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 1.950,00</w:t>
            </w:r>
          </w:p>
        </w:tc>
      </w:tr>
      <w:tr w:rsidR="00A80CB0" w:rsidRPr="00B011DB" w14:paraId="1E0E5B83" w14:textId="77777777" w:rsidTr="00B011DB">
        <w:trPr>
          <w:trHeight w:val="1380"/>
        </w:trPr>
        <w:tc>
          <w:tcPr>
            <w:tcW w:w="556" w:type="dxa"/>
            <w:tcBorders>
              <w:top w:val="nil"/>
              <w:left w:val="single" w:sz="4" w:space="0" w:color="auto"/>
              <w:bottom w:val="single" w:sz="4" w:space="0" w:color="auto"/>
              <w:right w:val="single" w:sz="4" w:space="0" w:color="auto"/>
            </w:tcBorders>
            <w:shd w:val="clear" w:color="auto" w:fill="auto"/>
            <w:noWrap/>
            <w:hideMark/>
          </w:tcPr>
          <w:p w14:paraId="10ADBC0D"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6</w:t>
            </w:r>
          </w:p>
        </w:tc>
        <w:tc>
          <w:tcPr>
            <w:tcW w:w="828" w:type="dxa"/>
            <w:tcBorders>
              <w:top w:val="nil"/>
              <w:left w:val="nil"/>
              <w:bottom w:val="single" w:sz="4" w:space="0" w:color="000000"/>
              <w:right w:val="single" w:sz="4" w:space="0" w:color="000000"/>
            </w:tcBorders>
            <w:shd w:val="clear" w:color="auto" w:fill="auto"/>
            <w:hideMark/>
          </w:tcPr>
          <w:p w14:paraId="7414041A"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5</w:t>
            </w:r>
          </w:p>
        </w:tc>
        <w:tc>
          <w:tcPr>
            <w:tcW w:w="3969" w:type="dxa"/>
            <w:tcBorders>
              <w:top w:val="nil"/>
              <w:left w:val="nil"/>
              <w:bottom w:val="single" w:sz="4" w:space="0" w:color="000000"/>
              <w:right w:val="single" w:sz="4" w:space="0" w:color="000000"/>
            </w:tcBorders>
            <w:shd w:val="clear" w:color="auto" w:fill="auto"/>
            <w:hideMark/>
          </w:tcPr>
          <w:p w14:paraId="3EEE614A" w14:textId="77777777" w:rsidR="00A80CB0" w:rsidRPr="00B011DB" w:rsidRDefault="00A80CB0" w:rsidP="00A80CB0">
            <w:pPr>
              <w:rPr>
                <w:rFonts w:eastAsia="Times New Roman"/>
                <w:color w:val="000000"/>
                <w:lang w:val="lt-LT"/>
              </w:rPr>
            </w:pPr>
            <w:r w:rsidRPr="00B011DB">
              <w:rPr>
                <w:rFonts w:eastAsia="Times New Roman"/>
                <w:color w:val="000000"/>
                <w:lang w:val="lt-LT"/>
              </w:rPr>
              <w:t xml:space="preserve">Trombocitai, gauti </w:t>
            </w:r>
            <w:proofErr w:type="spellStart"/>
            <w:r w:rsidRPr="00B011DB">
              <w:rPr>
                <w:rFonts w:eastAsia="Times New Roman"/>
                <w:color w:val="000000"/>
                <w:lang w:val="lt-LT"/>
              </w:rPr>
              <w:t>aferezės</w:t>
            </w:r>
            <w:proofErr w:type="spellEnd"/>
            <w:r w:rsidRPr="00B011DB">
              <w:rPr>
                <w:rFonts w:eastAsia="Times New Roman"/>
                <w:color w:val="000000"/>
                <w:lang w:val="lt-LT"/>
              </w:rPr>
              <w:t xml:space="preserve"> būdu, be leukocitų (trombocitų skaičius ne mažesnis kaip 200 </w:t>
            </w:r>
            <w:r w:rsidRPr="00B011DB">
              <w:rPr>
                <w:rFonts w:ascii="Symbol" w:eastAsia="Times New Roman" w:hAnsi="Symbol"/>
                <w:color w:val="000000"/>
                <w:lang w:val="lt-LT"/>
              </w:rPr>
              <w:t></w:t>
            </w:r>
            <w:r w:rsidRPr="00B011DB">
              <w:rPr>
                <w:rFonts w:eastAsia="Times New Roman"/>
                <w:color w:val="000000"/>
                <w:lang w:val="lt-LT"/>
              </w:rPr>
              <w:t xml:space="preserve"> (10 </w:t>
            </w:r>
            <w:r w:rsidRPr="00B011DB">
              <w:rPr>
                <w:rFonts w:eastAsia="Times New Roman"/>
                <w:color w:val="000000"/>
                <w:vertAlign w:val="superscript"/>
                <w:lang w:val="lt-LT"/>
              </w:rPr>
              <w:t>9</w:t>
            </w:r>
            <w:r w:rsidRPr="00B011DB">
              <w:rPr>
                <w:rFonts w:eastAsia="Times New Roman"/>
                <w:color w:val="000000"/>
                <w:lang w:val="lt-LT"/>
              </w:rPr>
              <w:t>) vienete.</w:t>
            </w:r>
            <w:r w:rsidRPr="00B011DB">
              <w:rPr>
                <w:rFonts w:eastAsia="Times New Roman"/>
                <w:color w:val="000000"/>
                <w:lang w:val="lt-LT"/>
              </w:rPr>
              <w:br/>
              <w:t>Galiojimo laikas – ne mažiau 1-os dienos nuo prekės pristatymo dienos.</w:t>
            </w:r>
          </w:p>
        </w:tc>
        <w:tc>
          <w:tcPr>
            <w:tcW w:w="743" w:type="dxa"/>
            <w:tcBorders>
              <w:top w:val="nil"/>
              <w:left w:val="nil"/>
              <w:bottom w:val="single" w:sz="4" w:space="0" w:color="000000"/>
              <w:right w:val="single" w:sz="4" w:space="0" w:color="000000"/>
            </w:tcBorders>
            <w:shd w:val="clear" w:color="auto" w:fill="auto"/>
            <w:hideMark/>
          </w:tcPr>
          <w:p w14:paraId="5A1739DC"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48138EEE"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105</w:t>
            </w:r>
          </w:p>
        </w:tc>
        <w:tc>
          <w:tcPr>
            <w:tcW w:w="1276" w:type="dxa"/>
            <w:tcBorders>
              <w:top w:val="nil"/>
              <w:left w:val="nil"/>
              <w:bottom w:val="single" w:sz="4" w:space="0" w:color="000000"/>
              <w:right w:val="single" w:sz="4" w:space="0" w:color="000000"/>
            </w:tcBorders>
            <w:shd w:val="clear" w:color="auto" w:fill="auto"/>
            <w:hideMark/>
          </w:tcPr>
          <w:p w14:paraId="315F0A6B"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150,00 </w:t>
            </w:r>
          </w:p>
        </w:tc>
        <w:tc>
          <w:tcPr>
            <w:tcW w:w="1417" w:type="dxa"/>
            <w:tcBorders>
              <w:top w:val="nil"/>
              <w:left w:val="nil"/>
              <w:bottom w:val="single" w:sz="4" w:space="0" w:color="000000"/>
              <w:right w:val="single" w:sz="4" w:space="0" w:color="000000"/>
            </w:tcBorders>
            <w:shd w:val="clear" w:color="auto" w:fill="auto"/>
            <w:hideMark/>
          </w:tcPr>
          <w:p w14:paraId="261F6910"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15.750,00 </w:t>
            </w:r>
          </w:p>
        </w:tc>
      </w:tr>
      <w:tr w:rsidR="00A80CB0" w:rsidRPr="00B011DB" w14:paraId="14CE761F" w14:textId="77777777" w:rsidTr="00B011DB">
        <w:trPr>
          <w:trHeight w:val="699"/>
        </w:trPr>
        <w:tc>
          <w:tcPr>
            <w:tcW w:w="556" w:type="dxa"/>
            <w:tcBorders>
              <w:top w:val="nil"/>
              <w:left w:val="single" w:sz="4" w:space="0" w:color="auto"/>
              <w:bottom w:val="single" w:sz="4" w:space="0" w:color="auto"/>
              <w:right w:val="single" w:sz="4" w:space="0" w:color="auto"/>
            </w:tcBorders>
            <w:shd w:val="clear" w:color="auto" w:fill="auto"/>
            <w:noWrap/>
            <w:hideMark/>
          </w:tcPr>
          <w:p w14:paraId="27D97C1F"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7</w:t>
            </w:r>
          </w:p>
        </w:tc>
        <w:tc>
          <w:tcPr>
            <w:tcW w:w="828" w:type="dxa"/>
            <w:tcBorders>
              <w:top w:val="nil"/>
              <w:left w:val="nil"/>
              <w:bottom w:val="single" w:sz="4" w:space="0" w:color="000000"/>
              <w:right w:val="single" w:sz="4" w:space="0" w:color="000000"/>
            </w:tcBorders>
            <w:shd w:val="clear" w:color="auto" w:fill="auto"/>
            <w:hideMark/>
          </w:tcPr>
          <w:p w14:paraId="5D7B6855"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6</w:t>
            </w:r>
          </w:p>
        </w:tc>
        <w:tc>
          <w:tcPr>
            <w:tcW w:w="3969" w:type="dxa"/>
            <w:tcBorders>
              <w:top w:val="nil"/>
              <w:left w:val="nil"/>
              <w:bottom w:val="single" w:sz="4" w:space="0" w:color="000000"/>
              <w:right w:val="single" w:sz="4" w:space="0" w:color="000000"/>
            </w:tcBorders>
            <w:shd w:val="clear" w:color="auto" w:fill="auto"/>
            <w:hideMark/>
          </w:tcPr>
          <w:p w14:paraId="625E721F" w14:textId="77777777" w:rsidR="00A80CB0" w:rsidRPr="00B011DB" w:rsidRDefault="00A80CB0" w:rsidP="00A80CB0">
            <w:pPr>
              <w:rPr>
                <w:rFonts w:eastAsia="Times New Roman"/>
                <w:color w:val="000000"/>
                <w:lang w:val="lt-LT"/>
              </w:rPr>
            </w:pPr>
            <w:r w:rsidRPr="00B011DB">
              <w:rPr>
                <w:rFonts w:eastAsia="Times New Roman"/>
                <w:color w:val="000000"/>
                <w:lang w:val="lt-LT"/>
              </w:rPr>
              <w:t>Sukauptieji trombocitai, gauti iš konservuoto kraujo be leukocitų (trombocitų skaičius vienete ne mažesnis kaip 2x</w:t>
            </w:r>
            <w:r w:rsidRPr="00B011DB">
              <w:rPr>
                <w:rFonts w:eastAsia="Times New Roman"/>
                <w:lang w:val="lt-LT"/>
              </w:rPr>
              <w:t xml:space="preserve">10 </w:t>
            </w:r>
            <w:r w:rsidRPr="00B011DB">
              <w:rPr>
                <w:rFonts w:eastAsia="Times New Roman"/>
                <w:vertAlign w:val="superscript"/>
                <w:lang w:val="lt-LT"/>
              </w:rPr>
              <w:t>11</w:t>
            </w:r>
            <w:r w:rsidRPr="00B011DB">
              <w:rPr>
                <w:rFonts w:eastAsia="Times New Roman"/>
                <w:color w:val="000000"/>
                <w:lang w:val="lt-LT"/>
              </w:rPr>
              <w:t>) / sukauptieji trombocitai, gauti iš konservuoto kraujo, be leukocitų pridėtiniame tirpale (trombocitų skaičius vienete ne mažesnis kaip 2x</w:t>
            </w:r>
            <w:r w:rsidRPr="00B011DB">
              <w:rPr>
                <w:rFonts w:eastAsia="Times New Roman"/>
                <w:lang w:val="lt-LT"/>
              </w:rPr>
              <w:t xml:space="preserve">10 </w:t>
            </w:r>
            <w:r w:rsidRPr="00B011DB">
              <w:rPr>
                <w:rFonts w:eastAsia="Times New Roman"/>
                <w:vertAlign w:val="superscript"/>
                <w:lang w:val="lt-LT"/>
              </w:rPr>
              <w:t>11</w:t>
            </w:r>
            <w:r w:rsidRPr="00B011DB">
              <w:rPr>
                <w:rFonts w:eastAsia="Times New Roman"/>
                <w:color w:val="000000"/>
                <w:lang w:val="lt-LT"/>
              </w:rPr>
              <w:t>)</w:t>
            </w:r>
          </w:p>
        </w:tc>
        <w:tc>
          <w:tcPr>
            <w:tcW w:w="743" w:type="dxa"/>
            <w:tcBorders>
              <w:top w:val="nil"/>
              <w:left w:val="nil"/>
              <w:bottom w:val="single" w:sz="4" w:space="0" w:color="000000"/>
              <w:right w:val="single" w:sz="4" w:space="0" w:color="000000"/>
            </w:tcBorders>
            <w:shd w:val="clear" w:color="auto" w:fill="auto"/>
            <w:hideMark/>
          </w:tcPr>
          <w:p w14:paraId="5C4D0905"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125FE507"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235</w:t>
            </w:r>
          </w:p>
        </w:tc>
        <w:tc>
          <w:tcPr>
            <w:tcW w:w="1276" w:type="dxa"/>
            <w:tcBorders>
              <w:top w:val="nil"/>
              <w:left w:val="nil"/>
              <w:bottom w:val="single" w:sz="4" w:space="0" w:color="000000"/>
              <w:right w:val="single" w:sz="4" w:space="0" w:color="000000"/>
            </w:tcBorders>
            <w:shd w:val="clear" w:color="auto" w:fill="auto"/>
            <w:hideMark/>
          </w:tcPr>
          <w:p w14:paraId="03E1F9B7"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110,00 </w:t>
            </w:r>
          </w:p>
        </w:tc>
        <w:tc>
          <w:tcPr>
            <w:tcW w:w="1417" w:type="dxa"/>
            <w:tcBorders>
              <w:top w:val="nil"/>
              <w:left w:val="nil"/>
              <w:bottom w:val="single" w:sz="4" w:space="0" w:color="000000"/>
              <w:right w:val="single" w:sz="4" w:space="0" w:color="000000"/>
            </w:tcBorders>
            <w:shd w:val="clear" w:color="auto" w:fill="auto"/>
            <w:hideMark/>
          </w:tcPr>
          <w:p w14:paraId="0F358F7D"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25.850,00 </w:t>
            </w:r>
          </w:p>
        </w:tc>
      </w:tr>
      <w:tr w:rsidR="00A80CB0" w:rsidRPr="00B011DB" w14:paraId="5D5339C0" w14:textId="77777777" w:rsidTr="00B011DB">
        <w:trPr>
          <w:trHeight w:val="1350"/>
        </w:trPr>
        <w:tc>
          <w:tcPr>
            <w:tcW w:w="556" w:type="dxa"/>
            <w:tcBorders>
              <w:top w:val="nil"/>
              <w:left w:val="single" w:sz="4" w:space="0" w:color="auto"/>
              <w:bottom w:val="single" w:sz="4" w:space="0" w:color="auto"/>
              <w:right w:val="single" w:sz="4" w:space="0" w:color="auto"/>
            </w:tcBorders>
            <w:shd w:val="clear" w:color="auto" w:fill="auto"/>
            <w:noWrap/>
            <w:hideMark/>
          </w:tcPr>
          <w:p w14:paraId="4F963038"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8</w:t>
            </w:r>
          </w:p>
        </w:tc>
        <w:tc>
          <w:tcPr>
            <w:tcW w:w="828" w:type="dxa"/>
            <w:tcBorders>
              <w:top w:val="nil"/>
              <w:left w:val="nil"/>
              <w:bottom w:val="single" w:sz="4" w:space="0" w:color="000000"/>
              <w:right w:val="single" w:sz="4" w:space="0" w:color="000000"/>
            </w:tcBorders>
            <w:shd w:val="clear" w:color="auto" w:fill="auto"/>
            <w:hideMark/>
          </w:tcPr>
          <w:p w14:paraId="4FC4AD95"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7</w:t>
            </w:r>
          </w:p>
        </w:tc>
        <w:tc>
          <w:tcPr>
            <w:tcW w:w="3969" w:type="dxa"/>
            <w:tcBorders>
              <w:top w:val="nil"/>
              <w:left w:val="nil"/>
              <w:bottom w:val="single" w:sz="4" w:space="0" w:color="000000"/>
              <w:right w:val="single" w:sz="4" w:space="0" w:color="000000"/>
            </w:tcBorders>
            <w:shd w:val="clear" w:color="auto" w:fill="auto"/>
            <w:hideMark/>
          </w:tcPr>
          <w:p w14:paraId="474413C8" w14:textId="77777777" w:rsidR="00A80CB0" w:rsidRPr="00B011DB" w:rsidRDefault="00A80CB0" w:rsidP="00A80CB0">
            <w:pPr>
              <w:rPr>
                <w:rFonts w:eastAsia="Times New Roman"/>
                <w:color w:val="000000"/>
                <w:lang w:val="lt-LT"/>
              </w:rPr>
            </w:pPr>
            <w:r w:rsidRPr="00B011DB">
              <w:rPr>
                <w:rFonts w:eastAsia="Times New Roman"/>
                <w:color w:val="000000"/>
                <w:lang w:val="lt-LT"/>
              </w:rPr>
              <w:t xml:space="preserve">Eritrocitai be leukocitų  pridėtiniame tirpale, apšvitinti </w:t>
            </w:r>
            <w:proofErr w:type="spellStart"/>
            <w:r w:rsidRPr="00B011DB">
              <w:rPr>
                <w:rFonts w:eastAsia="Times New Roman"/>
                <w:color w:val="000000"/>
                <w:lang w:val="lt-LT"/>
              </w:rPr>
              <w:t>intrauterinėms</w:t>
            </w:r>
            <w:proofErr w:type="spellEnd"/>
            <w:r w:rsidRPr="00B011DB">
              <w:rPr>
                <w:rFonts w:eastAsia="Times New Roman"/>
                <w:color w:val="000000"/>
                <w:lang w:val="lt-LT"/>
              </w:rPr>
              <w:t xml:space="preserve"> ir naujagimių pakaitinėms transfuzijoms (1 V </w:t>
            </w:r>
            <w:r w:rsidRPr="00B011DB">
              <w:rPr>
                <w:rFonts w:ascii="Symbol" w:eastAsia="Times New Roman" w:hAnsi="Symbol"/>
                <w:color w:val="000000"/>
                <w:lang w:val="lt-LT"/>
              </w:rPr>
              <w:t></w:t>
            </w:r>
            <w:r w:rsidRPr="00B011DB">
              <w:rPr>
                <w:rFonts w:eastAsia="Times New Roman"/>
                <w:color w:val="000000"/>
                <w:lang w:val="lt-LT"/>
              </w:rPr>
              <w:t xml:space="preserve"> 250 ml </w:t>
            </w:r>
            <w:r w:rsidRPr="00B011DB">
              <w:rPr>
                <w:rFonts w:ascii="Symbol" w:eastAsia="Times New Roman" w:hAnsi="Symbol"/>
                <w:color w:val="000000"/>
                <w:lang w:val="lt-LT"/>
              </w:rPr>
              <w:t></w:t>
            </w:r>
            <w:r w:rsidRPr="00B011DB">
              <w:rPr>
                <w:rFonts w:eastAsia="Times New Roman"/>
                <w:color w:val="000000"/>
                <w:lang w:val="lt-LT"/>
              </w:rPr>
              <w:t xml:space="preserve"> 50 ml), galiojimo laikas iki 24 val. **</w:t>
            </w:r>
          </w:p>
        </w:tc>
        <w:tc>
          <w:tcPr>
            <w:tcW w:w="743" w:type="dxa"/>
            <w:tcBorders>
              <w:top w:val="nil"/>
              <w:left w:val="nil"/>
              <w:bottom w:val="single" w:sz="4" w:space="0" w:color="000000"/>
              <w:right w:val="single" w:sz="4" w:space="0" w:color="000000"/>
            </w:tcBorders>
            <w:shd w:val="clear" w:color="auto" w:fill="auto"/>
            <w:hideMark/>
          </w:tcPr>
          <w:p w14:paraId="19B7B3A7"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vnt.</w:t>
            </w:r>
          </w:p>
        </w:tc>
        <w:tc>
          <w:tcPr>
            <w:tcW w:w="1134" w:type="dxa"/>
            <w:tcBorders>
              <w:top w:val="nil"/>
              <w:left w:val="nil"/>
              <w:bottom w:val="single" w:sz="4" w:space="0" w:color="000000"/>
              <w:right w:val="single" w:sz="4" w:space="0" w:color="000000"/>
            </w:tcBorders>
            <w:shd w:val="clear" w:color="auto" w:fill="auto"/>
            <w:hideMark/>
          </w:tcPr>
          <w:p w14:paraId="3773D8E6" w14:textId="77777777" w:rsidR="00A80CB0" w:rsidRPr="00B011DB" w:rsidRDefault="00A80CB0" w:rsidP="00A80CB0">
            <w:pPr>
              <w:jc w:val="center"/>
              <w:rPr>
                <w:rFonts w:eastAsia="Times New Roman"/>
                <w:b/>
                <w:bCs/>
                <w:color w:val="000000"/>
                <w:lang w:val="lt-LT"/>
              </w:rPr>
            </w:pPr>
            <w:r w:rsidRPr="00B011DB">
              <w:rPr>
                <w:rFonts w:eastAsia="Times New Roman"/>
                <w:b/>
                <w:bCs/>
                <w:color w:val="000000"/>
                <w:lang w:val="lt-LT"/>
              </w:rPr>
              <w:t>30</w:t>
            </w:r>
          </w:p>
        </w:tc>
        <w:tc>
          <w:tcPr>
            <w:tcW w:w="1276" w:type="dxa"/>
            <w:tcBorders>
              <w:top w:val="nil"/>
              <w:left w:val="nil"/>
              <w:bottom w:val="single" w:sz="4" w:space="0" w:color="000000"/>
              <w:right w:val="single" w:sz="4" w:space="0" w:color="000000"/>
            </w:tcBorders>
            <w:shd w:val="clear" w:color="auto" w:fill="auto"/>
            <w:hideMark/>
          </w:tcPr>
          <w:p w14:paraId="7254B11D"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105,24 </w:t>
            </w:r>
          </w:p>
        </w:tc>
        <w:tc>
          <w:tcPr>
            <w:tcW w:w="1417" w:type="dxa"/>
            <w:tcBorders>
              <w:top w:val="nil"/>
              <w:left w:val="nil"/>
              <w:bottom w:val="single" w:sz="4" w:space="0" w:color="000000"/>
              <w:right w:val="single" w:sz="4" w:space="0" w:color="000000"/>
            </w:tcBorders>
            <w:shd w:val="clear" w:color="auto" w:fill="auto"/>
            <w:hideMark/>
          </w:tcPr>
          <w:p w14:paraId="361BA344" w14:textId="77777777" w:rsidR="00A80CB0" w:rsidRPr="00B011DB" w:rsidRDefault="00A80CB0" w:rsidP="00A80CB0">
            <w:pPr>
              <w:jc w:val="center"/>
              <w:rPr>
                <w:rFonts w:eastAsia="Times New Roman"/>
                <w:bCs/>
                <w:color w:val="000000"/>
                <w:lang w:val="lt-LT"/>
              </w:rPr>
            </w:pPr>
            <w:r w:rsidRPr="00B011DB">
              <w:rPr>
                <w:rFonts w:eastAsia="Times New Roman"/>
                <w:bCs/>
                <w:color w:val="000000"/>
                <w:lang w:val="lt-LT"/>
              </w:rPr>
              <w:t>3.157,20 </w:t>
            </w:r>
          </w:p>
        </w:tc>
      </w:tr>
      <w:tr w:rsidR="00A80CB0" w:rsidRPr="00B011DB" w14:paraId="2F04D2E8" w14:textId="77777777" w:rsidTr="00B011DB">
        <w:trPr>
          <w:trHeight w:val="528"/>
        </w:trPr>
        <w:tc>
          <w:tcPr>
            <w:tcW w:w="556" w:type="dxa"/>
            <w:tcBorders>
              <w:top w:val="nil"/>
              <w:left w:val="single" w:sz="4" w:space="0" w:color="auto"/>
              <w:bottom w:val="single" w:sz="4" w:space="0" w:color="auto"/>
              <w:right w:val="single" w:sz="4" w:space="0" w:color="auto"/>
            </w:tcBorders>
            <w:shd w:val="clear" w:color="auto" w:fill="auto"/>
            <w:noWrap/>
            <w:hideMark/>
          </w:tcPr>
          <w:p w14:paraId="5CDB509E"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9</w:t>
            </w:r>
          </w:p>
        </w:tc>
        <w:tc>
          <w:tcPr>
            <w:tcW w:w="828" w:type="dxa"/>
            <w:tcBorders>
              <w:top w:val="nil"/>
              <w:left w:val="nil"/>
              <w:bottom w:val="single" w:sz="4" w:space="0" w:color="000000"/>
              <w:right w:val="single" w:sz="4" w:space="0" w:color="000000"/>
            </w:tcBorders>
            <w:shd w:val="clear" w:color="auto" w:fill="auto"/>
            <w:hideMark/>
          </w:tcPr>
          <w:p w14:paraId="64B09D61"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t> </w:t>
            </w:r>
          </w:p>
        </w:tc>
        <w:tc>
          <w:tcPr>
            <w:tcW w:w="7122" w:type="dxa"/>
            <w:gridSpan w:val="4"/>
            <w:tcBorders>
              <w:top w:val="single" w:sz="4" w:space="0" w:color="000000"/>
              <w:left w:val="nil"/>
              <w:bottom w:val="single" w:sz="4" w:space="0" w:color="000000"/>
              <w:right w:val="single" w:sz="4" w:space="0" w:color="000000"/>
            </w:tcBorders>
            <w:shd w:val="clear" w:color="auto" w:fill="auto"/>
            <w:vAlign w:val="center"/>
            <w:hideMark/>
          </w:tcPr>
          <w:p w14:paraId="6692863A" w14:textId="19383623" w:rsidR="00A80CB0" w:rsidRPr="00B011DB" w:rsidRDefault="00A80CB0" w:rsidP="00A80CB0">
            <w:pPr>
              <w:rPr>
                <w:rFonts w:eastAsia="Times New Roman"/>
                <w:color w:val="000000"/>
                <w:lang w:val="lt-LT"/>
              </w:rPr>
            </w:pPr>
            <w:r w:rsidRPr="00B011DB">
              <w:rPr>
                <w:rFonts w:eastAsia="Times New Roman"/>
                <w:color w:val="000000"/>
                <w:lang w:val="lt-LT"/>
              </w:rPr>
              <w:t xml:space="preserve">Visa sutarties kaina (suma) </w:t>
            </w:r>
            <w:r w:rsidRPr="00B011DB">
              <w:rPr>
                <w:rFonts w:eastAsia="Times New Roman"/>
                <w:b/>
                <w:bCs/>
                <w:color w:val="000000"/>
                <w:lang w:val="lt-LT"/>
              </w:rPr>
              <w:t>skaičiais ir žodžiais</w:t>
            </w:r>
            <w:r w:rsidRPr="00B011DB">
              <w:rPr>
                <w:rFonts w:eastAsia="Times New Roman"/>
                <w:color w:val="000000"/>
                <w:lang w:val="lt-LT"/>
              </w:rPr>
              <w:t xml:space="preserve"> kiekvienai pateiktai pirkimo daliai (orientacinio kiekio kaina (suma) Eur be PVM):</w:t>
            </w:r>
          </w:p>
          <w:p w14:paraId="1E343FCE" w14:textId="77777777" w:rsidR="00A80CB0" w:rsidRPr="00B011DB" w:rsidRDefault="00A80CB0" w:rsidP="00A80CB0">
            <w:pPr>
              <w:jc w:val="center"/>
              <w:rPr>
                <w:rFonts w:eastAsia="Times New Roman"/>
                <w:color w:val="000000"/>
                <w:lang w:val="lt-LT"/>
              </w:rPr>
            </w:pPr>
          </w:p>
          <w:p w14:paraId="5580886B" w14:textId="77777777" w:rsidR="00A80CB0" w:rsidRPr="00B011DB" w:rsidRDefault="00A80CB0" w:rsidP="00A80CB0">
            <w:pPr>
              <w:rPr>
                <w:rFonts w:eastAsia="Times New Roman"/>
                <w:color w:val="000000"/>
                <w:lang w:val="lt-LT"/>
              </w:rPr>
            </w:pPr>
          </w:p>
          <w:p w14:paraId="3EFE4EC2" w14:textId="77777777" w:rsidR="00A80CB0" w:rsidRPr="00B011DB" w:rsidRDefault="00A80CB0" w:rsidP="00A80CB0">
            <w:pPr>
              <w:rPr>
                <w:color w:val="000000"/>
                <w:lang w:val="lt-LT"/>
              </w:rPr>
            </w:pPr>
            <w:r w:rsidRPr="00B011DB">
              <w:rPr>
                <w:rFonts w:eastAsia="Times New Roman"/>
                <w:color w:val="000000"/>
                <w:lang w:val="lt-LT"/>
              </w:rPr>
              <w:t xml:space="preserve">1. Pirkimo dalis Nr.1- </w:t>
            </w:r>
            <w:r w:rsidRPr="00B011DB">
              <w:rPr>
                <w:rFonts w:eastAsia="Times New Roman"/>
                <w:b/>
                <w:bCs/>
                <w:color w:val="000000"/>
                <w:lang w:val="lt-LT"/>
              </w:rPr>
              <w:t>1.317.200,00</w:t>
            </w:r>
            <w:r w:rsidRPr="00B011DB">
              <w:rPr>
                <w:rFonts w:eastAsia="Times New Roman"/>
                <w:bCs/>
                <w:color w:val="000000"/>
                <w:lang w:val="lt-LT"/>
              </w:rPr>
              <w:t xml:space="preserve"> Eur (vienas milijonas trys šimtai septyniolika tūkstančių du šimtai)</w:t>
            </w:r>
          </w:p>
          <w:p w14:paraId="3D2032CE" w14:textId="77777777" w:rsidR="00A80CB0" w:rsidRPr="00B011DB" w:rsidRDefault="00A80CB0" w:rsidP="00A80CB0">
            <w:pPr>
              <w:rPr>
                <w:rFonts w:eastAsia="Times New Roman"/>
                <w:color w:val="000000"/>
                <w:lang w:val="lt-LT"/>
              </w:rPr>
            </w:pPr>
          </w:p>
          <w:p w14:paraId="1749E9DF" w14:textId="77777777" w:rsidR="00A80CB0" w:rsidRPr="00B011DB" w:rsidRDefault="00A80CB0" w:rsidP="00A80CB0">
            <w:pPr>
              <w:rPr>
                <w:color w:val="000000"/>
                <w:lang w:val="lt-LT"/>
              </w:rPr>
            </w:pPr>
            <w:r w:rsidRPr="00B011DB">
              <w:rPr>
                <w:rFonts w:eastAsia="Times New Roman"/>
                <w:color w:val="000000"/>
                <w:lang w:val="lt-LT"/>
              </w:rPr>
              <w:lastRenderedPageBreak/>
              <w:t xml:space="preserve">2. Pirkimo dalis Nr.2 - </w:t>
            </w:r>
            <w:r w:rsidRPr="00B011DB">
              <w:rPr>
                <w:rFonts w:eastAsia="Times New Roman"/>
                <w:b/>
                <w:bCs/>
                <w:color w:val="000000"/>
                <w:lang w:val="lt-LT"/>
              </w:rPr>
              <w:t>3.270,00</w:t>
            </w:r>
            <w:r w:rsidRPr="00B011DB">
              <w:rPr>
                <w:rFonts w:eastAsia="Times New Roman"/>
                <w:bCs/>
                <w:color w:val="000000"/>
                <w:lang w:val="lt-LT"/>
              </w:rPr>
              <w:t xml:space="preserve"> Eur (trys tūkstančiai du šimtai septyniasdešimt)</w:t>
            </w:r>
          </w:p>
          <w:p w14:paraId="099DCC1C" w14:textId="77777777" w:rsidR="00A80CB0" w:rsidRPr="00B011DB" w:rsidRDefault="00A80CB0" w:rsidP="00A80CB0">
            <w:pPr>
              <w:rPr>
                <w:rFonts w:eastAsia="Times New Roman"/>
                <w:color w:val="000000"/>
                <w:lang w:val="lt-LT"/>
              </w:rPr>
            </w:pPr>
          </w:p>
          <w:p w14:paraId="05ABF537" w14:textId="77777777" w:rsidR="00A80CB0" w:rsidRPr="00B011DB" w:rsidRDefault="00A80CB0" w:rsidP="00A80CB0">
            <w:pPr>
              <w:rPr>
                <w:color w:val="000000"/>
                <w:lang w:val="lt-LT"/>
              </w:rPr>
            </w:pPr>
            <w:r w:rsidRPr="00B011DB">
              <w:rPr>
                <w:rFonts w:eastAsia="Times New Roman"/>
                <w:color w:val="000000"/>
                <w:lang w:val="lt-LT"/>
              </w:rPr>
              <w:t xml:space="preserve">3. Pirkimo dalis Nr.3 - </w:t>
            </w:r>
            <w:r w:rsidRPr="00B011DB">
              <w:rPr>
                <w:rFonts w:eastAsia="Times New Roman"/>
                <w:b/>
                <w:bCs/>
                <w:color w:val="000000"/>
                <w:lang w:val="lt-LT"/>
              </w:rPr>
              <w:t>19.200,00</w:t>
            </w:r>
            <w:r w:rsidRPr="00B011DB">
              <w:rPr>
                <w:rFonts w:eastAsia="Times New Roman"/>
                <w:bCs/>
                <w:color w:val="000000"/>
                <w:lang w:val="lt-LT"/>
              </w:rPr>
              <w:t xml:space="preserve"> Eur (devyniolika tūkstančių du šimtai)</w:t>
            </w:r>
          </w:p>
          <w:p w14:paraId="30EAE472" w14:textId="77777777" w:rsidR="00A80CB0" w:rsidRPr="00B011DB" w:rsidRDefault="00A80CB0" w:rsidP="00A80CB0">
            <w:pPr>
              <w:jc w:val="center"/>
              <w:rPr>
                <w:rFonts w:eastAsia="Times New Roman"/>
                <w:color w:val="000000"/>
                <w:lang w:val="lt-LT"/>
              </w:rPr>
            </w:pPr>
          </w:p>
          <w:p w14:paraId="3E4ABC5C" w14:textId="77777777" w:rsidR="00A80CB0" w:rsidRPr="00B011DB" w:rsidRDefault="00A80CB0" w:rsidP="00A80CB0">
            <w:pPr>
              <w:rPr>
                <w:color w:val="000000"/>
                <w:lang w:val="lt-LT"/>
              </w:rPr>
            </w:pPr>
            <w:r w:rsidRPr="00B011DB">
              <w:rPr>
                <w:rFonts w:eastAsia="Times New Roman"/>
                <w:color w:val="000000"/>
                <w:lang w:val="lt-LT"/>
              </w:rPr>
              <w:t xml:space="preserve">4. Pirkimo dalis Nr.4 - </w:t>
            </w:r>
            <w:r w:rsidRPr="00B011DB">
              <w:rPr>
                <w:rFonts w:eastAsia="Times New Roman"/>
                <w:b/>
                <w:bCs/>
                <w:color w:val="000000"/>
                <w:lang w:val="lt-LT"/>
              </w:rPr>
              <w:t>1.950,00</w:t>
            </w:r>
            <w:r w:rsidRPr="00B011DB">
              <w:rPr>
                <w:rFonts w:eastAsia="Times New Roman"/>
                <w:bCs/>
                <w:color w:val="000000"/>
                <w:lang w:val="lt-LT"/>
              </w:rPr>
              <w:t xml:space="preserve"> Eur (vienas tūkstantis devyni šimtai penkiasdešimt)</w:t>
            </w:r>
          </w:p>
          <w:p w14:paraId="5428F22F" w14:textId="77777777" w:rsidR="00A80CB0" w:rsidRPr="00B011DB" w:rsidRDefault="00A80CB0" w:rsidP="00A80CB0">
            <w:pPr>
              <w:jc w:val="center"/>
              <w:rPr>
                <w:rFonts w:eastAsia="Times New Roman"/>
                <w:color w:val="000000"/>
                <w:lang w:val="lt-LT"/>
              </w:rPr>
            </w:pPr>
          </w:p>
          <w:p w14:paraId="41DFC9F8" w14:textId="77777777" w:rsidR="00A80CB0" w:rsidRPr="00B011DB" w:rsidRDefault="00A80CB0" w:rsidP="00A80CB0">
            <w:pPr>
              <w:rPr>
                <w:color w:val="000000"/>
                <w:lang w:val="lt-LT"/>
              </w:rPr>
            </w:pPr>
            <w:r w:rsidRPr="00B011DB">
              <w:rPr>
                <w:rFonts w:eastAsia="Times New Roman"/>
                <w:color w:val="000000"/>
                <w:lang w:val="lt-LT"/>
              </w:rPr>
              <w:t xml:space="preserve">5. Pirkimo dalis Nr.5 - </w:t>
            </w:r>
            <w:r w:rsidRPr="00B011DB">
              <w:rPr>
                <w:rFonts w:eastAsia="Times New Roman"/>
                <w:b/>
                <w:bCs/>
                <w:color w:val="000000"/>
                <w:lang w:val="lt-LT"/>
              </w:rPr>
              <w:t>15.750,00</w:t>
            </w:r>
            <w:r w:rsidRPr="00B011DB">
              <w:rPr>
                <w:rFonts w:eastAsia="Times New Roman"/>
                <w:bCs/>
                <w:color w:val="000000"/>
                <w:lang w:val="lt-LT"/>
              </w:rPr>
              <w:t xml:space="preserve"> Eur (penkiolika tūkstančių septyni šimtai penkiasdešimt)</w:t>
            </w:r>
          </w:p>
          <w:p w14:paraId="41540137" w14:textId="77777777" w:rsidR="00A80CB0" w:rsidRPr="00B011DB" w:rsidRDefault="00A80CB0" w:rsidP="00A80CB0">
            <w:pPr>
              <w:rPr>
                <w:color w:val="000000"/>
                <w:lang w:val="lt-LT"/>
              </w:rPr>
            </w:pPr>
          </w:p>
          <w:p w14:paraId="4EBF77D1" w14:textId="77777777" w:rsidR="00A80CB0" w:rsidRPr="00B011DB" w:rsidRDefault="00A80CB0" w:rsidP="00A80CB0">
            <w:pPr>
              <w:rPr>
                <w:color w:val="000000"/>
                <w:lang w:val="lt-LT"/>
              </w:rPr>
            </w:pPr>
            <w:r w:rsidRPr="00B011DB">
              <w:rPr>
                <w:rFonts w:eastAsia="Times New Roman"/>
                <w:color w:val="000000"/>
                <w:lang w:val="lt-LT"/>
              </w:rPr>
              <w:t xml:space="preserve">6. Pirkimo dalis Nr.6 - </w:t>
            </w:r>
            <w:r w:rsidRPr="00B011DB">
              <w:rPr>
                <w:rFonts w:eastAsia="Times New Roman"/>
                <w:b/>
                <w:bCs/>
                <w:color w:val="000000"/>
                <w:lang w:val="lt-LT"/>
              </w:rPr>
              <w:t>25.850,00</w:t>
            </w:r>
            <w:r w:rsidRPr="00B011DB">
              <w:rPr>
                <w:rFonts w:eastAsia="Times New Roman"/>
                <w:bCs/>
                <w:color w:val="000000"/>
                <w:lang w:val="lt-LT"/>
              </w:rPr>
              <w:t> Eur (dvidešimt penki tūkstančiai aštuoni šimtai penkiasdešimt)</w:t>
            </w:r>
          </w:p>
          <w:p w14:paraId="226468CA" w14:textId="77777777" w:rsidR="00A80CB0" w:rsidRPr="00B011DB" w:rsidRDefault="00A80CB0" w:rsidP="00A80CB0">
            <w:pPr>
              <w:rPr>
                <w:rFonts w:eastAsia="Times New Roman"/>
                <w:color w:val="000000"/>
                <w:lang w:val="lt-LT"/>
              </w:rPr>
            </w:pPr>
          </w:p>
          <w:p w14:paraId="0114DB63" w14:textId="77777777" w:rsidR="00A80CB0" w:rsidRPr="00B011DB" w:rsidRDefault="00A80CB0" w:rsidP="00A80CB0">
            <w:pPr>
              <w:rPr>
                <w:rFonts w:eastAsia="Times New Roman"/>
                <w:color w:val="000000"/>
                <w:lang w:val="lt-LT"/>
              </w:rPr>
            </w:pPr>
            <w:r w:rsidRPr="00B011DB">
              <w:rPr>
                <w:rFonts w:eastAsia="Times New Roman"/>
                <w:color w:val="000000"/>
                <w:lang w:val="lt-LT"/>
              </w:rPr>
              <w:t xml:space="preserve">7. Pirkimo dalis Nr.7 - </w:t>
            </w:r>
            <w:r w:rsidRPr="00B011DB">
              <w:rPr>
                <w:rFonts w:eastAsia="Times New Roman"/>
                <w:b/>
                <w:bCs/>
                <w:color w:val="000000"/>
                <w:lang w:val="lt-LT"/>
              </w:rPr>
              <w:t>3.157,20</w:t>
            </w:r>
            <w:r w:rsidRPr="00B011DB">
              <w:rPr>
                <w:rFonts w:eastAsia="Times New Roman"/>
                <w:bCs/>
                <w:color w:val="000000"/>
                <w:lang w:val="lt-LT"/>
              </w:rPr>
              <w:t> Eur (trys tūkstančiai šimtas penkiasdešimt septyni eurai 20 ct)</w:t>
            </w:r>
          </w:p>
        </w:tc>
        <w:tc>
          <w:tcPr>
            <w:tcW w:w="1417" w:type="dxa"/>
            <w:tcBorders>
              <w:top w:val="nil"/>
              <w:left w:val="nil"/>
              <w:bottom w:val="single" w:sz="4" w:space="0" w:color="000000"/>
              <w:right w:val="single" w:sz="4" w:space="0" w:color="000000"/>
            </w:tcBorders>
            <w:shd w:val="clear" w:color="auto" w:fill="auto"/>
            <w:hideMark/>
          </w:tcPr>
          <w:p w14:paraId="18311BD1" w14:textId="77777777" w:rsidR="00A80CB0" w:rsidRPr="00B011DB" w:rsidRDefault="00A80CB0" w:rsidP="00A80CB0">
            <w:pPr>
              <w:jc w:val="center"/>
              <w:rPr>
                <w:rFonts w:eastAsia="Times New Roman"/>
                <w:color w:val="000000"/>
                <w:lang w:val="lt-LT"/>
              </w:rPr>
            </w:pPr>
            <w:r w:rsidRPr="00B011DB">
              <w:rPr>
                <w:rFonts w:eastAsia="Times New Roman"/>
                <w:color w:val="000000"/>
                <w:lang w:val="lt-LT"/>
              </w:rPr>
              <w:lastRenderedPageBreak/>
              <w:t>1.386.377,20</w:t>
            </w:r>
          </w:p>
        </w:tc>
      </w:tr>
      <w:tr w:rsidR="00A80CB0" w:rsidRPr="00B011DB" w14:paraId="7E695A50" w14:textId="77777777" w:rsidTr="00B011DB">
        <w:trPr>
          <w:trHeight w:val="384"/>
        </w:trPr>
        <w:tc>
          <w:tcPr>
            <w:tcW w:w="556" w:type="dxa"/>
            <w:tcBorders>
              <w:top w:val="nil"/>
              <w:left w:val="nil"/>
              <w:bottom w:val="nil"/>
              <w:right w:val="nil"/>
            </w:tcBorders>
            <w:shd w:val="clear" w:color="auto" w:fill="auto"/>
            <w:noWrap/>
            <w:hideMark/>
          </w:tcPr>
          <w:p w14:paraId="671BD32D" w14:textId="77777777" w:rsidR="00A80CB0" w:rsidRPr="00B011DB" w:rsidRDefault="00A80CB0" w:rsidP="00A80CB0">
            <w:pPr>
              <w:jc w:val="both"/>
              <w:rPr>
                <w:rFonts w:eastAsia="Times New Roman"/>
                <w:color w:val="000000"/>
                <w:lang w:val="lt-LT"/>
              </w:rPr>
            </w:pPr>
          </w:p>
        </w:tc>
        <w:tc>
          <w:tcPr>
            <w:tcW w:w="828" w:type="dxa"/>
            <w:tcBorders>
              <w:top w:val="nil"/>
              <w:left w:val="nil"/>
              <w:bottom w:val="nil"/>
              <w:right w:val="nil"/>
            </w:tcBorders>
            <w:shd w:val="clear" w:color="auto" w:fill="auto"/>
            <w:noWrap/>
            <w:hideMark/>
          </w:tcPr>
          <w:p w14:paraId="31815315" w14:textId="77777777" w:rsidR="00A80CB0" w:rsidRPr="00B011DB" w:rsidRDefault="00A80CB0" w:rsidP="00A80CB0">
            <w:pPr>
              <w:jc w:val="center"/>
              <w:rPr>
                <w:rFonts w:eastAsia="Times New Roman"/>
                <w:lang w:val="lt-LT"/>
              </w:rPr>
            </w:pPr>
          </w:p>
        </w:tc>
        <w:tc>
          <w:tcPr>
            <w:tcW w:w="7122" w:type="dxa"/>
            <w:gridSpan w:val="4"/>
            <w:tcBorders>
              <w:top w:val="single" w:sz="4" w:space="0" w:color="000000"/>
              <w:left w:val="nil"/>
              <w:bottom w:val="nil"/>
              <w:right w:val="nil"/>
            </w:tcBorders>
            <w:shd w:val="clear" w:color="auto" w:fill="auto"/>
            <w:vAlign w:val="center"/>
            <w:hideMark/>
          </w:tcPr>
          <w:p w14:paraId="495D13CF" w14:textId="77777777" w:rsidR="00A80CB0" w:rsidRPr="00B011DB" w:rsidRDefault="00A80CB0" w:rsidP="00A80CB0">
            <w:pPr>
              <w:jc w:val="right"/>
              <w:rPr>
                <w:rFonts w:eastAsia="Times New Roman"/>
                <w:color w:val="000000"/>
                <w:lang w:val="lt-LT"/>
              </w:rPr>
            </w:pPr>
            <w:r w:rsidRPr="00B011DB">
              <w:rPr>
                <w:rFonts w:eastAsia="Times New Roman"/>
                <w:color w:val="000000"/>
                <w:lang w:val="lt-LT"/>
              </w:rPr>
              <w:t> </w:t>
            </w:r>
          </w:p>
        </w:tc>
        <w:tc>
          <w:tcPr>
            <w:tcW w:w="1417" w:type="dxa"/>
            <w:tcBorders>
              <w:top w:val="nil"/>
              <w:left w:val="nil"/>
              <w:bottom w:val="nil"/>
              <w:right w:val="nil"/>
            </w:tcBorders>
            <w:shd w:val="clear" w:color="auto" w:fill="auto"/>
            <w:vAlign w:val="center"/>
            <w:hideMark/>
          </w:tcPr>
          <w:p w14:paraId="12CDDB79" w14:textId="77777777" w:rsidR="00A80CB0" w:rsidRPr="00B011DB" w:rsidRDefault="00A80CB0" w:rsidP="00A80CB0">
            <w:pPr>
              <w:jc w:val="right"/>
              <w:rPr>
                <w:rFonts w:eastAsia="Times New Roman"/>
                <w:color w:val="000000"/>
                <w:lang w:val="lt-LT"/>
              </w:rPr>
            </w:pPr>
          </w:p>
        </w:tc>
      </w:tr>
      <w:tr w:rsidR="00A80CB0" w:rsidRPr="00B011DB" w14:paraId="589CCD65" w14:textId="77777777" w:rsidTr="00B011DB">
        <w:trPr>
          <w:trHeight w:val="910"/>
        </w:trPr>
        <w:tc>
          <w:tcPr>
            <w:tcW w:w="9923" w:type="dxa"/>
            <w:gridSpan w:val="7"/>
            <w:hideMark/>
          </w:tcPr>
          <w:p w14:paraId="2ABAB975" w14:textId="77777777" w:rsidR="00A80CB0" w:rsidRPr="00B011DB" w:rsidRDefault="00A80CB0" w:rsidP="00A80CB0">
            <w:pPr>
              <w:rPr>
                <w:rFonts w:eastAsia="Times New Roman"/>
                <w:color w:val="000000"/>
                <w:sz w:val="20"/>
                <w:szCs w:val="20"/>
                <w:lang w:val="lt-LT" w:eastAsia="lt-LT"/>
              </w:rPr>
            </w:pPr>
            <w:r w:rsidRPr="00B011DB">
              <w:rPr>
                <w:rFonts w:eastAsia="Times New Roman"/>
                <w:i/>
                <w:iCs/>
                <w:color w:val="000000"/>
                <w:sz w:val="20"/>
                <w:szCs w:val="20"/>
                <w:lang w:val="lt-LT" w:eastAsia="lt-LT"/>
              </w:rPr>
              <w:t xml:space="preserve"> * Pastaba.</w:t>
            </w:r>
            <w:r w:rsidRPr="00B011DB">
              <w:rPr>
                <w:rFonts w:eastAsia="Times New Roman"/>
                <w:color w:val="000000"/>
                <w:sz w:val="20"/>
                <w:szCs w:val="20"/>
                <w:lang w:val="lt-LT" w:eastAsia="lt-LT"/>
              </w:rPr>
              <w:t xml:space="preserve"> </w:t>
            </w:r>
            <w:proofErr w:type="spellStart"/>
            <w:r w:rsidRPr="00B011DB">
              <w:rPr>
                <w:rFonts w:eastAsia="Times New Roman"/>
                <w:color w:val="000000"/>
                <w:sz w:val="20"/>
                <w:szCs w:val="20"/>
                <w:lang w:val="lt-LT" w:eastAsia="lt-LT"/>
              </w:rPr>
              <w:t>Rh</w:t>
            </w:r>
            <w:proofErr w:type="spellEnd"/>
            <w:r w:rsidRPr="00B011DB">
              <w:rPr>
                <w:rFonts w:eastAsia="Times New Roman"/>
                <w:color w:val="000000"/>
                <w:sz w:val="20"/>
                <w:szCs w:val="20"/>
                <w:lang w:val="lt-LT" w:eastAsia="lt-LT"/>
              </w:rPr>
              <w:t xml:space="preserve"> fenotipo nustatymas donorų kraujyje.</w:t>
            </w:r>
          </w:p>
          <w:p w14:paraId="586983DC" w14:textId="77777777" w:rsidR="00A80CB0" w:rsidRPr="00B011DB" w:rsidRDefault="00A80CB0" w:rsidP="00B011DB">
            <w:pPr>
              <w:jc w:val="both"/>
              <w:rPr>
                <w:rFonts w:eastAsia="Times New Roman"/>
                <w:color w:val="000000"/>
                <w:sz w:val="20"/>
                <w:szCs w:val="20"/>
                <w:lang w:val="lt-LT" w:eastAsia="lt-LT"/>
              </w:rPr>
            </w:pPr>
            <w:r w:rsidRPr="00B011DB">
              <w:rPr>
                <w:rFonts w:eastAsia="Times New Roman"/>
                <w:b/>
                <w:bCs/>
                <w:color w:val="000000"/>
                <w:sz w:val="20"/>
                <w:szCs w:val="20"/>
                <w:lang w:val="lt-LT" w:eastAsia="lt-LT"/>
              </w:rPr>
              <w:t>**</w:t>
            </w:r>
            <w:r w:rsidRPr="00B011DB">
              <w:rPr>
                <w:rFonts w:eastAsia="Times New Roman"/>
                <w:color w:val="000000"/>
                <w:sz w:val="20"/>
                <w:szCs w:val="20"/>
                <w:lang w:val="lt-LT" w:eastAsia="lt-LT"/>
              </w:rPr>
              <w:t xml:space="preserve">PVM   kraujo   komponentams    neskaičiuojamas,    vadovaujantis   Lietuvos    Respublikos  pridėtinės   vertės  mokesčio </w:t>
            </w:r>
          </w:p>
          <w:p w14:paraId="62F47E43" w14:textId="77777777" w:rsidR="00A80CB0" w:rsidRPr="00B011DB" w:rsidRDefault="00A80CB0" w:rsidP="00A80CB0">
            <w:pPr>
              <w:rPr>
                <w:rFonts w:eastAsia="Times New Roman"/>
                <w:color w:val="000000"/>
                <w:sz w:val="20"/>
                <w:szCs w:val="20"/>
                <w:lang w:val="lt-LT" w:eastAsia="lt-LT"/>
              </w:rPr>
            </w:pPr>
            <w:r w:rsidRPr="00B011DB">
              <w:rPr>
                <w:rFonts w:eastAsia="Times New Roman"/>
                <w:color w:val="000000"/>
                <w:sz w:val="20"/>
                <w:szCs w:val="20"/>
                <w:lang w:val="lt-LT" w:eastAsia="lt-LT"/>
              </w:rPr>
              <w:t>įstatymo 20 str.</w:t>
            </w:r>
          </w:p>
        </w:tc>
      </w:tr>
    </w:tbl>
    <w:p w14:paraId="1FEADB3C" w14:textId="77777777" w:rsidR="00D40505" w:rsidRPr="00B011DB" w:rsidRDefault="00D40505" w:rsidP="00D40505">
      <w:pPr>
        <w:jc w:val="center"/>
        <w:rPr>
          <w:rFonts w:eastAsia="Times New Roman"/>
          <w:b/>
          <w:color w:val="000000"/>
          <w:szCs w:val="22"/>
          <w:lang w:val="lt-LT"/>
        </w:rPr>
      </w:pPr>
    </w:p>
    <w:tbl>
      <w:tblPr>
        <w:tblpPr w:leftFromText="180" w:rightFromText="180" w:vertAnchor="text" w:tblpX="-5"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4536"/>
        <w:gridCol w:w="2013"/>
      </w:tblGrid>
      <w:tr w:rsidR="00A80CB0" w:rsidRPr="00BE3D16" w14:paraId="1DB91D2A" w14:textId="77777777" w:rsidTr="00B011DB">
        <w:tc>
          <w:tcPr>
            <w:tcW w:w="817" w:type="dxa"/>
            <w:shd w:val="clear" w:color="auto" w:fill="auto"/>
            <w:vAlign w:val="center"/>
          </w:tcPr>
          <w:p w14:paraId="017DB689" w14:textId="77777777" w:rsidR="00A80CB0" w:rsidRPr="00B011DB" w:rsidRDefault="00A80CB0" w:rsidP="00A80CB0">
            <w:pPr>
              <w:keepNext/>
              <w:tabs>
                <w:tab w:val="left" w:pos="1418"/>
              </w:tabs>
              <w:suppressAutoHyphens/>
              <w:ind w:left="-142" w:right="-108"/>
              <w:jc w:val="center"/>
              <w:outlineLvl w:val="1"/>
              <w:rPr>
                <w:bCs/>
                <w:sz w:val="22"/>
                <w:szCs w:val="22"/>
                <w:lang w:val="lt-LT"/>
              </w:rPr>
            </w:pPr>
            <w:r w:rsidRPr="00B011DB">
              <w:rPr>
                <w:bCs/>
                <w:sz w:val="22"/>
                <w:szCs w:val="22"/>
                <w:lang w:val="lt-LT"/>
              </w:rPr>
              <w:t>Pirkimo dalies Nr.</w:t>
            </w:r>
          </w:p>
        </w:tc>
        <w:tc>
          <w:tcPr>
            <w:tcW w:w="2410" w:type="dxa"/>
            <w:shd w:val="clear" w:color="auto" w:fill="auto"/>
            <w:vAlign w:val="center"/>
          </w:tcPr>
          <w:p w14:paraId="4ED05B45" w14:textId="77777777" w:rsidR="00A80CB0" w:rsidRPr="00B011DB" w:rsidRDefault="00A80CB0" w:rsidP="00A80CB0">
            <w:pPr>
              <w:keepNext/>
              <w:tabs>
                <w:tab w:val="left" w:pos="1418"/>
              </w:tabs>
              <w:suppressAutoHyphens/>
              <w:jc w:val="center"/>
              <w:outlineLvl w:val="1"/>
              <w:rPr>
                <w:bCs/>
                <w:sz w:val="22"/>
                <w:szCs w:val="22"/>
                <w:lang w:val="lt-LT"/>
              </w:rPr>
            </w:pPr>
            <w:r w:rsidRPr="00B011DB">
              <w:rPr>
                <w:bCs/>
                <w:sz w:val="22"/>
                <w:szCs w:val="22"/>
                <w:lang w:val="lt-LT"/>
              </w:rPr>
              <w:t>Pirkimo dalies pavadinimas</w:t>
            </w:r>
          </w:p>
        </w:tc>
        <w:tc>
          <w:tcPr>
            <w:tcW w:w="4536" w:type="dxa"/>
            <w:shd w:val="clear" w:color="auto" w:fill="auto"/>
            <w:vAlign w:val="center"/>
          </w:tcPr>
          <w:p w14:paraId="2A4A3F91" w14:textId="77777777" w:rsidR="00A80CB0" w:rsidRPr="00B011DB" w:rsidRDefault="00A80CB0" w:rsidP="00A80CB0">
            <w:pPr>
              <w:keepNext/>
              <w:tabs>
                <w:tab w:val="left" w:pos="1418"/>
              </w:tabs>
              <w:suppressAutoHyphens/>
              <w:jc w:val="center"/>
              <w:outlineLvl w:val="1"/>
              <w:rPr>
                <w:bCs/>
                <w:sz w:val="22"/>
                <w:szCs w:val="22"/>
                <w:lang w:val="lt-LT"/>
              </w:rPr>
            </w:pPr>
            <w:r w:rsidRPr="00B011DB">
              <w:rPr>
                <w:bCs/>
                <w:sz w:val="22"/>
                <w:szCs w:val="22"/>
                <w:lang w:val="lt-LT"/>
              </w:rPr>
              <w:t>Kriterijaus pavadinimas</w:t>
            </w:r>
          </w:p>
        </w:tc>
        <w:tc>
          <w:tcPr>
            <w:tcW w:w="2013" w:type="dxa"/>
            <w:shd w:val="clear" w:color="auto" w:fill="auto"/>
            <w:vAlign w:val="center"/>
          </w:tcPr>
          <w:p w14:paraId="7D757291" w14:textId="77777777" w:rsidR="00A80CB0" w:rsidRPr="00B011DB" w:rsidRDefault="00A80CB0" w:rsidP="00A80CB0">
            <w:pPr>
              <w:keepNext/>
              <w:tabs>
                <w:tab w:val="left" w:pos="1418"/>
              </w:tabs>
              <w:suppressAutoHyphens/>
              <w:jc w:val="center"/>
              <w:outlineLvl w:val="1"/>
              <w:rPr>
                <w:bCs/>
                <w:sz w:val="22"/>
                <w:szCs w:val="22"/>
                <w:lang w:val="lt-LT"/>
              </w:rPr>
            </w:pPr>
            <w:r w:rsidRPr="00B011DB">
              <w:rPr>
                <w:bCs/>
                <w:sz w:val="22"/>
                <w:szCs w:val="22"/>
                <w:lang w:val="lt-LT"/>
              </w:rPr>
              <w:t>Tiekėjų siūlomų kriterijų rodiklių reikšmės (pasirinktas kriterijus pažymimas “taip”)***</w:t>
            </w:r>
          </w:p>
        </w:tc>
      </w:tr>
      <w:tr w:rsidR="00A80CB0" w:rsidRPr="00B011DB" w14:paraId="1A7158D4" w14:textId="77777777" w:rsidTr="00B011DB">
        <w:trPr>
          <w:trHeight w:val="852"/>
        </w:trPr>
        <w:tc>
          <w:tcPr>
            <w:tcW w:w="817" w:type="dxa"/>
            <w:vMerge w:val="restart"/>
            <w:shd w:val="clear" w:color="auto" w:fill="auto"/>
          </w:tcPr>
          <w:p w14:paraId="61A08ABB"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1</w:t>
            </w:r>
          </w:p>
        </w:tc>
        <w:tc>
          <w:tcPr>
            <w:tcW w:w="2410" w:type="dxa"/>
            <w:vMerge w:val="restart"/>
            <w:shd w:val="clear" w:color="auto" w:fill="auto"/>
          </w:tcPr>
          <w:p w14:paraId="66F703CB"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Eritrocitai be leukocitų pridėtiniame tirpale (1 V = 250 ml ± 50 ml)</w:t>
            </w:r>
          </w:p>
        </w:tc>
        <w:tc>
          <w:tcPr>
            <w:tcW w:w="4536" w:type="dxa"/>
            <w:vMerge w:val="restart"/>
            <w:shd w:val="clear" w:color="auto" w:fill="auto"/>
          </w:tcPr>
          <w:p w14:paraId="2D59771C"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18 val. ir skubiu užsakymu –  ne vėliau kaip per 4 val.</w:t>
            </w:r>
          </w:p>
          <w:p w14:paraId="5C3B4A62" w14:textId="77777777" w:rsidR="00A80CB0" w:rsidRPr="00B011DB" w:rsidRDefault="00A80CB0" w:rsidP="00A80CB0">
            <w:pPr>
              <w:keepNext/>
              <w:tabs>
                <w:tab w:val="left" w:pos="1418"/>
              </w:tabs>
              <w:suppressAutoHyphens/>
              <w:jc w:val="both"/>
              <w:outlineLvl w:val="1"/>
              <w:rPr>
                <w:sz w:val="22"/>
                <w:szCs w:val="22"/>
                <w:lang w:val="lt-LT"/>
              </w:rPr>
            </w:pPr>
          </w:p>
          <w:p w14:paraId="69A169F1"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24 val. ir skubiu užsakymu –  ne vėliau kaip per 6 val.</w:t>
            </w:r>
          </w:p>
        </w:tc>
        <w:tc>
          <w:tcPr>
            <w:tcW w:w="2013" w:type="dxa"/>
            <w:shd w:val="clear" w:color="auto" w:fill="auto"/>
            <w:vAlign w:val="center"/>
          </w:tcPr>
          <w:p w14:paraId="706A224E" w14:textId="77777777" w:rsidR="00A80CB0" w:rsidRPr="00B011DB" w:rsidRDefault="00A80CB0" w:rsidP="00A80CB0">
            <w:pPr>
              <w:keepNext/>
              <w:tabs>
                <w:tab w:val="left" w:pos="1418"/>
              </w:tabs>
              <w:suppressAutoHyphens/>
              <w:jc w:val="center"/>
              <w:outlineLvl w:val="1"/>
              <w:rPr>
                <w:sz w:val="22"/>
                <w:szCs w:val="22"/>
                <w:lang w:val="lt-LT"/>
              </w:rPr>
            </w:pPr>
          </w:p>
          <w:p w14:paraId="32B30FC9"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tc>
      </w:tr>
      <w:tr w:rsidR="00A80CB0" w:rsidRPr="00B011DB" w14:paraId="79A3FD70" w14:textId="77777777" w:rsidTr="00B011DB">
        <w:trPr>
          <w:trHeight w:val="693"/>
        </w:trPr>
        <w:tc>
          <w:tcPr>
            <w:tcW w:w="817" w:type="dxa"/>
            <w:vMerge/>
            <w:shd w:val="clear" w:color="auto" w:fill="auto"/>
          </w:tcPr>
          <w:p w14:paraId="09698972"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shd w:val="clear" w:color="auto" w:fill="auto"/>
          </w:tcPr>
          <w:p w14:paraId="30CA9862"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shd w:val="clear" w:color="auto" w:fill="auto"/>
          </w:tcPr>
          <w:p w14:paraId="6744A364"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shd w:val="clear" w:color="auto" w:fill="auto"/>
            <w:vAlign w:val="center"/>
          </w:tcPr>
          <w:p w14:paraId="4F3D3195"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r w:rsidR="00A80CB0" w:rsidRPr="00B011DB" w14:paraId="313339E1" w14:textId="77777777" w:rsidTr="00B011DB">
        <w:trPr>
          <w:trHeight w:val="480"/>
        </w:trPr>
        <w:tc>
          <w:tcPr>
            <w:tcW w:w="817" w:type="dxa"/>
            <w:vMerge w:val="restart"/>
            <w:shd w:val="clear" w:color="auto" w:fill="auto"/>
          </w:tcPr>
          <w:p w14:paraId="233EA980"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2</w:t>
            </w:r>
          </w:p>
        </w:tc>
        <w:tc>
          <w:tcPr>
            <w:tcW w:w="2410" w:type="dxa"/>
            <w:vMerge w:val="restart"/>
            <w:shd w:val="clear" w:color="auto" w:fill="auto"/>
          </w:tcPr>
          <w:p w14:paraId="35F9580F"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Nuplauti eritrocitai (1 V = 280 ml ± 60 ml)</w:t>
            </w:r>
          </w:p>
        </w:tc>
        <w:tc>
          <w:tcPr>
            <w:tcW w:w="4536" w:type="dxa"/>
            <w:vMerge w:val="restart"/>
            <w:shd w:val="clear" w:color="auto" w:fill="auto"/>
          </w:tcPr>
          <w:p w14:paraId="39B41902"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Užsakius prekes, pristatymas vykdomas  ne vėliau kaip per 18 val.</w:t>
            </w:r>
          </w:p>
          <w:p w14:paraId="4D30283C" w14:textId="77777777" w:rsidR="00A80CB0" w:rsidRPr="00B011DB" w:rsidRDefault="00A80CB0" w:rsidP="00A80CB0">
            <w:pPr>
              <w:keepNext/>
              <w:tabs>
                <w:tab w:val="left" w:pos="1418"/>
              </w:tabs>
              <w:suppressAutoHyphens/>
              <w:jc w:val="both"/>
              <w:outlineLvl w:val="1"/>
              <w:rPr>
                <w:sz w:val="22"/>
                <w:szCs w:val="22"/>
                <w:lang w:val="lt-LT"/>
              </w:rPr>
            </w:pPr>
          </w:p>
          <w:p w14:paraId="4B845CB7"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Užsakius prekes, pristatymas vykdomas  ne vėliau kaip per 24 val.</w:t>
            </w:r>
          </w:p>
        </w:tc>
        <w:tc>
          <w:tcPr>
            <w:tcW w:w="2013" w:type="dxa"/>
            <w:shd w:val="clear" w:color="auto" w:fill="auto"/>
            <w:vAlign w:val="center"/>
          </w:tcPr>
          <w:p w14:paraId="2FE5A6EF" w14:textId="77777777" w:rsidR="00A80CB0" w:rsidRPr="00B011DB" w:rsidRDefault="00A80CB0" w:rsidP="00A80CB0">
            <w:pPr>
              <w:keepNext/>
              <w:tabs>
                <w:tab w:val="left" w:pos="1418"/>
              </w:tabs>
              <w:suppressAutoHyphens/>
              <w:jc w:val="center"/>
              <w:outlineLvl w:val="1"/>
              <w:rPr>
                <w:sz w:val="22"/>
                <w:szCs w:val="22"/>
                <w:lang w:val="lt-LT"/>
              </w:rPr>
            </w:pPr>
          </w:p>
          <w:p w14:paraId="1841D91F"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tc>
      </w:tr>
      <w:tr w:rsidR="00A80CB0" w:rsidRPr="00B011DB" w14:paraId="63806FE5" w14:textId="77777777" w:rsidTr="00B011DB">
        <w:trPr>
          <w:trHeight w:val="494"/>
        </w:trPr>
        <w:tc>
          <w:tcPr>
            <w:tcW w:w="817" w:type="dxa"/>
            <w:vMerge/>
            <w:shd w:val="clear" w:color="auto" w:fill="auto"/>
          </w:tcPr>
          <w:p w14:paraId="15402862"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shd w:val="clear" w:color="auto" w:fill="auto"/>
          </w:tcPr>
          <w:p w14:paraId="595A018E"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shd w:val="clear" w:color="auto" w:fill="auto"/>
          </w:tcPr>
          <w:p w14:paraId="6CFA8923"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shd w:val="clear" w:color="auto" w:fill="auto"/>
            <w:vAlign w:val="center"/>
          </w:tcPr>
          <w:p w14:paraId="626BFAC6"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r w:rsidR="00A80CB0" w:rsidRPr="00B011DB" w14:paraId="76DAC2FD" w14:textId="77777777" w:rsidTr="00B011DB">
        <w:trPr>
          <w:trHeight w:val="626"/>
        </w:trPr>
        <w:tc>
          <w:tcPr>
            <w:tcW w:w="817" w:type="dxa"/>
            <w:vMerge w:val="restart"/>
            <w:shd w:val="clear" w:color="auto" w:fill="auto"/>
          </w:tcPr>
          <w:p w14:paraId="51518898"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3</w:t>
            </w:r>
          </w:p>
        </w:tc>
        <w:tc>
          <w:tcPr>
            <w:tcW w:w="2410" w:type="dxa"/>
            <w:vMerge w:val="restart"/>
            <w:shd w:val="clear" w:color="auto" w:fill="auto"/>
          </w:tcPr>
          <w:p w14:paraId="3FF21858"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Šviežiai užšaldyta plazma (1 V = 220 ml ± 50 ml)</w:t>
            </w:r>
          </w:p>
        </w:tc>
        <w:tc>
          <w:tcPr>
            <w:tcW w:w="4536" w:type="dxa"/>
            <w:vMerge w:val="restart"/>
            <w:shd w:val="clear" w:color="auto" w:fill="auto"/>
          </w:tcPr>
          <w:p w14:paraId="459CBBBD"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18 val. ir skubiu užsakymu –  ne vėliau kaip per 4 val.</w:t>
            </w:r>
          </w:p>
          <w:p w14:paraId="28DB1E59" w14:textId="77777777" w:rsidR="00A80CB0" w:rsidRPr="00B011DB" w:rsidRDefault="00A80CB0" w:rsidP="00A80CB0">
            <w:pPr>
              <w:keepNext/>
              <w:tabs>
                <w:tab w:val="left" w:pos="1418"/>
              </w:tabs>
              <w:suppressAutoHyphens/>
              <w:jc w:val="both"/>
              <w:outlineLvl w:val="1"/>
              <w:rPr>
                <w:sz w:val="22"/>
                <w:szCs w:val="22"/>
                <w:lang w:val="lt-LT"/>
              </w:rPr>
            </w:pPr>
          </w:p>
          <w:p w14:paraId="79280A41"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24 val. ir skubiu užsakymu –  ne vėliau kaip per 6 val.</w:t>
            </w:r>
          </w:p>
        </w:tc>
        <w:tc>
          <w:tcPr>
            <w:tcW w:w="2013" w:type="dxa"/>
            <w:shd w:val="clear" w:color="auto" w:fill="auto"/>
          </w:tcPr>
          <w:p w14:paraId="101E5C39" w14:textId="77777777" w:rsidR="00A80CB0" w:rsidRPr="00B011DB" w:rsidRDefault="00A80CB0" w:rsidP="00A80CB0">
            <w:pPr>
              <w:keepNext/>
              <w:tabs>
                <w:tab w:val="left" w:pos="1418"/>
              </w:tabs>
              <w:suppressAutoHyphens/>
              <w:jc w:val="center"/>
              <w:outlineLvl w:val="1"/>
              <w:rPr>
                <w:sz w:val="22"/>
                <w:szCs w:val="22"/>
                <w:lang w:val="lt-LT"/>
              </w:rPr>
            </w:pPr>
          </w:p>
          <w:p w14:paraId="77C4ACE1"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p w14:paraId="4F291A17" w14:textId="77777777" w:rsidR="00A80CB0" w:rsidRPr="00B011DB" w:rsidRDefault="00A80CB0" w:rsidP="00A80CB0">
            <w:pPr>
              <w:keepNext/>
              <w:tabs>
                <w:tab w:val="left" w:pos="1418"/>
              </w:tabs>
              <w:suppressAutoHyphens/>
              <w:jc w:val="center"/>
              <w:outlineLvl w:val="1"/>
              <w:rPr>
                <w:sz w:val="22"/>
                <w:szCs w:val="22"/>
                <w:lang w:val="lt-LT"/>
              </w:rPr>
            </w:pPr>
          </w:p>
        </w:tc>
      </w:tr>
      <w:tr w:rsidR="00A80CB0" w:rsidRPr="00B011DB" w14:paraId="21B01BCA" w14:textId="77777777" w:rsidTr="00B011DB">
        <w:trPr>
          <w:trHeight w:val="693"/>
        </w:trPr>
        <w:tc>
          <w:tcPr>
            <w:tcW w:w="817" w:type="dxa"/>
            <w:vMerge/>
            <w:shd w:val="clear" w:color="auto" w:fill="auto"/>
          </w:tcPr>
          <w:p w14:paraId="41774D8F"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shd w:val="clear" w:color="auto" w:fill="auto"/>
          </w:tcPr>
          <w:p w14:paraId="18E74549"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shd w:val="clear" w:color="auto" w:fill="auto"/>
          </w:tcPr>
          <w:p w14:paraId="7B59CF4B"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shd w:val="clear" w:color="auto" w:fill="auto"/>
            <w:vAlign w:val="center"/>
          </w:tcPr>
          <w:p w14:paraId="3F725EEA"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r w:rsidR="00A80CB0" w:rsidRPr="00B011DB" w14:paraId="15A0DE7A" w14:textId="77777777" w:rsidTr="00B011DB">
        <w:trPr>
          <w:trHeight w:val="821"/>
        </w:trPr>
        <w:tc>
          <w:tcPr>
            <w:tcW w:w="817" w:type="dxa"/>
            <w:vMerge w:val="restart"/>
            <w:shd w:val="clear" w:color="auto" w:fill="auto"/>
          </w:tcPr>
          <w:p w14:paraId="7C26D39E"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4</w:t>
            </w:r>
          </w:p>
        </w:tc>
        <w:tc>
          <w:tcPr>
            <w:tcW w:w="2410" w:type="dxa"/>
            <w:vMerge w:val="restart"/>
            <w:shd w:val="clear" w:color="auto" w:fill="auto"/>
          </w:tcPr>
          <w:p w14:paraId="78916049" w14:textId="77777777" w:rsidR="00A80CB0" w:rsidRPr="00B011DB" w:rsidRDefault="00A80CB0" w:rsidP="00A80CB0">
            <w:pPr>
              <w:keepNext/>
              <w:tabs>
                <w:tab w:val="left" w:pos="1418"/>
              </w:tabs>
              <w:suppressAutoHyphens/>
              <w:jc w:val="both"/>
              <w:outlineLvl w:val="1"/>
              <w:rPr>
                <w:sz w:val="22"/>
                <w:szCs w:val="22"/>
                <w:lang w:val="lt-LT"/>
              </w:rPr>
            </w:pPr>
            <w:proofErr w:type="spellStart"/>
            <w:r w:rsidRPr="00B011DB">
              <w:rPr>
                <w:sz w:val="22"/>
                <w:szCs w:val="22"/>
                <w:lang w:val="lt-LT"/>
              </w:rPr>
              <w:t>Krioprecipitatai</w:t>
            </w:r>
            <w:proofErr w:type="spellEnd"/>
            <w:r w:rsidRPr="00B011DB">
              <w:rPr>
                <w:sz w:val="22"/>
                <w:szCs w:val="22"/>
                <w:lang w:val="lt-LT"/>
              </w:rPr>
              <w:t xml:space="preserve"> (1 V = 30 - 40 ml)</w:t>
            </w:r>
          </w:p>
        </w:tc>
        <w:tc>
          <w:tcPr>
            <w:tcW w:w="4536" w:type="dxa"/>
            <w:vMerge w:val="restart"/>
            <w:shd w:val="clear" w:color="auto" w:fill="auto"/>
          </w:tcPr>
          <w:p w14:paraId="7C27D584"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18 val. ir skubiu užsakymu –  ne vėliau kaip per 4 val.</w:t>
            </w:r>
          </w:p>
          <w:p w14:paraId="1F3712AE" w14:textId="77777777" w:rsidR="00A80CB0" w:rsidRPr="00B011DB" w:rsidRDefault="00A80CB0" w:rsidP="00A80CB0">
            <w:pPr>
              <w:keepNext/>
              <w:tabs>
                <w:tab w:val="left" w:pos="1418"/>
              </w:tabs>
              <w:suppressAutoHyphens/>
              <w:jc w:val="both"/>
              <w:outlineLvl w:val="1"/>
              <w:rPr>
                <w:sz w:val="22"/>
                <w:szCs w:val="22"/>
                <w:lang w:val="lt-LT"/>
              </w:rPr>
            </w:pPr>
          </w:p>
          <w:p w14:paraId="1ED45C14"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24 val. ir skubiu užsakymu –  ne vėliau kaip per 6 val.</w:t>
            </w:r>
          </w:p>
        </w:tc>
        <w:tc>
          <w:tcPr>
            <w:tcW w:w="2013" w:type="dxa"/>
            <w:shd w:val="clear" w:color="auto" w:fill="auto"/>
          </w:tcPr>
          <w:p w14:paraId="53DD2DF3" w14:textId="77777777" w:rsidR="00A80CB0" w:rsidRPr="00B011DB" w:rsidRDefault="00A80CB0" w:rsidP="00A80CB0">
            <w:pPr>
              <w:keepNext/>
              <w:tabs>
                <w:tab w:val="left" w:pos="1418"/>
              </w:tabs>
              <w:suppressAutoHyphens/>
              <w:jc w:val="center"/>
              <w:outlineLvl w:val="1"/>
              <w:rPr>
                <w:sz w:val="22"/>
                <w:szCs w:val="22"/>
                <w:lang w:val="lt-LT"/>
              </w:rPr>
            </w:pPr>
          </w:p>
          <w:p w14:paraId="6738B671"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p w14:paraId="05BBEDDD" w14:textId="77777777" w:rsidR="00A80CB0" w:rsidRPr="00B011DB" w:rsidRDefault="00A80CB0" w:rsidP="00A80CB0">
            <w:pPr>
              <w:keepNext/>
              <w:tabs>
                <w:tab w:val="left" w:pos="1418"/>
              </w:tabs>
              <w:suppressAutoHyphens/>
              <w:jc w:val="center"/>
              <w:outlineLvl w:val="1"/>
              <w:rPr>
                <w:sz w:val="22"/>
                <w:szCs w:val="22"/>
                <w:lang w:val="lt-LT"/>
              </w:rPr>
            </w:pPr>
          </w:p>
        </w:tc>
      </w:tr>
      <w:tr w:rsidR="00A80CB0" w:rsidRPr="00B011DB" w14:paraId="41C3A2F3" w14:textId="77777777" w:rsidTr="00B011DB">
        <w:trPr>
          <w:trHeight w:val="693"/>
        </w:trPr>
        <w:tc>
          <w:tcPr>
            <w:tcW w:w="817" w:type="dxa"/>
            <w:vMerge/>
            <w:shd w:val="clear" w:color="auto" w:fill="auto"/>
          </w:tcPr>
          <w:p w14:paraId="5783A1B8"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shd w:val="clear" w:color="auto" w:fill="auto"/>
          </w:tcPr>
          <w:p w14:paraId="6FE000E8"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shd w:val="clear" w:color="auto" w:fill="auto"/>
          </w:tcPr>
          <w:p w14:paraId="7F8FC827"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shd w:val="clear" w:color="auto" w:fill="auto"/>
            <w:vAlign w:val="center"/>
          </w:tcPr>
          <w:p w14:paraId="49FE7462"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r w:rsidR="00A80CB0" w:rsidRPr="00B011DB" w14:paraId="723CD550" w14:textId="77777777" w:rsidTr="00B011DB">
        <w:trPr>
          <w:trHeight w:val="591"/>
        </w:trPr>
        <w:tc>
          <w:tcPr>
            <w:tcW w:w="817" w:type="dxa"/>
            <w:vMerge w:val="restart"/>
            <w:shd w:val="clear" w:color="auto" w:fill="auto"/>
          </w:tcPr>
          <w:p w14:paraId="094F2BD5"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lastRenderedPageBreak/>
              <w:t>5</w:t>
            </w:r>
          </w:p>
        </w:tc>
        <w:tc>
          <w:tcPr>
            <w:tcW w:w="2410" w:type="dxa"/>
            <w:vMerge w:val="restart"/>
            <w:shd w:val="clear" w:color="auto" w:fill="auto"/>
          </w:tcPr>
          <w:p w14:paraId="3D513EE7"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 xml:space="preserve">Trombocitai, gauti </w:t>
            </w:r>
            <w:proofErr w:type="spellStart"/>
            <w:r w:rsidRPr="00B011DB">
              <w:rPr>
                <w:sz w:val="22"/>
                <w:szCs w:val="22"/>
                <w:lang w:val="lt-LT"/>
              </w:rPr>
              <w:t>aferezės</w:t>
            </w:r>
            <w:proofErr w:type="spellEnd"/>
            <w:r w:rsidRPr="00B011DB">
              <w:rPr>
                <w:sz w:val="22"/>
                <w:szCs w:val="22"/>
                <w:lang w:val="lt-LT"/>
              </w:rPr>
              <w:t xml:space="preserve"> būdu, be leukocitų (trombocitų skaičius ne mažesnis kaip 200 x 10 </w:t>
            </w:r>
            <w:r w:rsidRPr="00B011DB">
              <w:rPr>
                <w:position w:val="7"/>
                <w:sz w:val="22"/>
                <w:szCs w:val="22"/>
                <w:lang w:val="lt-LT"/>
              </w:rPr>
              <w:t>9</w:t>
            </w:r>
            <w:r w:rsidRPr="00B011DB">
              <w:rPr>
                <w:sz w:val="22"/>
                <w:szCs w:val="22"/>
                <w:lang w:val="lt-LT"/>
              </w:rPr>
              <w:t>)</w:t>
            </w:r>
          </w:p>
        </w:tc>
        <w:tc>
          <w:tcPr>
            <w:tcW w:w="4536" w:type="dxa"/>
            <w:vMerge w:val="restart"/>
            <w:shd w:val="clear" w:color="auto" w:fill="auto"/>
          </w:tcPr>
          <w:p w14:paraId="70E70A6B"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24 val. ir skubiu užsakymu –  ne vėliau kaip per 6 val.</w:t>
            </w:r>
          </w:p>
          <w:p w14:paraId="6A87974A" w14:textId="77777777" w:rsidR="00A80CB0" w:rsidRPr="00B011DB" w:rsidRDefault="00A80CB0" w:rsidP="00A80CB0">
            <w:pPr>
              <w:keepNext/>
              <w:tabs>
                <w:tab w:val="left" w:pos="1418"/>
              </w:tabs>
              <w:suppressAutoHyphens/>
              <w:jc w:val="both"/>
              <w:outlineLvl w:val="1"/>
              <w:rPr>
                <w:sz w:val="22"/>
                <w:szCs w:val="22"/>
                <w:lang w:val="lt-LT"/>
              </w:rPr>
            </w:pPr>
          </w:p>
          <w:p w14:paraId="6EC3EBCA"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 xml:space="preserve">Planiniu užsakymu prekės pristatomos  ne vėliau kaip per 36 val. </w:t>
            </w:r>
          </w:p>
        </w:tc>
        <w:tc>
          <w:tcPr>
            <w:tcW w:w="2013" w:type="dxa"/>
            <w:shd w:val="clear" w:color="auto" w:fill="auto"/>
          </w:tcPr>
          <w:p w14:paraId="6D399286" w14:textId="77777777" w:rsidR="00A80CB0" w:rsidRPr="00B011DB" w:rsidRDefault="00A80CB0" w:rsidP="00A80CB0">
            <w:pPr>
              <w:keepNext/>
              <w:tabs>
                <w:tab w:val="left" w:pos="1418"/>
              </w:tabs>
              <w:suppressAutoHyphens/>
              <w:jc w:val="center"/>
              <w:outlineLvl w:val="1"/>
              <w:rPr>
                <w:sz w:val="22"/>
                <w:szCs w:val="22"/>
                <w:lang w:val="lt-LT"/>
              </w:rPr>
            </w:pPr>
          </w:p>
          <w:p w14:paraId="54B71F7B"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p w14:paraId="103F94D1" w14:textId="77777777" w:rsidR="00A80CB0" w:rsidRPr="00B011DB" w:rsidRDefault="00A80CB0" w:rsidP="00A80CB0">
            <w:pPr>
              <w:keepNext/>
              <w:tabs>
                <w:tab w:val="left" w:pos="1418"/>
              </w:tabs>
              <w:suppressAutoHyphens/>
              <w:jc w:val="center"/>
              <w:outlineLvl w:val="1"/>
              <w:rPr>
                <w:sz w:val="22"/>
                <w:szCs w:val="22"/>
                <w:lang w:val="lt-LT"/>
              </w:rPr>
            </w:pPr>
          </w:p>
        </w:tc>
      </w:tr>
      <w:tr w:rsidR="00A80CB0" w:rsidRPr="00B011DB" w14:paraId="495BEBC3" w14:textId="77777777" w:rsidTr="00B011DB">
        <w:trPr>
          <w:trHeight w:val="591"/>
        </w:trPr>
        <w:tc>
          <w:tcPr>
            <w:tcW w:w="817" w:type="dxa"/>
            <w:vMerge/>
            <w:shd w:val="clear" w:color="auto" w:fill="auto"/>
          </w:tcPr>
          <w:p w14:paraId="22D05187"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shd w:val="clear" w:color="auto" w:fill="auto"/>
          </w:tcPr>
          <w:p w14:paraId="2CD47E70"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shd w:val="clear" w:color="auto" w:fill="auto"/>
          </w:tcPr>
          <w:p w14:paraId="6F0352B8"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shd w:val="clear" w:color="auto" w:fill="auto"/>
            <w:vAlign w:val="center"/>
          </w:tcPr>
          <w:p w14:paraId="6D895A59"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r w:rsidR="00A80CB0" w:rsidRPr="00B011DB" w14:paraId="794D5C92" w14:textId="77777777" w:rsidTr="00B011DB">
        <w:trPr>
          <w:trHeight w:val="1047"/>
        </w:trPr>
        <w:tc>
          <w:tcPr>
            <w:tcW w:w="817" w:type="dxa"/>
            <w:vMerge w:val="restart"/>
            <w:shd w:val="clear" w:color="auto" w:fill="auto"/>
          </w:tcPr>
          <w:p w14:paraId="6670732D"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6</w:t>
            </w:r>
          </w:p>
        </w:tc>
        <w:tc>
          <w:tcPr>
            <w:tcW w:w="2410" w:type="dxa"/>
            <w:vMerge w:val="restart"/>
            <w:shd w:val="clear" w:color="auto" w:fill="auto"/>
          </w:tcPr>
          <w:p w14:paraId="02FF6F4D"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 xml:space="preserve">Sukauptieji trombocitai, gauti iš konservuoto kraujo be leukocitų (trombocitų skaičius vienete ne mažesnis kaip </w:t>
            </w:r>
            <w:r w:rsidRPr="00B011DB">
              <w:rPr>
                <w:color w:val="000000"/>
                <w:sz w:val="22"/>
                <w:szCs w:val="22"/>
                <w:lang w:val="lt-LT"/>
              </w:rPr>
              <w:t>2x</w:t>
            </w:r>
            <w:r w:rsidRPr="00B011DB">
              <w:rPr>
                <w:sz w:val="22"/>
                <w:szCs w:val="22"/>
                <w:lang w:val="lt-LT"/>
              </w:rPr>
              <w:t xml:space="preserve">10 </w:t>
            </w:r>
            <w:r w:rsidRPr="00B011DB">
              <w:rPr>
                <w:sz w:val="22"/>
                <w:szCs w:val="22"/>
                <w:vertAlign w:val="superscript"/>
                <w:lang w:val="lt-LT"/>
              </w:rPr>
              <w:t>11</w:t>
            </w:r>
            <w:r w:rsidRPr="00B011DB">
              <w:rPr>
                <w:sz w:val="22"/>
                <w:szCs w:val="22"/>
                <w:lang w:val="lt-LT"/>
              </w:rPr>
              <w:t xml:space="preserve">) / sukauptieji trombocitai, gauti iš konservuoto kraujo, be leukocitų pridėtiniame tirpale (trombocitų skaičius vienete ne mažesnis kaip </w:t>
            </w:r>
            <w:r w:rsidRPr="00B011DB">
              <w:rPr>
                <w:color w:val="000000"/>
                <w:sz w:val="22"/>
                <w:szCs w:val="22"/>
                <w:lang w:val="lt-LT"/>
              </w:rPr>
              <w:t>2x</w:t>
            </w:r>
            <w:r w:rsidRPr="00B011DB">
              <w:rPr>
                <w:sz w:val="22"/>
                <w:szCs w:val="22"/>
                <w:lang w:val="lt-LT"/>
              </w:rPr>
              <w:t xml:space="preserve">10 </w:t>
            </w:r>
            <w:r w:rsidRPr="00B011DB">
              <w:rPr>
                <w:sz w:val="22"/>
                <w:szCs w:val="22"/>
                <w:vertAlign w:val="superscript"/>
                <w:lang w:val="lt-LT"/>
              </w:rPr>
              <w:t>11</w:t>
            </w:r>
            <w:r w:rsidRPr="00B011DB">
              <w:rPr>
                <w:sz w:val="22"/>
                <w:szCs w:val="22"/>
                <w:lang w:val="lt-LT"/>
              </w:rPr>
              <w:t>)</w:t>
            </w:r>
          </w:p>
        </w:tc>
        <w:tc>
          <w:tcPr>
            <w:tcW w:w="4536" w:type="dxa"/>
            <w:vMerge w:val="restart"/>
            <w:shd w:val="clear" w:color="auto" w:fill="auto"/>
          </w:tcPr>
          <w:p w14:paraId="1C5D8A4F"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18 val. ir skubiu užsakymu –  ne vėliau kaip per 6 val.</w:t>
            </w:r>
          </w:p>
          <w:p w14:paraId="4B8FA80E" w14:textId="77777777" w:rsidR="00A80CB0" w:rsidRPr="00B011DB" w:rsidRDefault="00A80CB0" w:rsidP="00A80CB0">
            <w:pPr>
              <w:keepNext/>
              <w:tabs>
                <w:tab w:val="left" w:pos="1418"/>
              </w:tabs>
              <w:suppressAutoHyphens/>
              <w:jc w:val="both"/>
              <w:outlineLvl w:val="1"/>
              <w:rPr>
                <w:sz w:val="22"/>
                <w:szCs w:val="22"/>
                <w:lang w:val="lt-LT"/>
              </w:rPr>
            </w:pPr>
          </w:p>
          <w:p w14:paraId="612F0A22"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36 val. ir skubiu užsakymu –  ne vėliau kaip per 6 val.</w:t>
            </w:r>
          </w:p>
          <w:p w14:paraId="64A4AD84" w14:textId="77777777" w:rsidR="00A80CB0" w:rsidRPr="00B011DB" w:rsidRDefault="00A80CB0" w:rsidP="00A80CB0">
            <w:pPr>
              <w:keepNext/>
              <w:tabs>
                <w:tab w:val="left" w:pos="1418"/>
              </w:tabs>
              <w:suppressAutoHyphens/>
              <w:jc w:val="both"/>
              <w:outlineLvl w:val="1"/>
              <w:rPr>
                <w:sz w:val="22"/>
                <w:szCs w:val="22"/>
                <w:lang w:val="lt-LT"/>
              </w:rPr>
            </w:pPr>
          </w:p>
          <w:p w14:paraId="1CA181C3"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shd w:val="clear" w:color="auto" w:fill="auto"/>
          </w:tcPr>
          <w:p w14:paraId="7AFBE363" w14:textId="77777777" w:rsidR="00A80CB0" w:rsidRPr="00B011DB" w:rsidRDefault="00A80CB0" w:rsidP="00A80CB0">
            <w:pPr>
              <w:keepNext/>
              <w:tabs>
                <w:tab w:val="left" w:pos="1418"/>
              </w:tabs>
              <w:suppressAutoHyphens/>
              <w:jc w:val="center"/>
              <w:outlineLvl w:val="1"/>
              <w:rPr>
                <w:sz w:val="22"/>
                <w:szCs w:val="22"/>
                <w:lang w:val="lt-LT"/>
              </w:rPr>
            </w:pPr>
          </w:p>
          <w:p w14:paraId="2C4F4D18"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tc>
      </w:tr>
      <w:tr w:rsidR="00A80CB0" w:rsidRPr="00B011DB" w14:paraId="262028EE" w14:textId="77777777" w:rsidTr="00B011DB">
        <w:trPr>
          <w:trHeight w:val="1381"/>
        </w:trPr>
        <w:tc>
          <w:tcPr>
            <w:tcW w:w="817" w:type="dxa"/>
            <w:vMerge/>
            <w:tcBorders>
              <w:bottom w:val="single" w:sz="4" w:space="0" w:color="auto"/>
            </w:tcBorders>
            <w:shd w:val="clear" w:color="auto" w:fill="auto"/>
          </w:tcPr>
          <w:p w14:paraId="27E5387D"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tcBorders>
              <w:bottom w:val="single" w:sz="4" w:space="0" w:color="auto"/>
            </w:tcBorders>
            <w:shd w:val="clear" w:color="auto" w:fill="auto"/>
          </w:tcPr>
          <w:p w14:paraId="1FB4D92C"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tcBorders>
              <w:bottom w:val="single" w:sz="4" w:space="0" w:color="auto"/>
            </w:tcBorders>
            <w:shd w:val="clear" w:color="auto" w:fill="auto"/>
          </w:tcPr>
          <w:p w14:paraId="77FC2494"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tcBorders>
              <w:bottom w:val="single" w:sz="4" w:space="0" w:color="auto"/>
            </w:tcBorders>
            <w:shd w:val="clear" w:color="auto" w:fill="auto"/>
          </w:tcPr>
          <w:p w14:paraId="1F14396E" w14:textId="77777777" w:rsidR="00A80CB0" w:rsidRPr="00B011DB" w:rsidRDefault="00A80CB0" w:rsidP="00A80CB0">
            <w:pPr>
              <w:keepNext/>
              <w:tabs>
                <w:tab w:val="left" w:pos="1418"/>
              </w:tabs>
              <w:suppressAutoHyphens/>
              <w:jc w:val="center"/>
              <w:outlineLvl w:val="1"/>
              <w:rPr>
                <w:sz w:val="22"/>
                <w:szCs w:val="22"/>
                <w:lang w:val="lt-LT"/>
              </w:rPr>
            </w:pPr>
          </w:p>
          <w:p w14:paraId="65EBE795"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r w:rsidR="00A80CB0" w:rsidRPr="00B011DB" w14:paraId="3529C6E7" w14:textId="77777777" w:rsidTr="00B011DB">
        <w:trPr>
          <w:trHeight w:val="79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CEF838"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7</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31155A4E"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 xml:space="preserve">Eritrocitai be leukocitų pridėtiniame tirpale, apšvitinti </w:t>
            </w:r>
            <w:proofErr w:type="spellStart"/>
            <w:r w:rsidRPr="00B011DB">
              <w:rPr>
                <w:sz w:val="22"/>
                <w:szCs w:val="22"/>
                <w:lang w:val="lt-LT"/>
              </w:rPr>
              <w:t>intrauterinėms</w:t>
            </w:r>
            <w:proofErr w:type="spellEnd"/>
            <w:r w:rsidRPr="00B011DB">
              <w:rPr>
                <w:sz w:val="22"/>
                <w:szCs w:val="22"/>
                <w:lang w:val="lt-LT"/>
              </w:rPr>
              <w:t xml:space="preserve"> ir naujagimių pakaitinėms transfuzijoms (1 V = 250 ml ± 50 ml)</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14:paraId="1B3633A3"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Planiniu užsakymu prekės pristatomos  ne vėliau kaip per 18 val. ir skubiu užsakymu –  ne vėliau kaip per 3 val.</w:t>
            </w:r>
          </w:p>
          <w:p w14:paraId="0967AAC4" w14:textId="77777777" w:rsidR="00A80CB0" w:rsidRPr="00B011DB" w:rsidRDefault="00A80CB0" w:rsidP="00A80CB0">
            <w:pPr>
              <w:keepNext/>
              <w:tabs>
                <w:tab w:val="left" w:pos="1418"/>
              </w:tabs>
              <w:suppressAutoHyphens/>
              <w:jc w:val="both"/>
              <w:outlineLvl w:val="1"/>
              <w:rPr>
                <w:sz w:val="22"/>
                <w:szCs w:val="22"/>
                <w:lang w:val="lt-LT"/>
              </w:rPr>
            </w:pPr>
          </w:p>
          <w:p w14:paraId="690EDDAB" w14:textId="77777777" w:rsidR="00A80CB0" w:rsidRPr="00B011DB" w:rsidRDefault="00A80CB0" w:rsidP="00A80CB0">
            <w:pPr>
              <w:keepNext/>
              <w:tabs>
                <w:tab w:val="left" w:pos="1418"/>
              </w:tabs>
              <w:suppressAutoHyphens/>
              <w:jc w:val="both"/>
              <w:outlineLvl w:val="1"/>
              <w:rPr>
                <w:sz w:val="22"/>
                <w:szCs w:val="22"/>
                <w:lang w:val="lt-LT"/>
              </w:rPr>
            </w:pPr>
            <w:r w:rsidRPr="00B011DB">
              <w:rPr>
                <w:sz w:val="22"/>
                <w:szCs w:val="22"/>
                <w:lang w:val="lt-LT"/>
              </w:rPr>
              <w:t>Išankstiniu užsakymu prekės pristatomos  ne vėliau kaip per 48 val.</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A5AD95C" w14:textId="77777777" w:rsidR="00A80CB0" w:rsidRPr="00B011DB" w:rsidRDefault="00A80CB0" w:rsidP="00A80CB0">
            <w:pPr>
              <w:keepNext/>
              <w:tabs>
                <w:tab w:val="left" w:pos="1418"/>
              </w:tabs>
              <w:suppressAutoHyphens/>
              <w:jc w:val="center"/>
              <w:outlineLvl w:val="1"/>
              <w:rPr>
                <w:sz w:val="22"/>
                <w:szCs w:val="22"/>
                <w:lang w:val="lt-LT"/>
              </w:rPr>
            </w:pPr>
          </w:p>
          <w:p w14:paraId="0A51A260"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w:t>
            </w:r>
          </w:p>
          <w:p w14:paraId="78CEEB67" w14:textId="77777777" w:rsidR="00A80CB0" w:rsidRPr="00B011DB" w:rsidRDefault="00A80CB0" w:rsidP="00A80CB0">
            <w:pPr>
              <w:keepNext/>
              <w:tabs>
                <w:tab w:val="left" w:pos="1418"/>
              </w:tabs>
              <w:suppressAutoHyphens/>
              <w:jc w:val="center"/>
              <w:outlineLvl w:val="1"/>
              <w:rPr>
                <w:sz w:val="22"/>
                <w:szCs w:val="22"/>
                <w:lang w:val="lt-LT"/>
              </w:rPr>
            </w:pPr>
          </w:p>
        </w:tc>
      </w:tr>
      <w:tr w:rsidR="00A80CB0" w:rsidRPr="00B011DB" w14:paraId="76BA16D6" w14:textId="77777777" w:rsidTr="00B011DB">
        <w:trPr>
          <w:trHeight w:val="790"/>
        </w:trPr>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1EC068C2" w14:textId="77777777" w:rsidR="00A80CB0" w:rsidRPr="00B011DB" w:rsidRDefault="00A80CB0" w:rsidP="00A80CB0">
            <w:pPr>
              <w:keepNext/>
              <w:tabs>
                <w:tab w:val="left" w:pos="1418"/>
              </w:tabs>
              <w:suppressAutoHyphens/>
              <w:jc w:val="center"/>
              <w:outlineLvl w:val="1"/>
              <w:rPr>
                <w:sz w:val="22"/>
                <w:szCs w:val="22"/>
                <w:lang w:val="lt-LT"/>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567F8FF9" w14:textId="77777777" w:rsidR="00A80CB0" w:rsidRPr="00B011DB" w:rsidRDefault="00A80CB0" w:rsidP="00A80CB0">
            <w:pPr>
              <w:keepNext/>
              <w:tabs>
                <w:tab w:val="left" w:pos="1418"/>
              </w:tabs>
              <w:suppressAutoHyphens/>
              <w:jc w:val="both"/>
              <w:outlineLvl w:val="1"/>
              <w:rPr>
                <w:sz w:val="22"/>
                <w:szCs w:val="22"/>
                <w:lang w:val="lt-LT"/>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tcPr>
          <w:p w14:paraId="76C337D1" w14:textId="77777777" w:rsidR="00A80CB0" w:rsidRPr="00B011DB" w:rsidRDefault="00A80CB0" w:rsidP="00A80CB0">
            <w:pPr>
              <w:keepNext/>
              <w:tabs>
                <w:tab w:val="left" w:pos="1418"/>
              </w:tabs>
              <w:suppressAutoHyphens/>
              <w:jc w:val="both"/>
              <w:outlineLvl w:val="1"/>
              <w:rPr>
                <w:sz w:val="22"/>
                <w:szCs w:val="22"/>
                <w:lang w:val="lt-LT"/>
              </w:rPr>
            </w:pP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3A415080" w14:textId="77777777" w:rsidR="00A80CB0" w:rsidRPr="00B011DB" w:rsidRDefault="00A80CB0" w:rsidP="00A80CB0">
            <w:pPr>
              <w:keepNext/>
              <w:tabs>
                <w:tab w:val="left" w:pos="1418"/>
              </w:tabs>
              <w:suppressAutoHyphens/>
              <w:jc w:val="center"/>
              <w:outlineLvl w:val="1"/>
              <w:rPr>
                <w:sz w:val="22"/>
                <w:szCs w:val="22"/>
                <w:lang w:val="lt-LT"/>
              </w:rPr>
            </w:pPr>
            <w:r w:rsidRPr="00B011DB">
              <w:rPr>
                <w:sz w:val="22"/>
                <w:szCs w:val="22"/>
                <w:lang w:val="lt-LT"/>
              </w:rPr>
              <w:t>taip</w:t>
            </w:r>
          </w:p>
        </w:tc>
      </w:tr>
    </w:tbl>
    <w:p w14:paraId="5324CBCC" w14:textId="45AB3B82" w:rsidR="00AC0254" w:rsidRPr="00B011DB" w:rsidRDefault="00AC0254" w:rsidP="00696764">
      <w:pPr>
        <w:jc w:val="both"/>
        <w:rPr>
          <w:rFonts w:eastAsia="Times New Roman"/>
          <w:b/>
          <w:color w:val="000000"/>
          <w:szCs w:val="22"/>
          <w:lang w:val="lt-LT"/>
        </w:rPr>
      </w:pPr>
    </w:p>
    <w:p w14:paraId="5516C15E" w14:textId="65051680" w:rsidR="00AC0254" w:rsidRPr="00B011DB" w:rsidRDefault="00AC0254" w:rsidP="00696764">
      <w:pPr>
        <w:jc w:val="both"/>
        <w:rPr>
          <w:rFonts w:eastAsia="Times New Roman"/>
          <w:b/>
          <w:color w:val="000000"/>
          <w:szCs w:val="22"/>
          <w:lang w:val="lt-LT"/>
        </w:rPr>
      </w:pPr>
    </w:p>
    <w:p w14:paraId="3B91456A" w14:textId="3C4B4334" w:rsidR="00731D84" w:rsidRPr="00B011DB" w:rsidRDefault="00731D84" w:rsidP="00731D84">
      <w:pPr>
        <w:tabs>
          <w:tab w:val="left" w:pos="720"/>
          <w:tab w:val="left" w:pos="1260"/>
        </w:tabs>
        <w:jc w:val="both"/>
        <w:rPr>
          <w:rFonts w:eastAsia="Times New Roman"/>
          <w:b/>
          <w:szCs w:val="22"/>
          <w:lang w:val="lt-LT"/>
        </w:rPr>
      </w:pPr>
      <w:r w:rsidRPr="00B011DB">
        <w:rPr>
          <w:rFonts w:eastAsia="Times New Roman"/>
          <w:b/>
          <w:color w:val="000000"/>
          <w:szCs w:val="22"/>
          <w:lang w:val="lt-LT"/>
        </w:rPr>
        <w:t xml:space="preserve">Šalių parašai ir rekvizitai:   </w:t>
      </w:r>
    </w:p>
    <w:p w14:paraId="4F20D5AA" w14:textId="77777777" w:rsidR="00731D84" w:rsidRPr="00B011DB" w:rsidRDefault="00731D84" w:rsidP="00731D84">
      <w:pPr>
        <w:tabs>
          <w:tab w:val="left" w:pos="720"/>
          <w:tab w:val="left" w:pos="1260"/>
        </w:tabs>
        <w:jc w:val="both"/>
        <w:rPr>
          <w:rFonts w:eastAsia="Times New Roman"/>
          <w:b/>
          <w:szCs w:val="22"/>
          <w:lang w:val="lt-LT"/>
        </w:rPr>
      </w:pPr>
      <w:r w:rsidRPr="00B011DB">
        <w:rPr>
          <w:rFonts w:eastAsia="Times New Roman"/>
          <w:b/>
          <w:color w:val="000000"/>
          <w:szCs w:val="22"/>
          <w:lang w:val="lt-LT"/>
        </w:rPr>
        <w:t xml:space="preserve">PIRKĖJAS           </w:t>
      </w:r>
      <w:r w:rsidRPr="00B011DB">
        <w:rPr>
          <w:rFonts w:eastAsia="Times New Roman"/>
          <w:b/>
          <w:color w:val="000000"/>
          <w:szCs w:val="22"/>
          <w:lang w:val="lt-LT"/>
        </w:rPr>
        <w:tab/>
      </w:r>
      <w:r w:rsidRPr="00B011DB">
        <w:rPr>
          <w:rFonts w:eastAsia="Times New Roman"/>
          <w:b/>
          <w:color w:val="000000"/>
          <w:szCs w:val="22"/>
          <w:lang w:val="lt-LT"/>
        </w:rPr>
        <w:tab/>
      </w:r>
      <w:r w:rsidRPr="00B011DB">
        <w:rPr>
          <w:rFonts w:eastAsia="Times New Roman"/>
          <w:b/>
          <w:color w:val="000000"/>
          <w:szCs w:val="22"/>
          <w:lang w:val="lt-LT"/>
        </w:rPr>
        <w:tab/>
      </w:r>
      <w:r w:rsidRPr="00B011DB">
        <w:rPr>
          <w:rFonts w:eastAsia="Times New Roman"/>
          <w:b/>
          <w:color w:val="000000"/>
          <w:szCs w:val="22"/>
          <w:lang w:val="lt-LT"/>
        </w:rPr>
        <w:tab/>
      </w:r>
      <w:r w:rsidRPr="00B011DB">
        <w:rPr>
          <w:rFonts w:eastAsia="Times New Roman"/>
          <w:b/>
          <w:color w:val="000000"/>
          <w:szCs w:val="22"/>
          <w:lang w:val="lt-LT"/>
        </w:rPr>
        <w:tab/>
        <w:t xml:space="preserve">PARDAVĖJAS </w:t>
      </w:r>
    </w:p>
    <w:p w14:paraId="39B1B2A6"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VšĮ Vilniaus miesto klinikinė ligoninė</w:t>
      </w:r>
      <w:r w:rsidRPr="00B011DB">
        <w:rPr>
          <w:rFonts w:eastAsia="Times New Roman"/>
          <w:color w:val="000000"/>
          <w:szCs w:val="22"/>
          <w:lang w:val="lt-LT"/>
        </w:rPr>
        <w:tab/>
      </w:r>
      <w:r w:rsidRPr="00B011DB">
        <w:rPr>
          <w:rFonts w:eastAsia="Times New Roman"/>
          <w:color w:val="000000"/>
          <w:szCs w:val="22"/>
          <w:lang w:val="lt-LT"/>
        </w:rPr>
        <w:tab/>
        <w:t>Viešoji įstaiga Nacionalinis kraujo centras</w:t>
      </w:r>
    </w:p>
    <w:p w14:paraId="711F669D" w14:textId="77777777" w:rsidR="00731D84" w:rsidRPr="00B011DB" w:rsidRDefault="00731D84" w:rsidP="00731D84">
      <w:pPr>
        <w:tabs>
          <w:tab w:val="left" w:pos="720"/>
          <w:tab w:val="left" w:pos="1260"/>
        </w:tabs>
        <w:jc w:val="both"/>
        <w:rPr>
          <w:rFonts w:eastAsia="Times New Roman"/>
          <w:szCs w:val="22"/>
          <w:lang w:val="lt-LT"/>
        </w:rPr>
      </w:pPr>
      <w:proofErr w:type="spellStart"/>
      <w:r w:rsidRPr="00B011DB">
        <w:rPr>
          <w:rFonts w:eastAsia="Times New Roman"/>
          <w:color w:val="000000"/>
          <w:szCs w:val="22"/>
          <w:lang w:val="lt-LT"/>
        </w:rPr>
        <w:t>Buvein</w:t>
      </w:r>
      <w:proofErr w:type="spellEnd"/>
      <w:r w:rsidRPr="00B011DB">
        <w:rPr>
          <w:rFonts w:eastAsia="Times New Roman"/>
          <w:color w:val="000000"/>
          <w:szCs w:val="22"/>
          <w:lang w:val="lt-LT"/>
        </w:rPr>
        <w:t xml:space="preserve">. </w:t>
      </w:r>
      <w:proofErr w:type="spellStart"/>
      <w:r w:rsidRPr="00B011DB">
        <w:rPr>
          <w:rFonts w:eastAsia="Times New Roman"/>
          <w:color w:val="000000"/>
          <w:szCs w:val="22"/>
          <w:lang w:val="lt-LT"/>
        </w:rPr>
        <w:t>adr</w:t>
      </w:r>
      <w:proofErr w:type="spellEnd"/>
      <w:r w:rsidRPr="00B011DB">
        <w:rPr>
          <w:rFonts w:eastAsia="Times New Roman"/>
          <w:color w:val="000000"/>
          <w:szCs w:val="22"/>
          <w:lang w:val="lt-LT"/>
        </w:rPr>
        <w:t xml:space="preserve">. Antakalnio g. 57, LT-10207 Vilnius </w:t>
      </w:r>
      <w:r w:rsidRPr="00B011DB">
        <w:rPr>
          <w:rFonts w:eastAsia="Times New Roman"/>
          <w:color w:val="000000"/>
          <w:szCs w:val="22"/>
          <w:lang w:val="lt-LT"/>
        </w:rPr>
        <w:tab/>
        <w:t>Žolyno g. 34, LT-10210 Vilnius</w:t>
      </w:r>
    </w:p>
    <w:p w14:paraId="5CB08CD8" w14:textId="77777777" w:rsidR="00731D84" w:rsidRPr="00B011DB" w:rsidRDefault="00731D84" w:rsidP="00731D84">
      <w:pPr>
        <w:tabs>
          <w:tab w:val="left" w:pos="720"/>
          <w:tab w:val="left" w:pos="1260"/>
        </w:tabs>
        <w:jc w:val="both"/>
        <w:rPr>
          <w:rFonts w:eastAsia="Times New Roman"/>
          <w:szCs w:val="22"/>
          <w:lang w:val="lt-LT"/>
        </w:rPr>
      </w:pPr>
      <w:proofErr w:type="spellStart"/>
      <w:r w:rsidRPr="00B011DB">
        <w:rPr>
          <w:rFonts w:eastAsia="Times New Roman"/>
          <w:color w:val="000000"/>
          <w:szCs w:val="22"/>
          <w:lang w:val="lt-LT"/>
        </w:rPr>
        <w:t>Korespond</w:t>
      </w:r>
      <w:proofErr w:type="spellEnd"/>
      <w:r w:rsidRPr="00B011DB">
        <w:rPr>
          <w:rFonts w:eastAsia="Times New Roman"/>
          <w:color w:val="000000"/>
          <w:szCs w:val="22"/>
          <w:lang w:val="lt-LT"/>
        </w:rPr>
        <w:t xml:space="preserve">. </w:t>
      </w:r>
      <w:proofErr w:type="spellStart"/>
      <w:r w:rsidRPr="00B011DB">
        <w:rPr>
          <w:rFonts w:eastAsia="Times New Roman"/>
          <w:color w:val="000000"/>
          <w:szCs w:val="22"/>
          <w:lang w:val="lt-LT"/>
        </w:rPr>
        <w:t>adr</w:t>
      </w:r>
      <w:proofErr w:type="spellEnd"/>
      <w:r w:rsidRPr="00B011DB">
        <w:rPr>
          <w:rFonts w:eastAsia="Times New Roman"/>
          <w:color w:val="000000"/>
          <w:szCs w:val="22"/>
          <w:lang w:val="lt-LT"/>
        </w:rPr>
        <w:t>. Antakalnio g. 124, Vilnius</w:t>
      </w:r>
      <w:r w:rsidRPr="00B011DB">
        <w:rPr>
          <w:rFonts w:eastAsia="Times New Roman"/>
          <w:color w:val="000000"/>
          <w:szCs w:val="22"/>
          <w:lang w:val="lt-LT"/>
        </w:rPr>
        <w:tab/>
      </w:r>
      <w:r w:rsidRPr="00B011DB">
        <w:rPr>
          <w:rFonts w:eastAsia="Times New Roman"/>
          <w:color w:val="000000"/>
          <w:szCs w:val="22"/>
          <w:lang w:val="lt-LT"/>
        </w:rPr>
        <w:tab/>
        <w:t>A/s LT 22 73000 1010 1375039</w:t>
      </w:r>
    </w:p>
    <w:p w14:paraId="7C182563"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 xml:space="preserve">A/s LT 867044060007990186 </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t>AB “Swedbank”, banko kodas 73000</w:t>
      </w:r>
    </w:p>
    <w:p w14:paraId="455F4EE3"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AB SEB bankas, Banko kodas 70440</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t xml:space="preserve">Įmonės kodas </w:t>
      </w:r>
      <w:r w:rsidRPr="00B011DB">
        <w:rPr>
          <w:rFonts w:eastAsia="Times New Roman"/>
          <w:color w:val="000000"/>
          <w:szCs w:val="22"/>
          <w:lang w:val="lt-LT"/>
        </w:rPr>
        <w:tab/>
        <w:t>126413338</w:t>
      </w:r>
    </w:p>
    <w:p w14:paraId="7462211F"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Įmonės kodas 302692454</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t>Tel.: (8 5) 239 2444</w:t>
      </w:r>
    </w:p>
    <w:p w14:paraId="739D871D"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PVM kodas  LT100006560213</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t xml:space="preserve">El. p.: </w:t>
      </w:r>
      <w:hyperlink r:id="rId12" w:history="1">
        <w:r w:rsidRPr="00B011DB">
          <w:rPr>
            <w:rStyle w:val="Hipersaitas"/>
            <w:rFonts w:eastAsia="Times New Roman"/>
            <w:szCs w:val="22"/>
            <w:lang w:val="lt-LT"/>
          </w:rPr>
          <w:t>nkcadminisracija@kraujodonoryste.lt</w:t>
        </w:r>
      </w:hyperlink>
      <w:r w:rsidRPr="00B011DB">
        <w:rPr>
          <w:rFonts w:eastAsia="Times New Roman"/>
          <w:color w:val="000000"/>
          <w:szCs w:val="22"/>
          <w:lang w:val="lt-LT"/>
        </w:rPr>
        <w:t xml:space="preserve">. </w:t>
      </w:r>
    </w:p>
    <w:p w14:paraId="7D555041"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Tel.: (8 5) 234 4487, faks.: (8 5) 234 6966</w:t>
      </w:r>
      <w:r w:rsidRPr="00B011DB">
        <w:rPr>
          <w:rFonts w:eastAsia="Times New Roman"/>
          <w:color w:val="000000"/>
          <w:szCs w:val="22"/>
          <w:lang w:val="lt-LT"/>
        </w:rPr>
        <w:tab/>
      </w:r>
    </w:p>
    <w:p w14:paraId="4CF4BD08"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 xml:space="preserve">El. paštas.: </w:t>
      </w:r>
      <w:hyperlink r:id="rId13" w:history="1">
        <w:r w:rsidRPr="00B011DB">
          <w:rPr>
            <w:rStyle w:val="Hipersaitas"/>
            <w:rFonts w:eastAsia="Times New Roman"/>
            <w:szCs w:val="22"/>
            <w:lang w:val="lt-LT"/>
          </w:rPr>
          <w:t>info@vmkl.lt</w:t>
        </w:r>
      </w:hyperlink>
      <w:r w:rsidRPr="00B011DB">
        <w:rPr>
          <w:rFonts w:eastAsia="Times New Roman"/>
          <w:color w:val="000000"/>
          <w:szCs w:val="22"/>
          <w:lang w:val="lt-LT"/>
        </w:rPr>
        <w:t xml:space="preserve">. </w:t>
      </w:r>
    </w:p>
    <w:p w14:paraId="6404B9A4" w14:textId="77777777" w:rsidR="00731D84" w:rsidRPr="00B011DB" w:rsidRDefault="00731D84" w:rsidP="00731D84">
      <w:pPr>
        <w:tabs>
          <w:tab w:val="left" w:pos="720"/>
          <w:tab w:val="left" w:pos="1260"/>
        </w:tabs>
        <w:jc w:val="both"/>
        <w:rPr>
          <w:rFonts w:eastAsia="Times New Roman"/>
          <w:szCs w:val="22"/>
          <w:lang w:val="lt-LT"/>
        </w:rPr>
      </w:pPr>
    </w:p>
    <w:p w14:paraId="2452AB56"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szCs w:val="22"/>
          <w:lang w:val="lt-LT"/>
        </w:rPr>
        <w:t>Direktorius</w:t>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r w:rsidRPr="00B011DB">
        <w:rPr>
          <w:rFonts w:eastAsia="Times New Roman"/>
          <w:szCs w:val="22"/>
          <w:lang w:val="lt-LT"/>
        </w:rPr>
        <w:tab/>
      </w:r>
      <w:proofErr w:type="spellStart"/>
      <w:r w:rsidRPr="00B011DB">
        <w:rPr>
          <w:rFonts w:eastAsia="Times New Roman"/>
          <w:szCs w:val="22"/>
          <w:lang w:val="lt-LT"/>
        </w:rPr>
        <w:t>Direktorius</w:t>
      </w:r>
      <w:proofErr w:type="spellEnd"/>
    </w:p>
    <w:p w14:paraId="1283C528" w14:textId="77777777" w:rsidR="00731D84" w:rsidRPr="00B011DB" w:rsidRDefault="00731D84" w:rsidP="00731D84">
      <w:pPr>
        <w:tabs>
          <w:tab w:val="left" w:pos="720"/>
          <w:tab w:val="left" w:pos="1260"/>
        </w:tabs>
        <w:jc w:val="both"/>
        <w:rPr>
          <w:rFonts w:eastAsia="Times New Roman"/>
          <w:szCs w:val="22"/>
          <w:lang w:val="lt-LT"/>
        </w:rPr>
      </w:pPr>
    </w:p>
    <w:p w14:paraId="642F4ADF"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______________________________</w:t>
      </w:r>
      <w:r w:rsidRPr="00B011DB">
        <w:rPr>
          <w:rFonts w:eastAsia="Times New Roman"/>
          <w:color w:val="000000"/>
          <w:szCs w:val="22"/>
          <w:lang w:val="lt-LT"/>
        </w:rPr>
        <w:tab/>
      </w:r>
      <w:r w:rsidRPr="00B011DB">
        <w:rPr>
          <w:rFonts w:eastAsia="Times New Roman"/>
          <w:color w:val="000000"/>
          <w:szCs w:val="22"/>
          <w:lang w:val="lt-LT"/>
        </w:rPr>
        <w:tab/>
        <w:t>_______________________________</w:t>
      </w:r>
    </w:p>
    <w:p w14:paraId="055847D3" w14:textId="77777777" w:rsidR="00731D84" w:rsidRPr="00B011DB" w:rsidRDefault="00731D84" w:rsidP="00731D84">
      <w:pPr>
        <w:tabs>
          <w:tab w:val="left" w:pos="720"/>
          <w:tab w:val="left" w:pos="1260"/>
        </w:tabs>
        <w:jc w:val="both"/>
        <w:rPr>
          <w:rFonts w:eastAsia="Times New Roman"/>
          <w:szCs w:val="22"/>
          <w:lang w:val="lt-LT"/>
        </w:rPr>
      </w:pPr>
      <w:r w:rsidRPr="00B011DB">
        <w:rPr>
          <w:rFonts w:eastAsia="Times New Roman"/>
          <w:color w:val="000000"/>
          <w:szCs w:val="22"/>
          <w:lang w:val="lt-LT"/>
        </w:rPr>
        <w:t>Narimantas Markevičius</w:t>
      </w:r>
      <w:r w:rsidRPr="00B011DB">
        <w:rPr>
          <w:rFonts w:eastAsia="Times New Roman"/>
          <w:color w:val="000000"/>
          <w:szCs w:val="22"/>
          <w:lang w:val="lt-LT"/>
        </w:rPr>
        <w:tab/>
        <w:t>A.V.</w:t>
      </w:r>
      <w:r w:rsidRPr="00B011DB">
        <w:rPr>
          <w:rFonts w:eastAsia="Times New Roman"/>
          <w:color w:val="000000"/>
          <w:szCs w:val="22"/>
          <w:lang w:val="lt-LT"/>
        </w:rPr>
        <w:tab/>
      </w:r>
      <w:r w:rsidRPr="00B011DB">
        <w:rPr>
          <w:rFonts w:eastAsia="Times New Roman"/>
          <w:color w:val="000000"/>
          <w:szCs w:val="22"/>
          <w:lang w:val="lt-LT"/>
        </w:rPr>
        <w:tab/>
      </w:r>
      <w:r w:rsidRPr="00B011DB">
        <w:rPr>
          <w:rFonts w:eastAsia="Times New Roman"/>
          <w:color w:val="000000"/>
          <w:szCs w:val="22"/>
          <w:lang w:val="lt-LT"/>
        </w:rPr>
        <w:tab/>
        <w:t>Daumantas Gutauskas</w:t>
      </w:r>
      <w:r w:rsidRPr="00B011DB">
        <w:rPr>
          <w:rFonts w:eastAsia="Times New Roman"/>
          <w:color w:val="000000"/>
          <w:szCs w:val="22"/>
          <w:lang w:val="lt-LT"/>
        </w:rPr>
        <w:tab/>
      </w:r>
      <w:r w:rsidRPr="00B011DB">
        <w:rPr>
          <w:rFonts w:eastAsia="Times New Roman"/>
          <w:color w:val="000000"/>
          <w:szCs w:val="22"/>
          <w:lang w:val="lt-LT"/>
        </w:rPr>
        <w:tab/>
        <w:t>A.V.</w:t>
      </w:r>
    </w:p>
    <w:p w14:paraId="26C811F7" w14:textId="77777777" w:rsidR="00731D84" w:rsidRPr="00B011DB" w:rsidRDefault="00731D84" w:rsidP="00731D84">
      <w:pPr>
        <w:jc w:val="both"/>
        <w:rPr>
          <w:rFonts w:eastAsia="Times New Roman"/>
          <w:b/>
          <w:color w:val="000000"/>
          <w:szCs w:val="22"/>
          <w:lang w:val="lt-LT"/>
        </w:rPr>
      </w:pPr>
      <w:r w:rsidRPr="00B011DB">
        <w:rPr>
          <w:rFonts w:eastAsia="Times New Roman"/>
          <w:b/>
          <w:color w:val="000000"/>
          <w:szCs w:val="22"/>
          <w:lang w:val="lt-LT"/>
        </w:rPr>
        <w:tab/>
      </w:r>
    </w:p>
    <w:p w14:paraId="1208D022" w14:textId="77256B1C" w:rsidR="00AC0254" w:rsidRPr="00B011DB" w:rsidRDefault="00AC0254" w:rsidP="00696764">
      <w:pPr>
        <w:jc w:val="both"/>
        <w:rPr>
          <w:rFonts w:eastAsia="Times New Roman"/>
          <w:b/>
          <w:color w:val="000000"/>
          <w:szCs w:val="22"/>
          <w:lang w:val="lt-LT"/>
        </w:rPr>
      </w:pPr>
    </w:p>
    <w:sectPr w:rsidR="00AC0254" w:rsidRPr="00B011DB" w:rsidSect="00945470">
      <w:headerReference w:type="default" r:id="rId14"/>
      <w:footerReference w:type="default" r:id="rId15"/>
      <w:pgSz w:w="11900" w:h="16840"/>
      <w:pgMar w:top="1134" w:right="560" w:bottom="993"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C466" w14:textId="77777777" w:rsidR="0098694D" w:rsidRDefault="0098694D">
      <w:r>
        <w:separator/>
      </w:r>
    </w:p>
  </w:endnote>
  <w:endnote w:type="continuationSeparator" w:id="0">
    <w:p w14:paraId="7657103C" w14:textId="77777777" w:rsidR="0098694D" w:rsidRDefault="0098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A9F3" w14:textId="77777777" w:rsidR="00782F87" w:rsidRDefault="00782F87">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BEF5" w14:textId="77777777" w:rsidR="0098694D" w:rsidRDefault="0098694D">
      <w:r>
        <w:separator/>
      </w:r>
    </w:p>
  </w:footnote>
  <w:footnote w:type="continuationSeparator" w:id="0">
    <w:p w14:paraId="6216072C" w14:textId="77777777" w:rsidR="0098694D" w:rsidRDefault="0098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0AAE" w14:textId="77777777" w:rsidR="00782F87" w:rsidRPr="003D2B51" w:rsidRDefault="00782F87"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B887580"/>
    <w:multiLevelType w:val="hybridMultilevel"/>
    <w:tmpl w:val="4B78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24C13"/>
    <w:multiLevelType w:val="multilevel"/>
    <w:tmpl w:val="AADAF6D2"/>
    <w:lvl w:ilvl="0">
      <w:start w:val="3"/>
      <w:numFmt w:val="decimal"/>
      <w:lvlText w:val="%1."/>
      <w:lvlJc w:val="left"/>
      <w:pPr>
        <w:ind w:left="786"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8"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20" w15:restartNumberingAfterBreak="0">
    <w:nsid w:val="579A0081"/>
    <w:multiLevelType w:val="multilevel"/>
    <w:tmpl w:val="1170754C"/>
    <w:lvl w:ilvl="0">
      <w:numFmt w:val="decimal"/>
      <w:lvlText w:val="%1"/>
      <w:lvlJc w:val="left"/>
      <w:pPr>
        <w:ind w:left="360" w:hanging="360"/>
      </w:pPr>
      <w:rPr>
        <w:rFonts w:hint="default"/>
      </w:rPr>
    </w:lvl>
    <w:lvl w:ilvl="1">
      <w:start w:val="3"/>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631A2F0B"/>
    <w:multiLevelType w:val="hybridMultilevel"/>
    <w:tmpl w:val="56DE0DB6"/>
    <w:lvl w:ilvl="0" w:tplc="3C60952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3" w15:restartNumberingAfterBreak="0">
    <w:nsid w:val="7FD27264"/>
    <w:multiLevelType w:val="multilevel"/>
    <w:tmpl w:val="516875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8"/>
  </w:num>
  <w:num w:numId="9">
    <w:abstractNumId w:val="10"/>
  </w:num>
  <w:num w:numId="10">
    <w:abstractNumId w:val="6"/>
  </w:num>
  <w:num w:numId="11">
    <w:abstractNumId w:val="4"/>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7"/>
  </w:num>
  <w:num w:numId="17">
    <w:abstractNumId w:val="21"/>
  </w:num>
  <w:num w:numId="18">
    <w:abstractNumId w:val="22"/>
  </w:num>
  <w:num w:numId="19">
    <w:abstractNumId w:val="16"/>
  </w:num>
  <w:num w:numId="20">
    <w:abstractNumId w:val="12"/>
  </w:num>
  <w:num w:numId="21">
    <w:abstractNumId w:val="15"/>
  </w:num>
  <w:num w:numId="22">
    <w:abstractNumId w:val="20"/>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44EE"/>
    <w:rsid w:val="00007631"/>
    <w:rsid w:val="00032DDA"/>
    <w:rsid w:val="000342BD"/>
    <w:rsid w:val="00034A87"/>
    <w:rsid w:val="000367AC"/>
    <w:rsid w:val="00047C0D"/>
    <w:rsid w:val="00071FA1"/>
    <w:rsid w:val="00072B3F"/>
    <w:rsid w:val="000773E7"/>
    <w:rsid w:val="00086C2B"/>
    <w:rsid w:val="00090026"/>
    <w:rsid w:val="000953F3"/>
    <w:rsid w:val="000954C9"/>
    <w:rsid w:val="00096A2A"/>
    <w:rsid w:val="00097374"/>
    <w:rsid w:val="000A0DF0"/>
    <w:rsid w:val="000A47E8"/>
    <w:rsid w:val="000A6776"/>
    <w:rsid w:val="000B7D85"/>
    <w:rsid w:val="000C256A"/>
    <w:rsid w:val="000C596F"/>
    <w:rsid w:val="000C73B1"/>
    <w:rsid w:val="000D08FC"/>
    <w:rsid w:val="000D7123"/>
    <w:rsid w:val="000E0F4A"/>
    <w:rsid w:val="000E2744"/>
    <w:rsid w:val="000E3670"/>
    <w:rsid w:val="000F6EB7"/>
    <w:rsid w:val="000F71E5"/>
    <w:rsid w:val="00100143"/>
    <w:rsid w:val="001013E9"/>
    <w:rsid w:val="0011177C"/>
    <w:rsid w:val="001166E1"/>
    <w:rsid w:val="001201CF"/>
    <w:rsid w:val="001218C9"/>
    <w:rsid w:val="00122534"/>
    <w:rsid w:val="001317E7"/>
    <w:rsid w:val="00132B77"/>
    <w:rsid w:val="00140713"/>
    <w:rsid w:val="0014134C"/>
    <w:rsid w:val="00141F79"/>
    <w:rsid w:val="00142AB4"/>
    <w:rsid w:val="00143BD7"/>
    <w:rsid w:val="00145DB2"/>
    <w:rsid w:val="00153BCD"/>
    <w:rsid w:val="0015760E"/>
    <w:rsid w:val="001657E8"/>
    <w:rsid w:val="00166108"/>
    <w:rsid w:val="00167146"/>
    <w:rsid w:val="00176024"/>
    <w:rsid w:val="00184399"/>
    <w:rsid w:val="00185A2C"/>
    <w:rsid w:val="00191F48"/>
    <w:rsid w:val="0019685E"/>
    <w:rsid w:val="001C00F0"/>
    <w:rsid w:val="001C4873"/>
    <w:rsid w:val="001C4E97"/>
    <w:rsid w:val="001C539D"/>
    <w:rsid w:val="001C700B"/>
    <w:rsid w:val="001D253A"/>
    <w:rsid w:val="001E644B"/>
    <w:rsid w:val="001E698E"/>
    <w:rsid w:val="001E6A65"/>
    <w:rsid w:val="001F04B5"/>
    <w:rsid w:val="001F382C"/>
    <w:rsid w:val="001F4860"/>
    <w:rsid w:val="001F5260"/>
    <w:rsid w:val="002145C7"/>
    <w:rsid w:val="0021533B"/>
    <w:rsid w:val="00221308"/>
    <w:rsid w:val="0022255C"/>
    <w:rsid w:val="002253C4"/>
    <w:rsid w:val="00226D58"/>
    <w:rsid w:val="00227FF5"/>
    <w:rsid w:val="00231576"/>
    <w:rsid w:val="00231614"/>
    <w:rsid w:val="002441DF"/>
    <w:rsid w:val="00245929"/>
    <w:rsid w:val="00247E17"/>
    <w:rsid w:val="0025196C"/>
    <w:rsid w:val="00253556"/>
    <w:rsid w:val="00254CF4"/>
    <w:rsid w:val="00261023"/>
    <w:rsid w:val="00262758"/>
    <w:rsid w:val="002647FF"/>
    <w:rsid w:val="00267E6D"/>
    <w:rsid w:val="00275145"/>
    <w:rsid w:val="00276333"/>
    <w:rsid w:val="00276588"/>
    <w:rsid w:val="002907D4"/>
    <w:rsid w:val="00296CFE"/>
    <w:rsid w:val="002A7577"/>
    <w:rsid w:val="002B0B8A"/>
    <w:rsid w:val="002C5C5F"/>
    <w:rsid w:val="002C73D0"/>
    <w:rsid w:val="002D1C6A"/>
    <w:rsid w:val="002F6F7A"/>
    <w:rsid w:val="002F71B3"/>
    <w:rsid w:val="00306C20"/>
    <w:rsid w:val="003113F2"/>
    <w:rsid w:val="0031158D"/>
    <w:rsid w:val="00313599"/>
    <w:rsid w:val="003263EA"/>
    <w:rsid w:val="00330CA9"/>
    <w:rsid w:val="0033400F"/>
    <w:rsid w:val="003514A6"/>
    <w:rsid w:val="00356FE6"/>
    <w:rsid w:val="0035781F"/>
    <w:rsid w:val="003635EA"/>
    <w:rsid w:val="00380875"/>
    <w:rsid w:val="00385F72"/>
    <w:rsid w:val="003B6D55"/>
    <w:rsid w:val="003C3307"/>
    <w:rsid w:val="003D2B51"/>
    <w:rsid w:val="003D594B"/>
    <w:rsid w:val="003D664A"/>
    <w:rsid w:val="003E27D5"/>
    <w:rsid w:val="003E6B06"/>
    <w:rsid w:val="003F322C"/>
    <w:rsid w:val="00410577"/>
    <w:rsid w:val="0041364B"/>
    <w:rsid w:val="00414411"/>
    <w:rsid w:val="00420A02"/>
    <w:rsid w:val="00422352"/>
    <w:rsid w:val="00423031"/>
    <w:rsid w:val="00425FEF"/>
    <w:rsid w:val="00432744"/>
    <w:rsid w:val="00441BE4"/>
    <w:rsid w:val="004457B0"/>
    <w:rsid w:val="004547B5"/>
    <w:rsid w:val="0046411A"/>
    <w:rsid w:val="0047158A"/>
    <w:rsid w:val="0047213C"/>
    <w:rsid w:val="00473CB2"/>
    <w:rsid w:val="00476A7B"/>
    <w:rsid w:val="004810D6"/>
    <w:rsid w:val="004902C5"/>
    <w:rsid w:val="004935C7"/>
    <w:rsid w:val="004945DE"/>
    <w:rsid w:val="0049606A"/>
    <w:rsid w:val="004A12AF"/>
    <w:rsid w:val="004A277B"/>
    <w:rsid w:val="004A6F9C"/>
    <w:rsid w:val="004A704A"/>
    <w:rsid w:val="004B4E0E"/>
    <w:rsid w:val="004B7101"/>
    <w:rsid w:val="004C0279"/>
    <w:rsid w:val="004D0968"/>
    <w:rsid w:val="004D2949"/>
    <w:rsid w:val="004D3136"/>
    <w:rsid w:val="004D35E3"/>
    <w:rsid w:val="004D4653"/>
    <w:rsid w:val="004E4A1D"/>
    <w:rsid w:val="004E5EB5"/>
    <w:rsid w:val="004E6A73"/>
    <w:rsid w:val="004E71E9"/>
    <w:rsid w:val="00500413"/>
    <w:rsid w:val="00500A5A"/>
    <w:rsid w:val="00506120"/>
    <w:rsid w:val="005119F2"/>
    <w:rsid w:val="0051241E"/>
    <w:rsid w:val="00523EB9"/>
    <w:rsid w:val="005402E8"/>
    <w:rsid w:val="00543A96"/>
    <w:rsid w:val="00545693"/>
    <w:rsid w:val="00545D2F"/>
    <w:rsid w:val="00560E5F"/>
    <w:rsid w:val="00561DA4"/>
    <w:rsid w:val="00563C2B"/>
    <w:rsid w:val="00573F4A"/>
    <w:rsid w:val="00585F9E"/>
    <w:rsid w:val="0059273E"/>
    <w:rsid w:val="005A58F1"/>
    <w:rsid w:val="005A7173"/>
    <w:rsid w:val="005B2BC9"/>
    <w:rsid w:val="005B2E9C"/>
    <w:rsid w:val="005C00F3"/>
    <w:rsid w:val="005C4C05"/>
    <w:rsid w:val="005C53B4"/>
    <w:rsid w:val="005D474E"/>
    <w:rsid w:val="005E5325"/>
    <w:rsid w:val="005F3C34"/>
    <w:rsid w:val="0060771A"/>
    <w:rsid w:val="0061229B"/>
    <w:rsid w:val="006150E9"/>
    <w:rsid w:val="006157A1"/>
    <w:rsid w:val="006163C3"/>
    <w:rsid w:val="006337A1"/>
    <w:rsid w:val="006365AC"/>
    <w:rsid w:val="006403E9"/>
    <w:rsid w:val="00641485"/>
    <w:rsid w:val="0064436C"/>
    <w:rsid w:val="00646722"/>
    <w:rsid w:val="006500F1"/>
    <w:rsid w:val="0065181B"/>
    <w:rsid w:val="00653017"/>
    <w:rsid w:val="0065613F"/>
    <w:rsid w:val="00656E9A"/>
    <w:rsid w:val="0066784D"/>
    <w:rsid w:val="006731B0"/>
    <w:rsid w:val="006745DE"/>
    <w:rsid w:val="00674896"/>
    <w:rsid w:val="00680806"/>
    <w:rsid w:val="0068325F"/>
    <w:rsid w:val="0068458C"/>
    <w:rsid w:val="006945ED"/>
    <w:rsid w:val="00696764"/>
    <w:rsid w:val="006A162E"/>
    <w:rsid w:val="006A4D2F"/>
    <w:rsid w:val="006C455F"/>
    <w:rsid w:val="006D37D6"/>
    <w:rsid w:val="006D4172"/>
    <w:rsid w:val="006D634D"/>
    <w:rsid w:val="006D6F60"/>
    <w:rsid w:val="006E771B"/>
    <w:rsid w:val="006F191F"/>
    <w:rsid w:val="006F369B"/>
    <w:rsid w:val="006F7F9B"/>
    <w:rsid w:val="00713315"/>
    <w:rsid w:val="00714265"/>
    <w:rsid w:val="007169BA"/>
    <w:rsid w:val="007236BF"/>
    <w:rsid w:val="00731D84"/>
    <w:rsid w:val="00732042"/>
    <w:rsid w:val="007326B1"/>
    <w:rsid w:val="00736B69"/>
    <w:rsid w:val="00737207"/>
    <w:rsid w:val="00737263"/>
    <w:rsid w:val="00737AF1"/>
    <w:rsid w:val="00740E43"/>
    <w:rsid w:val="00741539"/>
    <w:rsid w:val="00744BDC"/>
    <w:rsid w:val="00763994"/>
    <w:rsid w:val="00765E19"/>
    <w:rsid w:val="00772DB4"/>
    <w:rsid w:val="00773DF0"/>
    <w:rsid w:val="0078045C"/>
    <w:rsid w:val="00782BA2"/>
    <w:rsid w:val="00782F87"/>
    <w:rsid w:val="00792AAE"/>
    <w:rsid w:val="00792D6B"/>
    <w:rsid w:val="007A42CB"/>
    <w:rsid w:val="007A46C2"/>
    <w:rsid w:val="007B2BA6"/>
    <w:rsid w:val="007D0AA4"/>
    <w:rsid w:val="007D5607"/>
    <w:rsid w:val="007E5F38"/>
    <w:rsid w:val="007E7720"/>
    <w:rsid w:val="0080192E"/>
    <w:rsid w:val="008115A6"/>
    <w:rsid w:val="00821340"/>
    <w:rsid w:val="008256AB"/>
    <w:rsid w:val="00827434"/>
    <w:rsid w:val="00835587"/>
    <w:rsid w:val="00836718"/>
    <w:rsid w:val="00840176"/>
    <w:rsid w:val="00840E57"/>
    <w:rsid w:val="00842871"/>
    <w:rsid w:val="008431EE"/>
    <w:rsid w:val="008442A3"/>
    <w:rsid w:val="0085360B"/>
    <w:rsid w:val="00853F74"/>
    <w:rsid w:val="0085531F"/>
    <w:rsid w:val="0086605F"/>
    <w:rsid w:val="008665EB"/>
    <w:rsid w:val="00870A25"/>
    <w:rsid w:val="00870C1E"/>
    <w:rsid w:val="008819B6"/>
    <w:rsid w:val="008839D3"/>
    <w:rsid w:val="0089514D"/>
    <w:rsid w:val="008954CC"/>
    <w:rsid w:val="00896A45"/>
    <w:rsid w:val="008A7871"/>
    <w:rsid w:val="008B3D56"/>
    <w:rsid w:val="008B54D1"/>
    <w:rsid w:val="008B5C37"/>
    <w:rsid w:val="008C12B4"/>
    <w:rsid w:val="008C235C"/>
    <w:rsid w:val="008C782F"/>
    <w:rsid w:val="008D3304"/>
    <w:rsid w:val="008D40FA"/>
    <w:rsid w:val="008E0D26"/>
    <w:rsid w:val="008E3775"/>
    <w:rsid w:val="008E5231"/>
    <w:rsid w:val="008F1175"/>
    <w:rsid w:val="008F3C79"/>
    <w:rsid w:val="008F55DF"/>
    <w:rsid w:val="008F6CA0"/>
    <w:rsid w:val="009176AA"/>
    <w:rsid w:val="00932853"/>
    <w:rsid w:val="009344D7"/>
    <w:rsid w:val="00935559"/>
    <w:rsid w:val="00937089"/>
    <w:rsid w:val="009429C0"/>
    <w:rsid w:val="00942D66"/>
    <w:rsid w:val="00944D69"/>
    <w:rsid w:val="00945470"/>
    <w:rsid w:val="00945A82"/>
    <w:rsid w:val="00950EB0"/>
    <w:rsid w:val="00954ED4"/>
    <w:rsid w:val="009640EA"/>
    <w:rsid w:val="00965CDB"/>
    <w:rsid w:val="00965D19"/>
    <w:rsid w:val="009671B9"/>
    <w:rsid w:val="00971A7C"/>
    <w:rsid w:val="0098365F"/>
    <w:rsid w:val="0098694D"/>
    <w:rsid w:val="00991415"/>
    <w:rsid w:val="009A100D"/>
    <w:rsid w:val="009A3310"/>
    <w:rsid w:val="009B27C3"/>
    <w:rsid w:val="009C2F45"/>
    <w:rsid w:val="009C405B"/>
    <w:rsid w:val="009C45FB"/>
    <w:rsid w:val="009C5D91"/>
    <w:rsid w:val="009D2D95"/>
    <w:rsid w:val="009D55F8"/>
    <w:rsid w:val="009D5836"/>
    <w:rsid w:val="009D67FF"/>
    <w:rsid w:val="009F0881"/>
    <w:rsid w:val="009F2B2E"/>
    <w:rsid w:val="009F5624"/>
    <w:rsid w:val="00A00833"/>
    <w:rsid w:val="00A024A6"/>
    <w:rsid w:val="00A1030D"/>
    <w:rsid w:val="00A14E8B"/>
    <w:rsid w:val="00A14E9A"/>
    <w:rsid w:val="00A22C46"/>
    <w:rsid w:val="00A242A5"/>
    <w:rsid w:val="00A2483A"/>
    <w:rsid w:val="00A26B80"/>
    <w:rsid w:val="00A32A37"/>
    <w:rsid w:val="00A32F85"/>
    <w:rsid w:val="00A33642"/>
    <w:rsid w:val="00A40577"/>
    <w:rsid w:val="00A43B9E"/>
    <w:rsid w:val="00A46B65"/>
    <w:rsid w:val="00A5587A"/>
    <w:rsid w:val="00A5648F"/>
    <w:rsid w:val="00A578F7"/>
    <w:rsid w:val="00A61A44"/>
    <w:rsid w:val="00A627A9"/>
    <w:rsid w:val="00A63F30"/>
    <w:rsid w:val="00A64D03"/>
    <w:rsid w:val="00A75829"/>
    <w:rsid w:val="00A80CB0"/>
    <w:rsid w:val="00A82580"/>
    <w:rsid w:val="00A9131F"/>
    <w:rsid w:val="00A9456C"/>
    <w:rsid w:val="00A97F1E"/>
    <w:rsid w:val="00AA0763"/>
    <w:rsid w:val="00AA1779"/>
    <w:rsid w:val="00AA1DB1"/>
    <w:rsid w:val="00AA1E7D"/>
    <w:rsid w:val="00AA22FC"/>
    <w:rsid w:val="00AA3EF4"/>
    <w:rsid w:val="00AB4D06"/>
    <w:rsid w:val="00AB78D1"/>
    <w:rsid w:val="00AC0254"/>
    <w:rsid w:val="00AC265F"/>
    <w:rsid w:val="00AC2B2C"/>
    <w:rsid w:val="00B011DB"/>
    <w:rsid w:val="00B10671"/>
    <w:rsid w:val="00B231DA"/>
    <w:rsid w:val="00B25EFF"/>
    <w:rsid w:val="00B26775"/>
    <w:rsid w:val="00B274EC"/>
    <w:rsid w:val="00B376E1"/>
    <w:rsid w:val="00B462EE"/>
    <w:rsid w:val="00B46C33"/>
    <w:rsid w:val="00B60932"/>
    <w:rsid w:val="00B63A5B"/>
    <w:rsid w:val="00B74B89"/>
    <w:rsid w:val="00B75AF0"/>
    <w:rsid w:val="00B83C28"/>
    <w:rsid w:val="00BA0794"/>
    <w:rsid w:val="00BA13FE"/>
    <w:rsid w:val="00BA61EF"/>
    <w:rsid w:val="00BA7EFE"/>
    <w:rsid w:val="00BB1B7D"/>
    <w:rsid w:val="00BB24AC"/>
    <w:rsid w:val="00BB38A7"/>
    <w:rsid w:val="00BC0D8C"/>
    <w:rsid w:val="00BC123F"/>
    <w:rsid w:val="00BC44C9"/>
    <w:rsid w:val="00BC5289"/>
    <w:rsid w:val="00BC6582"/>
    <w:rsid w:val="00BD2D68"/>
    <w:rsid w:val="00BD4D27"/>
    <w:rsid w:val="00BD6059"/>
    <w:rsid w:val="00BE3D16"/>
    <w:rsid w:val="00BE4607"/>
    <w:rsid w:val="00BF2EEE"/>
    <w:rsid w:val="00C00AA9"/>
    <w:rsid w:val="00C05128"/>
    <w:rsid w:val="00C06257"/>
    <w:rsid w:val="00C10148"/>
    <w:rsid w:val="00C12D19"/>
    <w:rsid w:val="00C13518"/>
    <w:rsid w:val="00C13FA9"/>
    <w:rsid w:val="00C16F34"/>
    <w:rsid w:val="00C23D55"/>
    <w:rsid w:val="00C25B79"/>
    <w:rsid w:val="00C346EF"/>
    <w:rsid w:val="00C36068"/>
    <w:rsid w:val="00C36ABC"/>
    <w:rsid w:val="00C408A6"/>
    <w:rsid w:val="00C42AA4"/>
    <w:rsid w:val="00C445EF"/>
    <w:rsid w:val="00C452A8"/>
    <w:rsid w:val="00C469D4"/>
    <w:rsid w:val="00C47C8E"/>
    <w:rsid w:val="00C51A0F"/>
    <w:rsid w:val="00C56864"/>
    <w:rsid w:val="00C61650"/>
    <w:rsid w:val="00C67578"/>
    <w:rsid w:val="00C7129E"/>
    <w:rsid w:val="00C749B1"/>
    <w:rsid w:val="00C76A38"/>
    <w:rsid w:val="00C76F29"/>
    <w:rsid w:val="00C8016D"/>
    <w:rsid w:val="00C80F4B"/>
    <w:rsid w:val="00C92090"/>
    <w:rsid w:val="00C92E66"/>
    <w:rsid w:val="00C96CB9"/>
    <w:rsid w:val="00CA1E0D"/>
    <w:rsid w:val="00CA70CE"/>
    <w:rsid w:val="00CB2DC5"/>
    <w:rsid w:val="00CC31B5"/>
    <w:rsid w:val="00CC4EEB"/>
    <w:rsid w:val="00CD308D"/>
    <w:rsid w:val="00CE2F7D"/>
    <w:rsid w:val="00CE3841"/>
    <w:rsid w:val="00CE3D15"/>
    <w:rsid w:val="00CF072B"/>
    <w:rsid w:val="00CF1D72"/>
    <w:rsid w:val="00CF4558"/>
    <w:rsid w:val="00D026C8"/>
    <w:rsid w:val="00D0365D"/>
    <w:rsid w:val="00D0449C"/>
    <w:rsid w:val="00D066B3"/>
    <w:rsid w:val="00D06C49"/>
    <w:rsid w:val="00D202F3"/>
    <w:rsid w:val="00D27198"/>
    <w:rsid w:val="00D302F0"/>
    <w:rsid w:val="00D31B0B"/>
    <w:rsid w:val="00D31CEA"/>
    <w:rsid w:val="00D37D8C"/>
    <w:rsid w:val="00D402BE"/>
    <w:rsid w:val="00D40505"/>
    <w:rsid w:val="00D435DF"/>
    <w:rsid w:val="00D46AF9"/>
    <w:rsid w:val="00D4787E"/>
    <w:rsid w:val="00D50E34"/>
    <w:rsid w:val="00D52A87"/>
    <w:rsid w:val="00D53966"/>
    <w:rsid w:val="00D53F2C"/>
    <w:rsid w:val="00D60673"/>
    <w:rsid w:val="00D61538"/>
    <w:rsid w:val="00D61889"/>
    <w:rsid w:val="00D70CF2"/>
    <w:rsid w:val="00D711DC"/>
    <w:rsid w:val="00D72919"/>
    <w:rsid w:val="00D7641E"/>
    <w:rsid w:val="00D87CB3"/>
    <w:rsid w:val="00D91A43"/>
    <w:rsid w:val="00D968BA"/>
    <w:rsid w:val="00D976DB"/>
    <w:rsid w:val="00D97C72"/>
    <w:rsid w:val="00DA1954"/>
    <w:rsid w:val="00DB13B6"/>
    <w:rsid w:val="00DB517F"/>
    <w:rsid w:val="00DB67FF"/>
    <w:rsid w:val="00DC4B3C"/>
    <w:rsid w:val="00DD2311"/>
    <w:rsid w:val="00DD2BE2"/>
    <w:rsid w:val="00DE1D8C"/>
    <w:rsid w:val="00DE231B"/>
    <w:rsid w:val="00DE693C"/>
    <w:rsid w:val="00DE7802"/>
    <w:rsid w:val="00DF0951"/>
    <w:rsid w:val="00DF2097"/>
    <w:rsid w:val="00DF325A"/>
    <w:rsid w:val="00DF5161"/>
    <w:rsid w:val="00E01290"/>
    <w:rsid w:val="00E02F0E"/>
    <w:rsid w:val="00E0513E"/>
    <w:rsid w:val="00E127A5"/>
    <w:rsid w:val="00E23DB8"/>
    <w:rsid w:val="00E34018"/>
    <w:rsid w:val="00E371D3"/>
    <w:rsid w:val="00E4270B"/>
    <w:rsid w:val="00E42B3D"/>
    <w:rsid w:val="00E50241"/>
    <w:rsid w:val="00E50B3A"/>
    <w:rsid w:val="00E55463"/>
    <w:rsid w:val="00E6099E"/>
    <w:rsid w:val="00E65E2E"/>
    <w:rsid w:val="00E70D82"/>
    <w:rsid w:val="00E71774"/>
    <w:rsid w:val="00E742AB"/>
    <w:rsid w:val="00E75241"/>
    <w:rsid w:val="00E87028"/>
    <w:rsid w:val="00E979E3"/>
    <w:rsid w:val="00EA0D0A"/>
    <w:rsid w:val="00EA3ECB"/>
    <w:rsid w:val="00EA5109"/>
    <w:rsid w:val="00EA7022"/>
    <w:rsid w:val="00EB5819"/>
    <w:rsid w:val="00EB65B6"/>
    <w:rsid w:val="00EC4E01"/>
    <w:rsid w:val="00EC76CB"/>
    <w:rsid w:val="00ED1803"/>
    <w:rsid w:val="00ED1BDD"/>
    <w:rsid w:val="00ED68D4"/>
    <w:rsid w:val="00EE428A"/>
    <w:rsid w:val="00EF0F07"/>
    <w:rsid w:val="00EF2CA1"/>
    <w:rsid w:val="00EF4381"/>
    <w:rsid w:val="00F03003"/>
    <w:rsid w:val="00F05F5E"/>
    <w:rsid w:val="00F07EF6"/>
    <w:rsid w:val="00F10958"/>
    <w:rsid w:val="00F11A8A"/>
    <w:rsid w:val="00F13DDB"/>
    <w:rsid w:val="00F16439"/>
    <w:rsid w:val="00F17B1D"/>
    <w:rsid w:val="00F17F85"/>
    <w:rsid w:val="00F21F03"/>
    <w:rsid w:val="00F237AD"/>
    <w:rsid w:val="00F3573D"/>
    <w:rsid w:val="00F3585F"/>
    <w:rsid w:val="00F37CB0"/>
    <w:rsid w:val="00F51203"/>
    <w:rsid w:val="00F5546B"/>
    <w:rsid w:val="00F572C6"/>
    <w:rsid w:val="00F573DD"/>
    <w:rsid w:val="00F66B09"/>
    <w:rsid w:val="00F67839"/>
    <w:rsid w:val="00F71842"/>
    <w:rsid w:val="00F77428"/>
    <w:rsid w:val="00F8081A"/>
    <w:rsid w:val="00F813BA"/>
    <w:rsid w:val="00F92BD8"/>
    <w:rsid w:val="00F95DEB"/>
    <w:rsid w:val="00FA0399"/>
    <w:rsid w:val="00FA2439"/>
    <w:rsid w:val="00FB0709"/>
    <w:rsid w:val="00FB0725"/>
    <w:rsid w:val="00FB1989"/>
    <w:rsid w:val="00FB3727"/>
    <w:rsid w:val="00FB405E"/>
    <w:rsid w:val="00FC0FDC"/>
    <w:rsid w:val="00FC32ED"/>
    <w:rsid w:val="00FD717F"/>
    <w:rsid w:val="00FD7B7F"/>
    <w:rsid w:val="00FE1FFA"/>
    <w:rsid w:val="00FE250F"/>
    <w:rsid w:val="00FE7D81"/>
    <w:rsid w:val="00FF150B"/>
    <w:rsid w:val="00FF3A63"/>
    <w:rsid w:val="00FF42F1"/>
    <w:rsid w:val="00FF6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6A06D"/>
  <w15:docId w15:val="{900EBB28-818B-4A0E-A1B5-EAB663EE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462EE"/>
    <w:rPr>
      <w:sz w:val="24"/>
      <w:szCs w:val="24"/>
      <w:lang w:val="en-US" w:eastAsia="en-US"/>
    </w:rPr>
  </w:style>
  <w:style w:type="paragraph" w:styleId="Antrat1">
    <w:name w:val="heading 1"/>
    <w:basedOn w:val="prastasis"/>
    <w:next w:val="prastasis"/>
    <w:link w:val="Antrat1Diagrama"/>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Pavadinimas">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ipersaitas"/>
    <w:rsid w:val="00B462EE"/>
    <w:rPr>
      <w:u w:val="single"/>
    </w:rPr>
  </w:style>
  <w:style w:type="character" w:styleId="Komentaronuoroda">
    <w:name w:val="annotation reference"/>
    <w:basedOn w:val="Numatytasispastraiposriftas"/>
    <w:uiPriority w:val="99"/>
    <w:semiHidden/>
    <w:unhideWhenUsed/>
    <w:rsid w:val="00BC123F"/>
    <w:rPr>
      <w:sz w:val="16"/>
      <w:szCs w:val="16"/>
    </w:rPr>
  </w:style>
  <w:style w:type="paragraph" w:styleId="Komentarotekstas">
    <w:name w:val="annotation text"/>
    <w:basedOn w:val="prastasis"/>
    <w:link w:val="KomentarotekstasDiagrama"/>
    <w:unhideWhenUsed/>
    <w:rsid w:val="00BC123F"/>
    <w:rPr>
      <w:sz w:val="20"/>
      <w:szCs w:val="20"/>
    </w:rPr>
  </w:style>
  <w:style w:type="character" w:customStyle="1" w:styleId="KomentarotekstasDiagrama">
    <w:name w:val="Komentaro tekstas Diagrama"/>
    <w:basedOn w:val="Numatytasispastraiposriftas"/>
    <w:link w:val="Komentarotekstas"/>
    <w:uiPriority w:val="99"/>
    <w:rsid w:val="00BC123F"/>
    <w:rPr>
      <w:lang w:val="en-US" w:eastAsia="en-US"/>
    </w:rPr>
  </w:style>
  <w:style w:type="paragraph" w:styleId="Komentarotema">
    <w:name w:val="annotation subject"/>
    <w:basedOn w:val="Komentarotekstas"/>
    <w:next w:val="Komentarotekstas"/>
    <w:link w:val="KomentarotemaDiagrama"/>
    <w:uiPriority w:val="99"/>
    <w:semiHidden/>
    <w:unhideWhenUsed/>
    <w:rsid w:val="00BC123F"/>
    <w:rPr>
      <w:b/>
      <w:bCs/>
    </w:rPr>
  </w:style>
  <w:style w:type="character" w:customStyle="1" w:styleId="KomentarotemaDiagrama">
    <w:name w:val="Komentaro tema Diagrama"/>
    <w:basedOn w:val="KomentarotekstasDiagrama"/>
    <w:link w:val="Komentarotema"/>
    <w:uiPriority w:val="99"/>
    <w:semiHidden/>
    <w:rsid w:val="00BC123F"/>
    <w:rPr>
      <w:b/>
      <w:bCs/>
      <w:lang w:val="en-US" w:eastAsia="en-US"/>
    </w:rPr>
  </w:style>
  <w:style w:type="paragraph" w:styleId="Debesliotekstas">
    <w:name w:val="Balloon Text"/>
    <w:basedOn w:val="prastasis"/>
    <w:link w:val="DebesliotekstasDiagrama"/>
    <w:uiPriority w:val="99"/>
    <w:semiHidden/>
    <w:unhideWhenUsed/>
    <w:rsid w:val="00BC12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23F"/>
    <w:rPr>
      <w:rFonts w:ascii="Segoe UI" w:hAnsi="Segoe UI" w:cs="Segoe UI"/>
      <w:sz w:val="18"/>
      <w:szCs w:val="18"/>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263EA"/>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
    <w:basedOn w:val="prastasis"/>
    <w:link w:val="SraopastraipaDiagrama"/>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Betarp">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Antrat1Diagrama">
    <w:name w:val="Antraštė 1 Diagrama"/>
    <w:basedOn w:val="Numatytasispastraiposriftas"/>
    <w:link w:val="Antrat1"/>
    <w:rsid w:val="00F573DD"/>
    <w:rPr>
      <w:rFonts w:eastAsia="Calibri"/>
      <w:sz w:val="28"/>
      <w:szCs w:val="22"/>
      <w:bdr w:val="none" w:sz="0" w:space="0" w:color="auto"/>
      <w:lang w:eastAsia="ar-SA"/>
    </w:rPr>
  </w:style>
  <w:style w:type="character" w:customStyle="1" w:styleId="Antrat2Diagrama">
    <w:name w:val="Antraštė 2 Diagrama"/>
    <w:basedOn w:val="Numatytasispastraiposriftas"/>
    <w:link w:val="Antrat2"/>
    <w:rsid w:val="00F573DD"/>
    <w:rPr>
      <w:rFonts w:eastAsia="Times New Roman"/>
      <w:sz w:val="24"/>
      <w:bdr w:val="none" w:sz="0" w:space="0" w:color="auto"/>
      <w:lang w:eastAsia="ar-SA"/>
    </w:rPr>
  </w:style>
  <w:style w:type="character" w:customStyle="1" w:styleId="Antrat3Diagrama">
    <w:name w:val="Antraštė 3 Diagrama"/>
    <w:basedOn w:val="Numatytasispastraiposriftas"/>
    <w:link w:val="Antrat3"/>
    <w:rsid w:val="00F573DD"/>
    <w:rPr>
      <w:rFonts w:eastAsia="Times New Roman"/>
      <w:sz w:val="24"/>
      <w:bdr w:val="none" w:sz="0" w:space="0" w:color="auto"/>
      <w:lang w:eastAsia="ar-SA"/>
    </w:rPr>
  </w:style>
  <w:style w:type="character" w:customStyle="1" w:styleId="Antrat4Diagrama">
    <w:name w:val="Antraštė 4 Diagrama"/>
    <w:basedOn w:val="Numatytasispastraiposriftas"/>
    <w:link w:val="Antrat4"/>
    <w:rsid w:val="00F573DD"/>
    <w:rPr>
      <w:rFonts w:eastAsia="Times New Roman"/>
      <w:b/>
      <w:sz w:val="44"/>
      <w:bdr w:val="none" w:sz="0" w:space="0" w:color="auto"/>
      <w:lang w:eastAsia="ar-SA"/>
    </w:rPr>
  </w:style>
  <w:style w:type="character" w:customStyle="1" w:styleId="Antrat5Diagrama">
    <w:name w:val="Antraštė 5 Diagrama"/>
    <w:basedOn w:val="Numatytasispastraiposriftas"/>
    <w:link w:val="Antrat5"/>
    <w:rsid w:val="00F573DD"/>
    <w:rPr>
      <w:rFonts w:eastAsia="Times New Roman"/>
      <w:b/>
      <w:sz w:val="40"/>
      <w:bdr w:val="none" w:sz="0" w:space="0" w:color="auto"/>
      <w:lang w:eastAsia="ar-SA"/>
    </w:rPr>
  </w:style>
  <w:style w:type="character" w:customStyle="1" w:styleId="Antrat6Diagrama">
    <w:name w:val="Antraštė 6 Diagrama"/>
    <w:basedOn w:val="Numatytasispastraiposriftas"/>
    <w:link w:val="Antrat6"/>
    <w:rsid w:val="00F573DD"/>
    <w:rPr>
      <w:rFonts w:eastAsia="Times New Roman"/>
      <w:b/>
      <w:sz w:val="36"/>
      <w:bdr w:val="none" w:sz="0" w:space="0" w:color="auto"/>
      <w:lang w:eastAsia="ar-SA"/>
    </w:rPr>
  </w:style>
  <w:style w:type="character" w:customStyle="1" w:styleId="Antrat7Diagrama">
    <w:name w:val="Antraštė 7 Diagrama"/>
    <w:basedOn w:val="Numatytasispastraiposriftas"/>
    <w:link w:val="Antrat7"/>
    <w:rsid w:val="00F573DD"/>
    <w:rPr>
      <w:rFonts w:eastAsia="Times New Roman"/>
      <w:sz w:val="48"/>
      <w:bdr w:val="none" w:sz="0" w:space="0" w:color="auto"/>
      <w:lang w:eastAsia="ar-SA"/>
    </w:rPr>
  </w:style>
  <w:style w:type="character" w:customStyle="1" w:styleId="Antrat8Diagrama">
    <w:name w:val="Antraštė 8 Diagrama"/>
    <w:basedOn w:val="Numatytasispastraiposriftas"/>
    <w:link w:val="Antrat8"/>
    <w:rsid w:val="00F573DD"/>
    <w:rPr>
      <w:rFonts w:eastAsia="Times New Roman"/>
      <w:b/>
      <w:sz w:val="18"/>
      <w:bdr w:val="none" w:sz="0" w:space="0" w:color="auto"/>
      <w:lang w:eastAsia="ar-SA"/>
    </w:rPr>
  </w:style>
  <w:style w:type="character" w:customStyle="1" w:styleId="Antrat9Diagrama">
    <w:name w:val="Antraštė 9 Diagrama"/>
    <w:basedOn w:val="Numatytasispastraiposriftas"/>
    <w:link w:val="Antrat9"/>
    <w:rsid w:val="00F573DD"/>
    <w:rPr>
      <w:rFonts w:eastAsia="Times New Roman"/>
      <w:sz w:val="40"/>
      <w:bdr w:val="none" w:sz="0" w:space="0" w:color="auto"/>
      <w:lang w:eastAsia="ar-SA"/>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Char Char"/>
    <w:basedOn w:val="prastasis"/>
    <w:link w:val="PagrindinistekstasDiagrama"/>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C76A38"/>
    <w:rPr>
      <w:rFonts w:eastAsia="Calibri"/>
      <w:sz w:val="24"/>
      <w:szCs w:val="22"/>
      <w:bdr w:val="none" w:sz="0" w:space="0" w:color="auto"/>
      <w:lang w:eastAsia="zh-CN"/>
    </w:rPr>
  </w:style>
  <w:style w:type="paragraph" w:styleId="Antrats">
    <w:name w:val="header"/>
    <w:basedOn w:val="prastasis"/>
    <w:link w:val="AntratsDiagrama"/>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C76A38"/>
    <w:rPr>
      <w:rFonts w:eastAsia="Times New Roman"/>
      <w:sz w:val="24"/>
      <w:bdr w:val="none" w:sz="0" w:space="0" w:color="auto"/>
      <w:lang w:eastAsia="zh-CN"/>
    </w:rPr>
  </w:style>
  <w:style w:type="paragraph" w:customStyle="1" w:styleId="Pagrindinistekstas1">
    <w:name w:val="Pagrindinis tekstas1"/>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prastasis"/>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prastasis"/>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prastasiniatinklio">
    <w:name w:val="Normal (Web)"/>
    <w:basedOn w:val="prastasis"/>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Lentelstinklelis">
    <w:name w:val="Table Grid"/>
    <w:basedOn w:val="prastojilentel"/>
    <w:uiPriority w:val="5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Porat">
    <w:name w:val="footer"/>
    <w:basedOn w:val="prastasis"/>
    <w:link w:val="PoratDiagrama"/>
    <w:uiPriority w:val="99"/>
    <w:semiHidden/>
    <w:unhideWhenUsed/>
    <w:rsid w:val="003D2B51"/>
    <w:pPr>
      <w:tabs>
        <w:tab w:val="center" w:pos="4819"/>
        <w:tab w:val="right" w:pos="9638"/>
      </w:tabs>
    </w:pPr>
  </w:style>
  <w:style w:type="character" w:customStyle="1" w:styleId="PoratDiagrama">
    <w:name w:val="Poraštė Diagrama"/>
    <w:basedOn w:val="Numatytasispastraiposriftas"/>
    <w:link w:val="Porat"/>
    <w:uiPriority w:val="99"/>
    <w:semiHidden/>
    <w:rsid w:val="003D2B51"/>
    <w:rPr>
      <w:sz w:val="24"/>
      <w:szCs w:val="24"/>
      <w:lang w:val="en-US" w:eastAsia="en-US"/>
    </w:rPr>
  </w:style>
  <w:style w:type="character" w:customStyle="1" w:styleId="WW-Absatz-Standardschriftart11">
    <w:name w:val="WW-Absatz-Standardschriftart11"/>
    <w:rsid w:val="004D3136"/>
  </w:style>
  <w:style w:type="paragraph" w:customStyle="1" w:styleId="Pagrindinistekstas2">
    <w:name w:val="Pagrindinis tekstas2"/>
    <w:rsid w:val="004D3136"/>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Paantrat">
    <w:name w:val="Subtitle"/>
    <w:basedOn w:val="Heading"/>
    <w:next w:val="Pagrindinistekstas"/>
    <w:link w:val="PaantratDiagrama"/>
    <w:qFormat/>
    <w:rsid w:val="004D3136"/>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6" w:lineRule="auto"/>
      <w:jc w:val="center"/>
      <w:outlineLvl w:val="9"/>
    </w:pPr>
    <w:rPr>
      <w:rFonts w:ascii="Arial" w:eastAsia="Lucida Sans Unicode" w:hAnsi="Arial" w:cs="Tahoma"/>
      <w:b w:val="0"/>
      <w:bCs w:val="0"/>
      <w:i/>
      <w:iCs/>
      <w:caps w:val="0"/>
      <w:color w:val="auto"/>
      <w:spacing w:val="0"/>
      <w:sz w:val="28"/>
      <w:szCs w:val="28"/>
      <w:bdr w:val="none" w:sz="0" w:space="0" w:color="auto"/>
      <w:lang w:val="lt-LT" w:eastAsia="zh-CN"/>
    </w:rPr>
  </w:style>
  <w:style w:type="character" w:customStyle="1" w:styleId="PaantratDiagrama">
    <w:name w:val="Paantraštė Diagrama"/>
    <w:basedOn w:val="Numatytasispastraiposriftas"/>
    <w:link w:val="Paantrat"/>
    <w:rsid w:val="004D3136"/>
    <w:rPr>
      <w:rFonts w:ascii="Arial" w:eastAsia="Lucida Sans Unicode" w:hAnsi="Arial" w:cs="Tahoma"/>
      <w:i/>
      <w:iCs/>
      <w:sz w:val="28"/>
      <w:szCs w:val="28"/>
      <w:bdr w:val="none" w:sz="0" w:space="0" w:color="auto"/>
      <w:lang w:eastAsia="zh-CN"/>
    </w:rPr>
  </w:style>
  <w:style w:type="paragraph" w:customStyle="1" w:styleId="CM1">
    <w:name w:val="CM1"/>
    <w:basedOn w:val="WW-Default"/>
    <w:next w:val="WW-Default"/>
    <w:rsid w:val="004D3136"/>
    <w:rPr>
      <w:rFonts w:ascii="Times New Roman" w:eastAsia="Arial Unicode MS" w:hAnsi="Times New Roman" w:cs="Tahoma"/>
      <w:color w:val="auto"/>
    </w:rPr>
  </w:style>
  <w:style w:type="paragraph" w:customStyle="1" w:styleId="CM3">
    <w:name w:val="CM3"/>
    <w:basedOn w:val="WW-Default"/>
    <w:next w:val="WW-Default"/>
    <w:rsid w:val="004D3136"/>
    <w:rPr>
      <w:rFonts w:ascii="Times New Roman" w:eastAsia="Arial Unicode MS" w:hAnsi="Times New Roman" w:cs="Tahoma"/>
      <w:color w:val="auto"/>
    </w:rPr>
  </w:style>
  <w:style w:type="paragraph" w:customStyle="1" w:styleId="CM7">
    <w:name w:val="CM7"/>
    <w:basedOn w:val="WW-Default"/>
    <w:next w:val="WW-Default"/>
    <w:rsid w:val="004D3136"/>
    <w:rPr>
      <w:rFonts w:ascii="Times New Roman" w:eastAsia="Arial Unicode MS" w:hAnsi="Times New Roman" w:cs="Tahoma"/>
      <w:color w:val="auto"/>
    </w:rPr>
  </w:style>
  <w:style w:type="character" w:styleId="Neapdorotaspaminjimas">
    <w:name w:val="Unresolved Mention"/>
    <w:basedOn w:val="Numatytasispastraiposriftas"/>
    <w:uiPriority w:val="99"/>
    <w:semiHidden/>
    <w:unhideWhenUsed/>
    <w:rsid w:val="00F11A8A"/>
    <w:rPr>
      <w:color w:val="605E5C"/>
      <w:shd w:val="clear" w:color="auto" w:fill="E1DFDD"/>
    </w:rPr>
  </w:style>
  <w:style w:type="character" w:customStyle="1" w:styleId="object">
    <w:name w:val="object"/>
    <w:basedOn w:val="Numatytasispastraiposriftas"/>
    <w:rsid w:val="00950EB0"/>
  </w:style>
  <w:style w:type="paragraph" w:customStyle="1" w:styleId="Betarp1">
    <w:name w:val="Be tarpų1"/>
    <w:link w:val="NoSpacingChar"/>
    <w:qFormat/>
    <w:rsid w:val="009F562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9F5624"/>
    <w:rPr>
      <w:rFonts w:eastAsia="Times New Roman"/>
      <w:sz w:val="22"/>
      <w:bdr w:val="none" w:sz="0" w:space="0" w:color="auto"/>
    </w:rPr>
  </w:style>
  <w:style w:type="paragraph" w:customStyle="1" w:styleId="Standard">
    <w:name w:val="Standard"/>
    <w:qFormat/>
    <w:rsid w:val="0085531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egoe UI" w:hAnsi="Liberation Serif" w:cs="Tahoma"/>
      <w:color w:val="000000"/>
      <w:kern w:val="3"/>
      <w:sz w:val="24"/>
      <w:szCs w:val="24"/>
      <w:bdr w:val="none" w:sz="0" w:space="0" w:color="auto"/>
      <w:lang w:eastAsia="zh-CN" w:bidi="hi-IN"/>
    </w:rPr>
  </w:style>
  <w:style w:type="table" w:customStyle="1" w:styleId="Lentelstinklelis6">
    <w:name w:val="Lentelės tinklelis6"/>
    <w:basedOn w:val="prastojilentel"/>
    <w:next w:val="Lentelstinklelis"/>
    <w:uiPriority w:val="59"/>
    <w:rsid w:val="008F6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94547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411582942">
      <w:bodyDiv w:val="1"/>
      <w:marLeft w:val="0"/>
      <w:marRight w:val="0"/>
      <w:marTop w:val="0"/>
      <w:marBottom w:val="0"/>
      <w:divBdr>
        <w:top w:val="none" w:sz="0" w:space="0" w:color="auto"/>
        <w:left w:val="none" w:sz="0" w:space="0" w:color="auto"/>
        <w:bottom w:val="none" w:sz="0" w:space="0" w:color="auto"/>
        <w:right w:val="none" w:sz="0" w:space="0" w:color="auto"/>
      </w:divBdr>
    </w:div>
    <w:div w:id="571040217">
      <w:bodyDiv w:val="1"/>
      <w:marLeft w:val="0"/>
      <w:marRight w:val="0"/>
      <w:marTop w:val="0"/>
      <w:marBottom w:val="0"/>
      <w:divBdr>
        <w:top w:val="none" w:sz="0" w:space="0" w:color="auto"/>
        <w:left w:val="none" w:sz="0" w:space="0" w:color="auto"/>
        <w:bottom w:val="none" w:sz="0" w:space="0" w:color="auto"/>
        <w:right w:val="none" w:sz="0" w:space="0" w:color="auto"/>
      </w:divBdr>
    </w:div>
    <w:div w:id="717510930">
      <w:bodyDiv w:val="1"/>
      <w:marLeft w:val="0"/>
      <w:marRight w:val="0"/>
      <w:marTop w:val="0"/>
      <w:marBottom w:val="0"/>
      <w:divBdr>
        <w:top w:val="none" w:sz="0" w:space="0" w:color="auto"/>
        <w:left w:val="none" w:sz="0" w:space="0" w:color="auto"/>
        <w:bottom w:val="none" w:sz="0" w:space="0" w:color="auto"/>
        <w:right w:val="none" w:sz="0" w:space="0" w:color="auto"/>
      </w:divBdr>
    </w:div>
    <w:div w:id="78238577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198250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008673981">
      <w:bodyDiv w:val="1"/>
      <w:marLeft w:val="0"/>
      <w:marRight w:val="0"/>
      <w:marTop w:val="0"/>
      <w:marBottom w:val="0"/>
      <w:divBdr>
        <w:top w:val="none" w:sz="0" w:space="0" w:color="auto"/>
        <w:left w:val="none" w:sz="0" w:space="0" w:color="auto"/>
        <w:bottom w:val="none" w:sz="0" w:space="0" w:color="auto"/>
        <w:right w:val="none" w:sz="0" w:space="0" w:color="auto"/>
      </w:divBdr>
    </w:div>
    <w:div w:id="1163350947">
      <w:bodyDiv w:val="1"/>
      <w:marLeft w:val="0"/>
      <w:marRight w:val="0"/>
      <w:marTop w:val="0"/>
      <w:marBottom w:val="0"/>
      <w:divBdr>
        <w:top w:val="none" w:sz="0" w:space="0" w:color="auto"/>
        <w:left w:val="none" w:sz="0" w:space="0" w:color="auto"/>
        <w:bottom w:val="none" w:sz="0" w:space="0" w:color="auto"/>
        <w:right w:val="none" w:sz="0" w:space="0" w:color="auto"/>
      </w:divBdr>
    </w:div>
    <w:div w:id="1432966850">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682732225">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1966693539">
      <w:bodyDiv w:val="1"/>
      <w:marLeft w:val="0"/>
      <w:marRight w:val="0"/>
      <w:marTop w:val="0"/>
      <w:marBottom w:val="0"/>
      <w:divBdr>
        <w:top w:val="none" w:sz="0" w:space="0" w:color="auto"/>
        <w:left w:val="none" w:sz="0" w:space="0" w:color="auto"/>
        <w:bottom w:val="none" w:sz="0" w:space="0" w:color="auto"/>
        <w:right w:val="none" w:sz="0" w:space="0" w:color="auto"/>
      </w:divBdr>
    </w:div>
    <w:div w:id="21276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spedicija@kraujodonoryste.lt" TargetMode="External"/><Relationship Id="rId13" Type="http://schemas.openxmlformats.org/officeDocument/2006/relationships/hyperlink" Target="mailto:info@vmk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racija@kraujodonoryst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kcadminisracija@kraujodonoryste.lt" TargetMode="External"/><Relationship Id="rId4" Type="http://schemas.openxmlformats.org/officeDocument/2006/relationships/settings" Target="settings.xml"/><Relationship Id="rId9" Type="http://schemas.openxmlformats.org/officeDocument/2006/relationships/hyperlink" Target="mailto:labtransfuzija@vmkl.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7D13-B89F-4C32-A690-B708F593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17643</Words>
  <Characters>10058</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Viesieji2</cp:lastModifiedBy>
  <cp:revision>5</cp:revision>
  <cp:lastPrinted>2022-01-10T12:29:00Z</cp:lastPrinted>
  <dcterms:created xsi:type="dcterms:W3CDTF">2022-01-12T11:52:00Z</dcterms:created>
  <dcterms:modified xsi:type="dcterms:W3CDTF">2022-01-12T11:54:00Z</dcterms:modified>
</cp:coreProperties>
</file>