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2C4" w14:textId="77777777" w:rsidR="005B1F72" w:rsidRDefault="005B1F72" w:rsidP="005B1F72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1 priedas</w:t>
      </w:r>
    </w:p>
    <w:p w14:paraId="28213C1C" w14:textId="77777777" w:rsidR="005B1F72" w:rsidRPr="005B1F72" w:rsidRDefault="005B1F72" w:rsidP="005B1F72">
      <w:pPr>
        <w:jc w:val="center"/>
        <w:rPr>
          <w:b/>
          <w:bCs/>
          <w:sz w:val="28"/>
          <w:szCs w:val="28"/>
          <w:lang w:val="lt-LT"/>
        </w:rPr>
      </w:pPr>
      <w:r w:rsidRPr="005B1F72">
        <w:rPr>
          <w:b/>
          <w:bCs/>
          <w:sz w:val="28"/>
          <w:szCs w:val="28"/>
          <w:lang w:val="lt-LT"/>
        </w:rPr>
        <w:t>TECHNINIAI IR KOKYBINIAI REIKALAVIMAI REAGENTAMS, PAPILDOMOMS PRIEMONĖMS, ANALIZATORIAMS</w:t>
      </w:r>
    </w:p>
    <w:p w14:paraId="1E0BCF06" w14:textId="77777777" w:rsidR="005B1F72" w:rsidRDefault="005B1F72" w:rsidP="005B1F72">
      <w:pPr>
        <w:jc w:val="right"/>
        <w:rPr>
          <w:b/>
          <w:bCs/>
          <w:lang w:val="lt-LT"/>
        </w:rPr>
      </w:pPr>
    </w:p>
    <w:p w14:paraId="4611CC48" w14:textId="77777777" w:rsidR="006718F9" w:rsidRDefault="006718F9" w:rsidP="006718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6BB5A" w14:textId="77777777" w:rsidR="006718F9" w:rsidRPr="00E563C1" w:rsidRDefault="006718F9" w:rsidP="006718F9">
      <w:pPr>
        <w:jc w:val="center"/>
        <w:rPr>
          <w:b/>
          <w:bCs/>
        </w:rPr>
      </w:pPr>
      <w:r w:rsidRPr="00E563C1">
        <w:rPr>
          <w:b/>
          <w:bCs/>
        </w:rPr>
        <w:t>REAGENTAI IR PAGALBINĖS PRIEMONĖS</w:t>
      </w:r>
      <w:r w:rsidRPr="00D4306A">
        <w:rPr>
          <w:b/>
          <w:bCs/>
        </w:rPr>
        <w:t>EKSTRINIŲ, ITIN SKUBIŲ, KRITINIŲ LIGŲ, IMUNOLOGINIŲ TYRIMŲ, PILNAI AUTOMATINIAM</w:t>
      </w:r>
      <w:r>
        <w:rPr>
          <w:b/>
          <w:bCs/>
        </w:rPr>
        <w:t>S</w:t>
      </w:r>
      <w:r w:rsidRPr="00D4306A">
        <w:rPr>
          <w:b/>
          <w:bCs/>
        </w:rPr>
        <w:t xml:space="preserve">, </w:t>
      </w:r>
      <w:r>
        <w:rPr>
          <w:b/>
          <w:bCs/>
        </w:rPr>
        <w:t xml:space="preserve">CL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POCT SISTEMOS ANALIZATORIAMS (2 </w:t>
      </w:r>
      <w:proofErr w:type="spellStart"/>
      <w:r>
        <w:rPr>
          <w:b/>
          <w:bCs/>
        </w:rPr>
        <w:t>vnt</w:t>
      </w:r>
      <w:proofErr w:type="spellEnd"/>
      <w:proofErr w:type="gramStart"/>
      <w:r>
        <w:rPr>
          <w:b/>
          <w:bCs/>
        </w:rPr>
        <w:t>.)</w:t>
      </w:r>
      <w:r w:rsidRPr="00E563C1">
        <w:rPr>
          <w:b/>
          <w:bCs/>
        </w:rPr>
        <w:t>TECHNINĖ</w:t>
      </w:r>
      <w:proofErr w:type="gramEnd"/>
      <w:r w:rsidRPr="00E563C1">
        <w:rPr>
          <w:b/>
          <w:bCs/>
        </w:rPr>
        <w:t xml:space="preserve"> SPECIFIKACIJA</w:t>
      </w:r>
    </w:p>
    <w:p w14:paraId="4FDE3353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privalo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įvertinti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įrašyti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 visas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reikiamas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sudedamąsias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dalis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privalo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išvardinti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visus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reikiamus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pagalbines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įskaitant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kontrolines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medžiagas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(ne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mažiau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dviejų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skirtingų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lygių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per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))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bei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kainas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PVM.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tokie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pagalbinių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kiekiai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kad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galima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reikiamą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skaičių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Jei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pagalbinės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yra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sunaudotos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o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reikiamas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skaičius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neatliktas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tuomet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privalo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nemokamai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pagalbines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tol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kol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bus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reikiamas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skaičius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A63E9DF" w14:textId="77777777" w:rsidR="006718F9" w:rsidRPr="004C3539" w:rsidRDefault="006718F9" w:rsidP="006718F9">
      <w:pPr>
        <w:pStyle w:val="ListParagraph"/>
        <w:numPr>
          <w:ilvl w:val="0"/>
          <w:numId w:val="3"/>
        </w:numPr>
        <w:suppressAutoHyphens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4C3539">
        <w:rPr>
          <w:rFonts w:ascii="Times New Roman" w:hAnsi="Times New Roman" w:cs="Times New Roman"/>
          <w:sz w:val="24"/>
          <w:szCs w:val="24"/>
        </w:rPr>
        <w:t>Visoms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nurodytoms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konkrečioms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medžiagoms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konkretiems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pavadinimams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taikoma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3539">
        <w:rPr>
          <w:rFonts w:ascii="Times New Roman" w:hAnsi="Times New Roman" w:cs="Times New Roman"/>
          <w:sz w:val="24"/>
          <w:szCs w:val="24"/>
        </w:rPr>
        <w:t>lygiavertis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4C35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siūlantis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lygiavertę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prekę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patikimomis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įrodyti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siūloma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prekė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lygiavertė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visiškai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atitinka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techninėje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specifikacijoje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keliamus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>.</w:t>
      </w:r>
    </w:p>
    <w:p w14:paraId="060FC703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reikalingą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kiekį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numatomam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nurodytam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skaičiui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per 60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mėn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6527E01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Visos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originalios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tinkamos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darbui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prietaisams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suteikiamiems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panaudos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būdu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5B8C3E1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Perkančioji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organizacija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planuoja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pirkti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poreikį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kuris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priklauso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nuo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aplinkybių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proofErr w:type="gram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neprognozuojamų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C65F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pirkimo</w:t>
      </w:r>
      <w:proofErr w:type="spellEnd"/>
      <w:proofErr w:type="gram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metu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C65F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kiekis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priklauso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nuo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sutarties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vykdymo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metu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iškylančio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poreikio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keičiantis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ligoninės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poreikiams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pacientų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skaičiui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Perkančioji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organizacija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pasilieka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teisę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kiekį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didinti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arba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mažinti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tačiau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tokiu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atveju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kiekis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negali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viršytas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daugiau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kaip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30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procentų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Perkančioji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organizacija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neįsipareigoja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išpirkti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viso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kiekio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5C3F6E92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yra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oficialus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atstovas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arba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rašytinį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susitarimą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tokiu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atstovu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dėl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prekybos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siūlomomis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prekėmis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jei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pats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negamina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patvirtinantį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kad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yra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oficialus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atstovas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arba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rašytinį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susitarimą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tokiu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atstovu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dėl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prekybos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siūlomomis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prekėmis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t. y.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suteiktas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teises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arba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lygiavertį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0881BD18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įrodančius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parduodamos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atitikimą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kokybės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techniniams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reikalavimams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nurodytiems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pirkimo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techninėje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specifikacijoje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parengtus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katalogus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charakteristikų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aprašymus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jei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kataloge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neišsamiai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atsispindi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atitikimas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specifikacijos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reikalavimams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 (pdf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formatu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vertimu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į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lietuvių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kalbą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Šiuose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lastRenderedPageBreak/>
        <w:t>dokumentuose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grafiškai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(t. y.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pastebimai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pažymėti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–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spalvotai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markiruoti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nurodyti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rodyklėmis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pabraukti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konkrečias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teikiamų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vietas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kur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aprašomos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reikalaujamų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charakteristikų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reikšmės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bei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įrašyti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kurį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reikalavimų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punktą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atitinka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Taip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pat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nuorodą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į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interneto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svetainę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kurioje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perkančiosios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organizacijos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vertintojai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galėtų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patikrinti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teikiamų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duomenų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autentiškumą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nenurodyti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šiame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punkte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nebus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laikomi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pakankama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patikima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informacija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vertinimui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Perkančioji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organizacija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teisę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reikalauti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katalogų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aprašų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originalus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74400454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atitinkančias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Europos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direktyvų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nuostatas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Siūlantiems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pagalbines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atitikties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dokumentą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Europos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direktyvų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nuostatas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kuris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atitinka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Tarybos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direktyvos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98/79/EC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sąlygas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in vitro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diagnostikos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medicinos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prietaisams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Visos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siūlomos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prekės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skirtos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in vitro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diagnostiniam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naudojimui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naudojimosi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prietaisu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instrukciją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56F2F6B6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Reagentų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pagalbinių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C65F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protokolus</w:t>
      </w:r>
      <w:proofErr w:type="spellEnd"/>
      <w:proofErr w:type="gram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aprašymus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naudojimo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instrukcijas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saugos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duomenų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lapus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kitą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tyrimo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procesu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susijusią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svarbią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informaciją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Bet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kokius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gamintojo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atliekamus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pakeitimus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nedelsiant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pranešti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vartotojui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1EF890C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suteikiantis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prietaisą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panaudos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būdu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detalų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prietaiso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priežiūros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planą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visas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priežiūrai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atlikti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reikiamas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priemones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instrukcijas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D695E8A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Tiekėjas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suteikęs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sistemą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prietaisą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/-us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panaudos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būdu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privalo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savo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sąskaita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užtikrinti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techninę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priežiūrą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galimą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gedimų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šalinimą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remontą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visą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panaudos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sutarties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galiojimo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terminą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Gedimas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po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pranešimo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gavimo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turi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būti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pradėtas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šalinti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per 6 val.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darbo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dienomis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per 12 val.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poilsio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švenčių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dienomis</w:t>
      </w:r>
      <w:proofErr w:type="spellEnd"/>
      <w:r w:rsidRPr="004C3539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6E5C8B0E" w14:textId="77777777" w:rsidR="006718F9" w:rsidRPr="004C3539" w:rsidRDefault="006718F9" w:rsidP="006718F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3539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lėšomis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apmokyti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darbuotojus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dirbti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siūlomais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539">
        <w:rPr>
          <w:rFonts w:ascii="Times New Roman" w:hAnsi="Times New Roman" w:cs="Times New Roman"/>
          <w:sz w:val="24"/>
          <w:szCs w:val="24"/>
        </w:rPr>
        <w:t>analizatoriais</w:t>
      </w:r>
      <w:proofErr w:type="spellEnd"/>
      <w:r w:rsidRPr="004C3539">
        <w:rPr>
          <w:rFonts w:ascii="Times New Roman" w:hAnsi="Times New Roman" w:cs="Times New Roman"/>
          <w:sz w:val="24"/>
          <w:szCs w:val="24"/>
        </w:rPr>
        <w:t>.</w:t>
      </w:r>
    </w:p>
    <w:p w14:paraId="6F4F7764" w14:textId="77777777" w:rsidR="006718F9" w:rsidRPr="00D33753" w:rsidRDefault="006718F9" w:rsidP="006718F9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753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reikiamus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priedus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sutikimai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licencijos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integracinės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sąsajos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reikiami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priedai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integruoti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analizatorius</w:t>
      </w:r>
      <w:proofErr w:type="spellEnd"/>
      <w:r w:rsidR="001C65F2">
        <w:rPr>
          <w:rFonts w:ascii="Times New Roman" w:hAnsi="Times New Roman" w:cs="Times New Roman"/>
          <w:sz w:val="24"/>
          <w:szCs w:val="24"/>
        </w:rPr>
        <w:t xml:space="preserve"> </w:t>
      </w:r>
      <w:r w:rsidRPr="00D33753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laboratorijos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informacinę</w:t>
      </w:r>
      <w:proofErr w:type="spellEnd"/>
      <w:r w:rsidRPr="00D33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753"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 w:rsidR="001C65F2">
        <w:rPr>
          <w:rFonts w:ascii="Times New Roman" w:hAnsi="Times New Roman" w:cs="Times New Roman"/>
          <w:sz w:val="24"/>
          <w:szCs w:val="24"/>
        </w:rPr>
        <w:t xml:space="preserve"> “Open </w:t>
      </w:r>
      <w:proofErr w:type="spellStart"/>
      <w:r w:rsidR="001C65F2">
        <w:rPr>
          <w:rFonts w:ascii="Times New Roman" w:hAnsi="Times New Roman" w:cs="Times New Roman"/>
          <w:sz w:val="24"/>
          <w:szCs w:val="24"/>
        </w:rPr>
        <w:t>Lims</w:t>
      </w:r>
      <w:proofErr w:type="spellEnd"/>
      <w:r w:rsidR="001C65F2">
        <w:rPr>
          <w:rFonts w:ascii="Times New Roman" w:hAnsi="Times New Roman" w:cs="Times New Roman"/>
          <w:sz w:val="24"/>
          <w:szCs w:val="24"/>
        </w:rPr>
        <w:t>”</w:t>
      </w:r>
      <w:r w:rsidRPr="00D33753">
        <w:rPr>
          <w:rFonts w:ascii="Times New Roman" w:hAnsi="Times New Roman" w:cs="Times New Roman"/>
          <w:sz w:val="24"/>
          <w:szCs w:val="24"/>
        </w:rPr>
        <w:t>.</w:t>
      </w:r>
    </w:p>
    <w:p w14:paraId="56A43954" w14:textId="77777777" w:rsidR="006718F9" w:rsidRPr="001C65F2" w:rsidRDefault="001C65F2" w:rsidP="006718F9">
      <w:pPr>
        <w:pStyle w:val="ListParagraph"/>
        <w:numPr>
          <w:ilvl w:val="0"/>
          <w:numId w:val="3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6718F9" w:rsidRPr="001C65F2">
        <w:rPr>
          <w:rFonts w:ascii="Times New Roman" w:hAnsi="Times New Roman" w:cs="Times New Roman"/>
          <w:sz w:val="24"/>
          <w:szCs w:val="24"/>
        </w:rPr>
        <w:t>amintojo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apmokyt</w:t>
      </w:r>
      <w:r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sertifikuot</w:t>
      </w:r>
      <w:r>
        <w:rPr>
          <w:rFonts w:ascii="Times New Roman" w:hAnsi="Times New Roman" w:cs="Times New Roman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specialistą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išduotus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apmokymo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sertifikatus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įrodančius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F9" w:rsidRPr="001C65F2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="006718F9" w:rsidRPr="001C65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382B0C" w14:textId="77777777" w:rsidR="001C65F2" w:rsidRPr="00E563C1" w:rsidRDefault="001C65F2" w:rsidP="001C65F2">
      <w:pPr>
        <w:pStyle w:val="ListParagraph"/>
        <w:jc w:val="both"/>
      </w:pPr>
    </w:p>
    <w:p w14:paraId="06D85BE8" w14:textId="77777777" w:rsidR="006718F9" w:rsidRPr="00E563C1" w:rsidRDefault="006718F9" w:rsidP="006718F9">
      <w:pPr>
        <w:jc w:val="center"/>
        <w:rPr>
          <w:b/>
          <w:bCs/>
        </w:rPr>
      </w:pPr>
      <w:r w:rsidRPr="00E563C1">
        <w:rPr>
          <w:b/>
          <w:bCs/>
        </w:rPr>
        <w:t xml:space="preserve">PRIVALOMI TECHNINIAI IR KOKYBINIAI REIKALAVIMAI </w:t>
      </w:r>
      <w:r>
        <w:rPr>
          <w:b/>
          <w:bCs/>
        </w:rPr>
        <w:t>PILNAI AUTOMATINIAM</w:t>
      </w:r>
      <w:r w:rsidRPr="00D4306A">
        <w:rPr>
          <w:b/>
          <w:bCs/>
        </w:rPr>
        <w:t xml:space="preserve">S EKSTRINIŲ, ITIN SKUBIŲ, KRITINIŲ LIGŲ IMUNOLOGINIŲ TYRIMŲ, </w:t>
      </w:r>
      <w:r>
        <w:rPr>
          <w:b/>
          <w:bCs/>
        </w:rPr>
        <w:t xml:space="preserve">CL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r w:rsidRPr="00D4306A">
        <w:rPr>
          <w:b/>
          <w:bCs/>
        </w:rPr>
        <w:t>POCT SISTEMOS ANALIZATORI</w:t>
      </w:r>
      <w:r>
        <w:rPr>
          <w:b/>
          <w:bCs/>
        </w:rPr>
        <w:t>AMS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6974"/>
        <w:gridCol w:w="6559"/>
      </w:tblGrid>
      <w:tr w:rsidR="006718F9" w:rsidRPr="009B4AF9" w14:paraId="2193DB8C" w14:textId="77777777" w:rsidTr="000A5D7D">
        <w:trPr>
          <w:jc w:val="center"/>
        </w:trPr>
        <w:tc>
          <w:tcPr>
            <w:tcW w:w="779" w:type="dxa"/>
          </w:tcPr>
          <w:p w14:paraId="354A802A" w14:textId="77777777" w:rsidR="006718F9" w:rsidRPr="00D9700A" w:rsidRDefault="006718F9" w:rsidP="00E02674">
            <w:pPr>
              <w:spacing w:line="240" w:lineRule="auto"/>
              <w:jc w:val="center"/>
            </w:pPr>
          </w:p>
        </w:tc>
        <w:tc>
          <w:tcPr>
            <w:tcW w:w="6974" w:type="dxa"/>
            <w:vAlign w:val="center"/>
          </w:tcPr>
          <w:p w14:paraId="06239D88" w14:textId="77777777" w:rsidR="006718F9" w:rsidRPr="00D9700A" w:rsidRDefault="006718F9" w:rsidP="00E0267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D9700A">
              <w:rPr>
                <w:b/>
                <w:bCs/>
              </w:rPr>
              <w:t>Reikalaujami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techniniai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parametrai</w:t>
            </w:r>
            <w:proofErr w:type="spellEnd"/>
          </w:p>
        </w:tc>
        <w:tc>
          <w:tcPr>
            <w:tcW w:w="6559" w:type="dxa"/>
            <w:vAlign w:val="center"/>
          </w:tcPr>
          <w:p w14:paraId="1F5F2ED1" w14:textId="77777777" w:rsidR="006718F9" w:rsidRPr="00D9700A" w:rsidRDefault="006718F9" w:rsidP="00E0267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D9700A">
              <w:rPr>
                <w:b/>
                <w:bCs/>
              </w:rPr>
              <w:t>Reikalavimų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atitikimas</w:t>
            </w:r>
            <w:proofErr w:type="spellEnd"/>
            <w:r w:rsidRPr="00D9700A">
              <w:rPr>
                <w:b/>
                <w:bCs/>
              </w:rPr>
              <w:t xml:space="preserve"> (</w:t>
            </w:r>
            <w:proofErr w:type="spellStart"/>
            <w:r w:rsidRPr="00D9700A">
              <w:rPr>
                <w:b/>
                <w:bCs/>
              </w:rPr>
              <w:t>būtina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nurodyti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tikslią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nuorodą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analizatoriaus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dokumentacijoje</w:t>
            </w:r>
            <w:proofErr w:type="spellEnd"/>
            <w:r w:rsidRPr="00D9700A">
              <w:rPr>
                <w:b/>
                <w:bCs/>
              </w:rPr>
              <w:t xml:space="preserve">, </w:t>
            </w:r>
            <w:proofErr w:type="spellStart"/>
            <w:r w:rsidRPr="00D9700A">
              <w:rPr>
                <w:b/>
                <w:bCs/>
              </w:rPr>
              <w:t>dokumentacijoje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tiksliai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pažymimas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techninis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parametras</w:t>
            </w:r>
            <w:proofErr w:type="spellEnd"/>
            <w:r w:rsidRPr="00D9700A">
              <w:rPr>
                <w:b/>
                <w:bCs/>
              </w:rPr>
              <w:t>)</w:t>
            </w:r>
          </w:p>
        </w:tc>
      </w:tr>
      <w:tr w:rsidR="000A5D7D" w:rsidRPr="000A5D7D" w14:paraId="5E3FA816" w14:textId="77777777" w:rsidTr="000A5D7D">
        <w:trPr>
          <w:jc w:val="center"/>
        </w:trPr>
        <w:tc>
          <w:tcPr>
            <w:tcW w:w="779" w:type="dxa"/>
          </w:tcPr>
          <w:p w14:paraId="405A589C" w14:textId="77777777" w:rsidR="000A5D7D" w:rsidRPr="00D9700A" w:rsidRDefault="000A5D7D" w:rsidP="000A5D7D">
            <w:pPr>
              <w:spacing w:line="240" w:lineRule="auto"/>
            </w:pPr>
          </w:p>
        </w:tc>
        <w:tc>
          <w:tcPr>
            <w:tcW w:w="6974" w:type="dxa"/>
          </w:tcPr>
          <w:p w14:paraId="65062ED6" w14:textId="77777777" w:rsidR="000A5D7D" w:rsidRPr="00CF1841" w:rsidRDefault="000A5D7D" w:rsidP="000A5D7D">
            <w:pPr>
              <w:spacing w:line="240" w:lineRule="auto"/>
              <w:rPr>
                <w:b/>
                <w:bCs/>
              </w:rPr>
            </w:pPr>
            <w:proofErr w:type="spellStart"/>
            <w:r w:rsidRPr="00CF1841">
              <w:rPr>
                <w:b/>
                <w:bCs/>
              </w:rPr>
              <w:t>Reikalavimai</w:t>
            </w:r>
            <w:proofErr w:type="spellEnd"/>
            <w:r w:rsidRPr="00CF1841">
              <w:rPr>
                <w:b/>
                <w:bCs/>
              </w:rPr>
              <w:t xml:space="preserve"> </w:t>
            </w:r>
            <w:proofErr w:type="spellStart"/>
            <w:r w:rsidRPr="00A02AAC">
              <w:rPr>
                <w:b/>
              </w:rPr>
              <w:t>ekstrinių</w:t>
            </w:r>
            <w:proofErr w:type="spellEnd"/>
            <w:r w:rsidRPr="00A02AAC">
              <w:rPr>
                <w:b/>
              </w:rPr>
              <w:t xml:space="preserve">, </w:t>
            </w:r>
            <w:proofErr w:type="spellStart"/>
            <w:r w:rsidRPr="00A02AAC">
              <w:rPr>
                <w:b/>
              </w:rPr>
              <w:t>itin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skubių</w:t>
            </w:r>
            <w:proofErr w:type="spellEnd"/>
            <w:r w:rsidRPr="00A02AAC">
              <w:rPr>
                <w:b/>
              </w:rPr>
              <w:t xml:space="preserve">, </w:t>
            </w:r>
            <w:proofErr w:type="spellStart"/>
            <w:r w:rsidRPr="00A02AAC">
              <w:rPr>
                <w:b/>
              </w:rPr>
              <w:t>kritinių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ligų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imunologinių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tyrimų</w:t>
            </w:r>
            <w:proofErr w:type="spellEnd"/>
            <w:r w:rsidRPr="00A02AAC">
              <w:rPr>
                <w:b/>
              </w:rPr>
              <w:t xml:space="preserve">, be </w:t>
            </w:r>
            <w:proofErr w:type="spellStart"/>
            <w:r w:rsidRPr="00A02AAC">
              <w:rPr>
                <w:b/>
              </w:rPr>
              <w:t>mėginio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paruošimo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funkcijos</w:t>
            </w:r>
            <w:proofErr w:type="spellEnd"/>
            <w:r w:rsidRPr="00A02AAC">
              <w:rPr>
                <w:b/>
              </w:rPr>
              <w:t xml:space="preserve">, </w:t>
            </w:r>
            <w:proofErr w:type="spellStart"/>
            <w:r w:rsidRPr="00A02AAC">
              <w:rPr>
                <w:b/>
              </w:rPr>
              <w:t>pilnai</w:t>
            </w:r>
            <w:proofErr w:type="spellEnd"/>
            <w:r w:rsidRPr="00A02AAC">
              <w:rPr>
                <w:b/>
              </w:rPr>
              <w:t xml:space="preserve"> </w:t>
            </w:r>
            <w:proofErr w:type="spellStart"/>
            <w:r w:rsidRPr="00A02AAC">
              <w:rPr>
                <w:b/>
              </w:rPr>
              <w:t>automatiniam</w:t>
            </w:r>
            <w:proofErr w:type="spellEnd"/>
            <w:r w:rsidRPr="00A02AAC">
              <w:rPr>
                <w:b/>
              </w:rPr>
              <w:t xml:space="preserve">, </w:t>
            </w:r>
            <w:r w:rsidRPr="00214487">
              <w:rPr>
                <w:b/>
              </w:rPr>
              <w:t xml:space="preserve">CL </w:t>
            </w:r>
            <w:proofErr w:type="spellStart"/>
            <w:r w:rsidRPr="00214487">
              <w:rPr>
                <w:b/>
              </w:rPr>
              <w:t>ir</w:t>
            </w:r>
            <w:proofErr w:type="spellEnd"/>
            <w:r w:rsidRPr="00214487">
              <w:rPr>
                <w:b/>
              </w:rPr>
              <w:t xml:space="preserve"> POCT </w:t>
            </w:r>
            <w:proofErr w:type="spellStart"/>
            <w:r>
              <w:rPr>
                <w:b/>
              </w:rPr>
              <w:t>sistemos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analizatoriams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vnt</w:t>
            </w:r>
            <w:proofErr w:type="spellEnd"/>
            <w:r>
              <w:rPr>
                <w:b/>
              </w:rPr>
              <w:t>.)</w:t>
            </w:r>
            <w:r>
              <w:rPr>
                <w:b/>
                <w:bCs/>
              </w:rPr>
              <w:t>:</w:t>
            </w:r>
          </w:p>
        </w:tc>
        <w:tc>
          <w:tcPr>
            <w:tcW w:w="6559" w:type="dxa"/>
          </w:tcPr>
          <w:p w14:paraId="6E959697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Ekstrinių, itin skubių, kritinių ligų imunologinių tyrimų, be mėginio paruošimo funkcijos, pilnai automatinis, CL ir POCT sistemos analizatorius </w:t>
            </w:r>
            <w:r w:rsidRPr="000A5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AQT90 FLEX – 2 vnt., gamintojas Radiometer Medical ApS, Danija</w:t>
            </w:r>
          </w:p>
          <w:p w14:paraId="7BBF1E28" w14:textId="77777777" w:rsidR="000A5D7D" w:rsidRPr="000A5D7D" w:rsidRDefault="007B7D46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hyperlink r:id="rId5" w:history="1">
              <w:r w:rsidR="000A5D7D" w:rsidRPr="000A5D7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https://www.radiometer.com/en/products/immunoassay-testing/aqt90-flex-immunoassay-analyzer</w:t>
              </w:r>
            </w:hyperlink>
          </w:p>
          <w:p w14:paraId="393FC399" w14:textId="77777777" w:rsidR="000A5D7D" w:rsidRPr="000A5D7D" w:rsidRDefault="000A5D7D" w:rsidP="000A5D7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0A5D7D" w:rsidRPr="009B4AF9" w14:paraId="258E9F79" w14:textId="77777777" w:rsidTr="000A5D7D">
        <w:trPr>
          <w:jc w:val="center"/>
        </w:trPr>
        <w:tc>
          <w:tcPr>
            <w:tcW w:w="779" w:type="dxa"/>
          </w:tcPr>
          <w:p w14:paraId="4B203639" w14:textId="77777777" w:rsidR="000A5D7D" w:rsidRPr="00D9700A" w:rsidRDefault="000A5D7D" w:rsidP="000A5D7D">
            <w:pPr>
              <w:spacing w:line="240" w:lineRule="auto"/>
            </w:pPr>
            <w:r w:rsidRPr="00D9700A">
              <w:t>1.</w:t>
            </w:r>
          </w:p>
        </w:tc>
        <w:tc>
          <w:tcPr>
            <w:tcW w:w="6974" w:type="dxa"/>
          </w:tcPr>
          <w:p w14:paraId="2DCD0791" w14:textId="77777777" w:rsidR="000A5D7D" w:rsidRPr="00D9700A" w:rsidRDefault="000A5D7D" w:rsidP="000A5D7D">
            <w:pPr>
              <w:spacing w:line="240" w:lineRule="auto"/>
            </w:pPr>
            <w:proofErr w:type="spellStart"/>
            <w:r>
              <w:t>Analizatoriai</w:t>
            </w:r>
            <w:proofErr w:type="spellEnd"/>
            <w:r>
              <w:t xml:space="preserve"> </w:t>
            </w:r>
            <w:proofErr w:type="spellStart"/>
            <w:r w:rsidRPr="00D9700A">
              <w:t>turi</w:t>
            </w:r>
            <w:proofErr w:type="spellEnd"/>
            <w:r w:rsidRPr="00D9700A">
              <w:t xml:space="preserve"> </w:t>
            </w:r>
            <w:proofErr w:type="spellStart"/>
            <w:r w:rsidRPr="00D9700A">
              <w:t>būti</w:t>
            </w:r>
            <w:proofErr w:type="spellEnd"/>
            <w:r w:rsidRPr="00D9700A">
              <w:t xml:space="preserve"> </w:t>
            </w:r>
            <w:proofErr w:type="spellStart"/>
            <w:r w:rsidRPr="00D9700A">
              <w:t>techniškai</w:t>
            </w:r>
            <w:proofErr w:type="spellEnd"/>
            <w:r w:rsidRPr="00D9700A">
              <w:t xml:space="preserve"> </w:t>
            </w:r>
            <w:proofErr w:type="spellStart"/>
            <w:r w:rsidRPr="00D9700A">
              <w:t>pajėg</w:t>
            </w:r>
            <w:r>
              <w:t>ūs</w:t>
            </w:r>
            <w:proofErr w:type="spellEnd"/>
            <w:r>
              <w:t xml:space="preserve"> </w:t>
            </w:r>
            <w:proofErr w:type="spellStart"/>
            <w:r>
              <w:t>pilnai</w:t>
            </w:r>
            <w:proofErr w:type="spellEnd"/>
            <w:r>
              <w:t xml:space="preserve"> </w:t>
            </w:r>
            <w:proofErr w:type="spellStart"/>
            <w:r>
              <w:t>automatiniu</w:t>
            </w:r>
            <w:proofErr w:type="spellEnd"/>
            <w:r>
              <w:t xml:space="preserve"> </w:t>
            </w:r>
            <w:proofErr w:type="spellStart"/>
            <w:r>
              <w:t>būdu</w:t>
            </w:r>
            <w:proofErr w:type="spellEnd"/>
            <w:r>
              <w:t xml:space="preserve"> </w:t>
            </w:r>
            <w:proofErr w:type="spellStart"/>
            <w:r w:rsidRPr="00D9700A">
              <w:t>atlikti</w:t>
            </w:r>
            <w:proofErr w:type="spellEnd"/>
            <w:r w:rsidRPr="00D9700A">
              <w:t xml:space="preserve"> </w:t>
            </w:r>
            <w:proofErr w:type="spellStart"/>
            <w:r>
              <w:t>reikiamą</w:t>
            </w:r>
            <w:proofErr w:type="spellEnd"/>
            <w:r>
              <w:t xml:space="preserve"> </w:t>
            </w:r>
            <w:proofErr w:type="spellStart"/>
            <w:r>
              <w:t>tyrimų</w:t>
            </w:r>
            <w:proofErr w:type="spellEnd"/>
            <w:r>
              <w:t xml:space="preserve"> </w:t>
            </w:r>
            <w:proofErr w:type="spellStart"/>
            <w:r>
              <w:t>skaičių</w:t>
            </w:r>
            <w:proofErr w:type="spellEnd"/>
            <w:r w:rsidRPr="00D9700A">
              <w:t xml:space="preserve"> (1 </w:t>
            </w:r>
            <w:proofErr w:type="spellStart"/>
            <w:r w:rsidRPr="00D9700A">
              <w:t>priedas</w:t>
            </w:r>
            <w:proofErr w:type="spellEnd"/>
            <w:r w:rsidRPr="00D9700A">
              <w:t>).</w:t>
            </w:r>
          </w:p>
        </w:tc>
        <w:tc>
          <w:tcPr>
            <w:tcW w:w="6559" w:type="dxa"/>
          </w:tcPr>
          <w:p w14:paraId="6DF4D5BF" w14:textId="2982000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</w:t>
            </w:r>
            <w:r w:rsidR="005241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analizatori</w:t>
            </w:r>
            <w:r w:rsidR="005241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ai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yra techniškai pajėg</w:t>
            </w:r>
            <w:r w:rsidR="005241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ū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 pilnai automatiniu būdu atlikti reikiamą tyrimų skaičių nurodyt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1 priede – 30 tyrimų per valandą.</w:t>
            </w:r>
          </w:p>
          <w:p w14:paraId="2DA81DDE" w14:textId="59FE2A8F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 FLEX brošiūra LT, 2 psl.</w:t>
            </w:r>
            <w:r w:rsidR="00A329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0A5D7D" w:rsidRPr="009B4AF9" w14:paraId="501A1215" w14:textId="77777777" w:rsidTr="000A5D7D">
        <w:trPr>
          <w:jc w:val="center"/>
        </w:trPr>
        <w:tc>
          <w:tcPr>
            <w:tcW w:w="779" w:type="dxa"/>
          </w:tcPr>
          <w:p w14:paraId="6B88A5EB" w14:textId="77777777" w:rsidR="000A5D7D" w:rsidRPr="00D9700A" w:rsidRDefault="000A5D7D" w:rsidP="000A5D7D">
            <w:pPr>
              <w:spacing w:line="240" w:lineRule="auto"/>
            </w:pPr>
            <w:r w:rsidRPr="00D9700A">
              <w:t>2.</w:t>
            </w:r>
          </w:p>
        </w:tc>
        <w:tc>
          <w:tcPr>
            <w:tcW w:w="6974" w:type="dxa"/>
          </w:tcPr>
          <w:p w14:paraId="745214B7" w14:textId="77777777" w:rsidR="000A5D7D" w:rsidRPr="00D9700A" w:rsidRDefault="000A5D7D" w:rsidP="000A5D7D">
            <w:pPr>
              <w:spacing w:line="240" w:lineRule="auto"/>
            </w:pPr>
            <w:proofErr w:type="spellStart"/>
            <w:r>
              <w:t>Pilnai</w:t>
            </w:r>
            <w:proofErr w:type="spellEnd"/>
            <w:r>
              <w:t xml:space="preserve"> </w:t>
            </w:r>
            <w:proofErr w:type="spellStart"/>
            <w:r>
              <w:t>automatiniai</w:t>
            </w:r>
            <w:proofErr w:type="spellEnd"/>
            <w:r>
              <w:t xml:space="preserve"> </w:t>
            </w:r>
            <w:proofErr w:type="spellStart"/>
            <w:r w:rsidRPr="00A02AAC">
              <w:t>ekstrinių</w:t>
            </w:r>
            <w:proofErr w:type="spellEnd"/>
            <w:r w:rsidRPr="00A02AAC">
              <w:t xml:space="preserve">, </w:t>
            </w:r>
            <w:proofErr w:type="spellStart"/>
            <w:r w:rsidRPr="00A02AAC">
              <w:t>itin</w:t>
            </w:r>
            <w:proofErr w:type="spellEnd"/>
            <w:r w:rsidRPr="00A02AAC">
              <w:t xml:space="preserve"> </w:t>
            </w:r>
            <w:proofErr w:type="spellStart"/>
            <w:r w:rsidRPr="00A02AAC">
              <w:t>skubių</w:t>
            </w:r>
            <w:proofErr w:type="spellEnd"/>
            <w:r w:rsidRPr="00A02AAC">
              <w:t xml:space="preserve">, </w:t>
            </w:r>
            <w:proofErr w:type="spellStart"/>
            <w:r w:rsidRPr="00A02AAC">
              <w:t>kritinių</w:t>
            </w:r>
            <w:proofErr w:type="spellEnd"/>
            <w:r w:rsidRPr="00A02AAC">
              <w:t xml:space="preserve"> </w:t>
            </w:r>
            <w:proofErr w:type="spellStart"/>
            <w:r w:rsidRPr="00A02AAC">
              <w:t>ligų</w:t>
            </w:r>
            <w:proofErr w:type="spellEnd"/>
            <w:r w:rsidRPr="00A02AAC">
              <w:t xml:space="preserve">, </w:t>
            </w:r>
            <w:proofErr w:type="spellStart"/>
            <w:r w:rsidRPr="00A02AAC">
              <w:t>i</w:t>
            </w:r>
            <w:r>
              <w:t>munologinių</w:t>
            </w:r>
            <w:proofErr w:type="spellEnd"/>
            <w:r>
              <w:t xml:space="preserve"> </w:t>
            </w:r>
            <w:proofErr w:type="spellStart"/>
            <w:r>
              <w:t>tyrimų</w:t>
            </w:r>
            <w:proofErr w:type="spellEnd"/>
            <w:r>
              <w:t xml:space="preserve"> </w:t>
            </w:r>
            <w:proofErr w:type="spellStart"/>
            <w:r>
              <w:t>analizatoriai</w:t>
            </w:r>
            <w:proofErr w:type="spellEnd"/>
            <w:r>
              <w:t xml:space="preserve">, </w:t>
            </w:r>
            <w:proofErr w:type="spellStart"/>
            <w:r>
              <w:t>kurie</w:t>
            </w:r>
            <w:proofErr w:type="spellEnd"/>
            <w:r>
              <w:t xml:space="preserve"> </w:t>
            </w:r>
            <w:proofErr w:type="spellStart"/>
            <w:r w:rsidRPr="00214487">
              <w:t>atlieka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tyrimus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iš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neruošto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bendro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kraujo</w:t>
            </w:r>
            <w:proofErr w:type="spellEnd"/>
            <w:r w:rsidRPr="00214487">
              <w:t xml:space="preserve">, </w:t>
            </w:r>
            <w:proofErr w:type="spellStart"/>
            <w:r w:rsidRPr="00214487">
              <w:t>paimto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įuždarą</w:t>
            </w:r>
            <w:proofErr w:type="spellEnd"/>
            <w:r>
              <w:t xml:space="preserve"> </w:t>
            </w:r>
            <w:proofErr w:type="spellStart"/>
            <w:r w:rsidRPr="00214487">
              <w:t>mėgintuvėlį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su</w:t>
            </w:r>
            <w:proofErr w:type="spellEnd"/>
            <w:r w:rsidRPr="00214487">
              <w:t xml:space="preserve"> EDTA. </w:t>
            </w:r>
            <w:proofErr w:type="spellStart"/>
            <w:r w:rsidRPr="00214487">
              <w:t>Turi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būti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naudojamas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tas</w:t>
            </w:r>
            <w:proofErr w:type="spellEnd"/>
            <w:r w:rsidRPr="00214487">
              <w:t xml:space="preserve"> pats, </w:t>
            </w:r>
            <w:proofErr w:type="spellStart"/>
            <w:r w:rsidRPr="00214487">
              <w:t>bendro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kraujo</w:t>
            </w:r>
            <w:proofErr w:type="spellEnd"/>
            <w:r w:rsidRPr="00214487">
              <w:t xml:space="preserve">, </w:t>
            </w:r>
            <w:proofErr w:type="spellStart"/>
            <w:r w:rsidRPr="00214487">
              <w:t>mėgintuvėlis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iš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kurio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galima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atlikti</w:t>
            </w:r>
            <w:proofErr w:type="spellEnd"/>
            <w:r w:rsidRPr="00214487">
              <w:t xml:space="preserve"> </w:t>
            </w:r>
            <w:proofErr w:type="spellStart"/>
            <w:r w:rsidRPr="00214487">
              <w:t>dar</w:t>
            </w:r>
            <w:proofErr w:type="spellEnd"/>
            <w:r w:rsidRPr="00214487"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hematologinius</w:t>
            </w:r>
            <w:proofErr w:type="spellEnd"/>
            <w:r>
              <w:t xml:space="preserve"> </w:t>
            </w:r>
            <w:proofErr w:type="spellStart"/>
            <w:r>
              <w:t>tyrimus</w:t>
            </w:r>
            <w:proofErr w:type="spellEnd"/>
            <w:r w:rsidRPr="00B56F63">
              <w:t>.</w:t>
            </w:r>
          </w:p>
        </w:tc>
        <w:tc>
          <w:tcPr>
            <w:tcW w:w="6559" w:type="dxa"/>
          </w:tcPr>
          <w:p w14:paraId="0047347C" w14:textId="0021D590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2.1. Pilnai automatiniai ekstrinių, itin skubių, kritinių ligų, imunologinių tyrimų analizatori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ai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, kuri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atlieka tyrimus iš neruošto bendro kraujo, paimto į uždarą mėgintuvėlį su EDTA.</w:t>
            </w:r>
          </w:p>
          <w:p w14:paraId="2EDEA957" w14:textId="54674788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11 psl.</w:t>
            </w:r>
            <w:r w:rsidR="00A329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; </w:t>
            </w:r>
            <w:r w:rsidR="00A329DA"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 FLEX brošiūra LT</w:t>
            </w:r>
            <w:r w:rsidR="00A329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, 2psl.</w:t>
            </w:r>
          </w:p>
          <w:p w14:paraId="2F132860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2.2. Naudojamas tas pats bendro kraujo, mėgintuvėlis iš kurio galima atlikti dar ir hematologinius tyrimus</w:t>
            </w:r>
          </w:p>
          <w:p w14:paraId="0BF1A380" w14:textId="6AB0E2FD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113 psl.</w:t>
            </w:r>
          </w:p>
        </w:tc>
      </w:tr>
      <w:tr w:rsidR="000A5D7D" w:rsidRPr="009B4AF9" w14:paraId="3021E2DA" w14:textId="77777777" w:rsidTr="000A5D7D">
        <w:trPr>
          <w:jc w:val="center"/>
        </w:trPr>
        <w:tc>
          <w:tcPr>
            <w:tcW w:w="779" w:type="dxa"/>
          </w:tcPr>
          <w:p w14:paraId="13348C65" w14:textId="77777777" w:rsidR="000A5D7D" w:rsidRPr="00D9700A" w:rsidRDefault="000A5D7D" w:rsidP="000A5D7D">
            <w:pPr>
              <w:spacing w:line="240" w:lineRule="auto"/>
            </w:pPr>
            <w:r w:rsidRPr="00D9700A">
              <w:t>3.</w:t>
            </w:r>
          </w:p>
        </w:tc>
        <w:tc>
          <w:tcPr>
            <w:tcW w:w="6974" w:type="dxa"/>
          </w:tcPr>
          <w:p w14:paraId="61FAAD38" w14:textId="77777777" w:rsidR="000A5D7D" w:rsidRPr="00D9700A" w:rsidRDefault="000A5D7D" w:rsidP="000A5D7D">
            <w:pPr>
              <w:spacing w:line="240" w:lineRule="auto"/>
            </w:pPr>
            <w:proofErr w:type="spellStart"/>
            <w:r>
              <w:t>Analizatoriai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turi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būti</w:t>
            </w:r>
            <w:proofErr w:type="spellEnd"/>
            <w:r w:rsidRPr="00B56F63">
              <w:t xml:space="preserve"> </w:t>
            </w:r>
            <w:proofErr w:type="spellStart"/>
            <w:r>
              <w:t>kalibruojami</w:t>
            </w:r>
            <w:proofErr w:type="spellEnd"/>
            <w:r>
              <w:t xml:space="preserve"> </w:t>
            </w:r>
            <w:proofErr w:type="spellStart"/>
            <w:r w:rsidRPr="00B56F63">
              <w:t>automatiškai</w:t>
            </w:r>
            <w:proofErr w:type="spellEnd"/>
            <w:r>
              <w:t xml:space="preserve"> tik </w:t>
            </w:r>
            <w:proofErr w:type="spellStart"/>
            <w:r>
              <w:t>tada</w:t>
            </w:r>
            <w:proofErr w:type="spellEnd"/>
            <w:r>
              <w:t xml:space="preserve"> kai </w:t>
            </w:r>
            <w:proofErr w:type="spellStart"/>
            <w:r>
              <w:t>keičiasi</w:t>
            </w:r>
            <w:proofErr w:type="spellEnd"/>
            <w:r>
              <w:t xml:space="preserve"> </w:t>
            </w:r>
            <w:proofErr w:type="spellStart"/>
            <w:r>
              <w:t>reagento</w:t>
            </w:r>
            <w:proofErr w:type="spellEnd"/>
            <w:r>
              <w:t xml:space="preserve"> </w:t>
            </w:r>
            <w:proofErr w:type="spellStart"/>
            <w:r>
              <w:t>serijos</w:t>
            </w:r>
            <w:proofErr w:type="spellEnd"/>
            <w:r>
              <w:t xml:space="preserve"> nr. (</w:t>
            </w:r>
            <w:proofErr w:type="spellStart"/>
            <w:r>
              <w:t>LOTas</w:t>
            </w:r>
            <w:proofErr w:type="spellEnd"/>
            <w:r>
              <w:t xml:space="preserve">), </w:t>
            </w:r>
            <w:proofErr w:type="spellStart"/>
            <w:r>
              <w:t>nereikalaujantys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papildom</w:t>
            </w:r>
            <w:r>
              <w:t>ų</w:t>
            </w:r>
            <w:proofErr w:type="spellEnd"/>
            <w:r>
              <w:t xml:space="preserve"> </w:t>
            </w:r>
            <w:proofErr w:type="spellStart"/>
            <w:r w:rsidRPr="00B56F63">
              <w:t>kalibra</w:t>
            </w:r>
            <w:r>
              <w:t>cijų</w:t>
            </w:r>
            <w:proofErr w:type="spellEnd"/>
            <w:r>
              <w:t xml:space="preserve"> tam </w:t>
            </w:r>
            <w:proofErr w:type="spellStart"/>
            <w:r>
              <w:t>pačiam</w:t>
            </w:r>
            <w:proofErr w:type="spellEnd"/>
            <w:r>
              <w:t xml:space="preserve"> </w:t>
            </w:r>
            <w:proofErr w:type="spellStart"/>
            <w:r>
              <w:t>serijos</w:t>
            </w:r>
            <w:proofErr w:type="spellEnd"/>
            <w:r>
              <w:t xml:space="preserve"> nr. (</w:t>
            </w:r>
            <w:proofErr w:type="spellStart"/>
            <w:r>
              <w:t>LOTui</w:t>
            </w:r>
            <w:proofErr w:type="spellEnd"/>
            <w:r>
              <w:t xml:space="preserve">). </w:t>
            </w:r>
            <w:proofErr w:type="spellStart"/>
            <w:r>
              <w:t>T</w:t>
            </w:r>
            <w:r w:rsidRPr="00B56F63">
              <w:t>uri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būti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įmontuotas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brūkšninių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kodų</w:t>
            </w:r>
            <w:proofErr w:type="spellEnd"/>
            <w:r w:rsidRPr="00B56F63">
              <w:t xml:space="preserve"> </w:t>
            </w:r>
            <w:proofErr w:type="spellStart"/>
            <w:r w:rsidRPr="00B56F63">
              <w:t>skaitytuvas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755EF">
              <w:t>ėginio</w:t>
            </w:r>
            <w:proofErr w:type="spellEnd"/>
            <w:r w:rsidRPr="00C755EF">
              <w:t xml:space="preserve"> </w:t>
            </w:r>
            <w:proofErr w:type="spellStart"/>
            <w:r w:rsidRPr="00C755EF">
              <w:t>ir</w:t>
            </w:r>
            <w:proofErr w:type="spellEnd"/>
            <w:r w:rsidRPr="00C755EF">
              <w:t xml:space="preserve"> </w:t>
            </w:r>
            <w:proofErr w:type="spellStart"/>
            <w:r w:rsidRPr="00C755EF">
              <w:t>reagentų</w:t>
            </w:r>
            <w:proofErr w:type="spellEnd"/>
            <w:r w:rsidRPr="00C755EF">
              <w:t xml:space="preserve"> </w:t>
            </w:r>
            <w:proofErr w:type="spellStart"/>
            <w:r w:rsidRPr="00C755EF">
              <w:t>identifikacija</w:t>
            </w:r>
            <w:r>
              <w:t>i</w:t>
            </w:r>
            <w:proofErr w:type="spellEnd"/>
            <w:r w:rsidRPr="00B56F63">
              <w:t xml:space="preserve">, </w:t>
            </w:r>
            <w:proofErr w:type="spellStart"/>
            <w:r w:rsidRPr="00B56F63">
              <w:t>maišyklė</w:t>
            </w:r>
            <w:proofErr w:type="spellEnd"/>
            <w:r w:rsidRPr="00B56F63">
              <w:t xml:space="preserve">, </w:t>
            </w:r>
            <w:proofErr w:type="spellStart"/>
            <w:r w:rsidRPr="00B56F63">
              <w:t>spausdintuvas</w:t>
            </w:r>
            <w:proofErr w:type="spellEnd"/>
            <w:r>
              <w:t>.</w:t>
            </w:r>
          </w:p>
        </w:tc>
        <w:tc>
          <w:tcPr>
            <w:tcW w:w="6559" w:type="dxa"/>
          </w:tcPr>
          <w:p w14:paraId="5C869F0B" w14:textId="03E6FB19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alibruojam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automatiškai tik tada kai keičiasi reagento serijos nr. (LOTas), nereikalaujant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papildomų kalibracijų tam pačiam serijos nr. (LOTui).</w:t>
            </w:r>
          </w:p>
          <w:p w14:paraId="3FEDE296" w14:textId="3F5289DF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67 psl.</w:t>
            </w:r>
          </w:p>
          <w:p w14:paraId="241A7946" w14:textId="731360DB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Į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montuotas brūkšninių kodų skaitytuvas mėginio ir reagentų identifikacijai</w:t>
            </w:r>
          </w:p>
          <w:p w14:paraId="109D52A7" w14:textId="0C5F0075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13 psl.</w:t>
            </w:r>
          </w:p>
          <w:p w14:paraId="7E7888DC" w14:textId="77777777" w:rsidR="000A5D7D" w:rsidRPr="000A5D7D" w:rsidRDefault="000A5D7D" w:rsidP="000A5D7D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Įmontuota maišyklė, spausdintuvas</w:t>
            </w:r>
          </w:p>
          <w:p w14:paraId="0FF2AE1D" w14:textId="4C30763A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14 psl. Ir 151 psl.</w:t>
            </w:r>
          </w:p>
          <w:p w14:paraId="68D435D4" w14:textId="77777777" w:rsidR="000A5D7D" w:rsidRPr="000A5D7D" w:rsidRDefault="000A5D7D" w:rsidP="000A5D7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D7D" w:rsidRPr="009B4AF9" w14:paraId="070ED441" w14:textId="77777777" w:rsidTr="000A5D7D">
        <w:trPr>
          <w:jc w:val="center"/>
        </w:trPr>
        <w:tc>
          <w:tcPr>
            <w:tcW w:w="779" w:type="dxa"/>
          </w:tcPr>
          <w:p w14:paraId="1F08A10F" w14:textId="77777777" w:rsidR="000A5D7D" w:rsidRPr="00D9700A" w:rsidRDefault="000A5D7D" w:rsidP="000A5D7D">
            <w:pPr>
              <w:spacing w:line="240" w:lineRule="auto"/>
            </w:pPr>
            <w:r w:rsidRPr="00D9700A">
              <w:t>4.</w:t>
            </w:r>
          </w:p>
        </w:tc>
        <w:tc>
          <w:tcPr>
            <w:tcW w:w="6974" w:type="dxa"/>
          </w:tcPr>
          <w:p w14:paraId="29178A74" w14:textId="77777777" w:rsidR="000A5D7D" w:rsidRPr="00D9700A" w:rsidRDefault="000A5D7D" w:rsidP="000A5D7D">
            <w:pPr>
              <w:spacing w:line="240" w:lineRule="auto"/>
              <w:rPr>
                <w:highlight w:val="yellow"/>
              </w:rPr>
            </w:pPr>
            <w:proofErr w:type="spellStart"/>
            <w:r w:rsidRPr="00B72988">
              <w:t>Našumas</w:t>
            </w:r>
            <w:proofErr w:type="spellEnd"/>
            <w:r w:rsidRPr="00B72988">
              <w:t xml:space="preserve"> </w:t>
            </w:r>
            <w:r w:rsidRPr="00B72988">
              <w:rPr>
                <w:u w:val="single"/>
              </w:rPr>
              <w:t>&gt;</w:t>
            </w:r>
            <w:r w:rsidRPr="00B72988">
              <w:rPr>
                <w:lang w:val="en-GB"/>
              </w:rPr>
              <w:t>28</w:t>
            </w:r>
            <w:r>
              <w:rPr>
                <w:lang w:val="en-GB"/>
              </w:rPr>
              <w:t xml:space="preserve"> </w:t>
            </w:r>
            <w:proofErr w:type="spellStart"/>
            <w:r w:rsidRPr="00B72988">
              <w:t>mėginiai</w:t>
            </w:r>
            <w:proofErr w:type="spellEnd"/>
            <w:r w:rsidRPr="00B72988">
              <w:t>/val.</w:t>
            </w:r>
          </w:p>
        </w:tc>
        <w:tc>
          <w:tcPr>
            <w:tcW w:w="6559" w:type="dxa"/>
          </w:tcPr>
          <w:p w14:paraId="6C0E550A" w14:textId="45A6FB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ašumas  30 mėginių/val</w:t>
            </w:r>
          </w:p>
          <w:p w14:paraId="07273AFE" w14:textId="40DB1BBA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155 psl.</w:t>
            </w:r>
          </w:p>
        </w:tc>
      </w:tr>
      <w:tr w:rsidR="000A5D7D" w:rsidRPr="009B4AF9" w14:paraId="6EE03D11" w14:textId="77777777" w:rsidTr="000A5D7D">
        <w:trPr>
          <w:jc w:val="center"/>
        </w:trPr>
        <w:tc>
          <w:tcPr>
            <w:tcW w:w="779" w:type="dxa"/>
          </w:tcPr>
          <w:p w14:paraId="5EF17B02" w14:textId="77777777" w:rsidR="000A5D7D" w:rsidRPr="00D9700A" w:rsidRDefault="000A5D7D" w:rsidP="000A5D7D">
            <w:pPr>
              <w:spacing w:line="240" w:lineRule="auto"/>
            </w:pPr>
            <w:r w:rsidRPr="00D9700A">
              <w:t>5.</w:t>
            </w:r>
          </w:p>
        </w:tc>
        <w:tc>
          <w:tcPr>
            <w:tcW w:w="6974" w:type="dxa"/>
          </w:tcPr>
          <w:p w14:paraId="7108DACF" w14:textId="77777777" w:rsidR="000A5D7D" w:rsidRPr="00D9700A" w:rsidRDefault="000A5D7D" w:rsidP="000A5D7D">
            <w:pPr>
              <w:spacing w:line="240" w:lineRule="auto"/>
            </w:pPr>
            <w:proofErr w:type="spellStart"/>
            <w:r w:rsidRPr="00571BE4">
              <w:t>Mėginio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tipas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ir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tūris</w:t>
            </w:r>
            <w:proofErr w:type="spellEnd"/>
            <w:r w:rsidRPr="00571BE4">
              <w:t>:</w:t>
            </w:r>
            <w:r>
              <w:t xml:space="preserve"> </w:t>
            </w:r>
            <w:proofErr w:type="spellStart"/>
            <w:r w:rsidRPr="00571BE4">
              <w:t>pilnas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kraujas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iš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uždarų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mėgintuvėlių</w:t>
            </w:r>
            <w:proofErr w:type="spellEnd"/>
            <w:r w:rsidRPr="00571BE4">
              <w:t xml:space="preserve">, ne </w:t>
            </w:r>
            <w:proofErr w:type="spellStart"/>
            <w:r w:rsidRPr="00571BE4">
              <w:t>daugiau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nei</w:t>
            </w:r>
            <w:proofErr w:type="spellEnd"/>
            <w:r w:rsidRPr="00571BE4">
              <w:t xml:space="preserve"> 4 ml.</w:t>
            </w:r>
          </w:p>
        </w:tc>
        <w:tc>
          <w:tcPr>
            <w:tcW w:w="6559" w:type="dxa"/>
          </w:tcPr>
          <w:p w14:paraId="6837713C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Mėginio tipas ir tūris - pilnas kraujas iš uždarų EDTA mėgintuvėlių 2 ml.</w:t>
            </w:r>
          </w:p>
          <w:p w14:paraId="7BBF244B" w14:textId="5815B8A9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lastRenderedPageBreak/>
              <w:t>Failas: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AQT90Flex Naudotojo vadovas_LT, 11 psl., 29 psl., 30 psl. Ir 113 psl.</w:t>
            </w:r>
          </w:p>
        </w:tc>
      </w:tr>
      <w:tr w:rsidR="000A5D7D" w:rsidRPr="009B4AF9" w14:paraId="7CC9F84F" w14:textId="77777777" w:rsidTr="000A5D7D">
        <w:trPr>
          <w:jc w:val="center"/>
        </w:trPr>
        <w:tc>
          <w:tcPr>
            <w:tcW w:w="779" w:type="dxa"/>
          </w:tcPr>
          <w:p w14:paraId="2B939DB4" w14:textId="77777777" w:rsidR="000A5D7D" w:rsidRPr="00D9700A" w:rsidRDefault="000A5D7D" w:rsidP="000A5D7D">
            <w:pPr>
              <w:spacing w:line="240" w:lineRule="auto"/>
            </w:pPr>
            <w:r w:rsidRPr="00D9700A">
              <w:lastRenderedPageBreak/>
              <w:t>6.</w:t>
            </w:r>
          </w:p>
        </w:tc>
        <w:tc>
          <w:tcPr>
            <w:tcW w:w="6974" w:type="dxa"/>
          </w:tcPr>
          <w:p w14:paraId="5915C4DA" w14:textId="77777777" w:rsidR="000A5D7D" w:rsidRPr="00D9700A" w:rsidRDefault="000A5D7D" w:rsidP="000A5D7D">
            <w:pPr>
              <w:spacing w:line="240" w:lineRule="auto"/>
            </w:pPr>
            <w:proofErr w:type="spellStart"/>
            <w:r w:rsidRPr="00571BE4">
              <w:t>Tyrimų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atlikimui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naudojami</w:t>
            </w:r>
            <w:proofErr w:type="spellEnd"/>
            <w:r w:rsidRPr="00571BE4">
              <w:t xml:space="preserve"> ne </w:t>
            </w:r>
            <w:proofErr w:type="spellStart"/>
            <w:r w:rsidRPr="00571BE4">
              <w:t>daugiau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nei</w:t>
            </w:r>
            <w:proofErr w:type="spellEnd"/>
            <w:r w:rsidRPr="00571BE4">
              <w:t xml:space="preserve"> du </w:t>
            </w:r>
            <w:proofErr w:type="spellStart"/>
            <w:r w:rsidRPr="00571BE4">
              <w:t>moduliai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matuojamų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parametrų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kasetės</w:t>
            </w:r>
            <w:proofErr w:type="spellEnd"/>
            <w:r w:rsidRPr="00571BE4">
              <w:t xml:space="preserve"> (</w:t>
            </w:r>
            <w:proofErr w:type="spellStart"/>
            <w:r w:rsidRPr="00571BE4">
              <w:t>kiekvienam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parametrui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individuali</w:t>
            </w:r>
            <w:proofErr w:type="spellEnd"/>
            <w:r w:rsidRPr="00571BE4">
              <w:t xml:space="preserve">) </w:t>
            </w:r>
            <w:proofErr w:type="spellStart"/>
            <w:r w:rsidRPr="00571BE4">
              <w:t>ir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talpa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vidiniam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atliekų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surinkimui</w:t>
            </w:r>
            <w:proofErr w:type="spellEnd"/>
            <w:r w:rsidRPr="00571BE4">
              <w:t>.</w:t>
            </w:r>
            <w:r>
              <w:t xml:space="preserve"> </w:t>
            </w:r>
            <w:proofErr w:type="spellStart"/>
            <w:r w:rsidRPr="00571BE4">
              <w:t>Modulių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duomenys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įvedami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ir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registruojami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automatiškai</w:t>
            </w:r>
            <w:proofErr w:type="spellEnd"/>
            <w:r w:rsidRPr="00571BE4">
              <w:t>.</w:t>
            </w:r>
            <w:r>
              <w:t xml:space="preserve"> </w:t>
            </w:r>
            <w:proofErr w:type="spellStart"/>
            <w:r w:rsidRPr="00571BE4">
              <w:t>Visi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reagentai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ir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atliekos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uždarose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talpose</w:t>
            </w:r>
            <w:proofErr w:type="spellEnd"/>
            <w:r w:rsidRPr="00571BE4">
              <w:t xml:space="preserve">, </w:t>
            </w:r>
            <w:proofErr w:type="spellStart"/>
            <w:r w:rsidRPr="00571BE4">
              <w:t>negaruojantys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automatine</w:t>
            </w:r>
            <w:proofErr w:type="spellEnd"/>
            <w:r w:rsidRPr="00571BE4">
              <w:t xml:space="preserve"> </w:t>
            </w:r>
            <w:proofErr w:type="spellStart"/>
            <w:r w:rsidRPr="00571BE4">
              <w:t>sunaudojimo</w:t>
            </w:r>
            <w:proofErr w:type="spellEnd"/>
            <w:r w:rsidRPr="00571BE4">
              <w:t xml:space="preserve"> kontrol</w:t>
            </w:r>
            <w:r>
              <w:t>e</w:t>
            </w:r>
            <w:r w:rsidRPr="00571BE4">
              <w:t>.</w:t>
            </w:r>
          </w:p>
        </w:tc>
        <w:tc>
          <w:tcPr>
            <w:tcW w:w="6559" w:type="dxa"/>
          </w:tcPr>
          <w:p w14:paraId="0E924BDE" w14:textId="38A4864E" w:rsidR="000A5D7D" w:rsidRPr="000A5D7D" w:rsidRDefault="000A5D7D" w:rsidP="000A5D7D">
            <w:pPr>
              <w:pStyle w:val="ListParagraph"/>
              <w:numPr>
                <w:ilvl w:val="1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Tyrimų atlikimui naudojami du moduliai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matuojamų parametrų kasetės (kiekvienam parametrui individuali</w:t>
            </w:r>
          </w:p>
          <w:p w14:paraId="35F2EB3C" w14:textId="1FA166E9" w:rsidR="000A5D7D" w:rsidRPr="000A5D7D" w:rsidRDefault="000A5D7D" w:rsidP="000A5D7D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Failas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AQT90Flex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Naudotojo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vadovas_LT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14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psl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3373BF5" w14:textId="7841F98C" w:rsidR="000A5D7D" w:rsidRPr="000A5D7D" w:rsidRDefault="000A5D7D" w:rsidP="000A5D7D">
            <w:pPr>
              <w:pStyle w:val="ListParagraph"/>
              <w:numPr>
                <w:ilvl w:val="1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alpa vidiniam atliekų surinkimui</w:t>
            </w:r>
          </w:p>
          <w:p w14:paraId="67A92817" w14:textId="77B77243" w:rsidR="000A5D7D" w:rsidRPr="000A5D7D" w:rsidRDefault="000A5D7D" w:rsidP="000A5D7D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Failas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AQT90Flex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Naudotojo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vadovas_LT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14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psl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F73E32E" w14:textId="77777777" w:rsidR="000A5D7D" w:rsidRPr="000A5D7D" w:rsidRDefault="000A5D7D" w:rsidP="000A5D7D">
            <w:pPr>
              <w:pStyle w:val="ListParagraph"/>
              <w:numPr>
                <w:ilvl w:val="1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Modulių duomenys įvedami ir registruojami automatiškai</w:t>
            </w:r>
          </w:p>
          <w:p w14:paraId="3DBFCC44" w14:textId="08C79DE7" w:rsidR="000A5D7D" w:rsidRPr="000A5D7D" w:rsidRDefault="000A5D7D" w:rsidP="000A5D7D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Failas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AQT90 FLEX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brošiūra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LT, 2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psl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03967A5" w14:textId="77777777" w:rsidR="000A5D7D" w:rsidRDefault="000A5D7D" w:rsidP="000A5D7D">
            <w:pPr>
              <w:pStyle w:val="ListParagraph"/>
              <w:numPr>
                <w:ilvl w:val="1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eagentai ir atliekos yra uždarose talpose, negaruojantys, su automatine sunaudojimo kontrole</w:t>
            </w:r>
          </w:p>
          <w:p w14:paraId="332DBD75" w14:textId="4E670A2E" w:rsidR="000A5D7D" w:rsidRPr="000A5D7D" w:rsidRDefault="000A5D7D" w:rsidP="000A5D7D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Failas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AQT90Flex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Naudotojo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vadovas_LT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151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psl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5D7D" w:rsidRPr="009B4AF9" w14:paraId="0F4529B1" w14:textId="77777777" w:rsidTr="000A5D7D">
        <w:trPr>
          <w:jc w:val="center"/>
        </w:trPr>
        <w:tc>
          <w:tcPr>
            <w:tcW w:w="779" w:type="dxa"/>
          </w:tcPr>
          <w:p w14:paraId="6B47E17D" w14:textId="77777777" w:rsidR="000A5D7D" w:rsidRPr="00D9700A" w:rsidRDefault="000A5D7D" w:rsidP="000A5D7D">
            <w:pPr>
              <w:spacing w:line="240" w:lineRule="auto"/>
            </w:pPr>
            <w:r w:rsidRPr="00D9700A">
              <w:t>7.</w:t>
            </w:r>
          </w:p>
        </w:tc>
        <w:tc>
          <w:tcPr>
            <w:tcW w:w="6974" w:type="dxa"/>
          </w:tcPr>
          <w:p w14:paraId="3FA25CBD" w14:textId="77777777" w:rsidR="000A5D7D" w:rsidRPr="00D9700A" w:rsidRDefault="000A5D7D" w:rsidP="000A5D7D">
            <w:pPr>
              <w:spacing w:line="240" w:lineRule="auto"/>
            </w:pPr>
            <w:proofErr w:type="spellStart"/>
            <w:r w:rsidRPr="00B72988">
              <w:t>Tyrimo</w:t>
            </w:r>
            <w:proofErr w:type="spellEnd"/>
            <w:r w:rsidRPr="00B72988">
              <w:t xml:space="preserve"> </w:t>
            </w:r>
            <w:proofErr w:type="spellStart"/>
            <w:r w:rsidRPr="00B72988">
              <w:t>atlikimo</w:t>
            </w:r>
            <w:proofErr w:type="spellEnd"/>
            <w:r w:rsidRPr="00B72988">
              <w:t xml:space="preserve"> </w:t>
            </w:r>
            <w:proofErr w:type="spellStart"/>
            <w:r w:rsidRPr="00B72988">
              <w:t>pilna</w:t>
            </w:r>
            <w:proofErr w:type="spellEnd"/>
            <w:r w:rsidRPr="00B72988">
              <w:t xml:space="preserve"> </w:t>
            </w:r>
            <w:proofErr w:type="spellStart"/>
            <w:r w:rsidRPr="00B72988">
              <w:t>trukmė</w:t>
            </w:r>
            <w:proofErr w:type="spellEnd"/>
            <w:r w:rsidRPr="00B72988">
              <w:t xml:space="preserve">, ne </w:t>
            </w:r>
            <w:proofErr w:type="spellStart"/>
            <w:r w:rsidRPr="00B72988">
              <w:t>daugiau</w:t>
            </w:r>
            <w:proofErr w:type="spellEnd"/>
            <w:r w:rsidRPr="00B72988">
              <w:t xml:space="preserve"> </w:t>
            </w:r>
            <w:proofErr w:type="spellStart"/>
            <w:r w:rsidRPr="00B72988">
              <w:t>kaip</w:t>
            </w:r>
            <w:proofErr w:type="spellEnd"/>
            <w:r w:rsidRPr="00B72988">
              <w:t xml:space="preserve"> 31 min.</w:t>
            </w:r>
          </w:p>
        </w:tc>
        <w:tc>
          <w:tcPr>
            <w:tcW w:w="6559" w:type="dxa"/>
          </w:tcPr>
          <w:p w14:paraId="5C07E739" w14:textId="750D46F0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0A5D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yrimo atlikimo trukmė iki 21 min.</w:t>
            </w:r>
          </w:p>
          <w:p w14:paraId="52CCA0E4" w14:textId="2C95B714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Failas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AQT90Flex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Naudotojo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vadovas_LT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155 </w:t>
            </w:r>
            <w:proofErr w:type="spellStart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psl</w:t>
            </w:r>
            <w:proofErr w:type="spellEnd"/>
            <w:r w:rsidRPr="000A5D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5D7D" w:rsidRPr="009B4AF9" w14:paraId="1880691B" w14:textId="77777777" w:rsidTr="007E3EB5">
        <w:trPr>
          <w:trHeight w:val="778"/>
          <w:jc w:val="center"/>
        </w:trPr>
        <w:tc>
          <w:tcPr>
            <w:tcW w:w="779" w:type="dxa"/>
          </w:tcPr>
          <w:p w14:paraId="6B5D1D20" w14:textId="77777777" w:rsidR="000A5D7D" w:rsidRPr="00D9700A" w:rsidRDefault="000A5D7D" w:rsidP="000A5D7D">
            <w:pPr>
              <w:spacing w:line="240" w:lineRule="auto"/>
            </w:pPr>
            <w:r w:rsidRPr="00D9700A">
              <w:t>8.</w:t>
            </w:r>
          </w:p>
        </w:tc>
        <w:tc>
          <w:tcPr>
            <w:tcW w:w="6974" w:type="dxa"/>
          </w:tcPr>
          <w:p w14:paraId="6E334CCF" w14:textId="77777777" w:rsidR="000A5D7D" w:rsidRPr="00D9700A" w:rsidRDefault="000A5D7D" w:rsidP="000A5D7D">
            <w:pPr>
              <w:spacing w:line="240" w:lineRule="auto"/>
            </w:pPr>
            <w:proofErr w:type="spellStart"/>
            <w:r w:rsidRPr="00DF78F1">
              <w:rPr>
                <w:color w:val="000000"/>
                <w:lang w:eastAsia="en-GB"/>
              </w:rPr>
              <w:t>Tyrimo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lang w:eastAsia="en-GB"/>
              </w:rPr>
              <w:t>m</w:t>
            </w:r>
            <w:r w:rsidRPr="00BA4F73">
              <w:rPr>
                <w:color w:val="000000"/>
                <w:lang w:eastAsia="en-GB"/>
              </w:rPr>
              <w:t>etodas</w:t>
            </w:r>
            <w:proofErr w:type="spellEnd"/>
            <w:r w:rsidRPr="00BA4F73">
              <w:rPr>
                <w:color w:val="000000"/>
                <w:lang w:eastAsia="en-GB"/>
              </w:rPr>
              <w:t xml:space="preserve"> </w:t>
            </w:r>
            <w:proofErr w:type="spellStart"/>
            <w:r w:rsidRPr="00BA4F73">
              <w:rPr>
                <w:color w:val="000000"/>
                <w:lang w:eastAsia="en-GB"/>
              </w:rPr>
              <w:t>fluorometrinis</w:t>
            </w:r>
            <w:proofErr w:type="spellEnd"/>
            <w:r w:rsidRPr="00BA4F73">
              <w:rPr>
                <w:color w:val="000000"/>
                <w:lang w:eastAsia="en-GB"/>
              </w:rPr>
              <w:t xml:space="preserve"> </w:t>
            </w:r>
            <w:proofErr w:type="spellStart"/>
            <w:r w:rsidRPr="00BA4F73">
              <w:rPr>
                <w:color w:val="000000"/>
                <w:lang w:eastAsia="en-GB"/>
              </w:rPr>
              <w:t>arba</w:t>
            </w:r>
            <w:proofErr w:type="spellEnd"/>
            <w:r w:rsidRPr="00BA4F73">
              <w:rPr>
                <w:color w:val="000000"/>
                <w:lang w:eastAsia="en-GB"/>
              </w:rPr>
              <w:t xml:space="preserve"> </w:t>
            </w:r>
            <w:proofErr w:type="spellStart"/>
            <w:r w:rsidRPr="00BA4F73">
              <w:rPr>
                <w:color w:val="000000"/>
                <w:lang w:eastAsia="en-GB"/>
              </w:rPr>
              <w:t>lygiavertis</w:t>
            </w:r>
            <w:proofErr w:type="spellEnd"/>
            <w:r w:rsidRPr="00BA4F73">
              <w:rPr>
                <w:color w:val="000000"/>
                <w:lang w:eastAsia="en-GB"/>
              </w:rPr>
              <w:t xml:space="preserve"> </w:t>
            </w:r>
            <w:proofErr w:type="spellStart"/>
            <w:r w:rsidRPr="00BA4F73">
              <w:rPr>
                <w:color w:val="000000"/>
                <w:lang w:eastAsia="en-GB"/>
              </w:rPr>
              <w:t>metodas</w:t>
            </w:r>
            <w:proofErr w:type="spellEnd"/>
            <w:r w:rsidRPr="00BA4F73">
              <w:rPr>
                <w:color w:val="000000"/>
                <w:lang w:eastAsia="en-GB"/>
              </w:rPr>
              <w:t>.</w:t>
            </w:r>
          </w:p>
        </w:tc>
        <w:tc>
          <w:tcPr>
            <w:tcW w:w="6559" w:type="dxa"/>
          </w:tcPr>
          <w:p w14:paraId="68A14E93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Tyrimo metodas fluorometrinis</w:t>
            </w:r>
          </w:p>
          <w:p w14:paraId="41168887" w14:textId="458DC404" w:rsidR="000A5D7D" w:rsidRPr="006559DC" w:rsidRDefault="000A5D7D" w:rsidP="006559DC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Failas</w:t>
            </w:r>
            <w:proofErr w:type="spellEnd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AQT90Flex </w:t>
            </w:r>
            <w:proofErr w:type="spellStart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Naudotojo</w:t>
            </w:r>
            <w:proofErr w:type="spellEnd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vadovas_LT</w:t>
            </w:r>
            <w:proofErr w:type="spellEnd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155 </w:t>
            </w:r>
            <w:proofErr w:type="spellStart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psl</w:t>
            </w:r>
            <w:proofErr w:type="spellEnd"/>
            <w:r w:rsidRPr="0065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5D7D" w:rsidRPr="009B4AF9" w14:paraId="3ADB17CB" w14:textId="77777777" w:rsidTr="000A5D7D">
        <w:trPr>
          <w:jc w:val="center"/>
        </w:trPr>
        <w:tc>
          <w:tcPr>
            <w:tcW w:w="779" w:type="dxa"/>
          </w:tcPr>
          <w:p w14:paraId="114CDDEB" w14:textId="77777777" w:rsidR="000A5D7D" w:rsidRPr="00D9700A" w:rsidRDefault="000A5D7D" w:rsidP="000A5D7D">
            <w:pPr>
              <w:spacing w:line="240" w:lineRule="auto"/>
            </w:pPr>
            <w:r w:rsidRPr="00D9700A">
              <w:t>9.</w:t>
            </w:r>
          </w:p>
        </w:tc>
        <w:tc>
          <w:tcPr>
            <w:tcW w:w="6974" w:type="dxa"/>
          </w:tcPr>
          <w:p w14:paraId="4CEA412F" w14:textId="77777777" w:rsidR="000A5D7D" w:rsidRPr="00451C8A" w:rsidRDefault="000A5D7D" w:rsidP="000A5D7D">
            <w:pPr>
              <w:spacing w:line="240" w:lineRule="auto"/>
              <w:rPr>
                <w:color w:val="000000" w:themeColor="text1"/>
              </w:rPr>
            </w:pPr>
            <w:r w:rsidRPr="00451C8A">
              <w:rPr>
                <w:color w:val="000000" w:themeColor="text1"/>
              </w:rPr>
              <w:t xml:space="preserve">Be </w:t>
            </w:r>
            <w:proofErr w:type="spellStart"/>
            <w:r w:rsidRPr="00451C8A">
              <w:rPr>
                <w:color w:val="000000" w:themeColor="text1"/>
              </w:rPr>
              <w:t>preanalitinės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fazės</w:t>
            </w:r>
            <w:proofErr w:type="spellEnd"/>
            <w:r w:rsidRPr="00451C8A">
              <w:rPr>
                <w:color w:val="000000" w:themeColor="text1"/>
              </w:rPr>
              <w:t xml:space="preserve">, </w:t>
            </w:r>
            <w:proofErr w:type="spellStart"/>
            <w:r w:rsidRPr="00451C8A">
              <w:rPr>
                <w:color w:val="000000" w:themeColor="text1"/>
              </w:rPr>
              <w:t>tyrimai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atliekami</w:t>
            </w:r>
            <w:proofErr w:type="spellEnd"/>
            <w:r w:rsidRPr="00451C8A">
              <w:rPr>
                <w:color w:val="000000" w:themeColor="text1"/>
              </w:rPr>
              <w:t xml:space="preserve"> be </w:t>
            </w:r>
            <w:proofErr w:type="spellStart"/>
            <w:r w:rsidRPr="00451C8A">
              <w:rPr>
                <w:color w:val="000000" w:themeColor="text1"/>
              </w:rPr>
              <w:t>papildomo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mėginio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paruošimo</w:t>
            </w:r>
            <w:proofErr w:type="spellEnd"/>
            <w:r w:rsidRPr="00451C8A">
              <w:rPr>
                <w:color w:val="000000" w:themeColor="text1"/>
              </w:rPr>
              <w:t xml:space="preserve">, be </w:t>
            </w:r>
            <w:proofErr w:type="spellStart"/>
            <w:r w:rsidRPr="00451C8A">
              <w:rPr>
                <w:color w:val="000000" w:themeColor="text1"/>
              </w:rPr>
              <w:t>centrifugavimo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ir</w:t>
            </w:r>
            <w:proofErr w:type="spellEnd"/>
            <w:r w:rsidRPr="00451C8A">
              <w:rPr>
                <w:color w:val="000000" w:themeColor="text1"/>
              </w:rPr>
              <w:t xml:space="preserve"> be </w:t>
            </w:r>
            <w:proofErr w:type="spellStart"/>
            <w:r w:rsidRPr="00451C8A">
              <w:rPr>
                <w:color w:val="000000" w:themeColor="text1"/>
              </w:rPr>
              <w:t>rankinio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pipetavimo</w:t>
            </w:r>
            <w:proofErr w:type="spellEnd"/>
            <w:r w:rsidRPr="00451C8A">
              <w:rPr>
                <w:color w:val="000000" w:themeColor="text1"/>
              </w:rPr>
              <w:t xml:space="preserve">, </w:t>
            </w:r>
            <w:proofErr w:type="spellStart"/>
            <w:r w:rsidRPr="00451C8A">
              <w:rPr>
                <w:color w:val="000000" w:themeColor="text1"/>
              </w:rPr>
              <w:t>tiesiogiai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iš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uždaro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mėgintuvėlio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iškart</w:t>
            </w:r>
            <w:proofErr w:type="spellEnd"/>
            <w:r w:rsidRPr="00451C8A">
              <w:rPr>
                <w:color w:val="000000" w:themeColor="text1"/>
              </w:rPr>
              <w:t xml:space="preserve"> po </w:t>
            </w:r>
            <w:proofErr w:type="spellStart"/>
            <w:r w:rsidRPr="00451C8A">
              <w:rPr>
                <w:color w:val="000000" w:themeColor="text1"/>
              </w:rPr>
              <w:t>kraujo</w:t>
            </w:r>
            <w:proofErr w:type="spellEnd"/>
            <w:r w:rsidRPr="00451C8A">
              <w:rPr>
                <w:color w:val="000000" w:themeColor="text1"/>
              </w:rPr>
              <w:t xml:space="preserve"> </w:t>
            </w:r>
            <w:proofErr w:type="spellStart"/>
            <w:r w:rsidRPr="00451C8A">
              <w:rPr>
                <w:color w:val="000000" w:themeColor="text1"/>
              </w:rPr>
              <w:t>paėmimo</w:t>
            </w:r>
            <w:proofErr w:type="spellEnd"/>
            <w:r w:rsidRPr="00451C8A">
              <w:rPr>
                <w:color w:val="000000" w:themeColor="text1"/>
              </w:rPr>
              <w:t>.</w:t>
            </w:r>
          </w:p>
        </w:tc>
        <w:tc>
          <w:tcPr>
            <w:tcW w:w="6559" w:type="dxa"/>
          </w:tcPr>
          <w:p w14:paraId="1336F158" w14:textId="5645F3F7" w:rsidR="000A5D7D" w:rsidRPr="00451C8A" w:rsidRDefault="000A5D7D" w:rsidP="000A5D7D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451C8A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9.1. </w:t>
            </w:r>
            <w:r w:rsidR="007E3EB5" w:rsidRPr="00451C8A">
              <w:rPr>
                <w:rFonts w:ascii="Times New Roman" w:hAnsi="Times New Roman" w:cs="Times New Roman"/>
                <w:color w:val="000000" w:themeColor="text1"/>
                <w:lang w:eastAsia="en-GB"/>
              </w:rPr>
              <w:t>Be preanalitinės fazės, tyrimai atliekami be papildomo mėginio paruošimo, be centrifugavimo ir be rankinio pipetavimo</w:t>
            </w:r>
          </w:p>
          <w:p w14:paraId="3DD58726" w14:textId="77777777" w:rsidR="000A5D7D" w:rsidRPr="00451C8A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43AE8FE6" w14:textId="29D99093" w:rsidR="000A5D7D" w:rsidRPr="00451C8A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AQT90 FLEX </w:t>
            </w: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brošiūra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LT, 2 </w:t>
            </w: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psl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: AQT90Flex </w:t>
            </w:r>
            <w:proofErr w:type="spellStart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Naudotojo</w:t>
            </w:r>
            <w:proofErr w:type="spellEnd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vadovas_LT</w:t>
            </w:r>
            <w:proofErr w:type="spellEnd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30-32</w:t>
            </w:r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</w:t>
            </w:r>
            <w:proofErr w:type="spellStart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sl</w:t>
            </w:r>
            <w:proofErr w:type="spellEnd"/>
            <w:r w:rsidR="00451C8A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AD35541" w14:textId="77777777" w:rsidR="000A5D7D" w:rsidRPr="00451C8A" w:rsidRDefault="000A5D7D" w:rsidP="000A5D7D">
            <w:pPr>
              <w:pStyle w:val="Default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451C8A">
              <w:rPr>
                <w:rFonts w:ascii="Times New Roman" w:hAnsi="Times New Roman" w:cs="Times New Roman"/>
                <w:color w:val="000000" w:themeColor="text1"/>
                <w:lang w:eastAsia="en-GB"/>
              </w:rPr>
              <w:t>9.2. visus tyrimus galima atlikti iš to paties mėgintuvėlio su EDTA</w:t>
            </w:r>
          </w:p>
          <w:p w14:paraId="4B71E293" w14:textId="6E498E59" w:rsidR="000A5D7D" w:rsidRPr="00451C8A" w:rsidRDefault="000A5D7D" w:rsidP="006559DC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6559DC"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AQT90Flex </w:t>
            </w: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Naudotojo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vadovas_LT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31 </w:t>
            </w:r>
            <w:proofErr w:type="spellStart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psl</w:t>
            </w:r>
            <w:proofErr w:type="spellEnd"/>
            <w:r w:rsidRPr="00451C8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1D3867C" w14:textId="77777777" w:rsidR="000A5D7D" w:rsidRPr="00451C8A" w:rsidRDefault="000A5D7D" w:rsidP="000A5D7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D7D" w:rsidRPr="009B4AF9" w14:paraId="68FD1AED" w14:textId="77777777" w:rsidTr="000A5D7D">
        <w:trPr>
          <w:jc w:val="center"/>
        </w:trPr>
        <w:tc>
          <w:tcPr>
            <w:tcW w:w="779" w:type="dxa"/>
          </w:tcPr>
          <w:p w14:paraId="022C8AEF" w14:textId="77777777" w:rsidR="000A5D7D" w:rsidRPr="00D9700A" w:rsidRDefault="000A5D7D" w:rsidP="000A5D7D">
            <w:pPr>
              <w:spacing w:line="240" w:lineRule="auto"/>
            </w:pPr>
            <w:r w:rsidRPr="00D9700A">
              <w:t>1</w:t>
            </w:r>
            <w:r>
              <w:t>0</w:t>
            </w:r>
            <w:r w:rsidRPr="00D9700A">
              <w:t>.</w:t>
            </w:r>
          </w:p>
        </w:tc>
        <w:tc>
          <w:tcPr>
            <w:tcW w:w="6974" w:type="dxa"/>
          </w:tcPr>
          <w:p w14:paraId="01DAB18B" w14:textId="77777777" w:rsidR="000A5D7D" w:rsidRPr="00D9700A" w:rsidRDefault="000A5D7D" w:rsidP="000A5D7D">
            <w:pPr>
              <w:spacing w:line="240" w:lineRule="auto"/>
            </w:pPr>
            <w:proofErr w:type="spellStart"/>
            <w:r w:rsidRPr="00DF78F1">
              <w:rPr>
                <w:color w:val="000000"/>
                <w:lang w:eastAsia="en-GB"/>
              </w:rPr>
              <w:t>Rezultatų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</w:t>
            </w:r>
            <w:proofErr w:type="spellStart"/>
            <w:r w:rsidRPr="00DF78F1">
              <w:rPr>
                <w:color w:val="000000"/>
                <w:lang w:eastAsia="en-GB"/>
              </w:rPr>
              <w:t>perdavimas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</w:t>
            </w:r>
            <w:proofErr w:type="spellStart"/>
            <w:r w:rsidRPr="00DF78F1">
              <w:rPr>
                <w:color w:val="000000"/>
                <w:lang w:eastAsia="en-GB"/>
              </w:rPr>
              <w:t>kompiuteriniu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</w:t>
            </w:r>
            <w:proofErr w:type="spellStart"/>
            <w:r w:rsidRPr="00DF78F1">
              <w:rPr>
                <w:color w:val="000000"/>
                <w:lang w:eastAsia="en-GB"/>
              </w:rPr>
              <w:t>tinklu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į</w:t>
            </w:r>
            <w:r>
              <w:rPr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lang w:eastAsia="en-GB"/>
              </w:rPr>
              <w:t>ligoninės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</w:t>
            </w:r>
            <w:proofErr w:type="spellStart"/>
            <w:r w:rsidRPr="00DF78F1">
              <w:rPr>
                <w:color w:val="000000"/>
                <w:lang w:eastAsia="en-GB"/>
              </w:rPr>
              <w:t>informacinę</w:t>
            </w:r>
            <w:proofErr w:type="spellEnd"/>
            <w:r w:rsidRPr="00DF78F1">
              <w:rPr>
                <w:color w:val="000000"/>
                <w:lang w:eastAsia="en-GB"/>
              </w:rPr>
              <w:t xml:space="preserve"> </w:t>
            </w:r>
            <w:proofErr w:type="spellStart"/>
            <w:r w:rsidRPr="00DF78F1">
              <w:rPr>
                <w:color w:val="000000"/>
                <w:lang w:eastAsia="en-GB"/>
              </w:rPr>
              <w:t>sistemą</w:t>
            </w:r>
            <w:proofErr w:type="spellEnd"/>
          </w:p>
        </w:tc>
        <w:tc>
          <w:tcPr>
            <w:tcW w:w="6559" w:type="dxa"/>
          </w:tcPr>
          <w:p w14:paraId="6B0DF731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Rezultatų perdavimas kompiuteriniu tinklu į ligoninės informacinę sistemą</w:t>
            </w:r>
          </w:p>
          <w:p w14:paraId="3DD9D640" w14:textId="3D76C149" w:rsidR="000A5D7D" w:rsidRPr="007E3EB5" w:rsidRDefault="000A5D7D" w:rsidP="007E3EB5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AQT90Flex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Naudotojo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vadovas_LT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101</w:t>
            </w:r>
            <w:r w:rsidR="00157F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,106</w:t>
            </w:r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psl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A5D7D" w:rsidRPr="009B4AF9" w14:paraId="6B4F56B7" w14:textId="77777777" w:rsidTr="000A5D7D">
        <w:trPr>
          <w:jc w:val="center"/>
        </w:trPr>
        <w:tc>
          <w:tcPr>
            <w:tcW w:w="779" w:type="dxa"/>
          </w:tcPr>
          <w:p w14:paraId="50FEEBCF" w14:textId="77777777" w:rsidR="000A5D7D" w:rsidRPr="00D9700A" w:rsidRDefault="000A5D7D" w:rsidP="000A5D7D">
            <w:pPr>
              <w:spacing w:line="240" w:lineRule="auto"/>
            </w:pPr>
            <w:r>
              <w:t>11.</w:t>
            </w:r>
          </w:p>
        </w:tc>
        <w:tc>
          <w:tcPr>
            <w:tcW w:w="6974" w:type="dxa"/>
          </w:tcPr>
          <w:p w14:paraId="5EA94BC0" w14:textId="77777777" w:rsidR="000A5D7D" w:rsidRPr="00FF7E28" w:rsidRDefault="000A5D7D" w:rsidP="000A5D7D">
            <w:pPr>
              <w:spacing w:line="240" w:lineRule="auto"/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B72988">
              <w:rPr>
                <w:color w:val="000000"/>
                <w:lang w:eastAsia="en-GB"/>
              </w:rPr>
              <w:t>Analizatorių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 </w:t>
            </w:r>
            <w:proofErr w:type="spellStart"/>
            <w:r w:rsidRPr="00B72988">
              <w:rPr>
                <w:color w:val="000000"/>
                <w:lang w:eastAsia="en-GB"/>
              </w:rPr>
              <w:t>valdymas</w:t>
            </w:r>
            <w:proofErr w:type="spellEnd"/>
            <w:proofErr w:type="gramEnd"/>
            <w:r w:rsidRPr="00B72988">
              <w:rPr>
                <w:color w:val="000000"/>
                <w:lang w:eastAsia="en-GB"/>
              </w:rPr>
              <w:t xml:space="preserve">: </w:t>
            </w:r>
            <w:proofErr w:type="spellStart"/>
            <w:r w:rsidRPr="00B72988">
              <w:rPr>
                <w:color w:val="000000"/>
                <w:lang w:eastAsia="en-GB"/>
              </w:rPr>
              <w:t>valdomi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lietimui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jautriu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ekranu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; </w:t>
            </w:r>
            <w:proofErr w:type="spellStart"/>
            <w:r w:rsidRPr="00B72988">
              <w:rPr>
                <w:color w:val="000000"/>
                <w:lang w:eastAsia="en-GB"/>
              </w:rPr>
              <w:t>nereikalaujantys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specialaus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personalo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paruošimo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, </w:t>
            </w:r>
            <w:proofErr w:type="spellStart"/>
            <w:r w:rsidRPr="00B72988">
              <w:rPr>
                <w:color w:val="000000"/>
                <w:lang w:eastAsia="en-GB"/>
              </w:rPr>
              <w:t>valdomi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lietuvių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kalba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parašytomis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komandomis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ar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suprantamomis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įkonomis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; </w:t>
            </w:r>
            <w:proofErr w:type="spellStart"/>
            <w:r w:rsidRPr="00B72988">
              <w:rPr>
                <w:color w:val="000000"/>
                <w:lang w:eastAsia="en-GB"/>
              </w:rPr>
              <w:t>būtina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galimybė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analizatorius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 </w:t>
            </w:r>
            <w:proofErr w:type="spellStart"/>
            <w:r w:rsidRPr="00B72988">
              <w:rPr>
                <w:color w:val="000000"/>
                <w:lang w:eastAsia="en-GB"/>
              </w:rPr>
              <w:t>valdyti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ir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nuotoliniu</w:t>
            </w:r>
            <w:proofErr w:type="spellEnd"/>
            <w:r w:rsidRPr="00B72988">
              <w:rPr>
                <w:color w:val="000000"/>
                <w:lang w:eastAsia="en-GB"/>
              </w:rPr>
              <w:t xml:space="preserve"> </w:t>
            </w:r>
            <w:proofErr w:type="spellStart"/>
            <w:r w:rsidRPr="00B72988">
              <w:rPr>
                <w:color w:val="000000"/>
                <w:lang w:eastAsia="en-GB"/>
              </w:rPr>
              <w:t>būdu</w:t>
            </w:r>
            <w:proofErr w:type="spellEnd"/>
            <w:r w:rsidRPr="00B72988">
              <w:rPr>
                <w:color w:val="000000"/>
                <w:lang w:eastAsia="en-GB"/>
              </w:rPr>
              <w:t>.</w:t>
            </w:r>
          </w:p>
        </w:tc>
        <w:tc>
          <w:tcPr>
            <w:tcW w:w="6559" w:type="dxa"/>
          </w:tcPr>
          <w:p w14:paraId="23BCA8DD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11.1.valdomas lietimui jautriu ekranu</w:t>
            </w:r>
          </w:p>
          <w:p w14:paraId="7A60F874" w14:textId="21E19E25" w:rsidR="000A5D7D" w:rsidRPr="007E3EB5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AQT90Flex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Naudotojo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vadovas_LT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156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psl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52868F5" w14:textId="22BA26CF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11.2.</w:t>
            </w:r>
            <w:r w:rsidRPr="000A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nereikalaujantis specialaus personalo paruošimo, analizatorių</w:t>
            </w:r>
            <w:r w:rsidR="001803B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galima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valdyti nuotoliniu būdu</w:t>
            </w:r>
          </w:p>
          <w:p w14:paraId="44CA7D48" w14:textId="72C78AA9" w:rsidR="000A5D7D" w:rsidRPr="007E3EB5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AQT90Flex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Naudotojo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vadovas_LT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157F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104,</w:t>
            </w:r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106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psl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2734FA0A" w14:textId="77777777" w:rsidR="000A5D7D" w:rsidRPr="000A5D7D" w:rsidRDefault="000A5D7D" w:rsidP="000A5D7D">
            <w:pPr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11.3. I</w:t>
            </w:r>
            <w:r w:rsidRPr="000A5D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nstaliuota lietuviška programinė įranga</w:t>
            </w:r>
          </w:p>
          <w:p w14:paraId="1FCBDFA4" w14:textId="47A8ADFF" w:rsidR="000A5D7D" w:rsidRPr="007E3EB5" w:rsidRDefault="000A5D7D" w:rsidP="007E3EB5">
            <w:pPr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Failas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AQT90Flex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Naudotojo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vadovas_LT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17 </w:t>
            </w:r>
            <w:proofErr w:type="spellStart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psl</w:t>
            </w:r>
            <w:proofErr w:type="spellEnd"/>
            <w:r w:rsidRPr="007E3E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DBE96E6" w14:textId="77777777" w:rsidR="00ED34C6" w:rsidRDefault="00ED34C6" w:rsidP="006718F9">
      <w:pPr>
        <w:spacing w:after="200" w:line="276" w:lineRule="auto"/>
        <w:jc w:val="right"/>
        <w:rPr>
          <w:b/>
          <w:bCs/>
        </w:rPr>
      </w:pPr>
      <w:r>
        <w:rPr>
          <w:b/>
          <w:bCs/>
        </w:rPr>
        <w:lastRenderedPageBreak/>
        <w:t xml:space="preserve">     </w:t>
      </w:r>
    </w:p>
    <w:p w14:paraId="73AFEF76" w14:textId="77777777" w:rsidR="00ED34C6" w:rsidRDefault="00ED34C6" w:rsidP="006718F9">
      <w:pPr>
        <w:spacing w:after="200" w:line="276" w:lineRule="auto"/>
        <w:jc w:val="right"/>
        <w:rPr>
          <w:b/>
          <w:bCs/>
        </w:rPr>
      </w:pPr>
    </w:p>
    <w:p w14:paraId="3F827003" w14:textId="77777777" w:rsidR="006718F9" w:rsidRPr="00034FCB" w:rsidRDefault="006718F9" w:rsidP="006718F9">
      <w:pPr>
        <w:spacing w:after="200" w:line="276" w:lineRule="auto"/>
        <w:jc w:val="right"/>
        <w:rPr>
          <w:b/>
          <w:bCs/>
        </w:rPr>
      </w:pPr>
      <w:r>
        <w:rPr>
          <w:b/>
          <w:bCs/>
        </w:rPr>
        <w:t xml:space="preserve">  </w:t>
      </w:r>
      <w:r w:rsidRPr="00297B7B">
        <w:rPr>
          <w:b/>
          <w:bCs/>
        </w:rPr>
        <w:t>1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techninės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specifikacijos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priedas</w:t>
      </w:r>
      <w:proofErr w:type="spellEnd"/>
    </w:p>
    <w:p w14:paraId="0A0FFD88" w14:textId="77777777" w:rsidR="006718F9" w:rsidRPr="00E563C1" w:rsidRDefault="006718F9" w:rsidP="006718F9">
      <w:pPr>
        <w:spacing w:after="200" w:line="276" w:lineRule="auto"/>
        <w:jc w:val="center"/>
        <w:rPr>
          <w:b/>
          <w:bCs/>
        </w:rPr>
      </w:pPr>
      <w:r w:rsidRPr="00E563C1">
        <w:rPr>
          <w:b/>
          <w:bCs/>
        </w:rPr>
        <w:t>PRIVALOMI METODINIAI REIKALAVIMAI</w:t>
      </w:r>
      <w:r>
        <w:rPr>
          <w:b/>
          <w:bCs/>
        </w:rPr>
        <w:t xml:space="preserve"> TYRIMAMS</w:t>
      </w:r>
    </w:p>
    <w:tbl>
      <w:tblPr>
        <w:tblW w:w="14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3112"/>
        <w:gridCol w:w="2342"/>
        <w:gridCol w:w="5406"/>
        <w:gridCol w:w="2525"/>
      </w:tblGrid>
      <w:tr w:rsidR="006718F9" w:rsidRPr="009B4AF9" w14:paraId="0D301CBA" w14:textId="77777777" w:rsidTr="00E02674">
        <w:trPr>
          <w:trHeight w:val="326"/>
          <w:jc w:val="center"/>
        </w:trPr>
        <w:tc>
          <w:tcPr>
            <w:tcW w:w="632" w:type="dxa"/>
            <w:vAlign w:val="center"/>
          </w:tcPr>
          <w:p w14:paraId="227E071A" w14:textId="77777777" w:rsidR="006718F9" w:rsidRPr="00D9700A" w:rsidRDefault="006718F9" w:rsidP="00E02674">
            <w:pPr>
              <w:keepNext/>
              <w:widowControl w:val="0"/>
              <w:tabs>
                <w:tab w:val="left" w:pos="1035"/>
              </w:tabs>
              <w:suppressAutoHyphens/>
              <w:spacing w:line="240" w:lineRule="auto"/>
              <w:jc w:val="center"/>
              <w:outlineLvl w:val="5"/>
              <w:rPr>
                <w:b/>
                <w:bCs/>
                <w:snapToGrid w:val="0"/>
                <w:spacing w:val="-3"/>
                <w:lang w:eastAsia="el-GR"/>
              </w:rPr>
            </w:pP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Eil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. Nr.</w:t>
            </w:r>
          </w:p>
        </w:tc>
        <w:tc>
          <w:tcPr>
            <w:tcW w:w="3146" w:type="dxa"/>
            <w:vAlign w:val="center"/>
          </w:tcPr>
          <w:p w14:paraId="57E328DD" w14:textId="77777777" w:rsidR="006718F9" w:rsidRPr="00D9700A" w:rsidRDefault="006718F9" w:rsidP="00E02674">
            <w:pPr>
              <w:keepNext/>
              <w:widowControl w:val="0"/>
              <w:tabs>
                <w:tab w:val="left" w:pos="1035"/>
              </w:tabs>
              <w:suppressAutoHyphens/>
              <w:spacing w:line="240" w:lineRule="auto"/>
              <w:jc w:val="center"/>
              <w:outlineLvl w:val="5"/>
              <w:rPr>
                <w:b/>
                <w:bCs/>
                <w:snapToGrid w:val="0"/>
                <w:spacing w:val="-3"/>
                <w:lang w:eastAsia="el-GR"/>
              </w:rPr>
            </w:pP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Tyrimų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grupė</w:t>
            </w:r>
          </w:p>
        </w:tc>
        <w:tc>
          <w:tcPr>
            <w:tcW w:w="2364" w:type="dxa"/>
            <w:vAlign w:val="center"/>
          </w:tcPr>
          <w:p w14:paraId="40A39DDF" w14:textId="77777777" w:rsidR="006718F9" w:rsidRPr="00D9700A" w:rsidRDefault="006718F9" w:rsidP="00E02674">
            <w:pPr>
              <w:keepNext/>
              <w:widowControl w:val="0"/>
              <w:tabs>
                <w:tab w:val="left" w:pos="1035"/>
              </w:tabs>
              <w:suppressAutoHyphens/>
              <w:spacing w:line="240" w:lineRule="auto"/>
              <w:jc w:val="center"/>
              <w:outlineLvl w:val="5"/>
              <w:rPr>
                <w:b/>
                <w:bCs/>
                <w:snapToGrid w:val="0"/>
                <w:spacing w:val="-3"/>
                <w:lang w:eastAsia="el-GR"/>
              </w:rPr>
            </w:pP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Tyrimas</w:t>
            </w:r>
            <w:proofErr w:type="spellEnd"/>
          </w:p>
        </w:tc>
        <w:tc>
          <w:tcPr>
            <w:tcW w:w="5469" w:type="dxa"/>
            <w:vAlign w:val="center"/>
          </w:tcPr>
          <w:p w14:paraId="5FEC49F4" w14:textId="77777777" w:rsidR="006718F9" w:rsidRPr="00D9700A" w:rsidRDefault="006718F9" w:rsidP="00E02674">
            <w:pPr>
              <w:keepNext/>
              <w:widowControl w:val="0"/>
              <w:tabs>
                <w:tab w:val="left" w:pos="1035"/>
              </w:tabs>
              <w:suppressAutoHyphens/>
              <w:spacing w:line="240" w:lineRule="auto"/>
              <w:jc w:val="center"/>
              <w:outlineLvl w:val="5"/>
              <w:rPr>
                <w:b/>
                <w:bCs/>
                <w:snapToGrid w:val="0"/>
                <w:spacing w:val="-3"/>
                <w:lang w:eastAsia="el-GR"/>
              </w:rPr>
            </w:pPr>
            <w:proofErr w:type="spellStart"/>
            <w:r w:rsidRPr="00D9700A">
              <w:rPr>
                <w:b/>
                <w:bCs/>
              </w:rPr>
              <w:t>Privalomi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metodiniai</w:t>
            </w:r>
            <w:proofErr w:type="spellEnd"/>
            <w:r w:rsidRPr="00D9700A">
              <w:rPr>
                <w:b/>
                <w:bCs/>
              </w:rPr>
              <w:t xml:space="preserve"> </w:t>
            </w:r>
            <w:proofErr w:type="spellStart"/>
            <w:r w:rsidRPr="00D9700A">
              <w:rPr>
                <w:b/>
                <w:bCs/>
              </w:rPr>
              <w:t>reikalavimai</w:t>
            </w:r>
            <w:proofErr w:type="spellEnd"/>
          </w:p>
        </w:tc>
        <w:tc>
          <w:tcPr>
            <w:tcW w:w="2547" w:type="dxa"/>
            <w:vAlign w:val="center"/>
          </w:tcPr>
          <w:p w14:paraId="06DDFC99" w14:textId="77777777" w:rsidR="006718F9" w:rsidRPr="00D9700A" w:rsidRDefault="006718F9" w:rsidP="005E2929">
            <w:pPr>
              <w:keepNext/>
              <w:widowControl w:val="0"/>
              <w:tabs>
                <w:tab w:val="left" w:pos="1035"/>
              </w:tabs>
              <w:suppressAutoHyphens/>
              <w:spacing w:line="240" w:lineRule="auto"/>
              <w:jc w:val="center"/>
              <w:outlineLvl w:val="5"/>
              <w:rPr>
                <w:b/>
                <w:bCs/>
                <w:snapToGrid w:val="0"/>
                <w:spacing w:val="-3"/>
                <w:lang w:eastAsia="el-GR"/>
              </w:rPr>
            </w:pP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Numatomas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tyrimų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skaičius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(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įskaitant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kasdieninius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2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lygių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kontrolinius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tyrimus</w:t>
            </w:r>
            <w:proofErr w:type="spellEnd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 xml:space="preserve">) per </w:t>
            </w:r>
            <w:r w:rsidRPr="005B1F72">
              <w:rPr>
                <w:b/>
                <w:bCs/>
                <w:snapToGrid w:val="0"/>
                <w:spacing w:val="-3"/>
                <w:lang w:eastAsia="el-GR"/>
              </w:rPr>
              <w:t>60</w:t>
            </w:r>
            <w:r w:rsidR="005E2929">
              <w:rPr>
                <w:b/>
                <w:bCs/>
                <w:snapToGrid w:val="0"/>
                <w:spacing w:val="-3"/>
                <w:lang w:eastAsia="el-GR"/>
              </w:rPr>
              <w:t xml:space="preserve"> </w:t>
            </w:r>
            <w:proofErr w:type="spellStart"/>
            <w:r w:rsidRPr="00D9700A">
              <w:rPr>
                <w:b/>
                <w:bCs/>
                <w:snapToGrid w:val="0"/>
                <w:spacing w:val="-3"/>
                <w:lang w:eastAsia="el-GR"/>
              </w:rPr>
              <w:t>mėnesi</w:t>
            </w:r>
            <w:r w:rsidR="005E2929">
              <w:rPr>
                <w:b/>
                <w:bCs/>
                <w:snapToGrid w:val="0"/>
                <w:spacing w:val="-3"/>
                <w:lang w:eastAsia="el-GR"/>
              </w:rPr>
              <w:t>ų</w:t>
            </w:r>
            <w:proofErr w:type="spellEnd"/>
          </w:p>
        </w:tc>
      </w:tr>
      <w:tr w:rsidR="006718F9" w:rsidRPr="00D9700A" w14:paraId="4FF23F66" w14:textId="77777777" w:rsidTr="00E02674">
        <w:trPr>
          <w:jc w:val="center"/>
        </w:trPr>
        <w:tc>
          <w:tcPr>
            <w:tcW w:w="632" w:type="dxa"/>
          </w:tcPr>
          <w:p w14:paraId="09CAC651" w14:textId="77777777" w:rsidR="006718F9" w:rsidRPr="00D9700A" w:rsidRDefault="006718F9" w:rsidP="00E02674">
            <w:pPr>
              <w:tabs>
                <w:tab w:val="left" w:pos="1035"/>
              </w:tabs>
              <w:spacing w:line="240" w:lineRule="auto"/>
              <w:rPr>
                <w:lang w:eastAsia="el-GR"/>
              </w:rPr>
            </w:pPr>
            <w:r w:rsidRPr="00D9700A">
              <w:rPr>
                <w:lang w:eastAsia="el-GR"/>
              </w:rPr>
              <w:t>1.</w:t>
            </w:r>
          </w:p>
        </w:tc>
        <w:tc>
          <w:tcPr>
            <w:tcW w:w="3146" w:type="dxa"/>
          </w:tcPr>
          <w:p w14:paraId="4326D47D" w14:textId="77777777" w:rsidR="006718F9" w:rsidRPr="00D9700A" w:rsidRDefault="006718F9" w:rsidP="00E02674">
            <w:pPr>
              <w:tabs>
                <w:tab w:val="left" w:pos="1035"/>
              </w:tabs>
              <w:spacing w:line="240" w:lineRule="auto"/>
              <w:jc w:val="center"/>
              <w:rPr>
                <w:lang w:eastAsia="el-GR"/>
              </w:rPr>
            </w:pPr>
            <w:proofErr w:type="spellStart"/>
            <w:r w:rsidRPr="005261B4">
              <w:t>Ekstrinia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5261B4">
              <w:t>kritinių</w:t>
            </w:r>
            <w:proofErr w:type="spellEnd"/>
            <w:r>
              <w:t xml:space="preserve"> </w:t>
            </w:r>
            <w:proofErr w:type="spellStart"/>
            <w:r w:rsidRPr="005261B4">
              <w:t>ligų</w:t>
            </w:r>
            <w:proofErr w:type="spellEnd"/>
            <w:r>
              <w:t xml:space="preserve"> </w:t>
            </w:r>
            <w:proofErr w:type="spellStart"/>
            <w:r w:rsidRPr="005261B4">
              <w:t>imunologinia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5261B4">
              <w:t>tyrimai</w:t>
            </w:r>
            <w:proofErr w:type="spellEnd"/>
          </w:p>
        </w:tc>
        <w:tc>
          <w:tcPr>
            <w:tcW w:w="2364" w:type="dxa"/>
          </w:tcPr>
          <w:p w14:paraId="43B288B1" w14:textId="77777777" w:rsidR="006718F9" w:rsidRPr="00076BD0" w:rsidRDefault="006718F9" w:rsidP="00E02674">
            <w:pPr>
              <w:tabs>
                <w:tab w:val="left" w:pos="1035"/>
              </w:tabs>
              <w:spacing w:line="240" w:lineRule="auto"/>
              <w:rPr>
                <w:b/>
                <w:lang w:eastAsia="el-GR"/>
              </w:rPr>
            </w:pPr>
            <w:proofErr w:type="spellStart"/>
            <w:r>
              <w:rPr>
                <w:b/>
                <w:lang w:eastAsia="el-GR"/>
              </w:rPr>
              <w:t>TnI</w:t>
            </w:r>
            <w:proofErr w:type="spellEnd"/>
          </w:p>
        </w:tc>
        <w:tc>
          <w:tcPr>
            <w:tcW w:w="5469" w:type="dxa"/>
          </w:tcPr>
          <w:p w14:paraId="28EB449A" w14:textId="77777777" w:rsidR="0002428D" w:rsidRPr="0002428D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Tyrimai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turi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būti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atliekami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iš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ligoninėje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naudojamų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bendro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kraujo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EDTA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mėgintuvėlių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nenaudojant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jokių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papildomų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priemonių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, be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paruošimo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(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centrifugavimo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),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rankinio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pipetavimo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ir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pan.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funkcijų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pilnai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automatiniu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būdu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tiesiogiai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po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02428D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3332BA81" w14:textId="64B38A2E" w:rsidR="006718F9" w:rsidRPr="00A20B9B" w:rsidRDefault="0002428D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.: „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TnI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proofErr w:type="gram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“ (</w:t>
            </w:r>
            <w:proofErr w:type="gram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84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Veikimo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.)</w:t>
            </w:r>
          </w:p>
          <w:p w14:paraId="3C90866D" w14:textId="0F81E8D4" w:rsidR="00A20B9B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val="en-GB" w:eastAsia="el-GR"/>
              </w:rPr>
            </w:pPr>
            <w:r w:rsidRPr="0002428D">
              <w:rPr>
                <w:rFonts w:ascii="Times New Roman" w:hAnsi="Times New Roman" w:cs="Times New Roman"/>
                <w:lang w:val="en-GB" w:eastAsia="el-GR"/>
              </w:rPr>
              <w:t xml:space="preserve">Sistema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turi</w:t>
            </w:r>
            <w:proofErr w:type="spellEnd"/>
            <w:r w:rsidR="00A20B9B">
              <w:rPr>
                <w:rFonts w:ascii="Times New Roman" w:hAnsi="Times New Roman" w:cs="Times New Roman"/>
                <w:lang w:val="en-GB" w:eastAsia="el-GR"/>
              </w:rPr>
              <w:t xml:space="preserve"> </w:t>
            </w:r>
            <w:r w:rsidRPr="0002428D">
              <w:rPr>
                <w:rFonts w:ascii="Times New Roman" w:hAnsi="Times New Roman" w:cs="Times New Roman"/>
                <w:lang w:val="en-GB" w:eastAsia="el-GR"/>
              </w:rPr>
              <w:t xml:space="preserve">išmatuoti99th-os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procentilėskoncentracijas</w:t>
            </w:r>
            <w:proofErr w:type="spellEnd"/>
            <w:r w:rsidRPr="0002428D">
              <w:rPr>
                <w:rFonts w:ascii="Times New Roman" w:hAnsi="Times New Roman" w:cs="Times New Roman"/>
                <w:lang w:val="en-GB" w:eastAsia="el-GR"/>
              </w:rPr>
              <w:t xml:space="preserve">, ne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blogiaunei</w:t>
            </w:r>
            <w:proofErr w:type="spellEnd"/>
            <w:r w:rsidRPr="0002428D">
              <w:rPr>
                <w:rFonts w:ascii="Times New Roman" w:hAnsi="Times New Roman" w:cs="Times New Roman"/>
                <w:lang w:val="en-GB" w:eastAsia="el-GR"/>
              </w:rPr>
              <w:t xml:space="preserve"> 0,024 µg/L. </w:t>
            </w:r>
          </w:p>
          <w:p w14:paraId="492A25A0" w14:textId="6A9A4D33" w:rsidR="0002428D" w:rsidRPr="00A20B9B" w:rsidRDefault="0002428D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Failas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Reagentu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aprasymai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Žr</w:t>
            </w:r>
            <w:proofErr w:type="spellEnd"/>
            <w:proofErr w:type="gram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.:„</w:t>
            </w:r>
            <w:proofErr w:type="spellStart"/>
            <w:proofErr w:type="gram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TnI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aprasymas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“ 88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psl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.</w:t>
            </w:r>
          </w:p>
          <w:p w14:paraId="04C2BFE6" w14:textId="77777777" w:rsidR="0002428D" w:rsidRPr="0002428D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Tyrimoatlikimolaikas</w:t>
            </w:r>
            <w:proofErr w:type="spellEnd"/>
            <w:r w:rsidRPr="0002428D">
              <w:rPr>
                <w:rFonts w:ascii="Times New Roman" w:hAnsi="Times New Roman" w:cs="Times New Roman"/>
                <w:lang w:val="en-GB" w:eastAsia="el-GR"/>
              </w:rPr>
              <w:t xml:space="preserve"> ne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ilgiau</w:t>
            </w:r>
            <w:proofErr w:type="spellEnd"/>
            <w:r w:rsidRPr="0002428D">
              <w:rPr>
                <w:rFonts w:ascii="Times New Roman" w:hAnsi="Times New Roman" w:cs="Times New Roman"/>
                <w:lang w:val="en-GB" w:eastAsia="el-GR"/>
              </w:rPr>
              <w:t xml:space="preserve"> 21 min.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Metodas</w:t>
            </w:r>
            <w:proofErr w:type="spellEnd"/>
            <w:r w:rsidR="00ED34C6" w:rsidRPr="0002428D">
              <w:rPr>
                <w:rFonts w:ascii="Times New Roman" w:hAnsi="Times New Roman" w:cs="Times New Roman"/>
                <w:lang w:val="en-GB"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fluorometrinis</w:t>
            </w:r>
            <w:proofErr w:type="spellEnd"/>
            <w:r w:rsidR="00ED34C6" w:rsidRPr="0002428D">
              <w:rPr>
                <w:rFonts w:ascii="Times New Roman" w:hAnsi="Times New Roman" w:cs="Times New Roman"/>
                <w:lang w:val="en-GB"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arba</w:t>
            </w:r>
            <w:proofErr w:type="spellEnd"/>
            <w:r w:rsidR="00ED34C6" w:rsidRPr="0002428D">
              <w:rPr>
                <w:rFonts w:ascii="Times New Roman" w:hAnsi="Times New Roman" w:cs="Times New Roman"/>
                <w:lang w:val="en-GB"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lygiavertis</w:t>
            </w:r>
            <w:proofErr w:type="spellEnd"/>
            <w:r w:rsidR="00ED34C6" w:rsidRPr="0002428D">
              <w:rPr>
                <w:rFonts w:ascii="Times New Roman" w:hAnsi="Times New Roman" w:cs="Times New Roman"/>
                <w:lang w:val="en-GB" w:eastAsia="el-GR"/>
              </w:rPr>
              <w:t xml:space="preserve"> </w:t>
            </w:r>
            <w:proofErr w:type="spellStart"/>
            <w:r w:rsidRPr="0002428D">
              <w:rPr>
                <w:rFonts w:ascii="Times New Roman" w:hAnsi="Times New Roman" w:cs="Times New Roman"/>
                <w:lang w:val="en-GB" w:eastAsia="el-GR"/>
              </w:rPr>
              <w:t>metodas</w:t>
            </w:r>
            <w:proofErr w:type="spellEnd"/>
            <w:r w:rsidRPr="0002428D">
              <w:rPr>
                <w:rFonts w:ascii="Times New Roman" w:hAnsi="Times New Roman" w:cs="Times New Roman"/>
                <w:lang w:val="en-GB" w:eastAsia="el-GR"/>
              </w:rPr>
              <w:t>.</w:t>
            </w:r>
            <w:r w:rsidR="0002428D" w:rsidRPr="0002428D">
              <w:rPr>
                <w:rFonts w:ascii="Times New Roman" w:hAnsi="Times New Roman" w:cs="Times New Roman"/>
              </w:rPr>
              <w:t xml:space="preserve"> </w:t>
            </w:r>
          </w:p>
          <w:p w14:paraId="3C29B64A" w14:textId="2B76B9CD" w:rsidR="006718F9" w:rsidRPr="00A20B9B" w:rsidRDefault="0002428D" w:rsidP="00E02674">
            <w:pPr>
              <w:tabs>
                <w:tab w:val="left" w:pos="1035"/>
              </w:tabs>
              <w:spacing w:line="240" w:lineRule="auto"/>
              <w:rPr>
                <w:b/>
                <w:bCs/>
                <w:i/>
                <w:iCs/>
                <w:lang w:val="en-GB"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Failas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Reagentu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aprasymai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Žr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.: „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TnI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 </w:t>
            </w:r>
            <w:proofErr w:type="spellStart"/>
            <w:proofErr w:type="gram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aprasymas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“ (</w:t>
            </w:r>
            <w:proofErr w:type="gram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84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psl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.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Veikimo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principas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val="en-GB" w:eastAsia="el-GR"/>
              </w:rPr>
              <w:t>.)</w:t>
            </w:r>
          </w:p>
        </w:tc>
        <w:tc>
          <w:tcPr>
            <w:tcW w:w="2547" w:type="dxa"/>
            <w:vAlign w:val="center"/>
          </w:tcPr>
          <w:p w14:paraId="2742FD0A" w14:textId="77777777" w:rsidR="006718F9" w:rsidRPr="00A67C49" w:rsidRDefault="006718F9" w:rsidP="00E02674">
            <w:pPr>
              <w:tabs>
                <w:tab w:val="left" w:pos="1035"/>
              </w:tabs>
              <w:spacing w:line="240" w:lineRule="auto"/>
              <w:jc w:val="center"/>
              <w:rPr>
                <w:lang w:val="en-GB" w:eastAsia="el-GR"/>
              </w:rPr>
            </w:pPr>
            <w:r>
              <w:rPr>
                <w:lang w:val="en-GB" w:eastAsia="el-GR"/>
              </w:rPr>
              <w:t>45335</w:t>
            </w:r>
          </w:p>
        </w:tc>
      </w:tr>
      <w:tr w:rsidR="006718F9" w:rsidRPr="00D9700A" w14:paraId="79ACDCCF" w14:textId="77777777" w:rsidTr="00E02674">
        <w:trPr>
          <w:trHeight w:val="558"/>
          <w:jc w:val="center"/>
        </w:trPr>
        <w:tc>
          <w:tcPr>
            <w:tcW w:w="632" w:type="dxa"/>
          </w:tcPr>
          <w:p w14:paraId="1B7712EF" w14:textId="77777777" w:rsidR="006718F9" w:rsidRPr="00D9700A" w:rsidRDefault="006718F9" w:rsidP="00E02674">
            <w:pPr>
              <w:tabs>
                <w:tab w:val="left" w:pos="1035"/>
              </w:tabs>
              <w:spacing w:line="240" w:lineRule="auto"/>
              <w:rPr>
                <w:lang w:eastAsia="el-GR"/>
              </w:rPr>
            </w:pPr>
            <w:r>
              <w:rPr>
                <w:lang w:eastAsia="el-GR"/>
              </w:rPr>
              <w:t>2.</w:t>
            </w:r>
          </w:p>
        </w:tc>
        <w:tc>
          <w:tcPr>
            <w:tcW w:w="3146" w:type="dxa"/>
          </w:tcPr>
          <w:p w14:paraId="421E1D5C" w14:textId="77777777" w:rsidR="006718F9" w:rsidRDefault="006718F9" w:rsidP="00E02674">
            <w:pPr>
              <w:jc w:val="center"/>
            </w:pPr>
            <w:proofErr w:type="spellStart"/>
            <w:r w:rsidRPr="005261B4">
              <w:t>Ekstrinia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5261B4">
              <w:t>kritinių</w:t>
            </w:r>
            <w:proofErr w:type="spellEnd"/>
            <w:r>
              <w:t xml:space="preserve"> </w:t>
            </w:r>
            <w:proofErr w:type="spellStart"/>
            <w:r w:rsidRPr="005261B4">
              <w:t>ligų</w:t>
            </w:r>
            <w:proofErr w:type="spellEnd"/>
            <w:r>
              <w:t xml:space="preserve"> </w:t>
            </w:r>
            <w:proofErr w:type="spellStart"/>
            <w:r w:rsidRPr="005261B4">
              <w:t>imunologinia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5261B4">
              <w:t>tyrimai</w:t>
            </w:r>
            <w:proofErr w:type="spellEnd"/>
          </w:p>
        </w:tc>
        <w:tc>
          <w:tcPr>
            <w:tcW w:w="2364" w:type="dxa"/>
          </w:tcPr>
          <w:p w14:paraId="185937A7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rPr>
                <w:b/>
                <w:lang w:eastAsia="el-GR"/>
              </w:rPr>
            </w:pPr>
            <w:proofErr w:type="spellStart"/>
            <w:r>
              <w:rPr>
                <w:b/>
                <w:lang w:eastAsia="el-GR"/>
              </w:rPr>
              <w:t>NTproBNP</w:t>
            </w:r>
            <w:proofErr w:type="spellEnd"/>
          </w:p>
        </w:tc>
        <w:tc>
          <w:tcPr>
            <w:tcW w:w="5469" w:type="dxa"/>
          </w:tcPr>
          <w:p w14:paraId="31B8C45B" w14:textId="5A1E9C16" w:rsidR="006718F9" w:rsidRPr="00A20B9B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Tyrimai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turi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būti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atliekami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iš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ligoninėje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naudojamų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bendro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kraujo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EDTA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mėgintuvėlių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nenaudojant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jokių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papildomų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priemonių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, be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paruošimo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(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centrifugavimo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),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rankinio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pipetavimo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ir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pan.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funkcijų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pilnai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automatiniu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būdu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tiesiogiai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po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6356ED8E" w14:textId="026CB560" w:rsidR="0002428D" w:rsidRPr="00A20B9B" w:rsidRDefault="0002428D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lastRenderedPageBreak/>
              <w:t>Failas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.: „NT-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proBNP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proofErr w:type="gram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“ (</w:t>
            </w:r>
            <w:proofErr w:type="gram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60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Veikimo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)</w:t>
            </w:r>
          </w:p>
          <w:p w14:paraId="4B1EA86A" w14:textId="77777777" w:rsidR="0002428D" w:rsidRPr="00A20B9B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Matavimo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laikas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ne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ilgiau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12 min. </w:t>
            </w:r>
          </w:p>
          <w:p w14:paraId="7CBBE28A" w14:textId="77777777" w:rsidR="00A20B9B" w:rsidRDefault="0002428D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AQT_item_list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., 1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</w:t>
            </w:r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</w:p>
          <w:p w14:paraId="1851A3DD" w14:textId="779A7D0A" w:rsidR="006718F9" w:rsidRPr="00A20B9B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Metodas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fluorometrinis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arba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lygiavertis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lang w:eastAsia="el-GR"/>
              </w:rPr>
              <w:t>metodas</w:t>
            </w:r>
            <w:proofErr w:type="spellEnd"/>
            <w:r w:rsidRPr="00A20B9B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5EF20739" w14:textId="7213AB2B" w:rsidR="00A20B9B" w:rsidRPr="00A20B9B" w:rsidRDefault="00A20B9B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.: „NT-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proBNP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proofErr w:type="gram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“ (</w:t>
            </w:r>
            <w:proofErr w:type="gram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60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Veikimo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A20B9B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)</w:t>
            </w:r>
          </w:p>
          <w:p w14:paraId="0F080FBC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rPr>
                <w:lang w:eastAsia="el-GR"/>
              </w:rPr>
            </w:pPr>
          </w:p>
        </w:tc>
        <w:tc>
          <w:tcPr>
            <w:tcW w:w="2547" w:type="dxa"/>
            <w:vAlign w:val="center"/>
          </w:tcPr>
          <w:p w14:paraId="4350467C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lastRenderedPageBreak/>
              <w:t>34700</w:t>
            </w:r>
          </w:p>
        </w:tc>
      </w:tr>
      <w:tr w:rsidR="006718F9" w:rsidRPr="00D9700A" w14:paraId="412A5473" w14:textId="77777777" w:rsidTr="00E02674">
        <w:trPr>
          <w:jc w:val="center"/>
        </w:trPr>
        <w:tc>
          <w:tcPr>
            <w:tcW w:w="632" w:type="dxa"/>
          </w:tcPr>
          <w:p w14:paraId="779FE243" w14:textId="77777777" w:rsidR="006718F9" w:rsidRPr="00D9700A" w:rsidRDefault="006718F9" w:rsidP="00E02674">
            <w:pPr>
              <w:tabs>
                <w:tab w:val="left" w:pos="1035"/>
              </w:tabs>
              <w:spacing w:line="240" w:lineRule="auto"/>
              <w:rPr>
                <w:lang w:eastAsia="el-GR"/>
              </w:rPr>
            </w:pPr>
            <w:r>
              <w:rPr>
                <w:lang w:eastAsia="el-GR"/>
              </w:rPr>
              <w:t>3.</w:t>
            </w:r>
          </w:p>
        </w:tc>
        <w:tc>
          <w:tcPr>
            <w:tcW w:w="3146" w:type="dxa"/>
          </w:tcPr>
          <w:p w14:paraId="4BB8284A" w14:textId="77777777" w:rsidR="006718F9" w:rsidRDefault="006718F9" w:rsidP="00E02674">
            <w:pPr>
              <w:jc w:val="center"/>
            </w:pPr>
            <w:proofErr w:type="spellStart"/>
            <w:r w:rsidRPr="005261B4">
              <w:t>Ekstrinia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5261B4">
              <w:t>kritinių</w:t>
            </w:r>
            <w:proofErr w:type="spellEnd"/>
            <w:r>
              <w:t xml:space="preserve"> </w:t>
            </w:r>
            <w:proofErr w:type="spellStart"/>
            <w:r w:rsidRPr="005261B4">
              <w:t>ligų</w:t>
            </w:r>
            <w:proofErr w:type="spellEnd"/>
            <w:r>
              <w:t xml:space="preserve"> </w:t>
            </w:r>
            <w:proofErr w:type="spellStart"/>
            <w:r w:rsidRPr="005261B4">
              <w:t>imunologinia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5261B4">
              <w:t>tyrimai</w:t>
            </w:r>
            <w:proofErr w:type="spellEnd"/>
          </w:p>
        </w:tc>
        <w:tc>
          <w:tcPr>
            <w:tcW w:w="2364" w:type="dxa"/>
          </w:tcPr>
          <w:p w14:paraId="72EE73C6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rPr>
                <w:b/>
                <w:lang w:eastAsia="el-GR"/>
              </w:rPr>
            </w:pPr>
            <w:r>
              <w:rPr>
                <w:b/>
                <w:lang w:eastAsia="el-GR"/>
              </w:rPr>
              <w:t>PCT</w:t>
            </w:r>
          </w:p>
        </w:tc>
        <w:tc>
          <w:tcPr>
            <w:tcW w:w="5469" w:type="dxa"/>
          </w:tcPr>
          <w:p w14:paraId="40DC6B6A" w14:textId="72C0B271" w:rsidR="006718F9" w:rsidRPr="00606AF6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Tyrimai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turi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būti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atliekami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iš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ligoninėje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naudojamų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bendro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kraujo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EDTA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mėgintuvėlių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nenaudojant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jokių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papildomų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priemonių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, be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paruošimo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(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centrifugavimo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),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rankinio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pipetavimo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ir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pan.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funkcijų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pilnai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automatiniu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būdu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tiesiogiai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po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658A967B" w14:textId="72CF21A1" w:rsidR="00606AF6" w:rsidRPr="00606AF6" w:rsidRDefault="00606AF6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proofErr w:type="gram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.:„</w:t>
            </w:r>
            <w:proofErr w:type="gram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PCT 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“ (76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psl.Veikimo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).</w:t>
            </w:r>
          </w:p>
          <w:p w14:paraId="6B23D16D" w14:textId="77777777" w:rsidR="00606AF6" w:rsidRPr="00606AF6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Matavimo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laikas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ne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ilgiau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21 min. </w:t>
            </w:r>
          </w:p>
          <w:p w14:paraId="4CE95AB9" w14:textId="77777777" w:rsidR="00606AF6" w:rsidRPr="00606AF6" w:rsidRDefault="00606AF6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.: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AQT_item_list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., 1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</w:t>
            </w:r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</w:p>
          <w:p w14:paraId="574BB670" w14:textId="2914C5B5" w:rsidR="00606AF6" w:rsidRPr="00606AF6" w:rsidRDefault="006718F9" w:rsidP="00606AF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Metodas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fluorometrinis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arba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lygiavertis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metodas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35F471D5" w14:textId="07FA517C" w:rsidR="006718F9" w:rsidRPr="00606AF6" w:rsidRDefault="00606AF6" w:rsidP="00E02674">
            <w:pPr>
              <w:tabs>
                <w:tab w:val="left" w:pos="1035"/>
              </w:tabs>
              <w:spacing w:line="240" w:lineRule="auto"/>
              <w:rPr>
                <w:b/>
                <w:bCs/>
                <w:i/>
                <w:iCs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proofErr w:type="gram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.:„</w:t>
            </w:r>
            <w:proofErr w:type="gram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PCT 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“ (76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psl.Veikimo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)</w:t>
            </w:r>
          </w:p>
        </w:tc>
        <w:tc>
          <w:tcPr>
            <w:tcW w:w="2547" w:type="dxa"/>
            <w:vAlign w:val="center"/>
          </w:tcPr>
          <w:p w14:paraId="7DBFC660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t>5500</w:t>
            </w:r>
          </w:p>
        </w:tc>
      </w:tr>
      <w:tr w:rsidR="006718F9" w:rsidRPr="00D9700A" w14:paraId="158C1ECB" w14:textId="77777777" w:rsidTr="00E02674">
        <w:trPr>
          <w:jc w:val="center"/>
        </w:trPr>
        <w:tc>
          <w:tcPr>
            <w:tcW w:w="632" w:type="dxa"/>
          </w:tcPr>
          <w:p w14:paraId="0FF6981F" w14:textId="77777777" w:rsidR="006718F9" w:rsidRPr="00D9700A" w:rsidRDefault="006718F9" w:rsidP="00E02674">
            <w:pPr>
              <w:tabs>
                <w:tab w:val="left" w:pos="1035"/>
              </w:tabs>
              <w:spacing w:line="240" w:lineRule="auto"/>
              <w:rPr>
                <w:lang w:eastAsia="el-GR"/>
              </w:rPr>
            </w:pPr>
            <w:r>
              <w:rPr>
                <w:lang w:eastAsia="el-GR"/>
              </w:rPr>
              <w:t>4.</w:t>
            </w:r>
          </w:p>
        </w:tc>
        <w:tc>
          <w:tcPr>
            <w:tcW w:w="3146" w:type="dxa"/>
          </w:tcPr>
          <w:p w14:paraId="023696A9" w14:textId="77777777" w:rsidR="006718F9" w:rsidRDefault="006718F9" w:rsidP="00E02674">
            <w:pPr>
              <w:jc w:val="center"/>
            </w:pPr>
            <w:proofErr w:type="spellStart"/>
            <w:r w:rsidRPr="005261B4">
              <w:t>Ekstriniai</w:t>
            </w:r>
            <w:proofErr w:type="spellEnd"/>
            <w:r>
              <w:t xml:space="preserve"> </w:t>
            </w:r>
            <w:proofErr w:type="spellStart"/>
            <w:r w:rsidRPr="005261B4">
              <w:t>kritinių</w:t>
            </w:r>
            <w:proofErr w:type="spellEnd"/>
            <w:r>
              <w:t xml:space="preserve"> </w:t>
            </w:r>
            <w:proofErr w:type="spellStart"/>
            <w:r w:rsidRPr="005261B4">
              <w:t>ligų</w:t>
            </w:r>
            <w:proofErr w:type="spellEnd"/>
            <w:r>
              <w:t xml:space="preserve"> </w:t>
            </w:r>
            <w:proofErr w:type="spellStart"/>
            <w:r w:rsidRPr="005261B4">
              <w:t>imunologiniai</w:t>
            </w:r>
            <w:proofErr w:type="spellEnd"/>
            <w:r>
              <w:t xml:space="preserve"> </w:t>
            </w:r>
            <w:proofErr w:type="spellStart"/>
            <w:r w:rsidRPr="005261B4">
              <w:t>tyrimai</w:t>
            </w:r>
            <w:proofErr w:type="spellEnd"/>
          </w:p>
        </w:tc>
        <w:tc>
          <w:tcPr>
            <w:tcW w:w="2364" w:type="dxa"/>
          </w:tcPr>
          <w:p w14:paraId="033E8A1F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rPr>
                <w:b/>
                <w:lang w:eastAsia="el-GR"/>
              </w:rPr>
            </w:pPr>
            <w:r>
              <w:rPr>
                <w:b/>
                <w:lang w:eastAsia="el-GR"/>
              </w:rPr>
              <w:t>CRP</w:t>
            </w:r>
          </w:p>
        </w:tc>
        <w:tc>
          <w:tcPr>
            <w:tcW w:w="5469" w:type="dxa"/>
          </w:tcPr>
          <w:p w14:paraId="114567A3" w14:textId="04F69C9E" w:rsidR="006718F9" w:rsidRPr="00606AF6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Tyrimai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turi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būti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atliekami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iš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ligoninėje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naudojamų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bendro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kraujo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EDTA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mėgintuvėlių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nenaudojant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jokių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papildomų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priemonių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, be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paruošimo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(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centrifugavimo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),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rankinio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pipetavimo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ir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pan.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funkcijų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pilnai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automatiniu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būdu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tiesiogiai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po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mėginio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paėmimo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03E31379" w14:textId="490EAF4A" w:rsidR="00606AF6" w:rsidRPr="00606AF6" w:rsidRDefault="00606AF6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.:"CRP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" (60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Veikimo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)</w:t>
            </w:r>
          </w:p>
          <w:p w14:paraId="5A08B491" w14:textId="77777777" w:rsidR="00606AF6" w:rsidRPr="00606AF6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Matavimo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laikas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ne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ilgiau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15 min.</w:t>
            </w:r>
          </w:p>
          <w:p w14:paraId="45E479FD" w14:textId="2259A465" w:rsidR="00606AF6" w:rsidRPr="00606AF6" w:rsidRDefault="00606AF6" w:rsidP="00606AF6">
            <w:pPr>
              <w:tabs>
                <w:tab w:val="left" w:pos="1035"/>
              </w:tabs>
              <w:spacing w:line="240" w:lineRule="auto"/>
              <w:ind w:left="0"/>
              <w:rPr>
                <w:rFonts w:ascii="Times New Roman" w:hAnsi="Times New Roman" w:cs="Times New Roman"/>
                <w:lang w:eastAsia="el-GR"/>
              </w:rPr>
            </w:pPr>
            <w:r w:rsidRPr="00606AF6">
              <w:rPr>
                <w:rFonts w:ascii="Times New Roman" w:hAnsi="Times New Roman" w:cs="Times New Roman"/>
                <w:lang w:eastAsia="el-GR"/>
              </w:rPr>
              <w:t xml:space="preserve">    </w:t>
            </w:r>
            <w:r w:rsidR="006718F9"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val="lt-LT" w:eastAsia="el-GR"/>
              </w:rPr>
              <w:t xml:space="preserve">Failas: Reagentu aprasymai, Žr.: AQT_item_list., 1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 w:eastAsia="el-GR"/>
              </w:rPr>
              <w:t xml:space="preserve">      </w:t>
            </w:r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val="lt-LT" w:eastAsia="el-GR"/>
              </w:rPr>
              <w:t>psl.</w:t>
            </w:r>
          </w:p>
          <w:p w14:paraId="2EA58E4F" w14:textId="4CA1838F" w:rsidR="006718F9" w:rsidRPr="00606AF6" w:rsidRDefault="006718F9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Metodas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fluorometrinis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arba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lygiavertis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lang w:eastAsia="el-GR"/>
              </w:rPr>
              <w:t>metodas</w:t>
            </w:r>
            <w:proofErr w:type="spellEnd"/>
            <w:r w:rsidRPr="00606AF6">
              <w:rPr>
                <w:rFonts w:ascii="Times New Roman" w:hAnsi="Times New Roman" w:cs="Times New Roman"/>
                <w:lang w:eastAsia="el-GR"/>
              </w:rPr>
              <w:t>.</w:t>
            </w:r>
          </w:p>
          <w:p w14:paraId="6B40DFD6" w14:textId="5D22C281" w:rsidR="00606AF6" w:rsidRPr="00606AF6" w:rsidRDefault="00606AF6" w:rsidP="00E0267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Failas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: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Reagentu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aprasymai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,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Žr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.:"CRP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aprasymas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" (60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psl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.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Veikimo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principas</w:t>
            </w:r>
            <w:proofErr w:type="spellEnd"/>
            <w:r w:rsidRPr="00606AF6">
              <w:rPr>
                <w:rFonts w:ascii="Times New Roman" w:hAnsi="Times New Roman" w:cs="Times New Roman"/>
                <w:b/>
                <w:bCs/>
                <w:i/>
                <w:iCs/>
                <w:lang w:eastAsia="el-GR"/>
              </w:rPr>
              <w:t>)</w:t>
            </w:r>
          </w:p>
          <w:p w14:paraId="20514476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rPr>
                <w:lang w:eastAsia="el-GR"/>
              </w:rPr>
            </w:pPr>
          </w:p>
        </w:tc>
        <w:tc>
          <w:tcPr>
            <w:tcW w:w="2547" w:type="dxa"/>
            <w:vAlign w:val="center"/>
          </w:tcPr>
          <w:p w14:paraId="68BC295F" w14:textId="77777777" w:rsidR="006718F9" w:rsidRDefault="006718F9" w:rsidP="00E02674">
            <w:pPr>
              <w:tabs>
                <w:tab w:val="left" w:pos="1035"/>
              </w:tabs>
              <w:spacing w:line="240" w:lineRule="auto"/>
              <w:jc w:val="center"/>
              <w:rPr>
                <w:lang w:eastAsia="el-GR"/>
              </w:rPr>
            </w:pPr>
            <w:r>
              <w:rPr>
                <w:lang w:eastAsia="el-GR"/>
              </w:rPr>
              <w:lastRenderedPageBreak/>
              <w:t>3200</w:t>
            </w:r>
          </w:p>
        </w:tc>
      </w:tr>
    </w:tbl>
    <w:p w14:paraId="3B862032" w14:textId="77777777" w:rsidR="006718F9" w:rsidRPr="00E563C1" w:rsidRDefault="006718F9" w:rsidP="006718F9">
      <w:pPr>
        <w:jc w:val="center"/>
        <w:rPr>
          <w:b/>
          <w:bCs/>
        </w:rPr>
      </w:pPr>
    </w:p>
    <w:p w14:paraId="238DFED3" w14:textId="77777777" w:rsidR="006718F9" w:rsidRDefault="006718F9" w:rsidP="006718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5A445" w14:textId="77777777" w:rsidR="006718F9" w:rsidRDefault="006718F9" w:rsidP="006718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BA6B5" w14:textId="77777777" w:rsidR="006718F9" w:rsidRDefault="006718F9" w:rsidP="006718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75E13" w14:textId="77777777" w:rsidR="006C76F2" w:rsidRPr="00E563C1" w:rsidRDefault="006C76F2" w:rsidP="004D0225">
      <w:pPr>
        <w:jc w:val="center"/>
        <w:rPr>
          <w:b/>
          <w:bCs/>
          <w:lang w:val="lt-LT"/>
        </w:rPr>
      </w:pPr>
    </w:p>
    <w:sectPr w:rsidR="006C76F2" w:rsidRPr="00E563C1" w:rsidSect="008B3983">
      <w:pgSz w:w="16840" w:h="11907" w:orient="landscape" w:code="9"/>
      <w:pgMar w:top="1701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62BA"/>
    <w:multiLevelType w:val="hybridMultilevel"/>
    <w:tmpl w:val="6E1479D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896B54"/>
    <w:multiLevelType w:val="multilevel"/>
    <w:tmpl w:val="4384A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6D32D2"/>
    <w:multiLevelType w:val="multilevel"/>
    <w:tmpl w:val="CB2618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3405C5"/>
    <w:multiLevelType w:val="multilevel"/>
    <w:tmpl w:val="EBB2A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63127761"/>
    <w:multiLevelType w:val="hybridMultilevel"/>
    <w:tmpl w:val="4A98F80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D85909"/>
    <w:multiLevelType w:val="hybridMultilevel"/>
    <w:tmpl w:val="0A2EF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81"/>
    <w:rsid w:val="000014F4"/>
    <w:rsid w:val="00001E84"/>
    <w:rsid w:val="000050CC"/>
    <w:rsid w:val="00011929"/>
    <w:rsid w:val="00011B18"/>
    <w:rsid w:val="0002187D"/>
    <w:rsid w:val="0002428D"/>
    <w:rsid w:val="00032D0C"/>
    <w:rsid w:val="00034FCB"/>
    <w:rsid w:val="00044BC0"/>
    <w:rsid w:val="00044D1D"/>
    <w:rsid w:val="00052EAE"/>
    <w:rsid w:val="0006061B"/>
    <w:rsid w:val="00064399"/>
    <w:rsid w:val="0007589A"/>
    <w:rsid w:val="00076BD0"/>
    <w:rsid w:val="00082FA9"/>
    <w:rsid w:val="0009595F"/>
    <w:rsid w:val="00097E47"/>
    <w:rsid w:val="000A5D7D"/>
    <w:rsid w:val="000B2FDA"/>
    <w:rsid w:val="000C504B"/>
    <w:rsid w:val="000D34EC"/>
    <w:rsid w:val="000D70EF"/>
    <w:rsid w:val="00104F10"/>
    <w:rsid w:val="001053CF"/>
    <w:rsid w:val="00124F64"/>
    <w:rsid w:val="00157F23"/>
    <w:rsid w:val="00160C15"/>
    <w:rsid w:val="001652BA"/>
    <w:rsid w:val="00173220"/>
    <w:rsid w:val="001803B3"/>
    <w:rsid w:val="00187C30"/>
    <w:rsid w:val="00191784"/>
    <w:rsid w:val="00193585"/>
    <w:rsid w:val="00195445"/>
    <w:rsid w:val="001A3419"/>
    <w:rsid w:val="001A3ECD"/>
    <w:rsid w:val="001A66EA"/>
    <w:rsid w:val="001B45FD"/>
    <w:rsid w:val="001C074B"/>
    <w:rsid w:val="001C53F5"/>
    <w:rsid w:val="001C65F2"/>
    <w:rsid w:val="001D71F3"/>
    <w:rsid w:val="001E4A14"/>
    <w:rsid w:val="00200579"/>
    <w:rsid w:val="002045CF"/>
    <w:rsid w:val="002079DD"/>
    <w:rsid w:val="00214487"/>
    <w:rsid w:val="00224E03"/>
    <w:rsid w:val="00225626"/>
    <w:rsid w:val="00233684"/>
    <w:rsid w:val="00235098"/>
    <w:rsid w:val="00242A0E"/>
    <w:rsid w:val="00242A9D"/>
    <w:rsid w:val="0024350A"/>
    <w:rsid w:val="0025748D"/>
    <w:rsid w:val="002978D7"/>
    <w:rsid w:val="00297B7B"/>
    <w:rsid w:val="002A3F29"/>
    <w:rsid w:val="002B2455"/>
    <w:rsid w:val="002C5B68"/>
    <w:rsid w:val="002D5E4D"/>
    <w:rsid w:val="002E03D5"/>
    <w:rsid w:val="002E0530"/>
    <w:rsid w:val="002E1F2E"/>
    <w:rsid w:val="002E6ADC"/>
    <w:rsid w:val="002F34A7"/>
    <w:rsid w:val="00303F87"/>
    <w:rsid w:val="00306AB1"/>
    <w:rsid w:val="00311C21"/>
    <w:rsid w:val="0031638F"/>
    <w:rsid w:val="003167E4"/>
    <w:rsid w:val="00320DC8"/>
    <w:rsid w:val="00351901"/>
    <w:rsid w:val="003579FF"/>
    <w:rsid w:val="003630CD"/>
    <w:rsid w:val="00363606"/>
    <w:rsid w:val="00367E56"/>
    <w:rsid w:val="00371D69"/>
    <w:rsid w:val="00372456"/>
    <w:rsid w:val="00390C01"/>
    <w:rsid w:val="00395746"/>
    <w:rsid w:val="003A0E72"/>
    <w:rsid w:val="003B6D12"/>
    <w:rsid w:val="003D64DA"/>
    <w:rsid w:val="00410617"/>
    <w:rsid w:val="004133D1"/>
    <w:rsid w:val="00414AF7"/>
    <w:rsid w:val="00416A05"/>
    <w:rsid w:val="00417283"/>
    <w:rsid w:val="0042419C"/>
    <w:rsid w:val="00426076"/>
    <w:rsid w:val="00427E1A"/>
    <w:rsid w:val="004336FC"/>
    <w:rsid w:val="00446EFA"/>
    <w:rsid w:val="00451C8A"/>
    <w:rsid w:val="004531F8"/>
    <w:rsid w:val="0046076F"/>
    <w:rsid w:val="004641AE"/>
    <w:rsid w:val="00466C81"/>
    <w:rsid w:val="00467675"/>
    <w:rsid w:val="00477259"/>
    <w:rsid w:val="00497100"/>
    <w:rsid w:val="004C3539"/>
    <w:rsid w:val="004D0225"/>
    <w:rsid w:val="004E3A9F"/>
    <w:rsid w:val="004F6FB2"/>
    <w:rsid w:val="00502079"/>
    <w:rsid w:val="005024D0"/>
    <w:rsid w:val="00510597"/>
    <w:rsid w:val="00521358"/>
    <w:rsid w:val="005241ED"/>
    <w:rsid w:val="0055220F"/>
    <w:rsid w:val="005621BC"/>
    <w:rsid w:val="00571BE4"/>
    <w:rsid w:val="005744EF"/>
    <w:rsid w:val="005A15CB"/>
    <w:rsid w:val="005B1C4D"/>
    <w:rsid w:val="005B1F72"/>
    <w:rsid w:val="005D1050"/>
    <w:rsid w:val="005D6D8B"/>
    <w:rsid w:val="005E2929"/>
    <w:rsid w:val="005E3109"/>
    <w:rsid w:val="005F7105"/>
    <w:rsid w:val="00606AF6"/>
    <w:rsid w:val="006117CA"/>
    <w:rsid w:val="006176D8"/>
    <w:rsid w:val="00621716"/>
    <w:rsid w:val="00627882"/>
    <w:rsid w:val="00640104"/>
    <w:rsid w:val="00642BC8"/>
    <w:rsid w:val="006559DC"/>
    <w:rsid w:val="00665BD6"/>
    <w:rsid w:val="006718F9"/>
    <w:rsid w:val="00672F27"/>
    <w:rsid w:val="006743C2"/>
    <w:rsid w:val="006B005E"/>
    <w:rsid w:val="006B1197"/>
    <w:rsid w:val="006B5B63"/>
    <w:rsid w:val="006C76F2"/>
    <w:rsid w:val="006D0D6F"/>
    <w:rsid w:val="006D4846"/>
    <w:rsid w:val="006F6CEB"/>
    <w:rsid w:val="0070035A"/>
    <w:rsid w:val="00725EBF"/>
    <w:rsid w:val="00743F67"/>
    <w:rsid w:val="00752EA5"/>
    <w:rsid w:val="00767F1C"/>
    <w:rsid w:val="00773D09"/>
    <w:rsid w:val="00775000"/>
    <w:rsid w:val="00790B09"/>
    <w:rsid w:val="00791413"/>
    <w:rsid w:val="0079206A"/>
    <w:rsid w:val="007A6465"/>
    <w:rsid w:val="007B1A1A"/>
    <w:rsid w:val="007B7D46"/>
    <w:rsid w:val="007B7ED9"/>
    <w:rsid w:val="007D0853"/>
    <w:rsid w:val="007E3EB5"/>
    <w:rsid w:val="0081297B"/>
    <w:rsid w:val="0081413F"/>
    <w:rsid w:val="00822E81"/>
    <w:rsid w:val="00836262"/>
    <w:rsid w:val="00836AE1"/>
    <w:rsid w:val="00847216"/>
    <w:rsid w:val="00861CAF"/>
    <w:rsid w:val="00875140"/>
    <w:rsid w:val="008A5EBC"/>
    <w:rsid w:val="008B3983"/>
    <w:rsid w:val="008C4A16"/>
    <w:rsid w:val="008C6120"/>
    <w:rsid w:val="0090101D"/>
    <w:rsid w:val="009064DE"/>
    <w:rsid w:val="0091059D"/>
    <w:rsid w:val="00926B3B"/>
    <w:rsid w:val="0092749A"/>
    <w:rsid w:val="009366ED"/>
    <w:rsid w:val="00943171"/>
    <w:rsid w:val="00946BA2"/>
    <w:rsid w:val="0095585B"/>
    <w:rsid w:val="009675BC"/>
    <w:rsid w:val="009710EE"/>
    <w:rsid w:val="0098032E"/>
    <w:rsid w:val="009B4AF9"/>
    <w:rsid w:val="009C0783"/>
    <w:rsid w:val="009C2268"/>
    <w:rsid w:val="009C2B77"/>
    <w:rsid w:val="009C7C27"/>
    <w:rsid w:val="009D2C5C"/>
    <w:rsid w:val="009E3834"/>
    <w:rsid w:val="00A00C7A"/>
    <w:rsid w:val="00A02860"/>
    <w:rsid w:val="00A02AAC"/>
    <w:rsid w:val="00A041B5"/>
    <w:rsid w:val="00A04825"/>
    <w:rsid w:val="00A058DC"/>
    <w:rsid w:val="00A20B9B"/>
    <w:rsid w:val="00A254AE"/>
    <w:rsid w:val="00A329DA"/>
    <w:rsid w:val="00A4106D"/>
    <w:rsid w:val="00A429E9"/>
    <w:rsid w:val="00A665B3"/>
    <w:rsid w:val="00A67C49"/>
    <w:rsid w:val="00A75C6E"/>
    <w:rsid w:val="00A843B7"/>
    <w:rsid w:val="00A90066"/>
    <w:rsid w:val="00A96141"/>
    <w:rsid w:val="00AC2EDA"/>
    <w:rsid w:val="00AC3F33"/>
    <w:rsid w:val="00AD48C3"/>
    <w:rsid w:val="00AE7171"/>
    <w:rsid w:val="00AF57D8"/>
    <w:rsid w:val="00B003BE"/>
    <w:rsid w:val="00B02876"/>
    <w:rsid w:val="00B03E1B"/>
    <w:rsid w:val="00B10192"/>
    <w:rsid w:val="00B1491A"/>
    <w:rsid w:val="00B208B8"/>
    <w:rsid w:val="00B24B05"/>
    <w:rsid w:val="00B2673D"/>
    <w:rsid w:val="00B26FDF"/>
    <w:rsid w:val="00B27C0C"/>
    <w:rsid w:val="00B37E2D"/>
    <w:rsid w:val="00B5651F"/>
    <w:rsid w:val="00B56F63"/>
    <w:rsid w:val="00B579CE"/>
    <w:rsid w:val="00B6480E"/>
    <w:rsid w:val="00B64E87"/>
    <w:rsid w:val="00B7554C"/>
    <w:rsid w:val="00B831C2"/>
    <w:rsid w:val="00B85623"/>
    <w:rsid w:val="00B95A33"/>
    <w:rsid w:val="00BA4F73"/>
    <w:rsid w:val="00BB00F5"/>
    <w:rsid w:val="00BB32E5"/>
    <w:rsid w:val="00BC2B87"/>
    <w:rsid w:val="00BC50B2"/>
    <w:rsid w:val="00BD417E"/>
    <w:rsid w:val="00BE2C18"/>
    <w:rsid w:val="00BE646E"/>
    <w:rsid w:val="00BF3F5C"/>
    <w:rsid w:val="00BF6B14"/>
    <w:rsid w:val="00BF6F98"/>
    <w:rsid w:val="00C13813"/>
    <w:rsid w:val="00C37D75"/>
    <w:rsid w:val="00C431F4"/>
    <w:rsid w:val="00C4608D"/>
    <w:rsid w:val="00C54EB9"/>
    <w:rsid w:val="00C55213"/>
    <w:rsid w:val="00C62BE1"/>
    <w:rsid w:val="00C725B6"/>
    <w:rsid w:val="00C755EF"/>
    <w:rsid w:val="00C776EE"/>
    <w:rsid w:val="00C81976"/>
    <w:rsid w:val="00C85CAD"/>
    <w:rsid w:val="00CA789C"/>
    <w:rsid w:val="00CB0384"/>
    <w:rsid w:val="00CB1D6C"/>
    <w:rsid w:val="00CB25EA"/>
    <w:rsid w:val="00CB6111"/>
    <w:rsid w:val="00CC4C3D"/>
    <w:rsid w:val="00CD03C2"/>
    <w:rsid w:val="00CD0733"/>
    <w:rsid w:val="00CE7254"/>
    <w:rsid w:val="00CF1841"/>
    <w:rsid w:val="00D22824"/>
    <w:rsid w:val="00D2312B"/>
    <w:rsid w:val="00D2463A"/>
    <w:rsid w:val="00D4306A"/>
    <w:rsid w:val="00D534D0"/>
    <w:rsid w:val="00D605E0"/>
    <w:rsid w:val="00D6195F"/>
    <w:rsid w:val="00D704FD"/>
    <w:rsid w:val="00D86681"/>
    <w:rsid w:val="00D877D4"/>
    <w:rsid w:val="00D877ED"/>
    <w:rsid w:val="00D9700A"/>
    <w:rsid w:val="00DC5CF3"/>
    <w:rsid w:val="00DD08D8"/>
    <w:rsid w:val="00DF054D"/>
    <w:rsid w:val="00DF6B4F"/>
    <w:rsid w:val="00DF78F1"/>
    <w:rsid w:val="00E04357"/>
    <w:rsid w:val="00E06C43"/>
    <w:rsid w:val="00E07939"/>
    <w:rsid w:val="00E107A9"/>
    <w:rsid w:val="00E321A1"/>
    <w:rsid w:val="00E33B48"/>
    <w:rsid w:val="00E36477"/>
    <w:rsid w:val="00E403D4"/>
    <w:rsid w:val="00E563C1"/>
    <w:rsid w:val="00E575D9"/>
    <w:rsid w:val="00E740D4"/>
    <w:rsid w:val="00E82916"/>
    <w:rsid w:val="00E84EFA"/>
    <w:rsid w:val="00E859F1"/>
    <w:rsid w:val="00E9328B"/>
    <w:rsid w:val="00EA636C"/>
    <w:rsid w:val="00EB01E5"/>
    <w:rsid w:val="00EC6288"/>
    <w:rsid w:val="00ED12A1"/>
    <w:rsid w:val="00ED34C6"/>
    <w:rsid w:val="00ED5965"/>
    <w:rsid w:val="00EE0F7C"/>
    <w:rsid w:val="00EE76B2"/>
    <w:rsid w:val="00F461F2"/>
    <w:rsid w:val="00F72315"/>
    <w:rsid w:val="00F804DE"/>
    <w:rsid w:val="00F8088A"/>
    <w:rsid w:val="00F83DA1"/>
    <w:rsid w:val="00FB23A5"/>
    <w:rsid w:val="00FC0C46"/>
    <w:rsid w:val="00FC4F95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3126B"/>
  <w15:docId w15:val="{56CA7F99-8BEA-4C31-9863-DA32DCE5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27"/>
    <w:pPr>
      <w:spacing w:line="288" w:lineRule="auto"/>
      <w:ind w:left="284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34D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Numbering,ERP-List Paragraph,List Paragraph1,List Paragraph11,List Paragraph2,List Paragraph21,Lentele,List Paragraph111,Buletai,lp1,Bullet 1,Use Case List Paragraph,Sąrašo pastraipa1"/>
    <w:basedOn w:val="Normal"/>
    <w:link w:val="ListParagraphChar"/>
    <w:uiPriority w:val="34"/>
    <w:qFormat/>
    <w:rsid w:val="000050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129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97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Red Char,Bullet EY Char,Numbering Char,ERP-List Paragraph Char,List Paragraph1 Char,List Paragraph11 Char,List Paragraph2 Char,List Paragraph21 Char,Lentele Char,List Paragraph111 Char,Buletai Char,lp1 Char"/>
    <w:link w:val="ListParagraph"/>
    <w:uiPriority w:val="34"/>
    <w:locked/>
    <w:rsid w:val="006718F9"/>
    <w:rPr>
      <w:rFonts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5D7D"/>
    <w:rPr>
      <w:color w:val="0000FF" w:themeColor="hyperlink"/>
      <w:u w:val="single"/>
    </w:rPr>
  </w:style>
  <w:style w:type="paragraph" w:customStyle="1" w:styleId="Default">
    <w:name w:val="Default"/>
    <w:rsid w:val="000A5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iometer.com/en/products/immunoassay-testing/aqt90-flex-immunoassay-analyz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8535</Words>
  <Characters>4866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Biuras</cp:lastModifiedBy>
  <cp:revision>12</cp:revision>
  <cp:lastPrinted>2021-07-13T08:31:00Z</cp:lastPrinted>
  <dcterms:created xsi:type="dcterms:W3CDTF">2021-11-29T13:46:00Z</dcterms:created>
  <dcterms:modified xsi:type="dcterms:W3CDTF">2021-12-14T08:33:00Z</dcterms:modified>
</cp:coreProperties>
</file>