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8F2D" w14:textId="2FA9B338" w:rsidR="00C83037" w:rsidRPr="00F438F7" w:rsidRDefault="00C83037" w:rsidP="005E0D77">
      <w:pPr>
        <w:spacing w:line="276" w:lineRule="auto"/>
        <w:jc w:val="both"/>
        <w:rPr>
          <w:b/>
          <w:bCs/>
          <w:szCs w:val="24"/>
        </w:rPr>
      </w:pPr>
    </w:p>
    <w:p w14:paraId="7B6C98FC" w14:textId="1C4D348D" w:rsidR="00413A2D" w:rsidRPr="00F438F7" w:rsidRDefault="008527ED" w:rsidP="005E0D77">
      <w:pPr>
        <w:spacing w:line="276" w:lineRule="auto"/>
        <w:jc w:val="center"/>
        <w:rPr>
          <w:b/>
          <w:bCs/>
          <w:szCs w:val="24"/>
        </w:rPr>
      </w:pPr>
      <w:r w:rsidRPr="00F438F7">
        <w:rPr>
          <w:b/>
          <w:bCs/>
          <w:szCs w:val="24"/>
        </w:rPr>
        <w:t xml:space="preserve">OBJEKTINIO TIPO </w:t>
      </w:r>
      <w:r w:rsidR="002F2CB7" w:rsidRPr="00F438F7">
        <w:rPr>
          <w:b/>
          <w:bCs/>
          <w:szCs w:val="24"/>
        </w:rPr>
        <w:t>DUOMENŲ SAUGYKLŲ</w:t>
      </w:r>
      <w:r w:rsidR="00A14552" w:rsidRPr="00F438F7">
        <w:rPr>
          <w:b/>
          <w:bCs/>
          <w:szCs w:val="24"/>
        </w:rPr>
        <w:t xml:space="preserve"> </w:t>
      </w:r>
      <w:r w:rsidR="00645A2D" w:rsidRPr="00F438F7">
        <w:rPr>
          <w:b/>
          <w:bCs/>
          <w:szCs w:val="24"/>
        </w:rPr>
        <w:t>ĮSIGIJIM</w:t>
      </w:r>
      <w:r w:rsidR="00413A2D" w:rsidRPr="00F438F7">
        <w:rPr>
          <w:b/>
          <w:bCs/>
          <w:szCs w:val="24"/>
        </w:rPr>
        <w:t>AS</w:t>
      </w:r>
    </w:p>
    <w:p w14:paraId="27EEE539" w14:textId="0C6EB3DF" w:rsidR="00616599" w:rsidRPr="00F438F7" w:rsidRDefault="0003240F" w:rsidP="005E0D77">
      <w:pPr>
        <w:spacing w:line="276" w:lineRule="auto"/>
        <w:jc w:val="center"/>
        <w:rPr>
          <w:b/>
          <w:bCs/>
          <w:szCs w:val="24"/>
        </w:rPr>
      </w:pPr>
      <w:r w:rsidRPr="00F438F7">
        <w:rPr>
          <w:b/>
          <w:bCs/>
          <w:szCs w:val="24"/>
        </w:rPr>
        <w:t xml:space="preserve"> </w:t>
      </w:r>
    </w:p>
    <w:p w14:paraId="2AF26F68" w14:textId="5F79C628" w:rsidR="00AB1C35" w:rsidRPr="00F438F7" w:rsidRDefault="00AB1C35" w:rsidP="005E0D77">
      <w:pPr>
        <w:spacing w:line="276" w:lineRule="auto"/>
        <w:jc w:val="center"/>
        <w:rPr>
          <w:b/>
          <w:bCs/>
          <w:szCs w:val="24"/>
        </w:rPr>
      </w:pPr>
      <w:r w:rsidRPr="00F438F7">
        <w:rPr>
          <w:b/>
          <w:bCs/>
          <w:szCs w:val="24"/>
        </w:rPr>
        <w:t>TECHNINĖ SPECIFIKACI</w:t>
      </w:r>
      <w:r w:rsidR="00616599" w:rsidRPr="00F438F7">
        <w:rPr>
          <w:b/>
          <w:bCs/>
          <w:szCs w:val="24"/>
        </w:rPr>
        <w:t>JA</w:t>
      </w:r>
    </w:p>
    <w:p w14:paraId="38650A21" w14:textId="370C6970" w:rsidR="008F1A32" w:rsidRPr="00F438F7" w:rsidRDefault="0003240F" w:rsidP="005E0D77">
      <w:pPr>
        <w:jc w:val="both"/>
        <w:rPr>
          <w:szCs w:val="24"/>
          <w:lang w:eastAsia="lt-LT"/>
        </w:rPr>
      </w:pPr>
      <w:r w:rsidRPr="00F438F7">
        <w:rPr>
          <w:szCs w:val="24"/>
        </w:rPr>
        <w:tab/>
      </w:r>
    </w:p>
    <w:p w14:paraId="16D2094C" w14:textId="0648643E" w:rsidR="00416BA1" w:rsidRPr="00F438F7" w:rsidRDefault="00416BA1" w:rsidP="00063709">
      <w:pPr>
        <w:pStyle w:val="ListParagraph"/>
        <w:numPr>
          <w:ilvl w:val="0"/>
          <w:numId w:val="3"/>
        </w:numPr>
        <w:ind w:left="0"/>
        <w:jc w:val="center"/>
        <w:rPr>
          <w:b/>
          <w:bCs/>
          <w:szCs w:val="24"/>
        </w:rPr>
      </w:pPr>
      <w:r w:rsidRPr="00F438F7">
        <w:rPr>
          <w:b/>
          <w:bCs/>
          <w:szCs w:val="24"/>
        </w:rPr>
        <w:t xml:space="preserve">BENDRA </w:t>
      </w:r>
      <w:r w:rsidR="00A121C6" w:rsidRPr="00F438F7">
        <w:rPr>
          <w:b/>
          <w:bCs/>
          <w:szCs w:val="24"/>
        </w:rPr>
        <w:t>INFORMACIJA</w:t>
      </w:r>
    </w:p>
    <w:p w14:paraId="11DD3C84" w14:textId="065E6F56" w:rsidR="00416BA1" w:rsidRPr="00F438F7" w:rsidRDefault="00416BA1" w:rsidP="005E0D77">
      <w:pPr>
        <w:jc w:val="center"/>
        <w:rPr>
          <w:b/>
          <w:bCs/>
          <w:szCs w:val="24"/>
        </w:rPr>
      </w:pPr>
    </w:p>
    <w:p w14:paraId="4664C843" w14:textId="4372A775" w:rsidR="00AA0E24" w:rsidRPr="00F438F7" w:rsidRDefault="00AA0E24" w:rsidP="00063709">
      <w:pPr>
        <w:pStyle w:val="ListParagraph"/>
        <w:numPr>
          <w:ilvl w:val="1"/>
          <w:numId w:val="3"/>
        </w:numPr>
        <w:tabs>
          <w:tab w:val="left" w:pos="1134"/>
        </w:tabs>
        <w:suppressAutoHyphens/>
        <w:autoSpaceDN w:val="0"/>
        <w:spacing w:line="360" w:lineRule="auto"/>
        <w:ind w:left="0" w:firstLine="567"/>
        <w:jc w:val="both"/>
        <w:textAlignment w:val="baseline"/>
        <w:rPr>
          <w:kern w:val="12"/>
          <w:lang w:eastAsia="ar-SA"/>
        </w:rPr>
      </w:pPr>
      <w:r w:rsidRPr="00F438F7">
        <w:rPr>
          <w:rFonts w:eastAsia="Calibri"/>
          <w:szCs w:val="24"/>
          <w:lang w:eastAsia="lt-LT"/>
        </w:rPr>
        <w:t>Informacinės visuomenės plėtros komitetas</w:t>
      </w:r>
      <w:r w:rsidRPr="00F438F7">
        <w:rPr>
          <w:szCs w:val="24"/>
        </w:rPr>
        <w:t xml:space="preserve"> </w:t>
      </w:r>
      <w:r w:rsidRPr="00F438F7">
        <w:rPr>
          <w:kern w:val="12"/>
          <w:szCs w:val="24"/>
          <w:lang w:eastAsia="ar-SA"/>
        </w:rPr>
        <w:t xml:space="preserve">(toliau </w:t>
      </w:r>
      <w:r w:rsidRPr="00F438F7">
        <w:rPr>
          <w:b/>
          <w:bCs/>
          <w:kern w:val="12"/>
          <w:szCs w:val="24"/>
          <w:lang w:eastAsia="ar-SA"/>
        </w:rPr>
        <w:t>– IVPK arba Perkančioji organizacija</w:t>
      </w:r>
      <w:r w:rsidRPr="00F438F7">
        <w:rPr>
          <w:kern w:val="12"/>
          <w:szCs w:val="24"/>
          <w:lang w:eastAsia="ar-SA"/>
        </w:rPr>
        <w:t xml:space="preserve">) vykdydamas Lietuvos Respublikos Vyriausybės 2015 m. gegužės 13 d. nutarimą Nr. 498 „Dėl valstybės informacinių išteklių infrastruktūros konsolidavimo ir jos valdymo optimizavimo“ (aktuali redakcija), įgyvendina </w:t>
      </w:r>
      <w:r w:rsidRPr="00F438F7">
        <w:rPr>
          <w:szCs w:val="24"/>
          <w:lang w:eastAsia="lt-LT"/>
        </w:rPr>
        <w:t>2014 –2020 metų Europos Sąjungos fondų investicijų veiksmų programos 2 prioriteto „Informacinės visuomenės skatinimas“ priemonės Nr. J06-CPVA-V „IRT infrastruktūros optimizavimas ir sauga“ lėšomis finansuojamą</w:t>
      </w:r>
      <w:r w:rsidRPr="00F438F7">
        <w:rPr>
          <w:kern w:val="12"/>
          <w:szCs w:val="24"/>
          <w:lang w:eastAsia="ar-SA"/>
        </w:rPr>
        <w:t xml:space="preserve"> investicijų projektą „Valstybės debesijos paslaugų teikimo infrastruktūros sukūrimas“ (toliau – </w:t>
      </w:r>
      <w:r w:rsidRPr="00F438F7">
        <w:rPr>
          <w:b/>
          <w:bCs/>
          <w:kern w:val="12"/>
          <w:szCs w:val="24"/>
          <w:lang w:eastAsia="ar-SA"/>
        </w:rPr>
        <w:t>Projektas</w:t>
      </w:r>
      <w:r w:rsidRPr="00F438F7">
        <w:rPr>
          <w:kern w:val="12"/>
          <w:szCs w:val="24"/>
          <w:lang w:eastAsia="ar-SA"/>
        </w:rPr>
        <w:t xml:space="preserve"> arba </w:t>
      </w:r>
      <w:r w:rsidRPr="00F438F7">
        <w:rPr>
          <w:b/>
          <w:bCs/>
          <w:kern w:val="12"/>
          <w:szCs w:val="24"/>
          <w:lang w:eastAsia="ar-SA"/>
        </w:rPr>
        <w:t>Investicijų projektas</w:t>
      </w:r>
      <w:r w:rsidRPr="00F438F7">
        <w:rPr>
          <w:kern w:val="12"/>
          <w:szCs w:val="24"/>
          <w:lang w:eastAsia="ar-SA"/>
        </w:rPr>
        <w:t xml:space="preserve">), su kuriuo galima susipažinti adresu </w:t>
      </w:r>
      <w:hyperlink r:id="rId11" w:history="1">
        <w:r w:rsidR="0004685E" w:rsidRPr="00F438F7">
          <w:rPr>
            <w:rStyle w:val="Hyperlink"/>
            <w:rFonts w:eastAsiaTheme="majorEastAsia"/>
            <w:kern w:val="12"/>
            <w:szCs w:val="24"/>
            <w:lang w:eastAsia="ar-SA"/>
          </w:rPr>
          <w:t>https://www.epaslaugos.lt/portal/file/e11229f7-33f0-456e-8e0f-c1dfaf1912ee</w:t>
        </w:r>
      </w:hyperlink>
      <w:r w:rsidRPr="00F438F7">
        <w:rPr>
          <w:rStyle w:val="Hyperlink"/>
          <w:rFonts w:eastAsiaTheme="majorEastAsia"/>
          <w:szCs w:val="24"/>
        </w:rPr>
        <w:t>.</w:t>
      </w:r>
      <w:r w:rsidRPr="00F438F7">
        <w:rPr>
          <w:kern w:val="12"/>
          <w:szCs w:val="24"/>
          <w:lang w:eastAsia="ar-SA"/>
        </w:rPr>
        <w:t xml:space="preserve"> </w:t>
      </w:r>
      <w:r w:rsidRPr="00F438F7">
        <w:rPr>
          <w:szCs w:val="24"/>
          <w:lang w:eastAsia="lt-LT"/>
        </w:rPr>
        <w:t>Projekto</w:t>
      </w:r>
      <w:r w:rsidRPr="00F438F7">
        <w:rPr>
          <w:kern w:val="12"/>
          <w:szCs w:val="24"/>
          <w:lang w:eastAsia="ar-SA"/>
        </w:rPr>
        <w:t xml:space="preserve"> tikslas – sukurti ir įdiegti valstybės debesijos paslaugų teikimo veiklai reikalingą informacinių ir ryšių technologijų (IRT) infrastruktūrą ir suformuoti žmogiškuosius išteklius, reikalingus valstybės debesijos paslaugoms teikti.</w:t>
      </w:r>
    </w:p>
    <w:p w14:paraId="295FCC61" w14:textId="77777777" w:rsidR="00AA0E24" w:rsidRPr="00F438F7" w:rsidRDefault="00AA0E24" w:rsidP="00AA0E24">
      <w:pPr>
        <w:pStyle w:val="ListParagraph"/>
        <w:numPr>
          <w:ilvl w:val="1"/>
          <w:numId w:val="3"/>
        </w:numPr>
        <w:tabs>
          <w:tab w:val="left" w:pos="1134"/>
        </w:tabs>
        <w:suppressAutoHyphens/>
        <w:autoSpaceDN w:val="0"/>
        <w:spacing w:line="360" w:lineRule="auto"/>
        <w:ind w:left="0" w:firstLine="567"/>
        <w:jc w:val="both"/>
        <w:textAlignment w:val="baseline"/>
        <w:rPr>
          <w:kern w:val="12"/>
          <w:szCs w:val="24"/>
          <w:lang w:eastAsia="ar-SA"/>
        </w:rPr>
      </w:pPr>
      <w:r w:rsidRPr="00F438F7">
        <w:rPr>
          <w:kern w:val="12"/>
          <w:szCs w:val="24"/>
          <w:lang w:eastAsia="ar-SA"/>
        </w:rPr>
        <w:t>Projekto įgyvendinimo metu buvo:</w:t>
      </w:r>
    </w:p>
    <w:p w14:paraId="5B3073D6" w14:textId="16D9A2BC" w:rsidR="00AA0E24" w:rsidRPr="00F438F7" w:rsidRDefault="00AA0E24" w:rsidP="00D67B00">
      <w:pPr>
        <w:pStyle w:val="ListParagraph"/>
        <w:numPr>
          <w:ilvl w:val="2"/>
          <w:numId w:val="3"/>
        </w:numPr>
        <w:tabs>
          <w:tab w:val="left" w:pos="1418"/>
        </w:tabs>
        <w:suppressAutoHyphens/>
        <w:autoSpaceDN w:val="0"/>
        <w:spacing w:line="360" w:lineRule="auto"/>
        <w:ind w:left="0" w:firstLine="567"/>
        <w:jc w:val="both"/>
        <w:textAlignment w:val="baseline"/>
        <w:rPr>
          <w:kern w:val="12"/>
          <w:szCs w:val="24"/>
          <w:lang w:eastAsia="ar-SA"/>
        </w:rPr>
      </w:pPr>
      <w:r w:rsidRPr="00F438F7">
        <w:rPr>
          <w:kern w:val="12"/>
          <w:szCs w:val="24"/>
          <w:lang w:eastAsia="ar-SA"/>
        </w:rPr>
        <w:t xml:space="preserve">parengta detali loginė debesijos </w:t>
      </w:r>
      <w:r w:rsidRPr="00F438F7">
        <w:rPr>
          <w:color w:val="000000"/>
          <w:szCs w:val="24"/>
          <w:lang w:eastAsia="lt-LT"/>
        </w:rPr>
        <w:t>paslaugų teikimo informacinių technologijų (toliau –IT) infrastruktūros architektūra (</w:t>
      </w:r>
      <w:r w:rsidRPr="00F438F7">
        <w:rPr>
          <w:kern w:val="12"/>
          <w:szCs w:val="24"/>
          <w:lang w:eastAsia="ar-SA"/>
        </w:rPr>
        <w:t>su dokumentu galima susipažinti adresu:</w:t>
      </w:r>
      <w:r w:rsidR="0004685E" w:rsidRPr="00F438F7">
        <w:rPr>
          <w:kern w:val="12"/>
          <w:szCs w:val="24"/>
          <w:lang w:eastAsia="ar-SA"/>
        </w:rPr>
        <w:t xml:space="preserve"> </w:t>
      </w:r>
      <w:hyperlink r:id="rId12" w:history="1">
        <w:r w:rsidR="0004685E" w:rsidRPr="00F438F7">
          <w:rPr>
            <w:rStyle w:val="Hyperlink"/>
            <w:rFonts w:eastAsiaTheme="majorEastAsia"/>
            <w:kern w:val="12"/>
            <w:szCs w:val="24"/>
            <w:lang w:eastAsia="ar-SA"/>
          </w:rPr>
          <w:t>https://ivpk.lrv.lt/uploads/ivpk/documents/files/veikla/VII%20konsolidavimas/Login%C4%97_Debesijos_paslaug%C5%B3_teikimo_IT_infrastrukt%C5%ABros_architekt%C5%ABra.pdf</w:t>
        </w:r>
      </w:hyperlink>
      <w:r w:rsidR="0004685E" w:rsidRPr="00F438F7">
        <w:rPr>
          <w:kern w:val="12"/>
          <w:szCs w:val="24"/>
          <w:lang w:eastAsia="ar-SA"/>
        </w:rPr>
        <w:t>)</w:t>
      </w:r>
      <w:r w:rsidRPr="00F438F7">
        <w:rPr>
          <w:color w:val="000000"/>
          <w:szCs w:val="24"/>
          <w:lang w:eastAsia="lt-LT"/>
        </w:rPr>
        <w:t>;</w:t>
      </w:r>
    </w:p>
    <w:p w14:paraId="6CD8C755" w14:textId="7118E588" w:rsidR="00AA0E24" w:rsidRPr="00F438F7" w:rsidRDefault="00AA0E24" w:rsidP="00D67B00">
      <w:pPr>
        <w:pStyle w:val="ListParagraph"/>
        <w:numPr>
          <w:ilvl w:val="2"/>
          <w:numId w:val="3"/>
        </w:numPr>
        <w:tabs>
          <w:tab w:val="left" w:pos="1418"/>
        </w:tabs>
        <w:suppressAutoHyphens/>
        <w:autoSpaceDN w:val="0"/>
        <w:spacing w:line="360" w:lineRule="auto"/>
        <w:ind w:left="0" w:firstLine="567"/>
        <w:jc w:val="both"/>
        <w:textAlignment w:val="baseline"/>
        <w:rPr>
          <w:kern w:val="12"/>
          <w:szCs w:val="24"/>
          <w:lang w:eastAsia="ar-SA"/>
        </w:rPr>
      </w:pPr>
      <w:r w:rsidRPr="00F438F7">
        <w:rPr>
          <w:kern w:val="12"/>
          <w:szCs w:val="24"/>
          <w:lang w:eastAsia="ar-SA"/>
        </w:rPr>
        <w:t>įsigyta ir parengta techninė įranga bei saugos sprendimo techninės priemonės debesijos paslaugų teikimui;</w:t>
      </w:r>
    </w:p>
    <w:p w14:paraId="53640BFA" w14:textId="77777777" w:rsidR="00AA0E24" w:rsidRPr="00F438F7" w:rsidRDefault="00AA0E24" w:rsidP="00D67B00">
      <w:pPr>
        <w:pStyle w:val="ListParagraph"/>
        <w:numPr>
          <w:ilvl w:val="2"/>
          <w:numId w:val="3"/>
        </w:numPr>
        <w:tabs>
          <w:tab w:val="left" w:pos="1418"/>
        </w:tabs>
        <w:suppressAutoHyphens/>
        <w:autoSpaceDN w:val="0"/>
        <w:spacing w:line="360" w:lineRule="auto"/>
        <w:ind w:left="0" w:firstLine="567"/>
        <w:jc w:val="both"/>
        <w:textAlignment w:val="baseline"/>
        <w:rPr>
          <w:kern w:val="12"/>
          <w:szCs w:val="24"/>
          <w:lang w:eastAsia="ar-SA"/>
        </w:rPr>
      </w:pPr>
      <w:r w:rsidRPr="00F438F7">
        <w:rPr>
          <w:kern w:val="12"/>
          <w:szCs w:val="24"/>
          <w:lang w:eastAsia="ar-SA"/>
        </w:rPr>
        <w:t>atliktas</w:t>
      </w:r>
      <w:r w:rsidRPr="00F438F7">
        <w:t xml:space="preserve"> </w:t>
      </w:r>
      <w:r w:rsidRPr="00F438F7">
        <w:rPr>
          <w:szCs w:val="24"/>
          <w:lang w:eastAsia="lt-LT"/>
        </w:rPr>
        <w:t>Detalioje architektūroje suprojektuoto sprendimo (toliau – Sprendimas) įdiegimas ir integravimas;</w:t>
      </w:r>
      <w:r w:rsidRPr="00F438F7">
        <w:t xml:space="preserve"> </w:t>
      </w:r>
    </w:p>
    <w:p w14:paraId="402C58A7" w14:textId="77777777" w:rsidR="00AA0E24" w:rsidRPr="00F438F7" w:rsidRDefault="00AA0E24" w:rsidP="00D67B00">
      <w:pPr>
        <w:pStyle w:val="ListParagraph"/>
        <w:numPr>
          <w:ilvl w:val="2"/>
          <w:numId w:val="3"/>
        </w:numPr>
        <w:tabs>
          <w:tab w:val="left" w:pos="1418"/>
        </w:tabs>
        <w:suppressAutoHyphens/>
        <w:autoSpaceDN w:val="0"/>
        <w:spacing w:line="360" w:lineRule="auto"/>
        <w:ind w:left="0" w:firstLine="567"/>
        <w:jc w:val="both"/>
        <w:textAlignment w:val="baseline"/>
        <w:rPr>
          <w:kern w:val="12"/>
          <w:szCs w:val="24"/>
          <w:lang w:eastAsia="ar-SA"/>
        </w:rPr>
      </w:pPr>
      <w:r w:rsidRPr="00F438F7">
        <w:rPr>
          <w:kern w:val="12"/>
          <w:szCs w:val="24"/>
          <w:lang w:eastAsia="ar-SA"/>
        </w:rPr>
        <w:t xml:space="preserve">patalpinta dalis Valstybės </w:t>
      </w:r>
      <w:r w:rsidRPr="00F438F7">
        <w:rPr>
          <w:color w:val="000000"/>
          <w:szCs w:val="24"/>
          <w:lang w:eastAsia="lt-LT"/>
        </w:rPr>
        <w:t>informacinių</w:t>
      </w:r>
      <w:r w:rsidRPr="00F438F7">
        <w:rPr>
          <w:kern w:val="12"/>
          <w:szCs w:val="24"/>
          <w:lang w:eastAsia="ar-SA"/>
        </w:rPr>
        <w:t xml:space="preserve"> išteklių infrastruktūros VITC debesijos paslaugų teikimo IT infrastruktūroje, įgalinus jų veikimą ir tvarkymą naudojant debesijos paslaugas.</w:t>
      </w:r>
    </w:p>
    <w:p w14:paraId="38FB6C4A" w14:textId="29C649AF" w:rsidR="00AA0E24" w:rsidRPr="00F438F7" w:rsidRDefault="00AA0E24" w:rsidP="00063709">
      <w:pPr>
        <w:pStyle w:val="ListParagraph"/>
        <w:numPr>
          <w:ilvl w:val="1"/>
          <w:numId w:val="3"/>
        </w:numPr>
        <w:tabs>
          <w:tab w:val="left" w:pos="1134"/>
        </w:tabs>
        <w:suppressAutoHyphens/>
        <w:autoSpaceDN w:val="0"/>
        <w:spacing w:line="360" w:lineRule="auto"/>
        <w:ind w:left="0" w:firstLine="567"/>
        <w:jc w:val="both"/>
        <w:textAlignment w:val="baseline"/>
        <w:rPr>
          <w:kern w:val="12"/>
          <w:lang w:eastAsia="ar-SA"/>
        </w:rPr>
      </w:pPr>
      <w:r w:rsidRPr="00F438F7">
        <w:rPr>
          <w:szCs w:val="24"/>
          <w:lang w:eastAsia="lt-LT"/>
        </w:rPr>
        <w:t xml:space="preserve">Perkančioji </w:t>
      </w:r>
      <w:r w:rsidR="00A449A9" w:rsidRPr="00F438F7">
        <w:rPr>
          <w:szCs w:val="24"/>
          <w:lang w:eastAsia="lt-LT"/>
        </w:rPr>
        <w:t xml:space="preserve">organizacija </w:t>
      </w:r>
      <w:r w:rsidRPr="00F438F7">
        <w:rPr>
          <w:szCs w:val="24"/>
          <w:lang w:eastAsia="lt-LT"/>
        </w:rPr>
        <w:t xml:space="preserve">turi sutartį su tiekėju, kuris atlieka Įrangos įdiegimo bei integravimo paslaugas (toliau – </w:t>
      </w:r>
      <w:r w:rsidRPr="00F438F7">
        <w:rPr>
          <w:b/>
          <w:bCs/>
          <w:szCs w:val="24"/>
          <w:lang w:eastAsia="lt-LT"/>
        </w:rPr>
        <w:t>Diegėjas</w:t>
      </w:r>
      <w:r w:rsidRPr="00F438F7">
        <w:rPr>
          <w:szCs w:val="24"/>
          <w:lang w:eastAsia="lt-LT"/>
        </w:rPr>
        <w:t xml:space="preserve">). Diegėjas dirba glaudžiai bendradarbiaudamas su Įrangos tiekėjais / gamintojais (toliau – </w:t>
      </w:r>
      <w:r w:rsidRPr="00F438F7">
        <w:rPr>
          <w:b/>
          <w:bCs/>
          <w:szCs w:val="24"/>
          <w:lang w:eastAsia="lt-LT"/>
        </w:rPr>
        <w:t>Įrangos tiekėjai</w:t>
      </w:r>
      <w:r w:rsidRPr="00F438F7">
        <w:rPr>
          <w:szCs w:val="24"/>
          <w:lang w:eastAsia="lt-LT"/>
        </w:rPr>
        <w:t xml:space="preserve">) bei Perkančiosios organizacijos atstovais. </w:t>
      </w:r>
      <w:r w:rsidRPr="00F438F7">
        <w:rPr>
          <w:lang w:eastAsia="lt-LT"/>
        </w:rPr>
        <w:t xml:space="preserve">Įrangos tiekėjas, laimėjęs viešąjį pirkimą, privalės ne tik laiku pristatyti Pirkimo dokumentų reikalavimus atitinkančią Įrangą, bet glaudžiai bendradarbiaudamas su Diegėju, Perkančiosios organizacijos atstovais bei kitais potencialiais Įrangos tiekėjas (kitų šio Projekto pirkimų / dalių dalyviais) atlikti Pirkimo dokumentuose numatytus įrangos montavimo, instaliavimo, pradinio konfigūravimo ir kitus </w:t>
      </w:r>
      <w:r w:rsidRPr="00F438F7">
        <w:rPr>
          <w:lang w:eastAsia="lt-LT"/>
        </w:rPr>
        <w:lastRenderedPageBreak/>
        <w:t>darbus</w:t>
      </w:r>
      <w:r w:rsidR="003B0EB0" w:rsidRPr="00F438F7">
        <w:rPr>
          <w:rStyle w:val="FootnoteReference"/>
          <w:kern w:val="12"/>
          <w:lang w:eastAsia="ar-SA"/>
        </w:rPr>
        <w:footnoteReference w:id="2"/>
      </w:r>
      <w:r w:rsidRPr="00F438F7">
        <w:rPr>
          <w:lang w:eastAsia="lt-LT"/>
        </w:rPr>
        <w:t>, užtikrinančius Detalios architektūros dokumente aprašytos infrastruktūros veikimą (konkrečios atsakomybių ribos tarp Įrangos tiekėjų, Diegėjo ir Perkančiosios organizacijos aprašytos atsakomybių matricoje –pridedama).</w:t>
      </w:r>
    </w:p>
    <w:p w14:paraId="1E937397" w14:textId="77777777" w:rsidR="00AB1C35" w:rsidRPr="00F438F7" w:rsidRDefault="00AB1C35" w:rsidP="00692BA9">
      <w:pPr>
        <w:pStyle w:val="ListParagraph"/>
        <w:rPr>
          <w:b/>
          <w:szCs w:val="24"/>
          <w:lang w:eastAsia="ar-SA"/>
        </w:rPr>
      </w:pPr>
    </w:p>
    <w:p w14:paraId="11030D0E" w14:textId="6CAB618F" w:rsidR="00F17ABF" w:rsidRPr="00F438F7" w:rsidRDefault="00FA27E8" w:rsidP="00063709">
      <w:pPr>
        <w:pStyle w:val="ListParagraph"/>
        <w:numPr>
          <w:ilvl w:val="0"/>
          <w:numId w:val="3"/>
        </w:numPr>
        <w:ind w:left="0"/>
        <w:jc w:val="center"/>
        <w:rPr>
          <w:b/>
          <w:bCs/>
          <w:szCs w:val="24"/>
        </w:rPr>
      </w:pPr>
      <w:r w:rsidRPr="00F438F7">
        <w:rPr>
          <w:b/>
          <w:bCs/>
          <w:szCs w:val="24"/>
        </w:rPr>
        <w:t>PIRKIMO</w:t>
      </w:r>
      <w:r w:rsidR="00413A2D" w:rsidRPr="00F438F7">
        <w:rPr>
          <w:b/>
          <w:bCs/>
          <w:szCs w:val="24"/>
        </w:rPr>
        <w:t xml:space="preserve"> TIKSLAS IR APIMTIS</w:t>
      </w:r>
    </w:p>
    <w:p w14:paraId="0A3D176F" w14:textId="77777777" w:rsidR="00F17ABF" w:rsidRPr="00F438F7" w:rsidRDefault="00F17ABF">
      <w:pPr>
        <w:tabs>
          <w:tab w:val="left" w:pos="142"/>
        </w:tabs>
        <w:spacing w:line="360" w:lineRule="auto"/>
        <w:jc w:val="both"/>
        <w:rPr>
          <w:lang w:eastAsia="lt-LT"/>
        </w:rPr>
      </w:pPr>
    </w:p>
    <w:p w14:paraId="43F7240D" w14:textId="0E857CEB" w:rsidR="00961FFD" w:rsidRPr="000F4A37" w:rsidRDefault="00D03C8F" w:rsidP="00692BA9">
      <w:pPr>
        <w:pStyle w:val="ListParagraph"/>
        <w:numPr>
          <w:ilvl w:val="1"/>
          <w:numId w:val="3"/>
        </w:numPr>
        <w:tabs>
          <w:tab w:val="left" w:pos="709"/>
        </w:tabs>
        <w:spacing w:line="360" w:lineRule="auto"/>
        <w:ind w:left="0" w:firstLine="284"/>
        <w:jc w:val="both"/>
        <w:rPr>
          <w:lang w:eastAsia="lt-LT"/>
        </w:rPr>
      </w:pPr>
      <w:r w:rsidRPr="000F4A37">
        <w:rPr>
          <w:lang w:eastAsia="lt-LT"/>
        </w:rPr>
        <w:t xml:space="preserve">Šio </w:t>
      </w:r>
      <w:r w:rsidR="00C83037" w:rsidRPr="000F4A37">
        <w:rPr>
          <w:lang w:eastAsia="lt-LT"/>
        </w:rPr>
        <w:t xml:space="preserve">viešojo </w:t>
      </w:r>
      <w:r w:rsidRPr="000F4A37">
        <w:rPr>
          <w:lang w:eastAsia="lt-LT"/>
        </w:rPr>
        <w:t>pirkimo</w:t>
      </w:r>
      <w:r w:rsidR="00413A2D" w:rsidRPr="000F4A37">
        <w:rPr>
          <w:lang w:eastAsia="lt-LT"/>
        </w:rPr>
        <w:t xml:space="preserve"> tikslas</w:t>
      </w:r>
      <w:r w:rsidR="00FA27E8" w:rsidRPr="000F4A37">
        <w:rPr>
          <w:lang w:eastAsia="lt-LT"/>
        </w:rPr>
        <w:t xml:space="preserve"> – </w:t>
      </w:r>
      <w:r w:rsidR="00AB1C35" w:rsidRPr="000F4A37">
        <w:rPr>
          <w:b/>
          <w:bCs/>
          <w:lang w:eastAsia="lt-LT"/>
        </w:rPr>
        <w:t>įsigyti</w:t>
      </w:r>
      <w:r w:rsidRPr="000F4A37">
        <w:rPr>
          <w:b/>
          <w:bCs/>
          <w:lang w:eastAsia="lt-LT"/>
        </w:rPr>
        <w:t xml:space="preserve"> </w:t>
      </w:r>
      <w:r w:rsidR="00C83037" w:rsidRPr="000F4A37">
        <w:rPr>
          <w:b/>
          <w:bCs/>
          <w:lang w:eastAsia="lt-LT"/>
        </w:rPr>
        <w:t xml:space="preserve">ir įdiegti </w:t>
      </w:r>
      <w:r w:rsidR="000152D5" w:rsidRPr="000F4A37">
        <w:rPr>
          <w:b/>
          <w:bCs/>
          <w:lang w:eastAsia="lt-LT"/>
        </w:rPr>
        <w:t xml:space="preserve">objektinio tipo </w:t>
      </w:r>
      <w:r w:rsidR="0011416B" w:rsidRPr="000F4A37">
        <w:rPr>
          <w:b/>
          <w:bCs/>
          <w:lang w:eastAsia="lt-LT"/>
        </w:rPr>
        <w:t>duomenų saugyklas</w:t>
      </w:r>
      <w:r w:rsidR="00365BC2" w:rsidRPr="000F4A37">
        <w:rPr>
          <w:lang w:eastAsia="lt-LT"/>
        </w:rPr>
        <w:t xml:space="preserve"> – 2 vnt</w:t>
      </w:r>
      <w:r w:rsidR="0011416B" w:rsidRPr="000F4A37">
        <w:rPr>
          <w:lang w:eastAsia="lt-LT"/>
        </w:rPr>
        <w:t>.</w:t>
      </w:r>
      <w:r w:rsidR="001B2ED4" w:rsidRPr="000F4A37">
        <w:rPr>
          <w:lang w:eastAsia="lt-LT"/>
        </w:rPr>
        <w:t xml:space="preserve"> </w:t>
      </w:r>
    </w:p>
    <w:p w14:paraId="4ECA4B5A" w14:textId="5D90CC4A" w:rsidR="00413A2D" w:rsidRPr="000F4A37" w:rsidRDefault="0011416B" w:rsidP="00692BA9">
      <w:pPr>
        <w:pStyle w:val="ListParagraph"/>
        <w:numPr>
          <w:ilvl w:val="1"/>
          <w:numId w:val="3"/>
        </w:numPr>
        <w:tabs>
          <w:tab w:val="left" w:pos="709"/>
        </w:tabs>
        <w:spacing w:line="360" w:lineRule="auto"/>
        <w:ind w:left="0" w:firstLine="284"/>
        <w:rPr>
          <w:lang w:eastAsia="lt-LT"/>
        </w:rPr>
      </w:pPr>
      <w:r w:rsidRPr="000F4A37">
        <w:rPr>
          <w:lang w:eastAsia="lt-LT"/>
        </w:rPr>
        <w:t xml:space="preserve"> </w:t>
      </w:r>
      <w:r w:rsidR="00413A2D" w:rsidRPr="000F4A37">
        <w:rPr>
          <w:lang w:eastAsia="lt-LT"/>
        </w:rPr>
        <w:t>Šis pirkimas į atskiras dalis neskaidomas.</w:t>
      </w:r>
    </w:p>
    <w:p w14:paraId="1A2E8810" w14:textId="062683B1" w:rsidR="00413A2D" w:rsidRPr="000F4A37" w:rsidRDefault="00413A2D" w:rsidP="005E0D77">
      <w:pPr>
        <w:tabs>
          <w:tab w:val="left" w:pos="142"/>
        </w:tabs>
        <w:spacing w:line="360" w:lineRule="auto"/>
        <w:jc w:val="both"/>
        <w:rPr>
          <w:lang w:eastAsia="lt-LT"/>
        </w:rPr>
      </w:pPr>
    </w:p>
    <w:p w14:paraId="77EC1001" w14:textId="402A2C09" w:rsidR="00B5726F" w:rsidRPr="000F4A37" w:rsidRDefault="00C3644F" w:rsidP="00063709">
      <w:pPr>
        <w:pStyle w:val="ListParagraph"/>
        <w:numPr>
          <w:ilvl w:val="0"/>
          <w:numId w:val="3"/>
        </w:numPr>
        <w:ind w:left="714" w:hanging="357"/>
        <w:jc w:val="center"/>
        <w:rPr>
          <w:b/>
          <w:szCs w:val="24"/>
        </w:rPr>
      </w:pPr>
      <w:r w:rsidRPr="000F4A37">
        <w:rPr>
          <w:b/>
          <w:bCs/>
          <w:szCs w:val="24"/>
        </w:rPr>
        <w:t xml:space="preserve"> BENDRIEJI REIKALAVIMAI</w:t>
      </w:r>
      <w:r w:rsidR="008C7C0D" w:rsidRPr="000F4A37">
        <w:rPr>
          <w:b/>
          <w:bCs/>
          <w:szCs w:val="24"/>
        </w:rPr>
        <w:t xml:space="preserve"> SIŪLOMAI ĮRANGAI IR PASLAUGOMS</w:t>
      </w:r>
    </w:p>
    <w:p w14:paraId="103D4570" w14:textId="57049800" w:rsidR="00A674F0" w:rsidRPr="000F4A37" w:rsidRDefault="00A674F0" w:rsidP="00205DF0">
      <w:pPr>
        <w:tabs>
          <w:tab w:val="left" w:pos="426"/>
          <w:tab w:val="left" w:pos="709"/>
          <w:tab w:val="left" w:pos="851"/>
          <w:tab w:val="left" w:pos="1170"/>
          <w:tab w:val="left" w:pos="1440"/>
          <w:tab w:val="left" w:pos="1560"/>
        </w:tabs>
        <w:ind w:left="709"/>
        <w:contextualSpacing/>
        <w:rPr>
          <w:b/>
          <w:szCs w:val="24"/>
        </w:rPr>
      </w:pPr>
    </w:p>
    <w:p w14:paraId="66481FD9" w14:textId="68D31E04" w:rsidR="00C45608" w:rsidRPr="000F4A37" w:rsidRDefault="00457463" w:rsidP="000152D5">
      <w:pPr>
        <w:pStyle w:val="ListParagraph"/>
        <w:numPr>
          <w:ilvl w:val="1"/>
          <w:numId w:val="3"/>
        </w:numPr>
        <w:tabs>
          <w:tab w:val="left" w:pos="709"/>
          <w:tab w:val="left" w:pos="851"/>
        </w:tabs>
        <w:ind w:left="0" w:firstLine="284"/>
        <w:rPr>
          <w:b/>
          <w:lang w:eastAsia="lt-LT"/>
        </w:rPr>
      </w:pPr>
      <w:r w:rsidRPr="000F4A37">
        <w:rPr>
          <w:b/>
          <w:lang w:eastAsia="lt-LT"/>
        </w:rPr>
        <w:t>Bendrieji r</w:t>
      </w:r>
      <w:r w:rsidR="0001736F" w:rsidRPr="000F4A37">
        <w:rPr>
          <w:b/>
          <w:lang w:eastAsia="lt-LT"/>
        </w:rPr>
        <w:t>eikalavimai siūlomos į</w:t>
      </w:r>
      <w:r w:rsidR="00EF33F3" w:rsidRPr="000F4A37">
        <w:rPr>
          <w:b/>
          <w:lang w:eastAsia="lt-LT"/>
        </w:rPr>
        <w:t>rangos</w:t>
      </w:r>
      <w:r w:rsidR="00C45608" w:rsidRPr="000F4A37">
        <w:rPr>
          <w:b/>
          <w:lang w:eastAsia="lt-LT"/>
        </w:rPr>
        <w:t xml:space="preserve"> tiekėjui:</w:t>
      </w:r>
    </w:p>
    <w:p w14:paraId="06336B47" w14:textId="77777777" w:rsidR="000152D5" w:rsidRPr="000F4A37" w:rsidRDefault="000152D5" w:rsidP="00692BA9">
      <w:pPr>
        <w:pStyle w:val="ListParagraph"/>
        <w:tabs>
          <w:tab w:val="left" w:pos="709"/>
          <w:tab w:val="left" w:pos="851"/>
        </w:tabs>
        <w:ind w:left="284"/>
        <w:rPr>
          <w:b/>
          <w:lang w:eastAsia="lt-LT"/>
        </w:rPr>
      </w:pPr>
    </w:p>
    <w:p w14:paraId="05F3D697" w14:textId="77777777" w:rsidR="00B97BA3" w:rsidRPr="000F4A37" w:rsidRDefault="00B97BA3" w:rsidP="00063709">
      <w:pPr>
        <w:pStyle w:val="ListParagraph"/>
        <w:numPr>
          <w:ilvl w:val="2"/>
          <w:numId w:val="3"/>
        </w:numPr>
        <w:suppressAutoHyphens/>
        <w:autoSpaceDN w:val="0"/>
        <w:spacing w:line="360" w:lineRule="auto"/>
        <w:ind w:left="0" w:firstLine="567"/>
        <w:jc w:val="both"/>
        <w:textAlignment w:val="baseline"/>
        <w:rPr>
          <w:kern w:val="12"/>
        </w:rPr>
      </w:pPr>
      <w:r w:rsidRPr="000F4A37">
        <w:rPr>
          <w:kern w:val="12"/>
          <w:lang w:eastAsia="ar-SA"/>
        </w:rPr>
        <w:t xml:space="preserve">Įrangos tiekėjas turi būti siūlomos įrangos gamintojo atstovas, įgaliotas pateikti (parduoti), įdiegti ir aptarnauti siūlomą įrangą arba turi būti sudaręs sutartį su tokiu atstovu, turinčiu išvardintas teises. Pasiūlyme turi būti pateiktos Įrangos tiekėjo pažymos, patvirtinančios, kad Įrangos tiekėjas yra siūlomos įrangos gamintojo atstovas, įgaliotas pateikti (parduoti), įdiegti ir aptarnauti siūlomą įrangą </w:t>
      </w:r>
      <w:r w:rsidRPr="000F4A37">
        <w:t>arba turi būti sudaręs sutartį su tokiu atstovu, turinčiu išvardintas teises</w:t>
      </w:r>
      <w:r w:rsidRPr="000F4A37">
        <w:rPr>
          <w:kern w:val="12"/>
          <w:lang w:eastAsia="ar-SA"/>
        </w:rPr>
        <w:t xml:space="preserve"> (turi būti pateikta skaitmeninė kopija)</w:t>
      </w:r>
      <w:r w:rsidRPr="000F4A37">
        <w:rPr>
          <w:lang w:eastAsia="ar-SA"/>
        </w:rPr>
        <w:t>.</w:t>
      </w:r>
    </w:p>
    <w:p w14:paraId="799FBA97" w14:textId="7D5D78E5" w:rsidR="00EF33F3" w:rsidRPr="00B97BA3" w:rsidRDefault="00457463" w:rsidP="00063709">
      <w:pPr>
        <w:pStyle w:val="ListParagraph"/>
        <w:numPr>
          <w:ilvl w:val="2"/>
          <w:numId w:val="3"/>
        </w:numPr>
        <w:suppressAutoHyphens/>
        <w:autoSpaceDN w:val="0"/>
        <w:spacing w:line="360" w:lineRule="auto"/>
        <w:ind w:left="0" w:firstLine="567"/>
        <w:jc w:val="both"/>
        <w:textAlignment w:val="baseline"/>
        <w:rPr>
          <w:kern w:val="12"/>
        </w:rPr>
      </w:pPr>
      <w:r w:rsidRPr="00B97BA3">
        <w:rPr>
          <w:kern w:val="12"/>
        </w:rPr>
        <w:t>Įrangos t</w:t>
      </w:r>
      <w:r w:rsidR="00C45608" w:rsidRPr="00B97BA3">
        <w:rPr>
          <w:kern w:val="12"/>
        </w:rPr>
        <w:t xml:space="preserve">iekėjas turi būti siūlomos įrangos gamintojo autorizuotas serviso centras arba turi būti sudaręs sutartį su tokiu centru </w:t>
      </w:r>
      <w:r w:rsidRPr="00B97BA3">
        <w:rPr>
          <w:kern w:val="12"/>
        </w:rPr>
        <w:t xml:space="preserve">(veikiančiu Lietuvos Respublikos teritorijoje) </w:t>
      </w:r>
      <w:r w:rsidR="00C45608" w:rsidRPr="00B97BA3">
        <w:rPr>
          <w:kern w:val="12"/>
        </w:rPr>
        <w:t xml:space="preserve">dėl </w:t>
      </w:r>
      <w:r w:rsidRPr="00B97BA3">
        <w:rPr>
          <w:kern w:val="12"/>
        </w:rPr>
        <w:t xml:space="preserve">siūlomos Įrangos </w:t>
      </w:r>
      <w:r w:rsidR="00C45608" w:rsidRPr="00B97BA3">
        <w:rPr>
          <w:kern w:val="12"/>
        </w:rPr>
        <w:t xml:space="preserve">garantinio aptarnavimo. Pasiūlyme </w:t>
      </w:r>
      <w:r w:rsidRPr="00B97BA3">
        <w:rPr>
          <w:kern w:val="12"/>
        </w:rPr>
        <w:t>turi būti pateiktos</w:t>
      </w:r>
      <w:r w:rsidR="00C45608" w:rsidRPr="00B97BA3">
        <w:rPr>
          <w:kern w:val="12"/>
        </w:rPr>
        <w:t xml:space="preserve"> </w:t>
      </w:r>
      <w:r w:rsidRPr="00B97BA3">
        <w:rPr>
          <w:kern w:val="12"/>
        </w:rPr>
        <w:t xml:space="preserve">Įrangos </w:t>
      </w:r>
      <w:r w:rsidR="007B7354" w:rsidRPr="00B97BA3">
        <w:rPr>
          <w:kern w:val="12"/>
        </w:rPr>
        <w:t xml:space="preserve">gamintojo </w:t>
      </w:r>
      <w:r w:rsidR="00C45608" w:rsidRPr="00B97BA3">
        <w:rPr>
          <w:kern w:val="12"/>
        </w:rPr>
        <w:t xml:space="preserve">pažymos, patvirtinančios, kad </w:t>
      </w:r>
      <w:r w:rsidRPr="00B97BA3">
        <w:rPr>
          <w:kern w:val="12"/>
        </w:rPr>
        <w:t>Įrangos t</w:t>
      </w:r>
      <w:r w:rsidR="00C45608" w:rsidRPr="00B97BA3">
        <w:rPr>
          <w:kern w:val="12"/>
        </w:rPr>
        <w:t>iekėjas yra siūlomos įrangos gamintojo autorizuotas serviso centras arba yra sudaręs sutartį su tokiu centru</w:t>
      </w:r>
      <w:r w:rsidRPr="00B97BA3">
        <w:rPr>
          <w:kern w:val="12"/>
        </w:rPr>
        <w:t xml:space="preserve"> (veikiančiu Lietuvos Respublikos teritorijoje)</w:t>
      </w:r>
      <w:r w:rsidR="00C45608" w:rsidRPr="00B97BA3">
        <w:rPr>
          <w:kern w:val="12"/>
        </w:rPr>
        <w:t xml:space="preserve"> dėl </w:t>
      </w:r>
      <w:r w:rsidRPr="00B97BA3">
        <w:rPr>
          <w:kern w:val="12"/>
        </w:rPr>
        <w:t>siūlomos Įrangos</w:t>
      </w:r>
      <w:r w:rsidR="00C45608" w:rsidRPr="00B97BA3">
        <w:rPr>
          <w:kern w:val="12"/>
        </w:rPr>
        <w:t xml:space="preserve"> garantinio aptarnavim</w:t>
      </w:r>
      <w:r w:rsidRPr="00B97BA3">
        <w:rPr>
          <w:kern w:val="12"/>
        </w:rPr>
        <w:t>o (turi būti pateikta skaitmeninė kopija)</w:t>
      </w:r>
      <w:r w:rsidR="00C45608" w:rsidRPr="00B97BA3">
        <w:rPr>
          <w:kern w:val="12"/>
        </w:rPr>
        <w:t xml:space="preserve">. </w:t>
      </w:r>
    </w:p>
    <w:p w14:paraId="64C00E18" w14:textId="03D85AFA" w:rsidR="007E58FD" w:rsidRPr="00F438F7" w:rsidRDefault="00C83037"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 xml:space="preserve">Siekiant užtikrinti siūlomos Įrangos </w:t>
      </w:r>
      <w:r w:rsidR="005C5D7B" w:rsidRPr="00F438F7">
        <w:rPr>
          <w:kern w:val="12"/>
          <w:lang w:eastAsia="ar-SA"/>
        </w:rPr>
        <w:t>ir likusios VDPT</w:t>
      </w:r>
      <w:r w:rsidR="003B0EB0" w:rsidRPr="00F438F7">
        <w:rPr>
          <w:rStyle w:val="FootnoteReference"/>
          <w:kern w:val="12"/>
          <w:lang w:eastAsia="ar-SA"/>
        </w:rPr>
        <w:footnoteReference w:id="3"/>
      </w:r>
      <w:r w:rsidR="005C5D7B" w:rsidRPr="00F438F7">
        <w:rPr>
          <w:kern w:val="12"/>
          <w:lang w:eastAsia="ar-SA"/>
        </w:rPr>
        <w:t xml:space="preserve"> infrastruktūros komponentų </w:t>
      </w:r>
      <w:r w:rsidRPr="00F438F7">
        <w:rPr>
          <w:kern w:val="12"/>
          <w:lang w:eastAsia="ar-SA"/>
        </w:rPr>
        <w:t xml:space="preserve"> suderinamumą</w:t>
      </w:r>
      <w:r w:rsidR="005C5D7B" w:rsidRPr="00F438F7">
        <w:rPr>
          <w:kern w:val="12"/>
          <w:lang w:eastAsia="ar-SA"/>
        </w:rPr>
        <w:t xml:space="preserve"> bei </w:t>
      </w:r>
      <w:r w:rsidRPr="00F438F7">
        <w:rPr>
          <w:kern w:val="12"/>
          <w:lang w:eastAsia="ar-SA"/>
        </w:rPr>
        <w:t>k</w:t>
      </w:r>
      <w:r w:rsidR="005C5D7B" w:rsidRPr="00F438F7">
        <w:rPr>
          <w:kern w:val="12"/>
          <w:lang w:eastAsia="ar-SA"/>
        </w:rPr>
        <w:t>orektišką įdiegto</w:t>
      </w:r>
      <w:r w:rsidRPr="00F438F7">
        <w:rPr>
          <w:kern w:val="12"/>
          <w:lang w:eastAsia="ar-SA"/>
        </w:rPr>
        <w:t xml:space="preserve"> VDPT infrastruktūros</w:t>
      </w:r>
      <w:r w:rsidR="005C5D7B" w:rsidRPr="00F438F7">
        <w:rPr>
          <w:kern w:val="12"/>
          <w:lang w:eastAsia="ar-SA"/>
        </w:rPr>
        <w:t xml:space="preserve"> sprendimo</w:t>
      </w:r>
      <w:r w:rsidRPr="00F438F7">
        <w:rPr>
          <w:kern w:val="12"/>
          <w:lang w:eastAsia="ar-SA"/>
        </w:rPr>
        <w:t xml:space="preserve"> veikimą, Įrangos tiekėjai </w:t>
      </w:r>
      <w:r w:rsidR="00457463" w:rsidRPr="00F438F7">
        <w:rPr>
          <w:kern w:val="12"/>
          <w:lang w:eastAsia="ar-SA"/>
        </w:rPr>
        <w:t xml:space="preserve">prieš pateikiant pasiūlymą </w:t>
      </w:r>
      <w:r w:rsidRPr="00F438F7">
        <w:rPr>
          <w:kern w:val="12"/>
          <w:lang w:eastAsia="ar-SA"/>
        </w:rPr>
        <w:t xml:space="preserve">turi išanalizuoti ir įvertinti ne tik konkretaus pirkimo dokumentus, bet ir lygiagrečiai </w:t>
      </w:r>
      <w:r w:rsidR="00457463" w:rsidRPr="00F438F7">
        <w:rPr>
          <w:kern w:val="12"/>
          <w:lang w:eastAsia="ar-SA"/>
        </w:rPr>
        <w:t xml:space="preserve">Perkančiosios organizacijos </w:t>
      </w:r>
      <w:r w:rsidR="005C5D7B" w:rsidRPr="00F438F7">
        <w:rPr>
          <w:kern w:val="12"/>
          <w:lang w:eastAsia="ar-SA"/>
        </w:rPr>
        <w:t>vykdomus</w:t>
      </w:r>
      <w:r w:rsidR="00AA0E24" w:rsidRPr="00F438F7">
        <w:rPr>
          <w:kern w:val="12"/>
          <w:lang w:eastAsia="ar-SA"/>
        </w:rPr>
        <w:t>/įvykdytus</w:t>
      </w:r>
      <w:r w:rsidR="005C5D7B" w:rsidRPr="00F438F7">
        <w:rPr>
          <w:kern w:val="12"/>
          <w:lang w:eastAsia="ar-SA"/>
        </w:rPr>
        <w:t xml:space="preserve"> kitus </w:t>
      </w:r>
      <w:r w:rsidR="000856C6" w:rsidRPr="00F438F7">
        <w:rPr>
          <w:kern w:val="12"/>
          <w:lang w:eastAsia="ar-SA"/>
        </w:rPr>
        <w:t xml:space="preserve">viešuosius </w:t>
      </w:r>
      <w:r w:rsidRPr="00F438F7">
        <w:rPr>
          <w:kern w:val="12"/>
          <w:lang w:eastAsia="ar-SA"/>
        </w:rPr>
        <w:t xml:space="preserve">pirkimus, susijusius su </w:t>
      </w:r>
      <w:r w:rsidR="000856C6" w:rsidRPr="00F438F7">
        <w:rPr>
          <w:kern w:val="12"/>
          <w:lang w:eastAsia="ar-SA"/>
        </w:rPr>
        <w:t>Detalioje architektūroje s</w:t>
      </w:r>
      <w:r w:rsidR="00457463" w:rsidRPr="00F438F7">
        <w:rPr>
          <w:kern w:val="12"/>
          <w:lang w:eastAsia="ar-SA"/>
        </w:rPr>
        <w:t>uprojektuoto sprendimo įdiegimu.</w:t>
      </w:r>
    </w:p>
    <w:p w14:paraId="393EE02C" w14:textId="7775D9A2" w:rsidR="00C45608" w:rsidRPr="00F438F7" w:rsidRDefault="00C45608" w:rsidP="005E0D77">
      <w:pPr>
        <w:pStyle w:val="ListParagraph"/>
        <w:tabs>
          <w:tab w:val="left" w:pos="426"/>
        </w:tabs>
        <w:suppressAutoHyphens/>
        <w:autoSpaceDN w:val="0"/>
        <w:spacing w:line="360" w:lineRule="auto"/>
        <w:ind w:left="360"/>
        <w:jc w:val="both"/>
        <w:textAlignment w:val="baseline"/>
        <w:rPr>
          <w:color w:val="222222"/>
          <w:szCs w:val="24"/>
        </w:rPr>
      </w:pPr>
    </w:p>
    <w:p w14:paraId="7F2B116A" w14:textId="55AF86B8" w:rsidR="00C45608" w:rsidRPr="00F438F7" w:rsidRDefault="00A14298" w:rsidP="00063709">
      <w:pPr>
        <w:pStyle w:val="ListParagraph"/>
        <w:numPr>
          <w:ilvl w:val="1"/>
          <w:numId w:val="3"/>
        </w:numPr>
        <w:tabs>
          <w:tab w:val="left" w:pos="567"/>
          <w:tab w:val="left" w:pos="851"/>
          <w:tab w:val="left" w:pos="1134"/>
        </w:tabs>
        <w:spacing w:line="360" w:lineRule="auto"/>
        <w:ind w:left="284"/>
        <w:jc w:val="both"/>
        <w:rPr>
          <w:b/>
          <w:lang w:eastAsia="lt-LT"/>
        </w:rPr>
      </w:pPr>
      <w:r w:rsidRPr="00F438F7">
        <w:rPr>
          <w:b/>
          <w:lang w:eastAsia="lt-LT"/>
        </w:rPr>
        <w:t>Bendrieji r</w:t>
      </w:r>
      <w:r w:rsidR="00C45608" w:rsidRPr="00F438F7">
        <w:rPr>
          <w:b/>
          <w:lang w:eastAsia="lt-LT"/>
        </w:rPr>
        <w:t xml:space="preserve">eikalavimai </w:t>
      </w:r>
      <w:r w:rsidR="00B34DB2" w:rsidRPr="00F438F7">
        <w:rPr>
          <w:b/>
          <w:lang w:eastAsia="lt-LT"/>
        </w:rPr>
        <w:t xml:space="preserve">siūlomai </w:t>
      </w:r>
      <w:r w:rsidR="00EF33F3" w:rsidRPr="00F438F7">
        <w:rPr>
          <w:b/>
          <w:lang w:eastAsia="lt-LT"/>
        </w:rPr>
        <w:t xml:space="preserve">įrangai ir </w:t>
      </w:r>
      <w:r w:rsidR="00C45608" w:rsidRPr="00F438F7">
        <w:rPr>
          <w:b/>
          <w:lang w:eastAsia="lt-LT"/>
        </w:rPr>
        <w:t>licencijoms:</w:t>
      </w:r>
    </w:p>
    <w:p w14:paraId="5CAB37E0" w14:textId="77777777" w:rsidR="00EF33F3" w:rsidRPr="00F438F7" w:rsidRDefault="00EF33F3" w:rsidP="005E0D77">
      <w:pPr>
        <w:pStyle w:val="ListParagraph"/>
        <w:tabs>
          <w:tab w:val="left" w:pos="426"/>
          <w:tab w:val="left" w:pos="851"/>
          <w:tab w:val="left" w:pos="1170"/>
          <w:tab w:val="left" w:pos="1440"/>
          <w:tab w:val="left" w:pos="1560"/>
        </w:tabs>
        <w:ind w:left="0"/>
        <w:rPr>
          <w:b/>
          <w:color w:val="222222"/>
          <w:szCs w:val="24"/>
        </w:rPr>
      </w:pPr>
    </w:p>
    <w:p w14:paraId="109AE1C1" w14:textId="49BF588A" w:rsidR="00C45608" w:rsidRPr="00F438F7" w:rsidRDefault="00C45608"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Į bendrą pasiūlym</w:t>
      </w:r>
      <w:r w:rsidR="005C5D7B" w:rsidRPr="00F438F7">
        <w:rPr>
          <w:kern w:val="12"/>
          <w:lang w:eastAsia="ar-SA"/>
        </w:rPr>
        <w:t>o kainą turi būti įtrauktos</w:t>
      </w:r>
      <w:r w:rsidRPr="00F438F7">
        <w:rPr>
          <w:kern w:val="12"/>
          <w:lang w:eastAsia="ar-SA"/>
        </w:rPr>
        <w:t xml:space="preserve"> </w:t>
      </w:r>
      <w:r w:rsidR="005C5D7B" w:rsidRPr="00F438F7">
        <w:rPr>
          <w:kern w:val="12"/>
          <w:lang w:eastAsia="ar-SA"/>
        </w:rPr>
        <w:t>visos gamintojo licencijos, reikalingos</w:t>
      </w:r>
      <w:r w:rsidRPr="00F438F7">
        <w:rPr>
          <w:kern w:val="12"/>
          <w:lang w:eastAsia="ar-SA"/>
        </w:rPr>
        <w:t xml:space="preserve"> </w:t>
      </w:r>
      <w:r w:rsidR="005C5D7B" w:rsidRPr="00F438F7">
        <w:rPr>
          <w:kern w:val="12"/>
          <w:lang w:eastAsia="ar-SA"/>
        </w:rPr>
        <w:t xml:space="preserve">perkamos Įrangos reikalaujamoms </w:t>
      </w:r>
      <w:r w:rsidRPr="00F438F7">
        <w:rPr>
          <w:kern w:val="12"/>
          <w:lang w:eastAsia="ar-SA"/>
        </w:rPr>
        <w:t xml:space="preserve">funkcijoms </w:t>
      </w:r>
      <w:r w:rsidR="005C5D7B" w:rsidRPr="00F438F7">
        <w:rPr>
          <w:kern w:val="12"/>
          <w:lang w:eastAsia="ar-SA"/>
        </w:rPr>
        <w:t>vykdyti ir palaikyti.</w:t>
      </w:r>
    </w:p>
    <w:p w14:paraId="7AE218AB" w14:textId="5C9BD29B" w:rsidR="00EF33F3" w:rsidRPr="00F438F7" w:rsidRDefault="00C45608"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Jei licencija pagal gamintojo taisykles galioja vienam įrenginiui, licencijų reikia pateikti tiek, kiek reikalaujama įrenginių.</w:t>
      </w:r>
    </w:p>
    <w:p w14:paraId="60EB74A0" w14:textId="764B0C9B" w:rsidR="000856C6" w:rsidRPr="00F438F7" w:rsidRDefault="00B34DB2"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 xml:space="preserve">Visos </w:t>
      </w:r>
      <w:r w:rsidR="005C5D7B" w:rsidRPr="00F438F7">
        <w:rPr>
          <w:kern w:val="12"/>
          <w:lang w:eastAsia="ar-SA"/>
        </w:rPr>
        <w:t>siūlomos Į</w:t>
      </w:r>
      <w:r w:rsidRPr="00F438F7">
        <w:rPr>
          <w:kern w:val="12"/>
          <w:lang w:eastAsia="ar-SA"/>
        </w:rPr>
        <w:t xml:space="preserve">rangos licencijos turi būti pateikiamos su ne mažiau kaip 5 metų gamintojo </w:t>
      </w:r>
      <w:r w:rsidR="00352677" w:rsidRPr="00F438F7">
        <w:rPr>
          <w:kern w:val="12"/>
          <w:lang w:eastAsia="ar-SA"/>
        </w:rPr>
        <w:t>garantija</w:t>
      </w:r>
      <w:r w:rsidRPr="00F438F7">
        <w:rPr>
          <w:kern w:val="12"/>
          <w:lang w:eastAsia="ar-SA"/>
        </w:rPr>
        <w:t xml:space="preserve"> (jeigu techninės specifikacijos specialiuose sąlygose nenurodyta kitaip).</w:t>
      </w:r>
      <w:r w:rsidR="000856C6" w:rsidRPr="00F438F7">
        <w:rPr>
          <w:kern w:val="12"/>
          <w:lang w:eastAsia="ar-SA"/>
        </w:rPr>
        <w:t xml:space="preserve"> </w:t>
      </w:r>
    </w:p>
    <w:p w14:paraId="367A4310" w14:textId="1E2A41BA" w:rsidR="00EF33F3" w:rsidRPr="00F438F7" w:rsidRDefault="005C5D7B"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Naudojant įsigytą Į</w:t>
      </w:r>
      <w:r w:rsidR="00C45608" w:rsidRPr="00F438F7">
        <w:rPr>
          <w:kern w:val="12"/>
          <w:lang w:eastAsia="ar-SA"/>
        </w:rPr>
        <w:t>rangą bus teikiamos debesijos paslaugos kitoms v</w:t>
      </w:r>
      <w:r w:rsidR="00B34DB2" w:rsidRPr="00F438F7">
        <w:rPr>
          <w:kern w:val="12"/>
          <w:lang w:eastAsia="ar-SA"/>
        </w:rPr>
        <w:t>alstybės</w:t>
      </w:r>
      <w:r w:rsidR="00C45608" w:rsidRPr="00F438F7">
        <w:rPr>
          <w:kern w:val="12"/>
          <w:lang w:eastAsia="ar-SA"/>
        </w:rPr>
        <w:t xml:space="preserve"> įstaig</w:t>
      </w:r>
      <w:r w:rsidR="00B34DB2" w:rsidRPr="00F438F7">
        <w:rPr>
          <w:kern w:val="12"/>
          <w:lang w:eastAsia="ar-SA"/>
        </w:rPr>
        <w:t>oms, įmonėms bei organizacijoms, todėl j</w:t>
      </w:r>
      <w:r w:rsidR="00C45608" w:rsidRPr="00F438F7">
        <w:rPr>
          <w:kern w:val="12"/>
          <w:lang w:eastAsia="ar-SA"/>
        </w:rPr>
        <w:t>eigu gamintojų taisyklės šiam poreikiui realizuoti reikalauja papildomų licencijų, tokias licencijas būtina įtraukti į pasiūlymo kainą</w:t>
      </w:r>
      <w:r w:rsidRPr="00F438F7">
        <w:rPr>
          <w:kern w:val="12"/>
          <w:lang w:eastAsia="ar-SA"/>
        </w:rPr>
        <w:t xml:space="preserve"> (taip pat tai turi būti nurodyta pasiūlyme)</w:t>
      </w:r>
      <w:r w:rsidR="00C45608" w:rsidRPr="00F438F7">
        <w:rPr>
          <w:kern w:val="12"/>
          <w:lang w:eastAsia="ar-SA"/>
        </w:rPr>
        <w:t>.</w:t>
      </w:r>
    </w:p>
    <w:p w14:paraId="3EEA79DD" w14:textId="2BBCAC20" w:rsidR="00C45608" w:rsidRPr="00F438F7" w:rsidRDefault="00C45608"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Visą siūlomą techninę ir programinę įrangą Įrangos tiekėjas privalo užregistruoti Perkančiosios organizacijos vardu gamintojų nustatyta tvarka garantinių paslaugų teikimui, o registracijos duomenis perduoti Perkančiajai organizacijai</w:t>
      </w:r>
      <w:r w:rsidR="00EF33F3" w:rsidRPr="00F438F7">
        <w:rPr>
          <w:kern w:val="12"/>
          <w:lang w:eastAsia="ar-SA"/>
        </w:rPr>
        <w:t>.</w:t>
      </w:r>
    </w:p>
    <w:p w14:paraId="02926186" w14:textId="0B9AE1AD" w:rsidR="002C3F13" w:rsidRPr="00F438F7" w:rsidRDefault="002C3F13"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 xml:space="preserve">Perkančiajai organizacijai turi būti užtikrinta teisė į programinės įrangos nemokamus atnaujinimus ir klaidų taisymus (garantiniu </w:t>
      </w:r>
      <w:r w:rsidR="00B34DB2" w:rsidRPr="00F438F7">
        <w:rPr>
          <w:kern w:val="12"/>
          <w:lang w:eastAsia="ar-SA"/>
        </w:rPr>
        <w:t xml:space="preserve">ir palaikymo </w:t>
      </w:r>
      <w:r w:rsidRPr="00F438F7">
        <w:rPr>
          <w:kern w:val="12"/>
          <w:lang w:eastAsia="ar-SA"/>
        </w:rPr>
        <w:t xml:space="preserve">laikotarpiu). </w:t>
      </w:r>
    </w:p>
    <w:p w14:paraId="396C0E25" w14:textId="3244FBD4" w:rsidR="00EF33F3" w:rsidRPr="00F438F7" w:rsidRDefault="00EF33F3"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Visa siūloma įranga turi būti nauja, nenaudota, gamykliniame įpakavime. Pateikiama įranga negali būti gamintojo atnaujinta („Refurbished“ arba „Remarketed“).</w:t>
      </w:r>
    </w:p>
    <w:p w14:paraId="4215F5D6" w14:textId="0CA1AE05" w:rsidR="007E58FD" w:rsidRPr="00F438F7" w:rsidRDefault="007E58FD"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 xml:space="preserve">Pasiūlyme </w:t>
      </w:r>
      <w:r w:rsidR="0096085C" w:rsidRPr="00F438F7">
        <w:rPr>
          <w:kern w:val="12"/>
          <w:lang w:eastAsia="ar-SA"/>
        </w:rPr>
        <w:t xml:space="preserve">Įrangos </w:t>
      </w:r>
      <w:r w:rsidRPr="00F438F7">
        <w:rPr>
          <w:kern w:val="12"/>
          <w:lang w:eastAsia="ar-SA"/>
        </w:rPr>
        <w:t xml:space="preserve">tiekėjas turi pateikti tikslias siūlomos įrangos konfigūracijas, kuriose </w:t>
      </w:r>
      <w:r w:rsidR="0096085C" w:rsidRPr="00F438F7">
        <w:rPr>
          <w:kern w:val="12"/>
          <w:lang w:eastAsia="ar-SA"/>
        </w:rPr>
        <w:t>būtų pateikti tikslūs siūlomos Į</w:t>
      </w:r>
      <w:r w:rsidRPr="00F438F7">
        <w:rPr>
          <w:kern w:val="12"/>
          <w:lang w:eastAsia="ar-SA"/>
        </w:rPr>
        <w:t>rangos komponentų modeliai, prekių kodai, kiekiai, pavadinimai ir kita standartiškai gamintojų konfigūratoriuose pateikiama informacija.</w:t>
      </w:r>
    </w:p>
    <w:p w14:paraId="5F84F678" w14:textId="123B4D88" w:rsidR="007E58FD" w:rsidRPr="00F438F7" w:rsidRDefault="007E58FD"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Atitikimas techninės specifikacijos atskiriems reikalavimams turi būti užtikrinta</w:t>
      </w:r>
      <w:r w:rsidR="0096085C" w:rsidRPr="00F438F7">
        <w:rPr>
          <w:kern w:val="12"/>
          <w:lang w:eastAsia="ar-SA"/>
        </w:rPr>
        <w:t>s esant tokiai pačiai siūlomai Į</w:t>
      </w:r>
      <w:r w:rsidRPr="00F438F7">
        <w:rPr>
          <w:kern w:val="12"/>
          <w:lang w:eastAsia="ar-SA"/>
        </w:rPr>
        <w:t>rangos konfigūracijai, t.y. kiekvieno konkretaus punkto iš nurodytų specifikacijoje žemiau atitikimas negali būti užtikrintas vertinant skirtingas įrangos konfigūracijas (dėl ko galimai būtų netenkin</w:t>
      </w:r>
      <w:r w:rsidR="002D25AF" w:rsidRPr="00F438F7">
        <w:rPr>
          <w:kern w:val="12"/>
          <w:lang w:eastAsia="ar-SA"/>
        </w:rPr>
        <w:t>am</w:t>
      </w:r>
      <w:r w:rsidRPr="00F438F7">
        <w:rPr>
          <w:kern w:val="12"/>
          <w:lang w:eastAsia="ar-SA"/>
        </w:rPr>
        <w:t xml:space="preserve">i kitų punktų reikalavimai). </w:t>
      </w:r>
    </w:p>
    <w:p w14:paraId="74F80B74" w14:textId="1EB57529" w:rsidR="00B34DB2" w:rsidRPr="00F438F7" w:rsidRDefault="00B34DB2" w:rsidP="005E0D77">
      <w:pPr>
        <w:pStyle w:val="ListParagraph"/>
        <w:tabs>
          <w:tab w:val="left" w:pos="142"/>
          <w:tab w:val="left" w:pos="284"/>
        </w:tabs>
        <w:spacing w:line="360" w:lineRule="auto"/>
        <w:ind w:left="-284"/>
        <w:jc w:val="both"/>
        <w:rPr>
          <w:lang w:eastAsia="lt-LT"/>
        </w:rPr>
      </w:pPr>
    </w:p>
    <w:p w14:paraId="1E4A4740" w14:textId="6024AE1F" w:rsidR="00B34DB2" w:rsidRPr="00F438F7" w:rsidRDefault="00A14298" w:rsidP="00063709">
      <w:pPr>
        <w:pStyle w:val="ListParagraph"/>
        <w:numPr>
          <w:ilvl w:val="1"/>
          <w:numId w:val="3"/>
        </w:numPr>
        <w:tabs>
          <w:tab w:val="left" w:pos="567"/>
          <w:tab w:val="left" w:pos="851"/>
          <w:tab w:val="left" w:pos="1134"/>
        </w:tabs>
        <w:spacing w:line="360" w:lineRule="auto"/>
        <w:ind w:left="284"/>
        <w:jc w:val="both"/>
        <w:rPr>
          <w:b/>
          <w:lang w:eastAsia="lt-LT"/>
        </w:rPr>
      </w:pPr>
      <w:r w:rsidRPr="00F438F7">
        <w:rPr>
          <w:b/>
          <w:lang w:eastAsia="lt-LT"/>
        </w:rPr>
        <w:t>Bendrieji r</w:t>
      </w:r>
      <w:r w:rsidR="00B34DB2" w:rsidRPr="00F438F7">
        <w:rPr>
          <w:b/>
          <w:lang w:eastAsia="lt-LT"/>
        </w:rPr>
        <w:t xml:space="preserve">eikalavimai </w:t>
      </w:r>
      <w:r w:rsidR="007E58FD" w:rsidRPr="00F438F7">
        <w:rPr>
          <w:b/>
          <w:lang w:eastAsia="lt-LT"/>
        </w:rPr>
        <w:t xml:space="preserve">siūlomos įrangos </w:t>
      </w:r>
      <w:r w:rsidR="001C4532" w:rsidRPr="00F438F7">
        <w:rPr>
          <w:b/>
          <w:lang w:eastAsia="lt-LT"/>
        </w:rPr>
        <w:t xml:space="preserve">montavimui ir </w:t>
      </w:r>
      <w:r w:rsidR="00B34DB2" w:rsidRPr="00F438F7">
        <w:rPr>
          <w:b/>
          <w:lang w:eastAsia="lt-LT"/>
        </w:rPr>
        <w:t>diegimui:</w:t>
      </w:r>
    </w:p>
    <w:p w14:paraId="1CA215CF" w14:textId="77777777" w:rsidR="00B34DB2" w:rsidRPr="00F438F7" w:rsidRDefault="00B34DB2" w:rsidP="005E0D77">
      <w:pPr>
        <w:pStyle w:val="ListParagraph"/>
        <w:tabs>
          <w:tab w:val="left" w:pos="426"/>
          <w:tab w:val="left" w:pos="851"/>
          <w:tab w:val="left" w:pos="1170"/>
          <w:tab w:val="left" w:pos="1440"/>
          <w:tab w:val="left" w:pos="1560"/>
        </w:tabs>
        <w:ind w:left="0"/>
        <w:rPr>
          <w:b/>
          <w:szCs w:val="24"/>
        </w:rPr>
      </w:pPr>
    </w:p>
    <w:p w14:paraId="442DC439" w14:textId="0B25EAA2" w:rsidR="00A6627F" w:rsidRPr="00F438F7" w:rsidRDefault="00B34DB2"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Įrangos tiekėjas, laimėjęs viešąjį pirkimą, privalės ne tik laiku pristatyti Pirkimo dokumentų reikalavimus atitinkančią Įrangą, bet glaudžiai bendradarbiaudamas su Diegėju, Perkančiosios organizacijos atstovais bei kitais Įrangos tiekėja</w:t>
      </w:r>
      <w:r w:rsidR="000152D5" w:rsidRPr="00F438F7">
        <w:rPr>
          <w:kern w:val="12"/>
          <w:lang w:eastAsia="ar-SA"/>
        </w:rPr>
        <w:t>i</w:t>
      </w:r>
      <w:r w:rsidRPr="00F438F7">
        <w:rPr>
          <w:kern w:val="12"/>
          <w:lang w:eastAsia="ar-SA"/>
        </w:rPr>
        <w:t>s (kitų pirkimų / dalių) atlikti</w:t>
      </w:r>
      <w:r w:rsidR="00977CE6" w:rsidRPr="00F438F7">
        <w:rPr>
          <w:kern w:val="12"/>
          <w:lang w:eastAsia="ar-SA"/>
        </w:rPr>
        <w:t xml:space="preserve"> siūlomos Įrangos</w:t>
      </w:r>
      <w:r w:rsidR="00A14298" w:rsidRPr="00F438F7">
        <w:rPr>
          <w:kern w:val="12"/>
          <w:lang w:eastAsia="ar-SA"/>
        </w:rPr>
        <w:t xml:space="preserve"> </w:t>
      </w:r>
      <w:r w:rsidRPr="00F438F7">
        <w:rPr>
          <w:kern w:val="12"/>
          <w:lang w:eastAsia="ar-SA"/>
        </w:rPr>
        <w:t xml:space="preserve">montavimo, </w:t>
      </w:r>
      <w:r w:rsidR="00586F64" w:rsidRPr="00F438F7">
        <w:rPr>
          <w:kern w:val="12"/>
          <w:lang w:eastAsia="ar-SA"/>
        </w:rPr>
        <w:t>diegimo</w:t>
      </w:r>
      <w:r w:rsidR="00977CE6" w:rsidRPr="00F438F7">
        <w:rPr>
          <w:kern w:val="12"/>
          <w:lang w:eastAsia="ar-SA"/>
        </w:rPr>
        <w:t xml:space="preserve"> bei</w:t>
      </w:r>
      <w:r w:rsidRPr="00F438F7">
        <w:rPr>
          <w:kern w:val="12"/>
          <w:lang w:eastAsia="ar-SA"/>
        </w:rPr>
        <w:t xml:space="preserve"> pradinio konfigūravimo darbus, užtikrinančius Detalios architektūros dokumente aprašytos infrastruktūros </w:t>
      </w:r>
      <w:r w:rsidR="00977CE6" w:rsidRPr="00F438F7">
        <w:rPr>
          <w:kern w:val="12"/>
          <w:lang w:eastAsia="ar-SA"/>
        </w:rPr>
        <w:t xml:space="preserve">vientisą </w:t>
      </w:r>
      <w:r w:rsidRPr="00F438F7">
        <w:rPr>
          <w:kern w:val="12"/>
          <w:lang w:eastAsia="ar-SA"/>
        </w:rPr>
        <w:t>veikimą (</w:t>
      </w:r>
      <w:r w:rsidR="00412312" w:rsidRPr="00F438F7">
        <w:rPr>
          <w:lang w:eastAsia="lt-LT"/>
        </w:rPr>
        <w:t>konkrečios atsakomybių ribos tarp Įrangos tiekėjų, Diegėjo ir Perkančiosios organizacijos aprašytos atsakomybių matricoje –pridedama</w:t>
      </w:r>
      <w:r w:rsidRPr="00F438F7">
        <w:rPr>
          <w:kern w:val="12"/>
          <w:lang w:eastAsia="ar-SA"/>
        </w:rPr>
        <w:t>).</w:t>
      </w:r>
    </w:p>
    <w:p w14:paraId="76EB54CF" w14:textId="01C5B956" w:rsidR="00A6627F" w:rsidRPr="00F438F7" w:rsidRDefault="00A6627F"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lastRenderedPageBreak/>
        <w:t>Visą diegimo proceso planą ir jo įgyvendinimui reikalingą informaciją (pvz. įrangos diegimo planas, įrangos montavimo ir sujungimo schemos, IP adresavimo taisyklės ir pan.) pateiks Diegėjas suderinus su Perkančiosios organizacijos atstovais.</w:t>
      </w:r>
    </w:p>
    <w:p w14:paraId="3C49D133" w14:textId="54B49529" w:rsidR="00A6627F" w:rsidRPr="00F438F7" w:rsidRDefault="00A6627F"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 xml:space="preserve">Įrangos tiekėjas į pasiūlymą turi įtraukti </w:t>
      </w:r>
      <w:r w:rsidR="00A14298" w:rsidRPr="00F438F7">
        <w:rPr>
          <w:kern w:val="12"/>
          <w:lang w:eastAsia="ar-SA"/>
        </w:rPr>
        <w:t xml:space="preserve">visas </w:t>
      </w:r>
      <w:r w:rsidRPr="00F438F7">
        <w:rPr>
          <w:kern w:val="12"/>
          <w:lang w:eastAsia="ar-SA"/>
        </w:rPr>
        <w:t>siūlomos Įrangos montavimui ir pajungimui reikalingas medžiagas (</w:t>
      </w:r>
      <w:r w:rsidR="005F4A87" w:rsidRPr="00F438F7">
        <w:rPr>
          <w:kern w:val="12"/>
          <w:lang w:eastAsia="ar-SA"/>
        </w:rPr>
        <w:t xml:space="preserve">tvirtinimo elementus, prijungimo prie elektros </w:t>
      </w:r>
      <w:r w:rsidR="0011416B" w:rsidRPr="00F438F7">
        <w:rPr>
          <w:kern w:val="12"/>
          <w:lang w:eastAsia="ar-SA"/>
        </w:rPr>
        <w:t>bei</w:t>
      </w:r>
      <w:r w:rsidR="005F4A87" w:rsidRPr="00F438F7">
        <w:rPr>
          <w:kern w:val="12"/>
          <w:lang w:eastAsia="ar-SA"/>
        </w:rPr>
        <w:t xml:space="preserve"> LAN </w:t>
      </w:r>
      <w:r w:rsidRPr="00F438F7">
        <w:rPr>
          <w:kern w:val="12"/>
          <w:lang w:eastAsia="ar-SA"/>
        </w:rPr>
        <w:t xml:space="preserve">tinklų </w:t>
      </w:r>
      <w:r w:rsidR="005F4A87" w:rsidRPr="00F438F7">
        <w:rPr>
          <w:kern w:val="12"/>
          <w:lang w:eastAsia="ar-SA"/>
        </w:rPr>
        <w:t xml:space="preserve">laidus </w:t>
      </w:r>
      <w:r w:rsidR="00842CCA" w:rsidRPr="00F438F7">
        <w:rPr>
          <w:kern w:val="12"/>
          <w:lang w:eastAsia="ar-SA"/>
        </w:rPr>
        <w:t xml:space="preserve">(reikiamas laidų ilgis turės būti parenkamas Įrangos pajungimo metu) </w:t>
      </w:r>
      <w:r w:rsidR="005F4A87" w:rsidRPr="00F438F7">
        <w:rPr>
          <w:kern w:val="12"/>
          <w:lang w:eastAsia="ar-SA"/>
        </w:rPr>
        <w:t>ir jų komponentus, laidų žymėjimo medžiagas ir t.t.</w:t>
      </w:r>
      <w:r w:rsidRPr="00F438F7">
        <w:rPr>
          <w:rStyle w:val="FootnoteReference"/>
          <w:kern w:val="12"/>
          <w:lang w:eastAsia="ar-SA"/>
        </w:rPr>
        <w:footnoteReference w:id="4"/>
      </w:r>
      <w:r w:rsidR="005F4A87" w:rsidRPr="00F438F7">
        <w:rPr>
          <w:kern w:val="12"/>
          <w:lang w:eastAsia="ar-SA"/>
        </w:rPr>
        <w:t>)</w:t>
      </w:r>
      <w:r w:rsidRPr="00F438F7">
        <w:rPr>
          <w:kern w:val="12"/>
          <w:lang w:eastAsia="ar-SA"/>
        </w:rPr>
        <w:t>.</w:t>
      </w:r>
    </w:p>
    <w:p w14:paraId="797919B4" w14:textId="7F9A39C6" w:rsidR="00952D65" w:rsidRPr="00F438F7" w:rsidRDefault="00952D65"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F438F7">
        <w:rPr>
          <w:kern w:val="12"/>
          <w:lang w:eastAsia="ar-SA"/>
        </w:rPr>
        <w:t>Įrangos t</w:t>
      </w:r>
      <w:r w:rsidR="00D779DE" w:rsidRPr="00F438F7">
        <w:rPr>
          <w:kern w:val="12"/>
          <w:lang w:eastAsia="ar-SA"/>
        </w:rPr>
        <w:t>i</w:t>
      </w:r>
      <w:r w:rsidRPr="00F438F7">
        <w:rPr>
          <w:kern w:val="12"/>
          <w:lang w:eastAsia="ar-SA"/>
        </w:rPr>
        <w:t>ekėjas tu</w:t>
      </w:r>
      <w:r w:rsidR="00FA6008" w:rsidRPr="00F438F7">
        <w:rPr>
          <w:kern w:val="12"/>
          <w:lang w:eastAsia="ar-SA"/>
        </w:rPr>
        <w:t>rės atlikti ne mažiau kaip žemiau išvardintus</w:t>
      </w:r>
      <w:r w:rsidR="00586F64" w:rsidRPr="00F438F7">
        <w:rPr>
          <w:kern w:val="12"/>
          <w:lang w:eastAsia="ar-SA"/>
        </w:rPr>
        <w:t xml:space="preserve"> darbus:</w:t>
      </w:r>
    </w:p>
    <w:p w14:paraId="5B9EE83B" w14:textId="2016A371" w:rsidR="00952D65" w:rsidRPr="00F438F7" w:rsidRDefault="00952D65" w:rsidP="00063709">
      <w:pPr>
        <w:pStyle w:val="ListParagraph"/>
        <w:numPr>
          <w:ilvl w:val="3"/>
          <w:numId w:val="5"/>
        </w:numPr>
        <w:tabs>
          <w:tab w:val="left" w:pos="142"/>
          <w:tab w:val="left" w:pos="284"/>
        </w:tabs>
        <w:spacing w:line="360" w:lineRule="auto"/>
        <w:jc w:val="both"/>
        <w:rPr>
          <w:lang w:eastAsia="lt-LT"/>
        </w:rPr>
      </w:pPr>
      <w:r w:rsidRPr="00F438F7">
        <w:rPr>
          <w:lang w:eastAsia="lt-LT"/>
        </w:rPr>
        <w:t xml:space="preserve">Įrangos </w:t>
      </w:r>
      <w:r w:rsidR="00977CE6" w:rsidRPr="00F438F7">
        <w:rPr>
          <w:lang w:eastAsia="lt-LT"/>
        </w:rPr>
        <w:t>montavimą</w:t>
      </w:r>
      <w:r w:rsidR="009345BE" w:rsidRPr="00F438F7">
        <w:rPr>
          <w:lang w:eastAsia="lt-LT"/>
        </w:rPr>
        <w:t xml:space="preserve"> – visa siūloma įranga turi būti sumontuota</w:t>
      </w:r>
      <w:r w:rsidRPr="00F438F7">
        <w:rPr>
          <w:lang w:eastAsia="lt-LT"/>
        </w:rPr>
        <w:t xml:space="preserve"> </w:t>
      </w:r>
      <w:r w:rsidR="009345BE" w:rsidRPr="00F438F7">
        <w:rPr>
          <w:lang w:eastAsia="lt-LT"/>
        </w:rPr>
        <w:t xml:space="preserve">pagal Detalios architektūros reikalavimus, </w:t>
      </w:r>
      <w:r w:rsidRPr="00F438F7">
        <w:rPr>
          <w:lang w:eastAsia="lt-LT"/>
        </w:rPr>
        <w:t xml:space="preserve">Perkančiosios organizacijos nurodytose </w:t>
      </w:r>
      <w:r w:rsidR="009345BE" w:rsidRPr="00F438F7">
        <w:rPr>
          <w:lang w:eastAsia="lt-LT"/>
        </w:rPr>
        <w:t xml:space="preserve">duomenų centrų </w:t>
      </w:r>
      <w:r w:rsidRPr="00F438F7">
        <w:rPr>
          <w:lang w:eastAsia="lt-LT"/>
        </w:rPr>
        <w:t>patalpose</w:t>
      </w:r>
      <w:r w:rsidR="00B22360" w:rsidRPr="00F438F7">
        <w:rPr>
          <w:lang w:eastAsia="lt-LT"/>
        </w:rPr>
        <w:t xml:space="preserve"> (DC1</w:t>
      </w:r>
      <w:r w:rsidR="00CA01F1" w:rsidRPr="00F438F7">
        <w:rPr>
          <w:lang w:eastAsia="lt-LT"/>
        </w:rPr>
        <w:t xml:space="preserve"> ir</w:t>
      </w:r>
      <w:r w:rsidR="00B22360" w:rsidRPr="00F438F7">
        <w:rPr>
          <w:lang w:eastAsia="lt-LT"/>
        </w:rPr>
        <w:t xml:space="preserve"> DC2)</w:t>
      </w:r>
      <w:r w:rsidRPr="00F438F7">
        <w:rPr>
          <w:lang w:eastAsia="lt-LT"/>
        </w:rPr>
        <w:t>, esančiose tarnybinių stoč</w:t>
      </w:r>
      <w:r w:rsidR="00B22360" w:rsidRPr="00F438F7">
        <w:rPr>
          <w:lang w:eastAsia="lt-LT"/>
        </w:rPr>
        <w:t>ių montavimui skirtose spintose.</w:t>
      </w:r>
      <w:r w:rsidRPr="00F438F7">
        <w:rPr>
          <w:lang w:eastAsia="lt-LT"/>
        </w:rPr>
        <w:t xml:space="preserve"> </w:t>
      </w:r>
      <w:r w:rsidR="00B22360" w:rsidRPr="00F438F7">
        <w:rPr>
          <w:lang w:eastAsia="lt-LT"/>
        </w:rPr>
        <w:t>D</w:t>
      </w:r>
      <w:r w:rsidR="009345BE" w:rsidRPr="00F438F7">
        <w:rPr>
          <w:lang w:eastAsia="lt-LT"/>
        </w:rPr>
        <w:t>uomenų centrų</w:t>
      </w:r>
      <w:r w:rsidR="00B22360" w:rsidRPr="00F438F7">
        <w:rPr>
          <w:lang w:eastAsia="lt-LT"/>
        </w:rPr>
        <w:t xml:space="preserve"> patalpos </w:t>
      </w:r>
      <w:r w:rsidR="000152D5" w:rsidRPr="00F438F7">
        <w:rPr>
          <w:lang w:eastAsia="lt-LT"/>
        </w:rPr>
        <w:t xml:space="preserve">yra </w:t>
      </w:r>
      <w:r w:rsidR="00B22360" w:rsidRPr="00F438F7">
        <w:rPr>
          <w:lang w:eastAsia="lt-LT"/>
        </w:rPr>
        <w:t>įrengtos Lietuvos Respublikos teritorijoje</w:t>
      </w:r>
      <w:r w:rsidR="009E1265" w:rsidRPr="00F438F7">
        <w:rPr>
          <w:lang w:eastAsia="lt-LT"/>
        </w:rPr>
        <w:t>. T</w:t>
      </w:r>
      <w:r w:rsidR="00B22360" w:rsidRPr="00F438F7">
        <w:rPr>
          <w:lang w:eastAsia="lt-LT"/>
        </w:rPr>
        <w:t>ikslius</w:t>
      </w:r>
      <w:r w:rsidR="009345BE" w:rsidRPr="00F438F7">
        <w:rPr>
          <w:lang w:eastAsia="lt-LT"/>
        </w:rPr>
        <w:t xml:space="preserve"> </w:t>
      </w:r>
      <w:r w:rsidR="00B22360" w:rsidRPr="00F438F7">
        <w:rPr>
          <w:lang w:eastAsia="lt-LT"/>
        </w:rPr>
        <w:t xml:space="preserve">patalpų </w:t>
      </w:r>
      <w:r w:rsidR="009345BE" w:rsidRPr="00F438F7">
        <w:rPr>
          <w:lang w:eastAsia="lt-LT"/>
        </w:rPr>
        <w:t xml:space="preserve">adresus Perkančioji organizacija nurodys Sutarties </w:t>
      </w:r>
      <w:r w:rsidR="00A14298" w:rsidRPr="00F438F7">
        <w:rPr>
          <w:lang w:eastAsia="lt-LT"/>
        </w:rPr>
        <w:t>pasirašymo dieną;</w:t>
      </w:r>
    </w:p>
    <w:p w14:paraId="7BAE56FA" w14:textId="3215FE42" w:rsidR="00952D65" w:rsidRPr="00F438F7" w:rsidRDefault="00977CE6" w:rsidP="00063709">
      <w:pPr>
        <w:pStyle w:val="ListParagraph"/>
        <w:numPr>
          <w:ilvl w:val="3"/>
          <w:numId w:val="5"/>
        </w:numPr>
        <w:tabs>
          <w:tab w:val="left" w:pos="142"/>
          <w:tab w:val="left" w:pos="284"/>
        </w:tabs>
        <w:spacing w:line="360" w:lineRule="auto"/>
        <w:jc w:val="both"/>
        <w:rPr>
          <w:lang w:eastAsia="lt-LT"/>
        </w:rPr>
      </w:pPr>
      <w:r w:rsidRPr="00F438F7">
        <w:rPr>
          <w:lang w:eastAsia="lt-LT"/>
        </w:rPr>
        <w:t>Įrangos sujungimą</w:t>
      </w:r>
      <w:r w:rsidR="00B22360" w:rsidRPr="00F438F7">
        <w:rPr>
          <w:lang w:eastAsia="lt-LT"/>
        </w:rPr>
        <w:t xml:space="preserve"> – visa siūloma įranga turi būti prijungta prie</w:t>
      </w:r>
      <w:r w:rsidR="00952D65" w:rsidRPr="00F438F7">
        <w:rPr>
          <w:lang w:eastAsia="lt-LT"/>
        </w:rPr>
        <w:t xml:space="preserve"> elektros</w:t>
      </w:r>
      <w:r w:rsidR="00365BC2" w:rsidRPr="00F438F7">
        <w:rPr>
          <w:lang w:eastAsia="lt-LT"/>
        </w:rPr>
        <w:t xml:space="preserve"> ir</w:t>
      </w:r>
      <w:r w:rsidR="00952D65" w:rsidRPr="00F438F7">
        <w:rPr>
          <w:lang w:eastAsia="lt-LT"/>
        </w:rPr>
        <w:t xml:space="preserve"> LAN tinklų</w:t>
      </w:r>
      <w:r w:rsidR="00B22360" w:rsidRPr="00F438F7">
        <w:rPr>
          <w:lang w:eastAsia="lt-LT"/>
        </w:rPr>
        <w:t xml:space="preserve"> (</w:t>
      </w:r>
      <w:r w:rsidR="00A14298" w:rsidRPr="00F438F7">
        <w:rPr>
          <w:lang w:eastAsia="lt-LT"/>
        </w:rPr>
        <w:t>sujungimai turi būti užtikrinti vis</w:t>
      </w:r>
      <w:r w:rsidR="006B0984" w:rsidRPr="00F438F7">
        <w:rPr>
          <w:lang w:eastAsia="lt-LT"/>
        </w:rPr>
        <w:t>uose</w:t>
      </w:r>
      <w:r w:rsidR="00B22360" w:rsidRPr="00F438F7">
        <w:rPr>
          <w:lang w:eastAsia="lt-LT"/>
        </w:rPr>
        <w:t xml:space="preserve"> duomenų centr</w:t>
      </w:r>
      <w:r w:rsidR="006B0984" w:rsidRPr="00F438F7">
        <w:rPr>
          <w:lang w:eastAsia="lt-LT"/>
        </w:rPr>
        <w:t>uose</w:t>
      </w:r>
      <w:r w:rsidR="00B22360" w:rsidRPr="00F438F7">
        <w:rPr>
          <w:lang w:eastAsia="lt-LT"/>
        </w:rPr>
        <w:t xml:space="preserve"> DC1</w:t>
      </w:r>
      <w:r w:rsidR="00CA01F1" w:rsidRPr="00F438F7">
        <w:rPr>
          <w:lang w:eastAsia="lt-LT"/>
        </w:rPr>
        <w:t xml:space="preserve"> ir</w:t>
      </w:r>
      <w:r w:rsidR="00B22360" w:rsidRPr="00F438F7">
        <w:rPr>
          <w:lang w:eastAsia="lt-LT"/>
        </w:rPr>
        <w:t xml:space="preserve"> DC2). Turi būti atliktas būtinas Įrangos kabeliavimas, kab</w:t>
      </w:r>
      <w:r w:rsidR="003D503B" w:rsidRPr="00F438F7">
        <w:rPr>
          <w:lang w:eastAsia="lt-LT"/>
        </w:rPr>
        <w:t>e</w:t>
      </w:r>
      <w:r w:rsidR="00B22360" w:rsidRPr="00F438F7">
        <w:rPr>
          <w:lang w:eastAsia="lt-LT"/>
        </w:rPr>
        <w:t xml:space="preserve">lių žymėjimas bei parengta </w:t>
      </w:r>
      <w:r w:rsidR="00A14298" w:rsidRPr="00F438F7">
        <w:rPr>
          <w:lang w:eastAsia="lt-LT"/>
        </w:rPr>
        <w:t>techninė</w:t>
      </w:r>
      <w:r w:rsidR="00365BC2" w:rsidRPr="00F438F7">
        <w:rPr>
          <w:lang w:eastAsia="lt-LT"/>
        </w:rPr>
        <w:t xml:space="preserve"> dokumentacija</w:t>
      </w:r>
      <w:r w:rsidR="00A14298" w:rsidRPr="00F438F7">
        <w:rPr>
          <w:lang w:eastAsia="lt-LT"/>
        </w:rPr>
        <w:t>;</w:t>
      </w:r>
    </w:p>
    <w:p w14:paraId="47CFABCC" w14:textId="295988DB" w:rsidR="00B22360" w:rsidRPr="00F438F7" w:rsidRDefault="00977CE6" w:rsidP="00063709">
      <w:pPr>
        <w:pStyle w:val="ListParagraph"/>
        <w:numPr>
          <w:ilvl w:val="3"/>
          <w:numId w:val="5"/>
        </w:numPr>
        <w:tabs>
          <w:tab w:val="left" w:pos="142"/>
          <w:tab w:val="left" w:pos="284"/>
        </w:tabs>
        <w:spacing w:line="360" w:lineRule="auto"/>
        <w:jc w:val="both"/>
        <w:rPr>
          <w:lang w:eastAsia="lt-LT"/>
        </w:rPr>
      </w:pPr>
      <w:r w:rsidRPr="00F438F7">
        <w:rPr>
          <w:lang w:eastAsia="lt-LT"/>
        </w:rPr>
        <w:t>Įrangos mikrokodo (</w:t>
      </w:r>
      <w:r w:rsidRPr="00F438F7">
        <w:rPr>
          <w:i/>
          <w:lang w:eastAsia="lt-LT"/>
        </w:rPr>
        <w:t>angl. firmware</w:t>
      </w:r>
      <w:r w:rsidRPr="00F438F7">
        <w:rPr>
          <w:lang w:eastAsia="lt-LT"/>
        </w:rPr>
        <w:t>) atnaujinimą</w:t>
      </w:r>
      <w:r w:rsidR="009345BE" w:rsidRPr="00F438F7">
        <w:rPr>
          <w:lang w:eastAsia="lt-LT"/>
        </w:rPr>
        <w:t xml:space="preserve"> – </w:t>
      </w:r>
      <w:r w:rsidR="00B22360" w:rsidRPr="00F438F7">
        <w:rPr>
          <w:lang w:eastAsia="lt-LT"/>
        </w:rPr>
        <w:t>visai siūlomai įrangai turi būti atliktas vidinės programinės įrangos mikrokodo (</w:t>
      </w:r>
      <w:r w:rsidR="00B22360" w:rsidRPr="00F438F7">
        <w:rPr>
          <w:i/>
          <w:lang w:eastAsia="lt-LT"/>
        </w:rPr>
        <w:t>angl. firmware</w:t>
      </w:r>
      <w:r w:rsidR="00B22360" w:rsidRPr="00F438F7">
        <w:rPr>
          <w:lang w:eastAsia="lt-LT"/>
        </w:rPr>
        <w:t xml:space="preserve">) atnaujinimas ir Įrangos </w:t>
      </w:r>
      <w:r w:rsidR="00A14298" w:rsidRPr="00F438F7">
        <w:rPr>
          <w:lang w:eastAsia="lt-LT"/>
        </w:rPr>
        <w:t>parengimas eksploatacijai;</w:t>
      </w:r>
    </w:p>
    <w:p w14:paraId="23C90270" w14:textId="5AC4035E" w:rsidR="00977CE6" w:rsidRPr="00F438F7" w:rsidRDefault="00A6627F" w:rsidP="00063709">
      <w:pPr>
        <w:pStyle w:val="ListParagraph"/>
        <w:numPr>
          <w:ilvl w:val="3"/>
          <w:numId w:val="5"/>
        </w:numPr>
        <w:tabs>
          <w:tab w:val="left" w:pos="142"/>
          <w:tab w:val="left" w:pos="284"/>
        </w:tabs>
        <w:spacing w:line="360" w:lineRule="auto"/>
        <w:jc w:val="both"/>
        <w:rPr>
          <w:lang w:eastAsia="lt-LT"/>
        </w:rPr>
      </w:pPr>
      <w:r w:rsidRPr="00F438F7">
        <w:rPr>
          <w:lang w:eastAsia="lt-LT"/>
        </w:rPr>
        <w:t>Techninės dokumentacijos parengimą – t</w:t>
      </w:r>
      <w:r w:rsidR="00B22360" w:rsidRPr="00F438F7">
        <w:rPr>
          <w:lang w:eastAsia="lt-LT"/>
        </w:rPr>
        <w:t xml:space="preserve">uri būti pateikta </w:t>
      </w:r>
      <w:r w:rsidR="00A14298" w:rsidRPr="00F438F7">
        <w:rPr>
          <w:lang w:eastAsia="lt-LT"/>
        </w:rPr>
        <w:t>įdiegtos</w:t>
      </w:r>
      <w:r w:rsidRPr="00F438F7">
        <w:rPr>
          <w:lang w:eastAsia="lt-LT"/>
        </w:rPr>
        <w:t xml:space="preserve"> įrangos </w:t>
      </w:r>
      <w:r w:rsidR="00B22360" w:rsidRPr="00F438F7">
        <w:rPr>
          <w:lang w:eastAsia="lt-LT"/>
        </w:rPr>
        <w:t xml:space="preserve">atliktų darbų techninė dokumentacija (įrangos montavimo schemos, </w:t>
      </w:r>
      <w:r w:rsidR="00362300" w:rsidRPr="00F438F7">
        <w:rPr>
          <w:lang w:eastAsia="lt-LT"/>
        </w:rPr>
        <w:t>elektros</w:t>
      </w:r>
      <w:r w:rsidR="00365BC2" w:rsidRPr="00F438F7">
        <w:rPr>
          <w:lang w:eastAsia="lt-LT"/>
        </w:rPr>
        <w:t xml:space="preserve"> ir</w:t>
      </w:r>
      <w:r w:rsidR="0097340D" w:rsidRPr="00F438F7">
        <w:rPr>
          <w:lang w:eastAsia="lt-LT"/>
        </w:rPr>
        <w:t xml:space="preserve"> </w:t>
      </w:r>
      <w:r w:rsidR="00362300" w:rsidRPr="00F438F7">
        <w:rPr>
          <w:lang w:eastAsia="lt-LT"/>
        </w:rPr>
        <w:t>LAN</w:t>
      </w:r>
      <w:r w:rsidR="0097340D" w:rsidRPr="00F438F7">
        <w:rPr>
          <w:lang w:eastAsia="lt-LT"/>
        </w:rPr>
        <w:t xml:space="preserve"> </w:t>
      </w:r>
      <w:r w:rsidR="00362300" w:rsidRPr="00F438F7">
        <w:rPr>
          <w:lang w:eastAsia="lt-LT"/>
        </w:rPr>
        <w:t>tinklų sujungimo schemos,</w:t>
      </w:r>
      <w:r w:rsidR="009345BE" w:rsidRPr="00F438F7">
        <w:rPr>
          <w:lang w:eastAsia="lt-LT"/>
        </w:rPr>
        <w:t xml:space="preserve"> </w:t>
      </w:r>
      <w:r w:rsidR="00362300" w:rsidRPr="00F438F7">
        <w:rPr>
          <w:lang w:eastAsia="lt-LT"/>
        </w:rPr>
        <w:t>kab</w:t>
      </w:r>
      <w:r w:rsidR="00E3450C" w:rsidRPr="00F438F7">
        <w:rPr>
          <w:lang w:eastAsia="lt-LT"/>
        </w:rPr>
        <w:t>e</w:t>
      </w:r>
      <w:r w:rsidR="00362300" w:rsidRPr="00F438F7">
        <w:rPr>
          <w:lang w:eastAsia="lt-LT"/>
        </w:rPr>
        <w:t>lių žymėjimo aprašymai bei kiti</w:t>
      </w:r>
      <w:r w:rsidRPr="00F438F7">
        <w:rPr>
          <w:lang w:eastAsia="lt-LT"/>
        </w:rPr>
        <w:t xml:space="preserve"> duomeny</w:t>
      </w:r>
      <w:r w:rsidR="009345BE" w:rsidRPr="00F438F7">
        <w:rPr>
          <w:lang w:eastAsia="lt-LT"/>
        </w:rPr>
        <w:t>s</w:t>
      </w:r>
      <w:r w:rsidRPr="00F438F7">
        <w:rPr>
          <w:lang w:eastAsia="lt-LT"/>
        </w:rPr>
        <w:t>, reikalingi tolimesniam įrangos konfigūravimui ir eksploatavimui</w:t>
      </w:r>
      <w:r w:rsidR="009345BE" w:rsidRPr="00F438F7">
        <w:rPr>
          <w:lang w:eastAsia="lt-LT"/>
        </w:rPr>
        <w:t xml:space="preserve"> (IP adresai, valdymo programų vardai, prisijungimų vardai, slaptažodžiai ir pan.)</w:t>
      </w:r>
      <w:r w:rsidR="00E6655E" w:rsidRPr="00F438F7">
        <w:rPr>
          <w:lang w:eastAsia="lt-LT"/>
        </w:rPr>
        <w:t xml:space="preserve"> Dokumentacija turi būti parengta lietuvių kalba ir pateikta popieriniu ir elektroniniu formatu</w:t>
      </w:r>
      <w:r w:rsidR="006E6FF1" w:rsidRPr="00F438F7">
        <w:rPr>
          <w:rStyle w:val="FootnoteReference"/>
          <w:lang w:eastAsia="lt-LT"/>
        </w:rPr>
        <w:footnoteReference w:id="5"/>
      </w:r>
      <w:r w:rsidR="009345BE" w:rsidRPr="00F438F7">
        <w:rPr>
          <w:lang w:eastAsia="lt-LT"/>
        </w:rPr>
        <w:t>;</w:t>
      </w:r>
    </w:p>
    <w:p w14:paraId="2E04BF24" w14:textId="0E57A493" w:rsidR="00A6627F" w:rsidRPr="00F438F7" w:rsidRDefault="009345BE" w:rsidP="00063709">
      <w:pPr>
        <w:pStyle w:val="ListParagraph"/>
        <w:numPr>
          <w:ilvl w:val="3"/>
          <w:numId w:val="5"/>
        </w:numPr>
        <w:tabs>
          <w:tab w:val="left" w:pos="142"/>
          <w:tab w:val="left" w:pos="284"/>
        </w:tabs>
        <w:spacing w:line="360" w:lineRule="auto"/>
        <w:jc w:val="both"/>
        <w:rPr>
          <w:lang w:eastAsia="lt-LT"/>
        </w:rPr>
      </w:pPr>
      <w:r w:rsidRPr="00F438F7">
        <w:rPr>
          <w:lang w:eastAsia="lt-LT"/>
        </w:rPr>
        <w:t>Konsultavimą</w:t>
      </w:r>
      <w:r w:rsidR="00A6627F" w:rsidRPr="00F438F7">
        <w:rPr>
          <w:lang w:eastAsia="lt-LT"/>
        </w:rPr>
        <w:t xml:space="preserve"> siūlomos įrangos </w:t>
      </w:r>
      <w:r w:rsidR="00C83DD7" w:rsidRPr="00F438F7">
        <w:rPr>
          <w:lang w:eastAsia="lt-LT"/>
        </w:rPr>
        <w:t xml:space="preserve">naudojimo </w:t>
      </w:r>
      <w:r w:rsidR="00A6627F" w:rsidRPr="00F438F7">
        <w:rPr>
          <w:lang w:eastAsia="lt-LT"/>
        </w:rPr>
        <w:t>klausimais – Įrangos tiekėjas turės teikti siūlomos įrangos gamintojo rekomendacijas įrangos konfigūravimo, komutavimo, eksploatavimo ir kitais klausimais;</w:t>
      </w:r>
    </w:p>
    <w:p w14:paraId="539122F5" w14:textId="3A98DCCD" w:rsidR="00A6627F" w:rsidRPr="00F438F7" w:rsidRDefault="005F4A87" w:rsidP="00063709">
      <w:pPr>
        <w:pStyle w:val="ListParagraph"/>
        <w:numPr>
          <w:ilvl w:val="3"/>
          <w:numId w:val="5"/>
        </w:numPr>
        <w:tabs>
          <w:tab w:val="left" w:pos="142"/>
          <w:tab w:val="left" w:pos="284"/>
        </w:tabs>
        <w:spacing w:line="360" w:lineRule="auto"/>
        <w:jc w:val="both"/>
        <w:rPr>
          <w:lang w:eastAsia="lt-LT"/>
        </w:rPr>
      </w:pPr>
      <w:r w:rsidRPr="00F438F7">
        <w:rPr>
          <w:lang w:eastAsia="lt-LT"/>
        </w:rPr>
        <w:lastRenderedPageBreak/>
        <w:t>Įrangos testavimą – pabaigus</w:t>
      </w:r>
      <w:r w:rsidR="00A6627F" w:rsidRPr="00F438F7">
        <w:rPr>
          <w:lang w:eastAsia="lt-LT"/>
        </w:rPr>
        <w:t xml:space="preserve"> </w:t>
      </w:r>
      <w:r w:rsidRPr="00F438F7">
        <w:rPr>
          <w:lang w:eastAsia="lt-LT"/>
        </w:rPr>
        <w:t>diegimo</w:t>
      </w:r>
      <w:r w:rsidR="00A6627F" w:rsidRPr="00F438F7">
        <w:rPr>
          <w:lang w:eastAsia="lt-LT"/>
        </w:rPr>
        <w:t xml:space="preserve"> darbus </w:t>
      </w:r>
      <w:r w:rsidRPr="00F438F7">
        <w:rPr>
          <w:lang w:eastAsia="lt-LT"/>
        </w:rPr>
        <w:t>Įrangos t</w:t>
      </w:r>
      <w:r w:rsidR="00A6627F" w:rsidRPr="00F438F7">
        <w:rPr>
          <w:lang w:eastAsia="lt-LT"/>
        </w:rPr>
        <w:t>iekėjas</w:t>
      </w:r>
      <w:r w:rsidRPr="00F438F7">
        <w:rPr>
          <w:lang w:eastAsia="lt-LT"/>
        </w:rPr>
        <w:t xml:space="preserve">, kartu su Diegėju ir Perkančiosios organizacijos atstovais, pagal </w:t>
      </w:r>
      <w:r w:rsidR="00FA6008" w:rsidRPr="00F438F7">
        <w:rPr>
          <w:lang w:eastAsia="lt-LT"/>
        </w:rPr>
        <w:t xml:space="preserve">iš anksto </w:t>
      </w:r>
      <w:r w:rsidRPr="00F438F7">
        <w:rPr>
          <w:lang w:eastAsia="lt-LT"/>
        </w:rPr>
        <w:t>suderintus testavimo scenarijus, turės atlikti Į</w:t>
      </w:r>
      <w:r w:rsidR="00A6627F" w:rsidRPr="00F438F7">
        <w:rPr>
          <w:lang w:eastAsia="lt-LT"/>
        </w:rPr>
        <w:t>rangos veikimo testavimus (aukšto patikimumo</w:t>
      </w:r>
      <w:r w:rsidRPr="00F438F7">
        <w:rPr>
          <w:lang w:eastAsia="lt-LT"/>
        </w:rPr>
        <w:t xml:space="preserve">, </w:t>
      </w:r>
      <w:r w:rsidR="00A6627F" w:rsidRPr="00F438F7">
        <w:rPr>
          <w:lang w:eastAsia="lt-LT"/>
        </w:rPr>
        <w:t>našumo savybių</w:t>
      </w:r>
      <w:r w:rsidRPr="00F438F7">
        <w:rPr>
          <w:lang w:eastAsia="lt-LT"/>
        </w:rPr>
        <w:t xml:space="preserve"> ir pan.</w:t>
      </w:r>
      <w:r w:rsidR="00A6627F" w:rsidRPr="00F438F7">
        <w:rPr>
          <w:lang w:eastAsia="lt-LT"/>
        </w:rPr>
        <w:t>) ir pateikti testų rezultatus</w:t>
      </w:r>
      <w:r w:rsidR="00E6655E" w:rsidRPr="00F438F7">
        <w:rPr>
          <w:lang w:eastAsia="lt-LT"/>
        </w:rPr>
        <w:t xml:space="preserve"> popieriniu bei elektroniniu formatu</w:t>
      </w:r>
      <w:r w:rsidR="00A14298" w:rsidRPr="00F438F7">
        <w:rPr>
          <w:lang w:eastAsia="lt-LT"/>
        </w:rPr>
        <w:t>.</w:t>
      </w:r>
    </w:p>
    <w:p w14:paraId="30E71A89" w14:textId="631080B1" w:rsidR="00223510" w:rsidRPr="00F438F7" w:rsidRDefault="00A6627F" w:rsidP="00063709">
      <w:pPr>
        <w:pStyle w:val="ListParagraph"/>
        <w:numPr>
          <w:ilvl w:val="2"/>
          <w:numId w:val="3"/>
        </w:numPr>
        <w:suppressAutoHyphens/>
        <w:autoSpaceDN w:val="0"/>
        <w:spacing w:line="360" w:lineRule="auto"/>
        <w:ind w:left="0" w:firstLine="567"/>
        <w:jc w:val="both"/>
        <w:textAlignment w:val="baseline"/>
        <w:rPr>
          <w:kern w:val="12"/>
          <w:lang w:eastAsia="ar-SA"/>
        </w:rPr>
      </w:pPr>
      <w:bookmarkStart w:id="0" w:name="_Hlk79674451"/>
      <w:r w:rsidRPr="00F438F7">
        <w:rPr>
          <w:kern w:val="12"/>
          <w:lang w:eastAsia="ar-SA"/>
        </w:rPr>
        <w:t xml:space="preserve">Įrangos tiekėjai prieš teikdami pasiūlymą turi įvertinti </w:t>
      </w:r>
      <w:r w:rsidR="00A14298" w:rsidRPr="00F438F7">
        <w:rPr>
          <w:kern w:val="12"/>
          <w:lang w:eastAsia="ar-SA"/>
        </w:rPr>
        <w:t xml:space="preserve">ir </w:t>
      </w:r>
      <w:r w:rsidRPr="00F438F7">
        <w:rPr>
          <w:kern w:val="12"/>
          <w:lang w:eastAsia="ar-SA"/>
        </w:rPr>
        <w:t>tai, kad Įranga nebus laikoma įdiegta</w:t>
      </w:r>
      <w:r w:rsidR="001F6210" w:rsidRPr="00F438F7">
        <w:rPr>
          <w:kern w:val="12"/>
          <w:lang w:eastAsia="ar-SA"/>
        </w:rPr>
        <w:t xml:space="preserve"> tol, </w:t>
      </w:r>
      <w:r w:rsidRPr="00F438F7">
        <w:rPr>
          <w:kern w:val="12"/>
          <w:lang w:eastAsia="ar-SA"/>
        </w:rPr>
        <w:t xml:space="preserve">kol Perkančioji organizacija ir Diegėjas nepatvirtins, kad </w:t>
      </w:r>
      <w:r w:rsidR="001F6210" w:rsidRPr="00F438F7">
        <w:rPr>
          <w:kern w:val="12"/>
          <w:lang w:eastAsia="ar-SA"/>
        </w:rPr>
        <w:t xml:space="preserve">sprendimas pilna apimtimi </w:t>
      </w:r>
      <w:r w:rsidRPr="00F438F7">
        <w:rPr>
          <w:kern w:val="12"/>
          <w:lang w:eastAsia="ar-SA"/>
        </w:rPr>
        <w:t xml:space="preserve">įdiegtas, o visa pristatyta Įranga tinkamai integruota ir  </w:t>
      </w:r>
      <w:r w:rsidR="001F6210" w:rsidRPr="00F438F7">
        <w:rPr>
          <w:kern w:val="12"/>
          <w:lang w:eastAsia="ar-SA"/>
        </w:rPr>
        <w:t>funkcionuoja kaip vieningas</w:t>
      </w:r>
      <w:r w:rsidRPr="00F438F7">
        <w:rPr>
          <w:kern w:val="12"/>
          <w:lang w:eastAsia="ar-SA"/>
        </w:rPr>
        <w:t xml:space="preserve"> sprendimas. </w:t>
      </w:r>
    </w:p>
    <w:bookmarkEnd w:id="0"/>
    <w:p w14:paraId="2BC05E0E" w14:textId="77777777" w:rsidR="001F6210" w:rsidRPr="00F438F7" w:rsidRDefault="001F6210" w:rsidP="005E0D77">
      <w:pPr>
        <w:pStyle w:val="ListParagraph"/>
        <w:tabs>
          <w:tab w:val="left" w:pos="0"/>
          <w:tab w:val="left" w:pos="284"/>
        </w:tabs>
        <w:ind w:left="426"/>
        <w:jc w:val="both"/>
        <w:rPr>
          <w:lang w:eastAsia="lt-LT"/>
        </w:rPr>
      </w:pPr>
    </w:p>
    <w:p w14:paraId="639B3825" w14:textId="4D7D2531" w:rsidR="00EF33F3" w:rsidRPr="00F438F7" w:rsidRDefault="006C56F9" w:rsidP="00063709">
      <w:pPr>
        <w:pStyle w:val="ListParagraph"/>
        <w:numPr>
          <w:ilvl w:val="1"/>
          <w:numId w:val="3"/>
        </w:numPr>
        <w:tabs>
          <w:tab w:val="left" w:pos="567"/>
          <w:tab w:val="left" w:pos="851"/>
          <w:tab w:val="left" w:pos="1134"/>
        </w:tabs>
        <w:spacing w:line="360" w:lineRule="auto"/>
        <w:ind w:left="284"/>
        <w:jc w:val="both"/>
        <w:rPr>
          <w:b/>
          <w:lang w:eastAsia="lt-LT"/>
        </w:rPr>
      </w:pPr>
      <w:r w:rsidRPr="00F438F7">
        <w:rPr>
          <w:b/>
          <w:lang w:eastAsia="lt-LT"/>
        </w:rPr>
        <w:t>Bendrieji reikalavimai</w:t>
      </w:r>
      <w:r w:rsidR="00EF33F3" w:rsidRPr="00F438F7">
        <w:rPr>
          <w:b/>
          <w:lang w:eastAsia="lt-LT"/>
        </w:rPr>
        <w:t xml:space="preserve"> </w:t>
      </w:r>
      <w:r w:rsidR="0001736F" w:rsidRPr="00F438F7">
        <w:rPr>
          <w:b/>
          <w:lang w:eastAsia="lt-LT"/>
        </w:rPr>
        <w:t xml:space="preserve">siūlomos įrangos </w:t>
      </w:r>
      <w:r w:rsidR="00EF33F3" w:rsidRPr="00F438F7">
        <w:rPr>
          <w:b/>
          <w:lang w:eastAsia="lt-LT"/>
        </w:rPr>
        <w:t xml:space="preserve">pristatymui: </w:t>
      </w:r>
    </w:p>
    <w:p w14:paraId="7039AA6A" w14:textId="77777777" w:rsidR="001C4532" w:rsidRPr="00F438F7" w:rsidRDefault="001C4532" w:rsidP="005E0D77">
      <w:pPr>
        <w:pStyle w:val="ListParagraph"/>
        <w:tabs>
          <w:tab w:val="left" w:pos="426"/>
          <w:tab w:val="left" w:pos="851"/>
          <w:tab w:val="left" w:pos="1170"/>
          <w:tab w:val="left" w:pos="1440"/>
          <w:tab w:val="left" w:pos="1560"/>
        </w:tabs>
        <w:ind w:left="0"/>
        <w:rPr>
          <w:b/>
          <w:szCs w:val="24"/>
        </w:rPr>
      </w:pPr>
    </w:p>
    <w:p w14:paraId="4BD6726D" w14:textId="2405434B" w:rsidR="00526AEE" w:rsidRPr="00B97BA3" w:rsidRDefault="007F4981" w:rsidP="00063709">
      <w:pPr>
        <w:pStyle w:val="ListParagraph"/>
        <w:numPr>
          <w:ilvl w:val="2"/>
          <w:numId w:val="3"/>
        </w:numPr>
        <w:suppressAutoHyphens/>
        <w:autoSpaceDN w:val="0"/>
        <w:spacing w:line="360" w:lineRule="auto"/>
        <w:ind w:left="0" w:firstLine="567"/>
        <w:jc w:val="both"/>
        <w:textAlignment w:val="baseline"/>
        <w:rPr>
          <w:kern w:val="12"/>
          <w:lang w:eastAsia="ar-SA"/>
        </w:rPr>
      </w:pPr>
      <w:r w:rsidRPr="00B97BA3">
        <w:rPr>
          <w:kern w:val="12"/>
        </w:rPr>
        <w:t>Pasiūlymų vertinimo metu Perkančioji organizacija pasilieka teisę pareikalauti Įrangos tiekėjo pristatyti siūlomos Įrangos pavyzdžius (Įranga turi būti Įrangos tiekėjo pristatyta patikrinimui ne vėliau kaip per 45 dienas nuo Perkančiosios organizacijos prašymo) tam, kad būtų praktiškai išmatuotas gamintojo ir/arba Įrangos tiekėjo siūlomos Įrangos charakteristikų atitikimas Techninės specifikacijos bei Lietuvos Respublikos nacionalinio saugumo keliamiems reikalavimams. Tam tikslui pasiekti, Perkančioji organizacija pasilieka teisę perduoti Nacionaliniam kibernetinio saugumo centrui  (arba kitoms įgaliotoms įstaigoms) gautą Įrangą patikrinimui bei išvadų pateikimui.</w:t>
      </w:r>
      <w:r w:rsidRPr="00B97BA3">
        <w:rPr>
          <w:kern w:val="12"/>
          <w:lang w:eastAsia="ar-SA"/>
        </w:rPr>
        <w:t xml:space="preserve"> </w:t>
      </w:r>
      <w:r w:rsidRPr="00B97BA3">
        <w:rPr>
          <w:kern w:val="12"/>
        </w:rPr>
        <w:t>Nustačius, kad Įrangos tiekėjo siūloma Įranga realiai neatitinka Įrangos tiekėjo pateiktame pasiūlyme deklaruojamų Įrangos charakteristikų ir/arba Techninės specifikacijos ir/arba Lietuvos Respublikos nacionalinio saugumo reikalavimų – Įrangos tiekėjo pasiūlymas bus atmetamas.</w:t>
      </w:r>
      <w:r w:rsidR="00526AEE" w:rsidRPr="00B97BA3">
        <w:rPr>
          <w:szCs w:val="24"/>
          <w:lang w:eastAsia="lt-LT"/>
        </w:rPr>
        <w:t xml:space="preserve"> </w:t>
      </w:r>
    </w:p>
    <w:p w14:paraId="71C34E0C" w14:textId="070E10C0" w:rsidR="007E7827" w:rsidRPr="00B97BA3" w:rsidRDefault="00065672" w:rsidP="00692BA9">
      <w:pPr>
        <w:pStyle w:val="ListParagraph"/>
        <w:numPr>
          <w:ilvl w:val="2"/>
          <w:numId w:val="3"/>
        </w:numPr>
        <w:suppressAutoHyphens/>
        <w:autoSpaceDN w:val="0"/>
        <w:spacing w:line="360" w:lineRule="auto"/>
        <w:ind w:left="0" w:firstLine="567"/>
        <w:jc w:val="both"/>
        <w:rPr>
          <w:kern w:val="12"/>
        </w:rPr>
      </w:pPr>
      <w:r w:rsidRPr="00B97BA3">
        <w:rPr>
          <w:kern w:val="12"/>
        </w:rPr>
        <w:t xml:space="preserve">Įrangos tiekėjas įsipareigoja </w:t>
      </w:r>
      <w:bookmarkStart w:id="1" w:name="_Hlk80173829"/>
      <w:r w:rsidRPr="00B97BA3">
        <w:rPr>
          <w:kern w:val="12"/>
        </w:rPr>
        <w:t xml:space="preserve">pristatyti, sumontuoti ir įdiegti visą Įrangą per </w:t>
      </w:r>
      <w:r w:rsidR="00E2080A">
        <w:rPr>
          <w:kern w:val="12"/>
        </w:rPr>
        <w:t>6</w:t>
      </w:r>
      <w:r w:rsidR="00317B11" w:rsidRPr="00B97BA3">
        <w:rPr>
          <w:kern w:val="12"/>
        </w:rPr>
        <w:t>0</w:t>
      </w:r>
      <w:r w:rsidR="007F6C98" w:rsidRPr="00B97BA3">
        <w:rPr>
          <w:kern w:val="12"/>
        </w:rPr>
        <w:t xml:space="preserve"> </w:t>
      </w:r>
      <w:r w:rsidRPr="00B97BA3">
        <w:rPr>
          <w:kern w:val="12"/>
        </w:rPr>
        <w:t>kalendorinių dienų nuo Perkančiosios organizacijos užsakymo pateikimo dienos</w:t>
      </w:r>
      <w:bookmarkEnd w:id="1"/>
      <w:r w:rsidRPr="00B97BA3">
        <w:rPr>
          <w:kern w:val="12"/>
        </w:rPr>
        <w:t xml:space="preserve">. </w:t>
      </w:r>
      <w:bookmarkStart w:id="2" w:name="_Hlk80173856"/>
      <w:r w:rsidRPr="00B97BA3">
        <w:rPr>
          <w:kern w:val="12"/>
        </w:rPr>
        <w:t>Perkančioji organizacija gali pateikti užsakymą ne vėliau kaip per 90 kalendorinių dienų nuo Sutarties įsigaliojimo dienos.</w:t>
      </w:r>
      <w:bookmarkEnd w:id="2"/>
      <w:r w:rsidRPr="00B97BA3">
        <w:rPr>
          <w:kern w:val="12"/>
        </w:rPr>
        <w:t> </w:t>
      </w:r>
    </w:p>
    <w:p w14:paraId="20596A58" w14:textId="77777777" w:rsidR="001D6EE5" w:rsidRPr="00F438F7" w:rsidRDefault="001D6EE5" w:rsidP="00412312">
      <w:pPr>
        <w:suppressAutoHyphens/>
        <w:autoSpaceDN w:val="0"/>
        <w:spacing w:line="360" w:lineRule="auto"/>
        <w:jc w:val="both"/>
        <w:textAlignment w:val="baseline"/>
        <w:rPr>
          <w:lang w:eastAsia="ar-SA"/>
        </w:rPr>
      </w:pPr>
    </w:p>
    <w:p w14:paraId="27EF765F" w14:textId="4BAD3183" w:rsidR="00C45608" w:rsidRPr="00F438F7" w:rsidRDefault="008C7C0D" w:rsidP="00063709">
      <w:pPr>
        <w:pStyle w:val="ListParagraph"/>
        <w:numPr>
          <w:ilvl w:val="0"/>
          <w:numId w:val="3"/>
        </w:numPr>
        <w:ind w:left="714" w:hanging="357"/>
        <w:jc w:val="center"/>
        <w:rPr>
          <w:b/>
          <w:bCs/>
          <w:szCs w:val="24"/>
        </w:rPr>
      </w:pPr>
      <w:r w:rsidRPr="00F438F7">
        <w:rPr>
          <w:b/>
          <w:bCs/>
          <w:szCs w:val="24"/>
        </w:rPr>
        <w:t>SPECIALIEJI REIKALAVIMAI SIŪLOMAI ĮRANGAI</w:t>
      </w:r>
    </w:p>
    <w:p w14:paraId="596F1E73" w14:textId="77777777" w:rsidR="0089545D" w:rsidRPr="00F438F7" w:rsidRDefault="0089545D" w:rsidP="005E0D77">
      <w:pPr>
        <w:pStyle w:val="ListParagraph"/>
        <w:tabs>
          <w:tab w:val="left" w:pos="851"/>
        </w:tabs>
        <w:ind w:left="426"/>
      </w:pPr>
    </w:p>
    <w:p w14:paraId="4EF409F4" w14:textId="62DC8162" w:rsidR="0052081F" w:rsidRPr="00F438F7" w:rsidRDefault="0052081F" w:rsidP="005E0D77">
      <w:pPr>
        <w:rPr>
          <w:b/>
          <w:szCs w:val="24"/>
        </w:rPr>
      </w:pPr>
      <w:r w:rsidRPr="00F438F7">
        <w:rPr>
          <w:b/>
          <w:szCs w:val="24"/>
        </w:rPr>
        <w:t xml:space="preserve">1 lentelė. </w:t>
      </w:r>
      <w:r w:rsidR="009E1265" w:rsidRPr="00F438F7">
        <w:rPr>
          <w:b/>
          <w:color w:val="000000" w:themeColor="text1"/>
          <w:szCs w:val="24"/>
        </w:rPr>
        <w:t xml:space="preserve">Objektinio tipo </w:t>
      </w:r>
      <w:r w:rsidR="00365BC2" w:rsidRPr="00F438F7">
        <w:rPr>
          <w:b/>
          <w:color w:val="000000" w:themeColor="text1"/>
          <w:szCs w:val="24"/>
        </w:rPr>
        <w:t>duomenų saugyklos</w:t>
      </w:r>
      <w:r w:rsidR="0020572D" w:rsidRPr="00F438F7">
        <w:rPr>
          <w:b/>
          <w:szCs w:val="24"/>
        </w:rPr>
        <w:t xml:space="preserve"> – </w:t>
      </w:r>
      <w:r w:rsidR="00365BC2" w:rsidRPr="00F438F7">
        <w:rPr>
          <w:b/>
          <w:szCs w:val="24"/>
        </w:rPr>
        <w:t>2</w:t>
      </w:r>
      <w:r w:rsidR="00E653A9" w:rsidRPr="00F438F7">
        <w:rPr>
          <w:b/>
          <w:szCs w:val="24"/>
        </w:rPr>
        <w:t xml:space="preserve"> </w:t>
      </w:r>
      <w:r w:rsidR="0020572D" w:rsidRPr="00F438F7">
        <w:rPr>
          <w:b/>
          <w:szCs w:val="24"/>
        </w:rPr>
        <w:t>vnt.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0"/>
        <w:gridCol w:w="3685"/>
        <w:gridCol w:w="3123"/>
      </w:tblGrid>
      <w:tr w:rsidR="00ED7AA3" w:rsidRPr="00F438F7" w14:paraId="1E04F666" w14:textId="3D99C4BD" w:rsidTr="4D4E42A1">
        <w:trPr>
          <w:trHeight w:val="285"/>
        </w:trPr>
        <w:tc>
          <w:tcPr>
            <w:tcW w:w="709" w:type="dxa"/>
            <w:vAlign w:val="center"/>
          </w:tcPr>
          <w:p w14:paraId="38408BF7" w14:textId="77777777" w:rsidR="00ED7AA3" w:rsidRPr="00F438F7" w:rsidRDefault="00ED7AA3" w:rsidP="00205DF0">
            <w:pPr>
              <w:keepNext/>
              <w:jc w:val="both"/>
              <w:rPr>
                <w:b/>
                <w:color w:val="000000" w:themeColor="text1"/>
                <w:szCs w:val="24"/>
              </w:rPr>
            </w:pPr>
            <w:r w:rsidRPr="00F438F7">
              <w:rPr>
                <w:b/>
                <w:color w:val="000000" w:themeColor="text1"/>
                <w:szCs w:val="24"/>
              </w:rPr>
              <w:t>Eil.Nr.</w:t>
            </w:r>
          </w:p>
        </w:tc>
        <w:tc>
          <w:tcPr>
            <w:tcW w:w="1980" w:type="dxa"/>
            <w:vAlign w:val="center"/>
          </w:tcPr>
          <w:p w14:paraId="1F4657DA" w14:textId="72337E5F" w:rsidR="00ED7AA3" w:rsidRPr="00F438F7" w:rsidRDefault="00ED7AA3" w:rsidP="00412312">
            <w:pPr>
              <w:keepNext/>
              <w:jc w:val="center"/>
              <w:rPr>
                <w:b/>
                <w:color w:val="000000" w:themeColor="text1"/>
                <w:szCs w:val="24"/>
              </w:rPr>
            </w:pPr>
            <w:r w:rsidRPr="00F438F7">
              <w:rPr>
                <w:b/>
                <w:color w:val="000000" w:themeColor="text1"/>
                <w:szCs w:val="24"/>
              </w:rPr>
              <w:t>Charakteristikos pavadinimas</w:t>
            </w:r>
          </w:p>
        </w:tc>
        <w:tc>
          <w:tcPr>
            <w:tcW w:w="3685" w:type="dxa"/>
            <w:vAlign w:val="center"/>
          </w:tcPr>
          <w:p w14:paraId="68A506DB" w14:textId="5ECB514C" w:rsidR="00ED7AA3" w:rsidRPr="00F438F7" w:rsidRDefault="00ED7AA3" w:rsidP="00412312">
            <w:pPr>
              <w:keepNext/>
              <w:jc w:val="center"/>
              <w:rPr>
                <w:b/>
                <w:color w:val="000000" w:themeColor="text1"/>
                <w:szCs w:val="24"/>
              </w:rPr>
            </w:pPr>
            <w:r w:rsidRPr="00F438F7">
              <w:rPr>
                <w:b/>
                <w:color w:val="000000" w:themeColor="text1"/>
                <w:szCs w:val="24"/>
              </w:rPr>
              <w:t xml:space="preserve">Reikalaujama charakteristika (ne blogiau </w:t>
            </w:r>
            <w:r w:rsidR="0005561F" w:rsidRPr="00F438F7">
              <w:rPr>
                <w:b/>
                <w:color w:val="000000" w:themeColor="text1"/>
                <w:szCs w:val="24"/>
              </w:rPr>
              <w:t>kaip</w:t>
            </w:r>
            <w:r w:rsidRPr="00F438F7">
              <w:rPr>
                <w:b/>
                <w:color w:val="000000" w:themeColor="text1"/>
                <w:szCs w:val="24"/>
              </w:rPr>
              <w:t>)</w:t>
            </w:r>
          </w:p>
        </w:tc>
        <w:tc>
          <w:tcPr>
            <w:tcW w:w="3123" w:type="dxa"/>
            <w:vAlign w:val="center"/>
          </w:tcPr>
          <w:p w14:paraId="4F1D4E84" w14:textId="0904773D" w:rsidR="00ED7AA3" w:rsidRPr="00F438F7" w:rsidRDefault="00ED7AA3" w:rsidP="00412312">
            <w:pPr>
              <w:keepNext/>
              <w:jc w:val="center"/>
              <w:rPr>
                <w:b/>
                <w:color w:val="000000" w:themeColor="text1"/>
                <w:szCs w:val="24"/>
              </w:rPr>
            </w:pPr>
            <w:r w:rsidRPr="00F438F7">
              <w:rPr>
                <w:b/>
                <w:color w:val="000000" w:themeColor="text1"/>
                <w:szCs w:val="24"/>
              </w:rPr>
              <w:t>Siūloma charakteristika</w:t>
            </w:r>
          </w:p>
        </w:tc>
      </w:tr>
      <w:tr w:rsidR="00ED7AA3" w:rsidRPr="00F438F7" w14:paraId="536B453A" w14:textId="3259FF36" w:rsidTr="00B97BA3">
        <w:trPr>
          <w:trHeight w:val="701"/>
        </w:trPr>
        <w:tc>
          <w:tcPr>
            <w:tcW w:w="709" w:type="dxa"/>
            <w:vAlign w:val="center"/>
          </w:tcPr>
          <w:p w14:paraId="3F6D5DAE" w14:textId="77777777" w:rsidR="00ED7AA3" w:rsidRPr="00F438F7" w:rsidRDefault="00ED7AA3" w:rsidP="00205DF0">
            <w:pPr>
              <w:numPr>
                <w:ilvl w:val="0"/>
                <w:numId w:val="1"/>
              </w:numPr>
              <w:jc w:val="both"/>
              <w:rPr>
                <w:color w:val="000000" w:themeColor="text1"/>
                <w:szCs w:val="24"/>
              </w:rPr>
            </w:pPr>
          </w:p>
        </w:tc>
        <w:tc>
          <w:tcPr>
            <w:tcW w:w="1980" w:type="dxa"/>
            <w:vAlign w:val="center"/>
          </w:tcPr>
          <w:p w14:paraId="61AF9FA5" w14:textId="77777777" w:rsidR="00ED7AA3" w:rsidRPr="00F438F7" w:rsidRDefault="00ED7AA3">
            <w:pPr>
              <w:jc w:val="both"/>
              <w:rPr>
                <w:color w:val="000000" w:themeColor="text1"/>
                <w:szCs w:val="24"/>
              </w:rPr>
            </w:pPr>
            <w:r w:rsidRPr="00F438F7">
              <w:rPr>
                <w:color w:val="000000" w:themeColor="text1"/>
                <w:szCs w:val="24"/>
              </w:rPr>
              <w:t>Techninės įrangos gamintojas, modelis, modifikacija (jei yra)</w:t>
            </w:r>
          </w:p>
        </w:tc>
        <w:tc>
          <w:tcPr>
            <w:tcW w:w="3685" w:type="dxa"/>
            <w:vAlign w:val="center"/>
          </w:tcPr>
          <w:p w14:paraId="70967EDE" w14:textId="210B87FA" w:rsidR="00D06B9D" w:rsidRPr="00F438F7" w:rsidRDefault="00D06B9D" w:rsidP="00D06B9D">
            <w:pPr>
              <w:jc w:val="both"/>
              <w:rPr>
                <w:szCs w:val="24"/>
              </w:rPr>
            </w:pPr>
            <w:r w:rsidRPr="00F438F7">
              <w:rPr>
                <w:szCs w:val="24"/>
              </w:rPr>
              <w:t xml:space="preserve">Būtina išvardinti siūlomų </w:t>
            </w:r>
            <w:r w:rsidR="00365BC2" w:rsidRPr="00F438F7">
              <w:rPr>
                <w:szCs w:val="24"/>
              </w:rPr>
              <w:t>saugyklų</w:t>
            </w:r>
            <w:r w:rsidRPr="00F438F7">
              <w:rPr>
                <w:szCs w:val="24"/>
              </w:rPr>
              <w:t xml:space="preserve"> komponentus, jų kiekius, modelius, gamintoją ir produktų kodus.</w:t>
            </w:r>
          </w:p>
          <w:p w14:paraId="15054E6C" w14:textId="77777777" w:rsidR="00365BC2" w:rsidRPr="00F438F7" w:rsidRDefault="00365BC2" w:rsidP="00365BC2">
            <w:pPr>
              <w:jc w:val="both"/>
              <w:rPr>
                <w:szCs w:val="24"/>
              </w:rPr>
            </w:pPr>
            <w:r w:rsidRPr="00F438F7">
              <w:t>Pateikti nuorodą į viešai prieinamą informaciją gamintojo interneto svetainėje, kurioje pateikiama informacija apie siūlomos prekės charakteristikas.</w:t>
            </w:r>
          </w:p>
          <w:p w14:paraId="0AA768C7" w14:textId="079E3AE3" w:rsidR="00ED7AA3" w:rsidRPr="00F438F7" w:rsidRDefault="00365BC2" w:rsidP="00365BC2">
            <w:pPr>
              <w:jc w:val="both"/>
              <w:rPr>
                <w:b/>
                <w:bCs/>
                <w:color w:val="000000" w:themeColor="text1"/>
                <w:szCs w:val="24"/>
              </w:rPr>
            </w:pPr>
            <w:r w:rsidRPr="00F438F7">
              <w:rPr>
                <w:b/>
                <w:bCs/>
                <w:szCs w:val="24"/>
              </w:rPr>
              <w:t xml:space="preserve">Kartu su pasiūlymu atskirame dokumente turi būti pateiktas pilnas komplektuojamų </w:t>
            </w:r>
            <w:r w:rsidRPr="00F438F7">
              <w:rPr>
                <w:b/>
                <w:bCs/>
                <w:szCs w:val="24"/>
              </w:rPr>
              <w:lastRenderedPageBreak/>
              <w:t>komponentų sąrašas su gamintojo kodais, kiekiais ir pavadinimais.</w:t>
            </w:r>
          </w:p>
        </w:tc>
        <w:tc>
          <w:tcPr>
            <w:tcW w:w="3123" w:type="dxa"/>
            <w:vAlign w:val="center"/>
          </w:tcPr>
          <w:p w14:paraId="41A08B9D" w14:textId="77777777" w:rsidR="00ED7AA3" w:rsidRPr="00F438F7" w:rsidRDefault="00ED7AA3" w:rsidP="00205DF0">
            <w:pPr>
              <w:jc w:val="both"/>
              <w:rPr>
                <w:color w:val="000000" w:themeColor="text1"/>
                <w:szCs w:val="24"/>
              </w:rPr>
            </w:pPr>
          </w:p>
        </w:tc>
      </w:tr>
      <w:tr w:rsidR="00ED7AA3" w:rsidRPr="00F438F7" w14:paraId="06B92778" w14:textId="4718ED70" w:rsidTr="4D4E42A1">
        <w:trPr>
          <w:trHeight w:val="282"/>
        </w:trPr>
        <w:tc>
          <w:tcPr>
            <w:tcW w:w="709" w:type="dxa"/>
            <w:vAlign w:val="center"/>
          </w:tcPr>
          <w:p w14:paraId="554B9EFB" w14:textId="77777777" w:rsidR="00ED7AA3" w:rsidRPr="00F438F7" w:rsidRDefault="00ED7AA3" w:rsidP="00205DF0">
            <w:pPr>
              <w:numPr>
                <w:ilvl w:val="0"/>
                <w:numId w:val="1"/>
              </w:numPr>
              <w:jc w:val="both"/>
              <w:rPr>
                <w:color w:val="000000" w:themeColor="text1"/>
                <w:szCs w:val="24"/>
              </w:rPr>
            </w:pPr>
          </w:p>
        </w:tc>
        <w:tc>
          <w:tcPr>
            <w:tcW w:w="1980" w:type="dxa"/>
            <w:vAlign w:val="center"/>
          </w:tcPr>
          <w:p w14:paraId="511EE603" w14:textId="1E28608F" w:rsidR="00ED7AA3" w:rsidRPr="00F438F7" w:rsidRDefault="00365BC2" w:rsidP="00205DF0">
            <w:pPr>
              <w:jc w:val="both"/>
              <w:rPr>
                <w:color w:val="000000" w:themeColor="text1"/>
                <w:szCs w:val="24"/>
              </w:rPr>
            </w:pPr>
            <w:r w:rsidRPr="00F438F7">
              <w:rPr>
                <w:color w:val="000000" w:themeColor="text1"/>
                <w:szCs w:val="24"/>
              </w:rPr>
              <w:t>Duomenų saugyklos tipas</w:t>
            </w:r>
          </w:p>
        </w:tc>
        <w:tc>
          <w:tcPr>
            <w:tcW w:w="3685" w:type="dxa"/>
            <w:vAlign w:val="center"/>
          </w:tcPr>
          <w:p w14:paraId="296AF156" w14:textId="405C6B89" w:rsidR="00ED7AA3" w:rsidRPr="00F438F7" w:rsidRDefault="00365BC2" w:rsidP="00205DF0">
            <w:pPr>
              <w:jc w:val="both"/>
              <w:rPr>
                <w:i/>
                <w:color w:val="000000" w:themeColor="text1"/>
                <w:szCs w:val="24"/>
              </w:rPr>
            </w:pPr>
            <w:r w:rsidRPr="00F438F7">
              <w:rPr>
                <w:sz w:val="20"/>
              </w:rPr>
              <w:t xml:space="preserve"> </w:t>
            </w:r>
            <w:r w:rsidRPr="00F438F7">
              <w:rPr>
                <w:rStyle w:val="item"/>
                <w:color w:val="000000" w:themeColor="text1"/>
                <w:szCs w:val="24"/>
              </w:rPr>
              <w:t xml:space="preserve">Turi būti siūloma </w:t>
            </w:r>
            <w:r w:rsidR="009E1265" w:rsidRPr="00F438F7">
              <w:rPr>
                <w:rStyle w:val="item"/>
                <w:color w:val="000000" w:themeColor="text1"/>
                <w:szCs w:val="24"/>
              </w:rPr>
              <w:t xml:space="preserve">objektinio tipo </w:t>
            </w:r>
            <w:r w:rsidRPr="00F438F7">
              <w:rPr>
                <w:rStyle w:val="item"/>
                <w:color w:val="000000" w:themeColor="text1"/>
                <w:szCs w:val="24"/>
              </w:rPr>
              <w:t>duomenų saugykla</w:t>
            </w:r>
            <w:r w:rsidR="009E1265" w:rsidRPr="00F438F7">
              <w:rPr>
                <w:rStyle w:val="item"/>
                <w:color w:val="000000" w:themeColor="text1"/>
                <w:szCs w:val="24"/>
              </w:rPr>
              <w:t xml:space="preserve"> (toliau – objektinė duomenų saugykla)</w:t>
            </w:r>
            <w:r w:rsidRPr="00F438F7">
              <w:rPr>
                <w:rStyle w:val="item"/>
                <w:color w:val="000000" w:themeColor="text1"/>
                <w:szCs w:val="24"/>
              </w:rPr>
              <w:t xml:space="preserve">, </w:t>
            </w:r>
            <w:r w:rsidRPr="00F438F7">
              <w:rPr>
                <w:rStyle w:val="item"/>
                <w:color w:val="000000" w:themeColor="text1"/>
              </w:rPr>
              <w:t>gamintojo viešame interneto puslapyje aiškiai įvardinta kaip tokia.</w:t>
            </w:r>
            <w:r w:rsidRPr="00F438F7">
              <w:rPr>
                <w:rStyle w:val="item"/>
                <w:color w:val="000000" w:themeColor="text1"/>
                <w:szCs w:val="24"/>
              </w:rPr>
              <w:t xml:space="preserve"> Ši objektinė duomenų saugykla turi būti paskirstyto tipo – sudaryta iš duomenų saugojimo mazgų ir suprantama kaip klasterizuota „scale-out“ tipo architektūros duomenų saugykla objektų talpinimui (objektinių duomenų saugojimo klasteris). Šį klasterį sudarantys mazgai objektinei duomenų saugyklai turi teikti talpą duomenų saugojimui, duomenų apdorojimo pajėgumus, duomenų servisus, tarpusavio komunikacijos (angl. „backend“), duomenų prieigos (angl. „frontend“) bei valdymo prieigos prievadus.</w:t>
            </w:r>
          </w:p>
        </w:tc>
        <w:tc>
          <w:tcPr>
            <w:tcW w:w="3123" w:type="dxa"/>
            <w:vAlign w:val="center"/>
          </w:tcPr>
          <w:p w14:paraId="2259AEA4" w14:textId="77777777" w:rsidR="00ED7AA3" w:rsidRPr="00F438F7" w:rsidRDefault="00ED7AA3" w:rsidP="00205DF0">
            <w:pPr>
              <w:jc w:val="both"/>
              <w:rPr>
                <w:i/>
                <w:color w:val="000000" w:themeColor="text1"/>
                <w:szCs w:val="24"/>
              </w:rPr>
            </w:pPr>
          </w:p>
        </w:tc>
      </w:tr>
      <w:tr w:rsidR="00ED7AA3" w:rsidRPr="00F438F7" w14:paraId="7943905D" w14:textId="658D91F5" w:rsidTr="4D4E42A1">
        <w:trPr>
          <w:trHeight w:val="273"/>
        </w:trPr>
        <w:tc>
          <w:tcPr>
            <w:tcW w:w="709" w:type="dxa"/>
            <w:vAlign w:val="center"/>
          </w:tcPr>
          <w:p w14:paraId="082BD50E" w14:textId="77777777" w:rsidR="00ED7AA3" w:rsidRPr="00F438F7" w:rsidRDefault="00ED7AA3" w:rsidP="00205DF0">
            <w:pPr>
              <w:numPr>
                <w:ilvl w:val="0"/>
                <w:numId w:val="1"/>
              </w:numPr>
              <w:jc w:val="both"/>
              <w:rPr>
                <w:color w:val="000000" w:themeColor="text1"/>
                <w:szCs w:val="24"/>
              </w:rPr>
            </w:pPr>
          </w:p>
        </w:tc>
        <w:tc>
          <w:tcPr>
            <w:tcW w:w="1980" w:type="dxa"/>
            <w:vAlign w:val="center"/>
          </w:tcPr>
          <w:p w14:paraId="14991EE1" w14:textId="395A0F18" w:rsidR="00ED7AA3" w:rsidRPr="00F438F7" w:rsidRDefault="00992DBC" w:rsidP="00205DF0">
            <w:pPr>
              <w:jc w:val="both"/>
              <w:rPr>
                <w:color w:val="000000" w:themeColor="text1"/>
                <w:szCs w:val="24"/>
              </w:rPr>
            </w:pPr>
            <w:r w:rsidRPr="00F438F7">
              <w:rPr>
                <w:color w:val="000000" w:themeColor="text1"/>
                <w:szCs w:val="24"/>
              </w:rPr>
              <w:t>Protokolų palaikymas ir duomenų valdymas</w:t>
            </w:r>
          </w:p>
        </w:tc>
        <w:tc>
          <w:tcPr>
            <w:tcW w:w="3685" w:type="dxa"/>
            <w:vAlign w:val="center"/>
          </w:tcPr>
          <w:p w14:paraId="7C154D3D" w14:textId="77777777" w:rsidR="00652184" w:rsidRPr="00F438F7" w:rsidRDefault="00992DBC" w:rsidP="00992DBC">
            <w:pPr>
              <w:jc w:val="both"/>
              <w:rPr>
                <w:rStyle w:val="item"/>
                <w:color w:val="000000" w:themeColor="text1"/>
                <w:szCs w:val="24"/>
              </w:rPr>
            </w:pPr>
            <w:r w:rsidRPr="00F438F7">
              <w:rPr>
                <w:rStyle w:val="item"/>
                <w:color w:val="000000" w:themeColor="text1"/>
                <w:szCs w:val="24"/>
              </w:rPr>
              <w:t xml:space="preserve">Duomenų saugykla turi palaikyti ne mažiau kaip šiuos duomenų perdavimo protokolus: </w:t>
            </w:r>
          </w:p>
          <w:p w14:paraId="56BF7722" w14:textId="7C45C59D" w:rsidR="00652184" w:rsidRPr="00F438F7" w:rsidRDefault="00992DBC" w:rsidP="00F2071C">
            <w:pPr>
              <w:pStyle w:val="ListParagraph"/>
              <w:numPr>
                <w:ilvl w:val="0"/>
                <w:numId w:val="12"/>
              </w:numPr>
              <w:jc w:val="both"/>
              <w:rPr>
                <w:rStyle w:val="item"/>
                <w:color w:val="000000" w:themeColor="text1"/>
                <w:szCs w:val="24"/>
              </w:rPr>
            </w:pPr>
            <w:r w:rsidRPr="00F438F7">
              <w:rPr>
                <w:rStyle w:val="item"/>
                <w:color w:val="000000" w:themeColor="text1"/>
                <w:szCs w:val="24"/>
              </w:rPr>
              <w:t>S3</w:t>
            </w:r>
            <w:r w:rsidR="00652184" w:rsidRPr="00F438F7">
              <w:rPr>
                <w:rStyle w:val="item"/>
                <w:color w:val="000000" w:themeColor="text1"/>
                <w:szCs w:val="24"/>
              </w:rPr>
              <w:t>;</w:t>
            </w:r>
            <w:r w:rsidRPr="00F438F7">
              <w:rPr>
                <w:rStyle w:val="item"/>
                <w:color w:val="000000" w:themeColor="text1"/>
                <w:szCs w:val="24"/>
              </w:rPr>
              <w:t xml:space="preserve"> </w:t>
            </w:r>
          </w:p>
          <w:p w14:paraId="5B07DEB9" w14:textId="1BBAFFF7" w:rsidR="00652184" w:rsidRPr="00F438F7" w:rsidRDefault="00992DBC" w:rsidP="00F2071C">
            <w:pPr>
              <w:pStyle w:val="ListParagraph"/>
              <w:numPr>
                <w:ilvl w:val="0"/>
                <w:numId w:val="12"/>
              </w:numPr>
              <w:jc w:val="both"/>
              <w:rPr>
                <w:rStyle w:val="item"/>
                <w:color w:val="000000" w:themeColor="text1"/>
                <w:szCs w:val="24"/>
              </w:rPr>
            </w:pPr>
            <w:r w:rsidRPr="00F438F7">
              <w:rPr>
                <w:rStyle w:val="item"/>
                <w:color w:val="000000" w:themeColor="text1"/>
                <w:szCs w:val="24"/>
              </w:rPr>
              <w:t>NFS</w:t>
            </w:r>
            <w:r w:rsidR="00884757" w:rsidRPr="00F438F7">
              <w:rPr>
                <w:rStyle w:val="item"/>
                <w:color w:val="000000" w:themeColor="text1"/>
                <w:szCs w:val="24"/>
              </w:rPr>
              <w:t xml:space="preserve"> arba</w:t>
            </w:r>
            <w:r w:rsidR="00F00921" w:rsidRPr="00F438F7">
              <w:rPr>
                <w:rStyle w:val="item"/>
                <w:color w:val="000000" w:themeColor="text1"/>
              </w:rPr>
              <w:t xml:space="preserve"> </w:t>
            </w:r>
            <w:r w:rsidRPr="00F438F7">
              <w:rPr>
                <w:rStyle w:val="item"/>
                <w:color w:val="000000" w:themeColor="text1"/>
                <w:szCs w:val="24"/>
              </w:rPr>
              <w:t>CIFS</w:t>
            </w:r>
            <w:r w:rsidR="00652184" w:rsidRPr="00F438F7">
              <w:rPr>
                <w:rStyle w:val="item"/>
                <w:color w:val="000000" w:themeColor="text1"/>
                <w:szCs w:val="24"/>
              </w:rPr>
              <w:t>;</w:t>
            </w:r>
            <w:r w:rsidR="00DB5D33" w:rsidRPr="00F438F7">
              <w:rPr>
                <w:rStyle w:val="item"/>
                <w:color w:val="000000" w:themeColor="text1"/>
                <w:szCs w:val="24"/>
              </w:rPr>
              <w:t xml:space="preserve"> </w:t>
            </w:r>
          </w:p>
          <w:p w14:paraId="67F67B6F" w14:textId="77777777" w:rsidR="00652184" w:rsidRPr="00F438F7" w:rsidRDefault="00DB5D33" w:rsidP="00992DBC">
            <w:pPr>
              <w:jc w:val="both"/>
              <w:rPr>
                <w:rStyle w:val="item"/>
                <w:color w:val="000000" w:themeColor="text1"/>
                <w:szCs w:val="24"/>
              </w:rPr>
            </w:pPr>
            <w:r w:rsidRPr="00F438F7">
              <w:rPr>
                <w:rStyle w:val="item"/>
                <w:color w:val="000000" w:themeColor="text1"/>
                <w:szCs w:val="24"/>
              </w:rPr>
              <w:t>arba lygiaverčius</w:t>
            </w:r>
            <w:r w:rsidR="00992DBC" w:rsidRPr="00F438F7">
              <w:rPr>
                <w:rStyle w:val="item"/>
                <w:color w:val="000000" w:themeColor="text1"/>
                <w:szCs w:val="24"/>
              </w:rPr>
              <w:t xml:space="preserve">. </w:t>
            </w:r>
          </w:p>
          <w:p w14:paraId="7FA92FAB" w14:textId="23BC4523" w:rsidR="00992DBC" w:rsidRPr="00F438F7" w:rsidRDefault="00992DBC" w:rsidP="00992DBC">
            <w:pPr>
              <w:jc w:val="both"/>
              <w:rPr>
                <w:rStyle w:val="item"/>
                <w:color w:val="000000" w:themeColor="text1"/>
                <w:szCs w:val="24"/>
              </w:rPr>
            </w:pPr>
            <w:r w:rsidRPr="00F438F7">
              <w:rPr>
                <w:rStyle w:val="item"/>
                <w:color w:val="000000" w:themeColor="text1"/>
                <w:szCs w:val="24"/>
              </w:rPr>
              <w:t>Duomenys šiais protokolais turi būti pasiekiami iš kiekvieno objektinių duomenų saugojimo klasterio mazgo.</w:t>
            </w:r>
            <w:r w:rsidR="0098090E" w:rsidRPr="00F438F7">
              <w:rPr>
                <w:rStyle w:val="item"/>
                <w:color w:val="000000" w:themeColor="text1"/>
                <w:szCs w:val="24"/>
              </w:rPr>
              <w:t xml:space="preserve"> </w:t>
            </w:r>
            <w:r w:rsidR="00DB5D33" w:rsidRPr="00F438F7">
              <w:rPr>
                <w:rStyle w:val="item"/>
                <w:color w:val="000000" w:themeColor="text1"/>
                <w:szCs w:val="24"/>
              </w:rPr>
              <w:t xml:space="preserve">Tuo atveju jeigu siūlomas sprendimas nepalaiko NFS </w:t>
            </w:r>
            <w:r w:rsidR="00B31818" w:rsidRPr="00F438F7">
              <w:rPr>
                <w:rStyle w:val="item"/>
                <w:color w:val="000000" w:themeColor="text1"/>
                <w:szCs w:val="24"/>
              </w:rPr>
              <w:t xml:space="preserve">arba </w:t>
            </w:r>
            <w:r w:rsidR="00A76C3D" w:rsidRPr="00F438F7">
              <w:rPr>
                <w:rStyle w:val="item"/>
                <w:color w:val="000000" w:themeColor="text1"/>
                <w:szCs w:val="24"/>
              </w:rPr>
              <w:t xml:space="preserve">CIFS protokolų galima siūlyti papildomą </w:t>
            </w:r>
            <w:r w:rsidR="00AB7D4A" w:rsidRPr="00F438F7">
              <w:rPr>
                <w:rStyle w:val="item"/>
                <w:color w:val="000000" w:themeColor="text1"/>
                <w:szCs w:val="24"/>
              </w:rPr>
              <w:t xml:space="preserve">aparatinę </w:t>
            </w:r>
            <w:r w:rsidR="00A76C3D" w:rsidRPr="00F438F7">
              <w:rPr>
                <w:rStyle w:val="item"/>
                <w:color w:val="000000" w:themeColor="text1"/>
                <w:szCs w:val="24"/>
              </w:rPr>
              <w:t>įrangą (angl. „gateway)</w:t>
            </w:r>
            <w:r w:rsidR="00C34139" w:rsidRPr="00F438F7">
              <w:rPr>
                <w:rStyle w:val="item"/>
                <w:color w:val="000000" w:themeColor="text1"/>
              </w:rPr>
              <w:t>,</w:t>
            </w:r>
            <w:r w:rsidR="00C34139" w:rsidRPr="00F438F7">
              <w:rPr>
                <w:rStyle w:val="item"/>
                <w:color w:val="000000" w:themeColor="text1"/>
                <w:szCs w:val="24"/>
              </w:rPr>
              <w:t xml:space="preserve"> tenkinančią reikalaujamą našumą</w:t>
            </w:r>
            <w:r w:rsidR="00A76C3D" w:rsidRPr="00F438F7">
              <w:rPr>
                <w:rStyle w:val="item"/>
                <w:color w:val="000000" w:themeColor="text1"/>
                <w:szCs w:val="24"/>
              </w:rPr>
              <w:t>, tačiau ši įranga turi būti įtraukta į bendrą pasiūlymą.</w:t>
            </w:r>
            <w:r w:rsidR="009B1027" w:rsidRPr="00F438F7">
              <w:rPr>
                <w:rStyle w:val="item"/>
                <w:color w:val="000000" w:themeColor="text1"/>
                <w:szCs w:val="24"/>
              </w:rPr>
              <w:t xml:space="preserve"> Siūloma papildoma įranga turi būti pritaikyta montuoti į </w:t>
            </w:r>
            <w:r w:rsidR="009B1027" w:rsidRPr="00F438F7">
              <w:rPr>
                <w:rStyle w:val="item"/>
                <w:color w:val="000000" w:themeColor="text1"/>
              </w:rPr>
              <w:t xml:space="preserve">standartines </w:t>
            </w:r>
            <w:r w:rsidR="00C7591D" w:rsidRPr="00F438F7">
              <w:rPr>
                <w:rStyle w:val="item"/>
                <w:color w:val="000000" w:themeColor="text1"/>
              </w:rPr>
              <w:t>19 colių pločio spintas,</w:t>
            </w:r>
            <w:r w:rsidR="00C7591D" w:rsidRPr="00F438F7">
              <w:rPr>
                <w:rStyle w:val="item"/>
                <w:color w:val="000000" w:themeColor="text1"/>
                <w:szCs w:val="24"/>
              </w:rPr>
              <w:t xml:space="preserve"> komponentai pilnai dubliuoti užtikrinantys aukšto patikimumo savybes</w:t>
            </w:r>
            <w:r w:rsidR="0019185B" w:rsidRPr="00F438F7">
              <w:rPr>
                <w:rStyle w:val="normaltextrun"/>
              </w:rPr>
              <w:t>, t.y. tarpinių serverių įranga turi būti dubliuota</w:t>
            </w:r>
            <w:r w:rsidR="00B31818" w:rsidRPr="00F438F7">
              <w:t xml:space="preserve"> </w:t>
            </w:r>
            <w:r w:rsidR="00B31818" w:rsidRPr="00F438F7">
              <w:rPr>
                <w:rStyle w:val="normaltextrun"/>
              </w:rPr>
              <w:t>ir turi užtikrinti dubliuotą prieigą prie duomenų saugyklos talpos esant vieno iš jų gedimui</w:t>
            </w:r>
            <w:r w:rsidR="0019185B" w:rsidRPr="00F438F7">
              <w:rPr>
                <w:rStyle w:val="normaltextrun"/>
              </w:rPr>
              <w:t>.</w:t>
            </w:r>
            <w:r w:rsidR="00A70893" w:rsidRPr="00F438F7">
              <w:rPr>
                <w:rStyle w:val="Hyperlink"/>
                <w:b/>
                <w:bCs/>
              </w:rPr>
              <w:t xml:space="preserve"> </w:t>
            </w:r>
            <w:r w:rsidR="00A70893" w:rsidRPr="00F438F7">
              <w:rPr>
                <w:rStyle w:val="normaltextrun"/>
              </w:rPr>
              <w:t xml:space="preserve">Tarpinių serverių įranga negali riboti per ją pasiekiamos duomenų saugyklos talpos našumo. Turi būti pateiktas duomenų </w:t>
            </w:r>
            <w:r w:rsidR="00A70893" w:rsidRPr="00F438F7">
              <w:rPr>
                <w:rStyle w:val="normaltextrun"/>
              </w:rPr>
              <w:lastRenderedPageBreak/>
              <w:t>saugyklos gamintojo raštiškas patvirtinimas, kad siūlomas tarpinių serverių įrangos sprendimas yra tinkamas reikalaujamam funkcionalumui pasiekti ir duomenų saugyklos gamintojo oficialiai įvardintas kaip sprendimo sudedamoji dalis, pilnai suderinama su siūloma duomenų saugykla.</w:t>
            </w:r>
          </w:p>
          <w:p w14:paraId="51425855" w14:textId="7A097F29" w:rsidR="00ED7AA3" w:rsidRPr="00F438F7" w:rsidRDefault="00933C72" w:rsidP="00992DBC">
            <w:pPr>
              <w:jc w:val="both"/>
              <w:rPr>
                <w:i/>
                <w:color w:val="000000" w:themeColor="text1"/>
                <w:szCs w:val="24"/>
              </w:rPr>
            </w:pPr>
            <w:r w:rsidRPr="00F438F7">
              <w:rPr>
                <w:rStyle w:val="item"/>
                <w:color w:val="000000" w:themeColor="text1"/>
              </w:rPr>
              <w:t>T</w:t>
            </w:r>
            <w:r w:rsidR="004B0C3A" w:rsidRPr="00F438F7">
              <w:rPr>
                <w:rStyle w:val="item"/>
                <w:color w:val="000000" w:themeColor="text1"/>
              </w:rPr>
              <w:t>uri būti galima</w:t>
            </w:r>
            <w:r w:rsidR="007C1682" w:rsidRPr="00F438F7">
              <w:rPr>
                <w:rStyle w:val="item"/>
                <w:color w:val="000000" w:themeColor="text1"/>
              </w:rPr>
              <w:t xml:space="preserve"> pasiekti</w:t>
            </w:r>
            <w:r w:rsidR="004B0C3A" w:rsidRPr="00F438F7">
              <w:rPr>
                <w:rStyle w:val="item"/>
                <w:color w:val="000000" w:themeColor="text1"/>
              </w:rPr>
              <w:t xml:space="preserve"> </w:t>
            </w:r>
            <w:r w:rsidR="00BB43F9" w:rsidRPr="00F438F7">
              <w:t xml:space="preserve">ne mažiau kaip </w:t>
            </w:r>
            <w:r w:rsidRPr="00F438F7">
              <w:t>pusę</w:t>
            </w:r>
            <w:r w:rsidR="00BB43F9" w:rsidRPr="00F438F7">
              <w:t xml:space="preserve"> duomenų saugyklos talpos nurodytos Techninės specifikacijos IV punkto 1-os lentelės 4 eilutės reikalavimuose per NFS arba CIFS arba lygiaverčius protokolus.  Visa talpa turi būti pasiekiama naudojant „S3 bucket” talpą be papildomos (angl. „gateway“) įrangos per Rest API arba lygiaverčius protokolus</w:t>
            </w:r>
            <w:r w:rsidR="005E1CE4" w:rsidRPr="00F438F7">
              <w:t>.</w:t>
            </w:r>
            <w:r w:rsidR="00BB43F9" w:rsidRPr="00F438F7">
              <w:rPr>
                <w:b/>
              </w:rPr>
              <w:t xml:space="preserve"> </w:t>
            </w:r>
            <w:r w:rsidR="00992DBC" w:rsidRPr="00F438F7">
              <w:rPr>
                <w:rStyle w:val="item"/>
                <w:color w:val="000000" w:themeColor="text1"/>
                <w:szCs w:val="24"/>
              </w:rPr>
              <w:t>Turi būti pateiktos visos nurodytų protokolų palaikymo licencijos visai talpai.</w:t>
            </w:r>
          </w:p>
        </w:tc>
        <w:tc>
          <w:tcPr>
            <w:tcW w:w="3123" w:type="dxa"/>
            <w:vAlign w:val="center"/>
          </w:tcPr>
          <w:p w14:paraId="03254FAE" w14:textId="77777777" w:rsidR="00ED7AA3" w:rsidRPr="00F438F7" w:rsidRDefault="00ED7AA3" w:rsidP="00205DF0">
            <w:pPr>
              <w:jc w:val="both"/>
              <w:rPr>
                <w:i/>
                <w:color w:val="000000" w:themeColor="text1"/>
                <w:szCs w:val="24"/>
              </w:rPr>
            </w:pPr>
          </w:p>
        </w:tc>
      </w:tr>
      <w:tr w:rsidR="00ED7AA3" w:rsidRPr="00F438F7" w14:paraId="53BA5D2F" w14:textId="496E7A5C" w:rsidTr="4D4E42A1">
        <w:trPr>
          <w:trHeight w:val="282"/>
        </w:trPr>
        <w:tc>
          <w:tcPr>
            <w:tcW w:w="709" w:type="dxa"/>
            <w:vAlign w:val="center"/>
          </w:tcPr>
          <w:p w14:paraId="300637AC" w14:textId="77777777" w:rsidR="00ED7AA3" w:rsidRPr="00F438F7" w:rsidRDefault="00ED7AA3" w:rsidP="00205DF0">
            <w:pPr>
              <w:numPr>
                <w:ilvl w:val="0"/>
                <w:numId w:val="1"/>
              </w:numPr>
              <w:jc w:val="both"/>
              <w:rPr>
                <w:color w:val="000000" w:themeColor="text1"/>
                <w:szCs w:val="24"/>
              </w:rPr>
            </w:pPr>
          </w:p>
        </w:tc>
        <w:tc>
          <w:tcPr>
            <w:tcW w:w="1980" w:type="dxa"/>
            <w:vAlign w:val="center"/>
          </w:tcPr>
          <w:p w14:paraId="79928CEF" w14:textId="349FB3AE" w:rsidR="00ED7AA3" w:rsidRPr="00F438F7" w:rsidRDefault="00992DBC" w:rsidP="00205DF0">
            <w:pPr>
              <w:jc w:val="both"/>
              <w:rPr>
                <w:color w:val="000000" w:themeColor="text1"/>
                <w:szCs w:val="24"/>
              </w:rPr>
            </w:pPr>
            <w:r w:rsidRPr="00F438F7">
              <w:rPr>
                <w:color w:val="000000" w:themeColor="text1"/>
                <w:szCs w:val="24"/>
              </w:rPr>
              <w:t>Duomenų saugyklos talpa</w:t>
            </w:r>
          </w:p>
        </w:tc>
        <w:tc>
          <w:tcPr>
            <w:tcW w:w="3685" w:type="dxa"/>
            <w:vAlign w:val="center"/>
          </w:tcPr>
          <w:p w14:paraId="0572E111" w14:textId="1DF9B130" w:rsidR="00992DBC" w:rsidRPr="00F438F7" w:rsidRDefault="00992DBC" w:rsidP="00F2071C">
            <w:pPr>
              <w:pStyle w:val="paragraph"/>
              <w:jc w:val="both"/>
              <w:textAlignment w:val="baseline"/>
              <w:rPr>
                <w:rStyle w:val="item"/>
              </w:rPr>
            </w:pPr>
            <w:r w:rsidRPr="00F438F7">
              <w:rPr>
                <w:rStyle w:val="item"/>
              </w:rPr>
              <w:t>Kiekviena iš siūlomų objektinių duomenų saugyklų turi talpinti ne mažiau kaip 3 PB objektinių duomenų, kai vidutinis objekto dydis yra ne mažesnis kaip 10 MB. Ši talpa turi būti pasiekta</w:t>
            </w:r>
            <w:r w:rsidR="001E408D" w:rsidRPr="00F438F7">
              <w:rPr>
                <w:rStyle w:val="item"/>
              </w:rPr>
              <w:t xml:space="preserve"> </w:t>
            </w:r>
            <w:r w:rsidR="001E408D" w:rsidRPr="00F438F7">
              <w:t>užtikrinant</w:t>
            </w:r>
            <w:r w:rsidR="001E408D" w:rsidRPr="00F438F7">
              <w:rPr>
                <w:b/>
                <w:bCs/>
              </w:rPr>
              <w:t xml:space="preserve"> </w:t>
            </w:r>
            <w:r w:rsidR="001E408D" w:rsidRPr="00F438F7">
              <w:t>Techninės specifikacijos IV. punkto 1-os lentelės 8 eilutės</w:t>
            </w:r>
            <w:r w:rsidR="001E408D" w:rsidRPr="00F438F7">
              <w:rPr>
                <w:b/>
                <w:bCs/>
              </w:rPr>
              <w:t xml:space="preserve"> </w:t>
            </w:r>
            <w:r w:rsidR="001E408D" w:rsidRPr="00F438F7">
              <w:t>„Duomenų saugyklos aukšto patikimumo reikalavimai“ punkte nurodytus</w:t>
            </w:r>
            <w:r w:rsidR="00C72F9A" w:rsidRPr="00F438F7">
              <w:t xml:space="preserve"> duomenų apsaugos</w:t>
            </w:r>
            <w:r w:rsidR="001E408D" w:rsidRPr="00F438F7">
              <w:t xml:space="preserve"> reikalavimus ir </w:t>
            </w:r>
            <w:r w:rsidRPr="00F438F7">
              <w:rPr>
                <w:rStyle w:val="item"/>
              </w:rPr>
              <w:t xml:space="preserve"> neužpildžius duomenų saugyklos naudingos talpos (angl. „usable capacity“) daugiau nei leidžia  gamintojo gerosios praktikos</w:t>
            </w:r>
            <w:r w:rsidR="00B527CA" w:rsidRPr="00F438F7">
              <w:rPr>
                <w:rStyle w:val="item"/>
              </w:rPr>
              <w:t>,</w:t>
            </w:r>
            <w:r w:rsidR="00B527CA" w:rsidRPr="00F438F7">
              <w:t xml:space="preserve"> </w:t>
            </w:r>
            <w:r w:rsidR="00B527CA" w:rsidRPr="00F438F7">
              <w:rPr>
                <w:rStyle w:val="normaltextrun"/>
              </w:rPr>
              <w:t>dėl ko gali kristi duomenų saugyklos našumas</w:t>
            </w:r>
            <w:r w:rsidR="00090006" w:rsidRPr="00F438F7">
              <w:rPr>
                <w:rStyle w:val="normaltextrun"/>
              </w:rPr>
              <w:t xml:space="preserve">. </w:t>
            </w:r>
            <w:r w:rsidRPr="00F438F7">
              <w:rPr>
                <w:rStyle w:val="item"/>
              </w:rPr>
              <w:t>Jei gamintojas nepateikia tokių rekomendacijų maksimaliam rekomenduojamam talpos užpildymui, leidžiama skaičiuoti naudingą talpą (angl. „usable capacity“) užpildant ne daugiau nei 90% saugyklos resursų</w:t>
            </w:r>
            <w:r w:rsidR="00571977" w:rsidRPr="00F438F7">
              <w:rPr>
                <w:rStyle w:val="item"/>
              </w:rPr>
              <w:t xml:space="preserve"> </w:t>
            </w:r>
            <w:r w:rsidR="00571977" w:rsidRPr="00F438F7">
              <w:rPr>
                <w:rStyle w:val="normaltextrun"/>
              </w:rPr>
              <w:t>be įtakos duomenų saugyklos našumui</w:t>
            </w:r>
            <w:r w:rsidRPr="00F438F7">
              <w:rPr>
                <w:rStyle w:val="item"/>
              </w:rPr>
              <w:t xml:space="preserve">. Duomenų saugyklos talpos skaičiavimai turi būti atlikti nevertinant duomenų išdubliavimo ir suspaudimo teikiamos naudos. Nurodyta talpa negali būti naudojama duomenų apsaugai </w:t>
            </w:r>
            <w:r w:rsidRPr="00F438F7">
              <w:rPr>
                <w:rStyle w:val="item"/>
              </w:rPr>
              <w:lastRenderedPageBreak/>
              <w:t>(dubliavimui). Duomenų saugyklos talpinamų objektų kiekis negali būti ribojamas programinio kodo, nepriklausomai nuo naudojamo API. Nurodoma talpa yra vienam objektinės duomenų saugyklos komplektui talpinamam viename duomenų centre. Šiame pirkime įgyjami du vienodi objektinių duomenų saugyklos komplektai ir bus talpinami skirtinguose duomenų centruose.</w:t>
            </w:r>
          </w:p>
          <w:p w14:paraId="2330F696" w14:textId="77777777" w:rsidR="00992DBC" w:rsidRPr="00F438F7" w:rsidRDefault="00992DBC" w:rsidP="00992DBC">
            <w:pPr>
              <w:jc w:val="both"/>
              <w:rPr>
                <w:rStyle w:val="item"/>
              </w:rPr>
            </w:pPr>
            <w:r w:rsidRPr="00F438F7">
              <w:rPr>
                <w:rStyle w:val="item"/>
              </w:rPr>
              <w:t xml:space="preserve">Visa reikalaujama pateikti duomenų saugyklos talpa vartotojams turi būti prieinama per bet kurį objektinių duomenų saugojimo klasterio mazgą ir turi būti prieinama kaip vieninga talpa su viena vardų sritimi turinio prieigai (angl. „single namespace“). Turi būti galima sukonfigūruoti talpą daugelio vardų sričių naudojimui. </w:t>
            </w:r>
          </w:p>
          <w:p w14:paraId="0635A9A9" w14:textId="6B160AA3" w:rsidR="00ED7AA3" w:rsidRPr="00F438F7" w:rsidRDefault="00992DBC" w:rsidP="00992DBC">
            <w:pPr>
              <w:jc w:val="both"/>
              <w:rPr>
                <w:rStyle w:val="item"/>
                <w:b/>
                <w:bCs/>
              </w:rPr>
            </w:pPr>
            <w:r w:rsidRPr="00F438F7">
              <w:rPr>
                <w:rStyle w:val="item"/>
                <w:b/>
              </w:rPr>
              <w:t>Kartu su pasiūlymu turi būti pateiktas siūlomos konfigūracijos duomenų saugyklos paties gamintojo patvirtintas dokumentas, pagrindžiantis talpai keliamų reikalavimų atitikimą.</w:t>
            </w:r>
            <w:r w:rsidRPr="00F438F7">
              <w:rPr>
                <w:rStyle w:val="item"/>
                <w:b/>
                <w:bCs/>
              </w:rPr>
              <w:t xml:space="preserve"> </w:t>
            </w:r>
          </w:p>
        </w:tc>
        <w:tc>
          <w:tcPr>
            <w:tcW w:w="3123" w:type="dxa"/>
            <w:vAlign w:val="center"/>
          </w:tcPr>
          <w:p w14:paraId="2E590573" w14:textId="77777777" w:rsidR="00ED7AA3" w:rsidRPr="00F438F7" w:rsidRDefault="00ED7AA3" w:rsidP="00205DF0">
            <w:pPr>
              <w:jc w:val="both"/>
              <w:rPr>
                <w:color w:val="000000" w:themeColor="text1"/>
                <w:szCs w:val="24"/>
              </w:rPr>
            </w:pPr>
          </w:p>
        </w:tc>
      </w:tr>
      <w:tr w:rsidR="00ED7AA3" w:rsidRPr="00F438F7" w14:paraId="3D28346F" w14:textId="2832D815" w:rsidTr="4D4E42A1">
        <w:trPr>
          <w:trHeight w:val="828"/>
        </w:trPr>
        <w:tc>
          <w:tcPr>
            <w:tcW w:w="709" w:type="dxa"/>
            <w:vAlign w:val="center"/>
          </w:tcPr>
          <w:p w14:paraId="2F95B508" w14:textId="77777777" w:rsidR="00ED7AA3" w:rsidRPr="00F438F7" w:rsidRDefault="00ED7AA3" w:rsidP="00205DF0">
            <w:pPr>
              <w:numPr>
                <w:ilvl w:val="0"/>
                <w:numId w:val="1"/>
              </w:numPr>
              <w:jc w:val="both"/>
              <w:rPr>
                <w:color w:val="000000" w:themeColor="text1"/>
                <w:szCs w:val="24"/>
              </w:rPr>
            </w:pPr>
          </w:p>
        </w:tc>
        <w:tc>
          <w:tcPr>
            <w:tcW w:w="1980" w:type="dxa"/>
            <w:vAlign w:val="center"/>
          </w:tcPr>
          <w:p w14:paraId="1D4ECF65" w14:textId="4D3C25E4" w:rsidR="00ED7AA3" w:rsidRPr="00F438F7" w:rsidRDefault="00992DBC" w:rsidP="00205DF0">
            <w:pPr>
              <w:jc w:val="both"/>
              <w:rPr>
                <w:color w:val="000000" w:themeColor="text1"/>
                <w:szCs w:val="24"/>
              </w:rPr>
            </w:pPr>
            <w:r w:rsidRPr="00F438F7">
              <w:rPr>
                <w:color w:val="000000" w:themeColor="text1"/>
                <w:szCs w:val="24"/>
              </w:rPr>
              <w:t>Duomenų saugyklos plėtimo galimybės</w:t>
            </w:r>
          </w:p>
        </w:tc>
        <w:tc>
          <w:tcPr>
            <w:tcW w:w="3685" w:type="dxa"/>
            <w:vAlign w:val="center"/>
          </w:tcPr>
          <w:p w14:paraId="442689F5" w14:textId="1BEA6782" w:rsidR="00992DBC" w:rsidRPr="00F438F7" w:rsidRDefault="00992DBC" w:rsidP="00992DBC">
            <w:pPr>
              <w:jc w:val="both"/>
              <w:rPr>
                <w:rStyle w:val="item"/>
              </w:rPr>
            </w:pPr>
            <w:r w:rsidRPr="00F438F7">
              <w:rPr>
                <w:rStyle w:val="item"/>
              </w:rPr>
              <w:t>Turi būti galima išplėsti duomenų saugyklos talpą tokiais pačiais mazgais ne mažiau kaip 2 kartus nuo reikalaujamos pradinės talpos, užtikrinant galimybę turėti vieną vardų sritį. Plečiant duomenų saugyklą, kartu turi būti plečiami visi resursai – duomenų apdorojimo resursai, talpa ir kt. Plėtimo metu pridedama talpa turi būti automatiškai įtraukta į duomenų saugyklą bei įvykdytas duomenų balansavimas per visus klasterio mazgus. Plėtimas turi vykti nestabdant duomenų saugyklos darbo bei nenutraukiant teikiamų paslaugų vartotojams. Po plėtimo naujų mazgų teikiama talpa ir našumas turi būti prieinami iš karto, be poreikio keisti duomenų saugyklos sistemos architektūrą.</w:t>
            </w:r>
          </w:p>
          <w:p w14:paraId="73772736" w14:textId="18E24BEB" w:rsidR="00ED7AA3" w:rsidRPr="00F438F7" w:rsidRDefault="00992DBC" w:rsidP="00992DBC">
            <w:pPr>
              <w:jc w:val="both"/>
              <w:rPr>
                <w:color w:val="000000" w:themeColor="text1"/>
                <w:szCs w:val="24"/>
              </w:rPr>
            </w:pPr>
            <w:r w:rsidRPr="00F438F7">
              <w:rPr>
                <w:rStyle w:val="item"/>
              </w:rPr>
              <w:lastRenderedPageBreak/>
              <w:t xml:space="preserve">Siūlomas duomenų saugyklos sprendimas vienu metu turi palaikyti skirtingų </w:t>
            </w:r>
            <w:r w:rsidR="00F36445" w:rsidRPr="00F438F7">
              <w:rPr>
                <w:rStyle w:val="item"/>
              </w:rPr>
              <w:t>kart</w:t>
            </w:r>
            <w:r w:rsidR="00A131C5" w:rsidRPr="00F438F7">
              <w:rPr>
                <w:rStyle w:val="item"/>
              </w:rPr>
              <w:t xml:space="preserve">ų </w:t>
            </w:r>
            <w:r w:rsidRPr="00F438F7">
              <w:rPr>
                <w:rStyle w:val="item"/>
              </w:rPr>
              <w:t>duomenų saugojimo mazgų naudojimą toje pačioje sistemoje išlaikant kitus, šiame punkte nurodytus reikalavimus.</w:t>
            </w:r>
          </w:p>
        </w:tc>
        <w:tc>
          <w:tcPr>
            <w:tcW w:w="3123" w:type="dxa"/>
            <w:vAlign w:val="center"/>
          </w:tcPr>
          <w:p w14:paraId="41986629" w14:textId="0BA90228" w:rsidR="00ED7AA3" w:rsidRPr="00F438F7" w:rsidRDefault="00ED7AA3" w:rsidP="0055620F">
            <w:pPr>
              <w:jc w:val="both"/>
              <w:rPr>
                <w:color w:val="000000" w:themeColor="text1"/>
                <w:szCs w:val="24"/>
              </w:rPr>
            </w:pPr>
          </w:p>
        </w:tc>
      </w:tr>
      <w:tr w:rsidR="00ED7AA3" w:rsidRPr="00F438F7" w14:paraId="3F002380" w14:textId="0E940625" w:rsidTr="4D4E42A1">
        <w:trPr>
          <w:trHeight w:val="555"/>
        </w:trPr>
        <w:tc>
          <w:tcPr>
            <w:tcW w:w="709" w:type="dxa"/>
            <w:vAlign w:val="center"/>
          </w:tcPr>
          <w:p w14:paraId="4A705CDE" w14:textId="77777777" w:rsidR="00ED7AA3" w:rsidRPr="00F438F7" w:rsidRDefault="00ED7AA3" w:rsidP="00205DF0">
            <w:pPr>
              <w:numPr>
                <w:ilvl w:val="0"/>
                <w:numId w:val="1"/>
              </w:numPr>
              <w:jc w:val="both"/>
              <w:rPr>
                <w:color w:val="000000" w:themeColor="text1"/>
                <w:szCs w:val="24"/>
              </w:rPr>
            </w:pPr>
          </w:p>
        </w:tc>
        <w:tc>
          <w:tcPr>
            <w:tcW w:w="1980" w:type="dxa"/>
            <w:vAlign w:val="center"/>
          </w:tcPr>
          <w:p w14:paraId="53A7829E" w14:textId="4460D90B" w:rsidR="00ED7AA3" w:rsidRPr="00F438F7" w:rsidRDefault="00C82B50" w:rsidP="00205DF0">
            <w:pPr>
              <w:jc w:val="both"/>
              <w:rPr>
                <w:color w:val="000000" w:themeColor="text1"/>
                <w:szCs w:val="24"/>
              </w:rPr>
            </w:pPr>
            <w:r w:rsidRPr="00F438F7">
              <w:rPr>
                <w:color w:val="000000" w:themeColor="text1"/>
                <w:szCs w:val="24"/>
              </w:rPr>
              <w:t>Duomenų saugyklos našumas</w:t>
            </w:r>
          </w:p>
        </w:tc>
        <w:tc>
          <w:tcPr>
            <w:tcW w:w="3685" w:type="dxa"/>
            <w:vAlign w:val="center"/>
          </w:tcPr>
          <w:p w14:paraId="59CC23CF" w14:textId="59604027" w:rsidR="00884B67" w:rsidRPr="00F438F7" w:rsidRDefault="00C82B50" w:rsidP="00C82B50">
            <w:pPr>
              <w:jc w:val="both"/>
              <w:rPr>
                <w:szCs w:val="24"/>
              </w:rPr>
            </w:pPr>
            <w:r w:rsidRPr="00F438F7">
              <w:rPr>
                <w:szCs w:val="24"/>
              </w:rPr>
              <w:t xml:space="preserve">Siūlomos konfigūracijos duomenų saugyklos </w:t>
            </w:r>
            <w:r w:rsidRPr="00F438F7">
              <w:rPr>
                <w:rStyle w:val="item"/>
              </w:rPr>
              <w:t>maksimalus</w:t>
            </w:r>
            <w:r w:rsidRPr="00F438F7">
              <w:rPr>
                <w:szCs w:val="24"/>
              </w:rPr>
              <w:t xml:space="preserve"> galimas našumas</w:t>
            </w:r>
            <w:r w:rsidR="00884B67" w:rsidRPr="00F438F7">
              <w:rPr>
                <w:szCs w:val="24"/>
              </w:rPr>
              <w:t>:</w:t>
            </w:r>
          </w:p>
          <w:p w14:paraId="6B91B050" w14:textId="5A76EFD4" w:rsidR="00C82B50" w:rsidRPr="00F438F7" w:rsidRDefault="00C82B50" w:rsidP="00F2071C">
            <w:pPr>
              <w:pStyle w:val="ListParagraph"/>
              <w:numPr>
                <w:ilvl w:val="0"/>
                <w:numId w:val="6"/>
              </w:numPr>
              <w:jc w:val="both"/>
              <w:rPr>
                <w:szCs w:val="24"/>
              </w:rPr>
            </w:pPr>
            <w:r w:rsidRPr="00F438F7">
              <w:rPr>
                <w:szCs w:val="24"/>
              </w:rPr>
              <w:t>S3 API atveju turi būti ne mažesnis kaip:</w:t>
            </w:r>
          </w:p>
          <w:p w14:paraId="4F25F0C9" w14:textId="5C8A0689" w:rsidR="00C82B50" w:rsidRPr="00F438F7" w:rsidRDefault="00C82B50" w:rsidP="00F2071C">
            <w:pPr>
              <w:pStyle w:val="ListParagraph"/>
              <w:numPr>
                <w:ilvl w:val="1"/>
                <w:numId w:val="6"/>
              </w:numPr>
              <w:rPr>
                <w:szCs w:val="24"/>
              </w:rPr>
            </w:pPr>
            <w:r w:rsidRPr="00F438F7">
              <w:rPr>
                <w:szCs w:val="24"/>
              </w:rPr>
              <w:t xml:space="preserve">15 GB/s, kai </w:t>
            </w:r>
            <w:r w:rsidR="008034CE" w:rsidRPr="00F438F7">
              <w:rPr>
                <w:szCs w:val="24"/>
              </w:rPr>
              <w:t xml:space="preserve">vidutinis </w:t>
            </w:r>
            <w:r w:rsidRPr="00F438F7">
              <w:rPr>
                <w:szCs w:val="24"/>
              </w:rPr>
              <w:t>objekto dydis yra 10 MB;</w:t>
            </w:r>
          </w:p>
          <w:p w14:paraId="4AA61C20" w14:textId="0A8F0DAC" w:rsidR="00884B67" w:rsidRPr="00F438F7" w:rsidRDefault="00C82B50" w:rsidP="00884B67">
            <w:pPr>
              <w:pStyle w:val="ListParagraph"/>
              <w:numPr>
                <w:ilvl w:val="1"/>
                <w:numId w:val="6"/>
              </w:numPr>
              <w:rPr>
                <w:szCs w:val="24"/>
              </w:rPr>
            </w:pPr>
            <w:r w:rsidRPr="00F438F7">
              <w:rPr>
                <w:szCs w:val="24"/>
              </w:rPr>
              <w:t xml:space="preserve">4 GB/s, kai </w:t>
            </w:r>
            <w:r w:rsidR="00DA327B" w:rsidRPr="00F438F7">
              <w:rPr>
                <w:szCs w:val="24"/>
              </w:rPr>
              <w:t xml:space="preserve">vidutinis </w:t>
            </w:r>
            <w:r w:rsidRPr="00F438F7">
              <w:rPr>
                <w:szCs w:val="24"/>
              </w:rPr>
              <w:t>objekto dydis yra 0,1 MB;</w:t>
            </w:r>
          </w:p>
          <w:p w14:paraId="56E0EE53" w14:textId="3629A4F7" w:rsidR="00884B67" w:rsidRPr="00F438F7" w:rsidRDefault="00884B67" w:rsidP="00F2071C">
            <w:pPr>
              <w:pStyle w:val="ListParagraph"/>
              <w:numPr>
                <w:ilvl w:val="0"/>
                <w:numId w:val="6"/>
              </w:numPr>
              <w:jc w:val="both"/>
              <w:rPr>
                <w:szCs w:val="24"/>
              </w:rPr>
            </w:pPr>
            <w:r w:rsidRPr="00F438F7">
              <w:rPr>
                <w:szCs w:val="24"/>
              </w:rPr>
              <w:t>NFS</w:t>
            </w:r>
            <w:r w:rsidR="009B2237" w:rsidRPr="00F438F7">
              <w:rPr>
                <w:szCs w:val="24"/>
              </w:rPr>
              <w:t xml:space="preserve"> arba CIFS</w:t>
            </w:r>
            <w:r w:rsidRPr="00F438F7">
              <w:rPr>
                <w:szCs w:val="24"/>
              </w:rPr>
              <w:t xml:space="preserve"> atveju turi būti </w:t>
            </w:r>
            <w:r w:rsidRPr="00F438F7">
              <w:t xml:space="preserve">ne </w:t>
            </w:r>
            <w:r w:rsidRPr="00F438F7">
              <w:rPr>
                <w:szCs w:val="24"/>
              </w:rPr>
              <w:t>mažesnis</w:t>
            </w:r>
            <w:r w:rsidRPr="00F438F7">
              <w:t xml:space="preserve"> kaip</w:t>
            </w:r>
            <w:r w:rsidRPr="00F438F7">
              <w:rPr>
                <w:szCs w:val="24"/>
              </w:rPr>
              <w:t>:</w:t>
            </w:r>
          </w:p>
          <w:p w14:paraId="0E23D4E6" w14:textId="5BAA78A2" w:rsidR="00884B67" w:rsidRPr="00F438F7" w:rsidRDefault="00884B67" w:rsidP="00884B67">
            <w:pPr>
              <w:pStyle w:val="ListParagraph"/>
              <w:numPr>
                <w:ilvl w:val="1"/>
                <w:numId w:val="6"/>
              </w:numPr>
              <w:rPr>
                <w:szCs w:val="24"/>
              </w:rPr>
            </w:pPr>
            <w:r w:rsidRPr="00F438F7">
              <w:rPr>
                <w:szCs w:val="24"/>
              </w:rPr>
              <w:t>5 GB/s, kai vidutinis objekto dydis yra 10 MB;</w:t>
            </w:r>
          </w:p>
          <w:p w14:paraId="5833D0DF" w14:textId="35E2C56E" w:rsidR="00884B67" w:rsidRPr="00F438F7" w:rsidRDefault="00CA57B2" w:rsidP="00F2071C">
            <w:pPr>
              <w:pStyle w:val="ListParagraph"/>
              <w:numPr>
                <w:ilvl w:val="1"/>
                <w:numId w:val="6"/>
              </w:numPr>
            </w:pPr>
            <w:r w:rsidRPr="00F438F7">
              <w:rPr>
                <w:szCs w:val="24"/>
              </w:rPr>
              <w:t>1</w:t>
            </w:r>
            <w:r w:rsidR="00884B67" w:rsidRPr="00F438F7">
              <w:rPr>
                <w:szCs w:val="24"/>
              </w:rPr>
              <w:t xml:space="preserve"> GB/s, kai vidutinis objekto dydis yra</w:t>
            </w:r>
            <w:r w:rsidR="00884B67" w:rsidRPr="00F438F7">
              <w:t xml:space="preserve"> 0,1 MB;</w:t>
            </w:r>
          </w:p>
          <w:p w14:paraId="13763BDF" w14:textId="77777777" w:rsidR="00C82B50" w:rsidRPr="00F438F7" w:rsidRDefault="00C82B50" w:rsidP="00C82B50">
            <w:pPr>
              <w:widowControl w:val="0"/>
              <w:jc w:val="both"/>
              <w:rPr>
                <w:szCs w:val="24"/>
              </w:rPr>
            </w:pPr>
            <w:r w:rsidRPr="00F438F7">
              <w:rPr>
                <w:szCs w:val="24"/>
              </w:rPr>
              <w:t>Pastaba: Abiem atvejais nurodytas našumas turi būti pasiekiamas:</w:t>
            </w:r>
          </w:p>
          <w:p w14:paraId="39E38B64" w14:textId="77777777" w:rsidR="00C82B50" w:rsidRPr="00F438F7" w:rsidRDefault="00C82B50" w:rsidP="00063709">
            <w:pPr>
              <w:pStyle w:val="ListParagraph"/>
              <w:widowControl w:val="0"/>
              <w:numPr>
                <w:ilvl w:val="0"/>
                <w:numId w:val="6"/>
              </w:numPr>
              <w:jc w:val="both"/>
              <w:rPr>
                <w:szCs w:val="24"/>
              </w:rPr>
            </w:pPr>
            <w:r w:rsidRPr="00F438F7">
              <w:rPr>
                <w:szCs w:val="24"/>
              </w:rPr>
              <w:t>kai skaitymo/rašymo operacijų santykis yra 65/35;</w:t>
            </w:r>
          </w:p>
          <w:p w14:paraId="696749B3" w14:textId="77777777" w:rsidR="00C82B50" w:rsidRPr="00F438F7" w:rsidRDefault="00C82B50" w:rsidP="00063709">
            <w:pPr>
              <w:pStyle w:val="ListParagraph"/>
              <w:widowControl w:val="0"/>
              <w:numPr>
                <w:ilvl w:val="0"/>
                <w:numId w:val="6"/>
              </w:numPr>
              <w:jc w:val="both"/>
              <w:rPr>
                <w:szCs w:val="24"/>
              </w:rPr>
            </w:pPr>
            <w:r w:rsidRPr="00F438F7">
              <w:rPr>
                <w:szCs w:val="24"/>
              </w:rPr>
              <w:t>nenaudojant spartinančiosios atminties;</w:t>
            </w:r>
          </w:p>
          <w:p w14:paraId="3A835815" w14:textId="669E24B2" w:rsidR="00C82B50" w:rsidRPr="00F438F7" w:rsidRDefault="00C82B50" w:rsidP="00063709">
            <w:pPr>
              <w:pStyle w:val="ListParagraph"/>
              <w:widowControl w:val="0"/>
              <w:numPr>
                <w:ilvl w:val="0"/>
                <w:numId w:val="6"/>
              </w:numPr>
              <w:jc w:val="both"/>
              <w:rPr>
                <w:szCs w:val="24"/>
              </w:rPr>
            </w:pPr>
            <w:r w:rsidRPr="00F438F7">
              <w:rPr>
                <w:szCs w:val="24"/>
              </w:rPr>
              <w:t xml:space="preserve">neatjungus jokių normaliam saugyklos veikimui reikalingų procesų, bei standartinėmis duomenų saugyklos priemonėmis, be poreikio modifikuoti duomenų saugyklos operacinę sistemą ar jai diegti papildinius. </w:t>
            </w:r>
          </w:p>
          <w:p w14:paraId="5BD6E15D" w14:textId="77777777" w:rsidR="00C82B50" w:rsidRPr="00F438F7" w:rsidRDefault="00C82B50" w:rsidP="00C82B50">
            <w:pPr>
              <w:widowControl w:val="0"/>
              <w:jc w:val="both"/>
              <w:rPr>
                <w:szCs w:val="24"/>
              </w:rPr>
            </w:pPr>
            <w:r w:rsidRPr="00F438F7">
              <w:rPr>
                <w:szCs w:val="24"/>
              </w:rPr>
              <w:t>Turi būti galimybė didinti maksimalų galimą duomenų saugyklos našumą ir pralaidumą pridedant papildomus mazgus.</w:t>
            </w:r>
          </w:p>
          <w:p w14:paraId="5C4ADCA9" w14:textId="63B06129" w:rsidR="00ED7AA3" w:rsidRPr="00F438F7" w:rsidRDefault="00C82B50" w:rsidP="00C82B50">
            <w:pPr>
              <w:jc w:val="both"/>
              <w:rPr>
                <w:b/>
                <w:bCs/>
                <w:strike/>
                <w:color w:val="000000" w:themeColor="text1"/>
                <w:szCs w:val="24"/>
              </w:rPr>
            </w:pPr>
            <w:bookmarkStart w:id="3" w:name="_Hlk86835012"/>
            <w:r w:rsidRPr="00F438F7">
              <w:rPr>
                <w:b/>
              </w:rPr>
              <w:t>Kartu su pasiūlymu turi būti pateiktas siūlomos konfigūracijos duomenų saugyklos paties gamintojo patvirtintas dokumentas, pagrindžiantis našumui keliamų reikalavimų atitikimą.</w:t>
            </w:r>
            <w:r w:rsidRPr="00F438F7">
              <w:rPr>
                <w:b/>
                <w:bCs/>
                <w:szCs w:val="24"/>
              </w:rPr>
              <w:t xml:space="preserve"> </w:t>
            </w:r>
            <w:bookmarkEnd w:id="3"/>
          </w:p>
        </w:tc>
        <w:tc>
          <w:tcPr>
            <w:tcW w:w="3123" w:type="dxa"/>
            <w:vAlign w:val="center"/>
          </w:tcPr>
          <w:p w14:paraId="5FBC6559" w14:textId="77777777" w:rsidR="00ED7AA3" w:rsidRPr="00F438F7" w:rsidRDefault="00ED7AA3" w:rsidP="00205DF0">
            <w:pPr>
              <w:jc w:val="both"/>
              <w:rPr>
                <w:i/>
                <w:color w:val="000000" w:themeColor="text1"/>
                <w:szCs w:val="24"/>
              </w:rPr>
            </w:pPr>
          </w:p>
        </w:tc>
      </w:tr>
      <w:tr w:rsidR="00ED7AA3" w:rsidRPr="00F438F7" w14:paraId="0B234E3D" w14:textId="5988F21B" w:rsidTr="4D4E42A1">
        <w:trPr>
          <w:trHeight w:val="555"/>
        </w:trPr>
        <w:tc>
          <w:tcPr>
            <w:tcW w:w="709" w:type="dxa"/>
            <w:vAlign w:val="center"/>
          </w:tcPr>
          <w:p w14:paraId="035EB2C1" w14:textId="77777777" w:rsidR="00ED7AA3" w:rsidRPr="00F438F7" w:rsidRDefault="00ED7AA3" w:rsidP="00205DF0">
            <w:pPr>
              <w:numPr>
                <w:ilvl w:val="0"/>
                <w:numId w:val="1"/>
              </w:numPr>
              <w:jc w:val="both"/>
              <w:rPr>
                <w:color w:val="000000" w:themeColor="text1"/>
                <w:szCs w:val="24"/>
              </w:rPr>
            </w:pPr>
          </w:p>
        </w:tc>
        <w:tc>
          <w:tcPr>
            <w:tcW w:w="1980" w:type="dxa"/>
            <w:vAlign w:val="center"/>
          </w:tcPr>
          <w:p w14:paraId="62FC5401" w14:textId="2B4433E5" w:rsidR="00ED7AA3" w:rsidRPr="00F438F7" w:rsidRDefault="00C82B50" w:rsidP="00205DF0">
            <w:pPr>
              <w:jc w:val="both"/>
              <w:rPr>
                <w:color w:val="000000" w:themeColor="text1"/>
                <w:szCs w:val="24"/>
              </w:rPr>
            </w:pPr>
            <w:r w:rsidRPr="00F438F7">
              <w:rPr>
                <w:color w:val="000000" w:themeColor="text1"/>
                <w:szCs w:val="24"/>
              </w:rPr>
              <w:t>Duomenų saugyklos spartinimas</w:t>
            </w:r>
          </w:p>
        </w:tc>
        <w:tc>
          <w:tcPr>
            <w:tcW w:w="3685" w:type="dxa"/>
            <w:vAlign w:val="center"/>
          </w:tcPr>
          <w:p w14:paraId="052F858E" w14:textId="5FFCDC5E" w:rsidR="00ED7AA3" w:rsidRPr="00F438F7" w:rsidRDefault="00C82B50" w:rsidP="00017252">
            <w:pPr>
              <w:jc w:val="both"/>
              <w:rPr>
                <w:color w:val="000000" w:themeColor="text1"/>
                <w:szCs w:val="24"/>
              </w:rPr>
            </w:pPr>
            <w:r w:rsidRPr="00F438F7">
              <w:rPr>
                <w:szCs w:val="24"/>
              </w:rPr>
              <w:t>Duomenų saugykla turi turėti SSD tipo arba lygiavertės technologijos spartinančiąją atmintį, kurios talpa turi būti ne mažesnė kaip 15 TB.</w:t>
            </w:r>
          </w:p>
        </w:tc>
        <w:tc>
          <w:tcPr>
            <w:tcW w:w="3123" w:type="dxa"/>
            <w:vAlign w:val="center"/>
          </w:tcPr>
          <w:p w14:paraId="75BCC96D" w14:textId="77777777" w:rsidR="00ED7AA3" w:rsidRPr="00F438F7" w:rsidRDefault="00ED7AA3" w:rsidP="0055620F">
            <w:pPr>
              <w:jc w:val="both"/>
              <w:rPr>
                <w:color w:val="000000" w:themeColor="text1"/>
                <w:szCs w:val="24"/>
              </w:rPr>
            </w:pPr>
          </w:p>
        </w:tc>
      </w:tr>
      <w:tr w:rsidR="00ED7AA3" w:rsidRPr="00F438F7" w14:paraId="0F5AB41B" w14:textId="66884FB5" w:rsidTr="4D4E42A1">
        <w:trPr>
          <w:trHeight w:val="837"/>
        </w:trPr>
        <w:tc>
          <w:tcPr>
            <w:tcW w:w="709" w:type="dxa"/>
            <w:vAlign w:val="center"/>
          </w:tcPr>
          <w:p w14:paraId="647D2FBB" w14:textId="77777777" w:rsidR="00ED7AA3" w:rsidRPr="00F438F7" w:rsidRDefault="00ED7AA3" w:rsidP="00205DF0">
            <w:pPr>
              <w:numPr>
                <w:ilvl w:val="0"/>
                <w:numId w:val="1"/>
              </w:numPr>
              <w:jc w:val="both"/>
              <w:rPr>
                <w:color w:val="000000" w:themeColor="text1"/>
                <w:szCs w:val="24"/>
              </w:rPr>
            </w:pPr>
          </w:p>
        </w:tc>
        <w:tc>
          <w:tcPr>
            <w:tcW w:w="1980" w:type="dxa"/>
            <w:vAlign w:val="center"/>
          </w:tcPr>
          <w:p w14:paraId="319D1444" w14:textId="20FD08BA" w:rsidR="00ED7AA3" w:rsidRPr="00F438F7" w:rsidRDefault="00C82B50" w:rsidP="00205DF0">
            <w:pPr>
              <w:jc w:val="both"/>
              <w:rPr>
                <w:color w:val="000000" w:themeColor="text1"/>
                <w:szCs w:val="24"/>
              </w:rPr>
            </w:pPr>
            <w:r w:rsidRPr="00F438F7">
              <w:rPr>
                <w:color w:val="000000" w:themeColor="text1"/>
                <w:szCs w:val="24"/>
              </w:rPr>
              <w:t>Duomenų saugyklos aukšto patikimumo reikalavimai</w:t>
            </w:r>
          </w:p>
        </w:tc>
        <w:tc>
          <w:tcPr>
            <w:tcW w:w="3685" w:type="dxa"/>
            <w:vAlign w:val="center"/>
          </w:tcPr>
          <w:p w14:paraId="50C6F047" w14:textId="77777777" w:rsidR="00C82B50" w:rsidRPr="00F438F7" w:rsidRDefault="00C82B50" w:rsidP="00C82B50">
            <w:pPr>
              <w:jc w:val="both"/>
              <w:rPr>
                <w:szCs w:val="24"/>
              </w:rPr>
            </w:pPr>
            <w:r w:rsidRPr="00F438F7">
              <w:rPr>
                <w:szCs w:val="24"/>
                <w:lang w:eastAsia="en-GB"/>
              </w:rPr>
              <w:t xml:space="preserve">Duomenų saugykla </w:t>
            </w:r>
            <w:r w:rsidRPr="00F438F7">
              <w:rPr>
                <w:szCs w:val="24"/>
              </w:rPr>
              <w:t>vieno duomenų centro ribose turi būti sukonfigūruota taip, kad šiame duomenų centre saugomi duomenys būtų apsaugoti nuo praradimo bei užtikrintas jų skaitymas ir rašymas vienu metu sugedus:</w:t>
            </w:r>
          </w:p>
          <w:p w14:paraId="7AFCB26D" w14:textId="47EB5A58" w:rsidR="00C82B50" w:rsidRPr="00F438F7" w:rsidRDefault="00C82B50" w:rsidP="00063709">
            <w:pPr>
              <w:pStyle w:val="ListParagraph"/>
              <w:numPr>
                <w:ilvl w:val="0"/>
                <w:numId w:val="7"/>
              </w:numPr>
              <w:jc w:val="both"/>
              <w:rPr>
                <w:szCs w:val="24"/>
              </w:rPr>
            </w:pPr>
            <w:r w:rsidRPr="00F438F7">
              <w:rPr>
                <w:szCs w:val="24"/>
              </w:rPr>
              <w:t>50% mazgų, kai siūloma mažiau nei 15 duomenų saugojimo mazgų;</w:t>
            </w:r>
          </w:p>
          <w:p w14:paraId="4B55E93F" w14:textId="30B6FFEC" w:rsidR="00C82B50" w:rsidRPr="00F438F7" w:rsidRDefault="00C82B50" w:rsidP="00063709">
            <w:pPr>
              <w:pStyle w:val="ListParagraph"/>
              <w:numPr>
                <w:ilvl w:val="0"/>
                <w:numId w:val="7"/>
              </w:numPr>
              <w:jc w:val="both"/>
              <w:rPr>
                <w:szCs w:val="24"/>
              </w:rPr>
            </w:pPr>
            <w:r w:rsidRPr="00F438F7">
              <w:rPr>
                <w:szCs w:val="24"/>
              </w:rPr>
              <w:t>25% mazgų, kai siūloma 15 ir daugiau duomenų saugojimo mazgų.</w:t>
            </w:r>
          </w:p>
          <w:p w14:paraId="35F83D76" w14:textId="4B0596C4" w:rsidR="00ED7AA3" w:rsidRPr="00F438F7" w:rsidRDefault="00C82B50" w:rsidP="00C82B50">
            <w:pPr>
              <w:jc w:val="both"/>
              <w:rPr>
                <w:color w:val="000000" w:themeColor="text1"/>
                <w:szCs w:val="24"/>
              </w:rPr>
            </w:pPr>
            <w:r w:rsidRPr="00F438F7">
              <w:rPr>
                <w:szCs w:val="24"/>
              </w:rPr>
              <w:t>Duomenų saugyklos talpos mazgų aukštas patikimumas turi būti užtikrinamas „Erasure Coding“ tipo priemonėmis mazgų lygyje</w:t>
            </w:r>
            <w:r w:rsidR="00442EED" w:rsidRPr="00F438F7">
              <w:rPr>
                <w:rStyle w:val="Hyperlink"/>
                <w:b/>
                <w:bCs/>
              </w:rPr>
              <w:t xml:space="preserve"> </w:t>
            </w:r>
            <w:r w:rsidR="00442EED" w:rsidRPr="00F438F7">
              <w:rPr>
                <w:rStyle w:val="normaltextrun"/>
              </w:rPr>
              <w:t xml:space="preserve">arba kitomis lygiavertėmis priemonėmis užtikrinančiomis reikalaujamą patikimumą ir apsaugą nuo mazgų gedimų, tačiau nesiremiant tik aparatine RAID kontrolerio lygio apsauga. </w:t>
            </w:r>
            <w:r w:rsidRPr="00F438F7">
              <w:rPr>
                <w:szCs w:val="24"/>
              </w:rPr>
              <w:t>Duomenų saugyklos klasterio mazgai turi turėti dubliuotus komponentus – maitinimo šaltinius, aušinimo ventiliatorius.</w:t>
            </w:r>
          </w:p>
        </w:tc>
        <w:tc>
          <w:tcPr>
            <w:tcW w:w="3123" w:type="dxa"/>
            <w:vAlign w:val="center"/>
          </w:tcPr>
          <w:p w14:paraId="1666CF5D" w14:textId="77777777" w:rsidR="00ED7AA3" w:rsidRPr="00F438F7" w:rsidRDefault="00ED7AA3" w:rsidP="00017252">
            <w:pPr>
              <w:jc w:val="both"/>
              <w:rPr>
                <w:color w:val="000000" w:themeColor="text1"/>
                <w:szCs w:val="24"/>
              </w:rPr>
            </w:pPr>
          </w:p>
        </w:tc>
      </w:tr>
      <w:tr w:rsidR="00524996" w:rsidRPr="00F438F7" w14:paraId="2C2BB878" w14:textId="77777777" w:rsidTr="4D4E42A1">
        <w:trPr>
          <w:trHeight w:val="837"/>
        </w:trPr>
        <w:tc>
          <w:tcPr>
            <w:tcW w:w="709" w:type="dxa"/>
            <w:vAlign w:val="center"/>
          </w:tcPr>
          <w:p w14:paraId="43DE1F9B" w14:textId="77777777" w:rsidR="00524996" w:rsidRPr="00F438F7" w:rsidRDefault="00524996" w:rsidP="00524996">
            <w:pPr>
              <w:numPr>
                <w:ilvl w:val="0"/>
                <w:numId w:val="1"/>
              </w:numPr>
              <w:jc w:val="both"/>
              <w:rPr>
                <w:color w:val="000000" w:themeColor="text1"/>
                <w:szCs w:val="24"/>
              </w:rPr>
            </w:pPr>
          </w:p>
        </w:tc>
        <w:tc>
          <w:tcPr>
            <w:tcW w:w="1980" w:type="dxa"/>
            <w:vAlign w:val="center"/>
          </w:tcPr>
          <w:p w14:paraId="3B6F5A85" w14:textId="50DE9D14" w:rsidR="00524996" w:rsidRPr="00F438F7" w:rsidRDefault="00C82B50" w:rsidP="00524996">
            <w:pPr>
              <w:jc w:val="both"/>
              <w:rPr>
                <w:color w:val="000000" w:themeColor="text1"/>
                <w:szCs w:val="24"/>
              </w:rPr>
            </w:pPr>
            <w:r w:rsidRPr="00F438F7">
              <w:rPr>
                <w:color w:val="000000" w:themeColor="text1"/>
                <w:szCs w:val="24"/>
              </w:rPr>
              <w:t>Duomenų saugyklos srauto balansavimo reikalavimai</w:t>
            </w:r>
          </w:p>
        </w:tc>
        <w:tc>
          <w:tcPr>
            <w:tcW w:w="3685" w:type="dxa"/>
            <w:vAlign w:val="center"/>
          </w:tcPr>
          <w:p w14:paraId="39F078A8" w14:textId="18720910" w:rsidR="00524996" w:rsidRPr="00F438F7" w:rsidRDefault="00C82B50" w:rsidP="00524996">
            <w:pPr>
              <w:jc w:val="both"/>
              <w:rPr>
                <w:color w:val="000000" w:themeColor="text1"/>
                <w:szCs w:val="24"/>
              </w:rPr>
            </w:pPr>
            <w:r w:rsidRPr="00F438F7">
              <w:rPr>
                <w:szCs w:val="24"/>
              </w:rPr>
              <w:t>Turi būti automatiškai užtikrinamas tolygus srauto paskirstymas tarp duomenų saugyklos mazgų panaudojant Perkančiosios organizacijos naudojamas VMware NSX-T srauto balansavimo priemones. Turi būti palaikomas automatinis užklausų nukreipimas tarp klasterio mazgų esant mazgų gedimo ar jų veiklos atstatymo atvejams (angl. „automatic failover“, „automatic failback“). Jei siūloma duomenų saugykla nėra suderinama su V</w:t>
            </w:r>
            <w:r w:rsidR="003B7005" w:rsidRPr="00F438F7">
              <w:rPr>
                <w:szCs w:val="24"/>
              </w:rPr>
              <w:t>m</w:t>
            </w:r>
            <w:r w:rsidRPr="00F438F7">
              <w:rPr>
                <w:szCs w:val="24"/>
              </w:rPr>
              <w:t>ware NSX-T (duomenų saugyklos gamintojas nėra parengęs ir viešai nėra publikavęs diegimo ir konfigūravimo gido su V</w:t>
            </w:r>
            <w:r w:rsidR="003B7005" w:rsidRPr="00F438F7">
              <w:rPr>
                <w:szCs w:val="24"/>
              </w:rPr>
              <w:t>m</w:t>
            </w:r>
            <w:r w:rsidRPr="00F438F7">
              <w:rPr>
                <w:szCs w:val="24"/>
              </w:rPr>
              <w:t xml:space="preserve">ware NSX-T), turi būti pateiktas išorinis aparatinis srauto balansavimo sprendimas (angl. „load balancer“) </w:t>
            </w:r>
            <w:r w:rsidRPr="00F438F7">
              <w:rPr>
                <w:szCs w:val="24"/>
              </w:rPr>
              <w:lastRenderedPageBreak/>
              <w:t>su visa reikalinga technine įranga, užtikrinantis nurodytą funkcionalumą.</w:t>
            </w:r>
          </w:p>
        </w:tc>
        <w:tc>
          <w:tcPr>
            <w:tcW w:w="3123" w:type="dxa"/>
            <w:vAlign w:val="center"/>
          </w:tcPr>
          <w:p w14:paraId="5951A4CA" w14:textId="77777777" w:rsidR="00524996" w:rsidRPr="00F438F7" w:rsidRDefault="00524996" w:rsidP="00524996">
            <w:pPr>
              <w:jc w:val="both"/>
              <w:rPr>
                <w:color w:val="000000" w:themeColor="text1"/>
                <w:szCs w:val="24"/>
                <w:lang w:val="en-US"/>
              </w:rPr>
            </w:pPr>
          </w:p>
        </w:tc>
      </w:tr>
      <w:tr w:rsidR="00524996" w:rsidRPr="00F438F7" w14:paraId="041A2247" w14:textId="012DD8E3" w:rsidTr="4D4E42A1">
        <w:trPr>
          <w:trHeight w:val="1384"/>
        </w:trPr>
        <w:tc>
          <w:tcPr>
            <w:tcW w:w="709" w:type="dxa"/>
            <w:vAlign w:val="center"/>
          </w:tcPr>
          <w:p w14:paraId="25BC3A4A" w14:textId="77777777" w:rsidR="00524996" w:rsidRPr="00F438F7" w:rsidRDefault="00524996" w:rsidP="00524996">
            <w:pPr>
              <w:numPr>
                <w:ilvl w:val="0"/>
                <w:numId w:val="1"/>
              </w:numPr>
              <w:jc w:val="both"/>
              <w:rPr>
                <w:color w:val="000000" w:themeColor="text1"/>
                <w:szCs w:val="24"/>
              </w:rPr>
            </w:pPr>
            <w:r w:rsidRPr="00F438F7">
              <w:rPr>
                <w:color w:val="000000" w:themeColor="text1"/>
                <w:szCs w:val="24"/>
              </w:rPr>
              <w:t xml:space="preserve"> </w:t>
            </w:r>
          </w:p>
        </w:tc>
        <w:tc>
          <w:tcPr>
            <w:tcW w:w="1980" w:type="dxa"/>
            <w:vAlign w:val="center"/>
          </w:tcPr>
          <w:p w14:paraId="4114F17D" w14:textId="6CF9B7E6" w:rsidR="00524996" w:rsidRPr="00F438F7" w:rsidRDefault="00C82B50" w:rsidP="00524996">
            <w:pPr>
              <w:jc w:val="both"/>
              <w:rPr>
                <w:color w:val="000000" w:themeColor="text1"/>
                <w:szCs w:val="24"/>
              </w:rPr>
            </w:pPr>
            <w:r w:rsidRPr="00F438F7">
              <w:rPr>
                <w:color w:val="000000" w:themeColor="text1"/>
                <w:szCs w:val="24"/>
              </w:rPr>
              <w:t>Duomenų saugyklos valdymas</w:t>
            </w:r>
          </w:p>
        </w:tc>
        <w:tc>
          <w:tcPr>
            <w:tcW w:w="3685" w:type="dxa"/>
            <w:vAlign w:val="center"/>
          </w:tcPr>
          <w:p w14:paraId="49973B9C" w14:textId="75D9E374" w:rsidR="00C82B50" w:rsidRPr="00F438F7" w:rsidRDefault="00C82B50" w:rsidP="00C82B50">
            <w:pPr>
              <w:jc w:val="both"/>
              <w:rPr>
                <w:szCs w:val="24"/>
              </w:rPr>
            </w:pPr>
            <w:r w:rsidRPr="00F438F7">
              <w:rPr>
                <w:szCs w:val="24"/>
              </w:rPr>
              <w:t>Duomenų saugykla turi turėti valdymo programinę įrangą su grafine vartotojo sąsaja bei turi būti valdoma per Rest API</w:t>
            </w:r>
            <w:r w:rsidR="00090006" w:rsidRPr="00F438F7">
              <w:rPr>
                <w:szCs w:val="24"/>
              </w:rPr>
              <w:t xml:space="preserve"> arba lygiavertį protokolą</w:t>
            </w:r>
            <w:r w:rsidRPr="00F438F7">
              <w:rPr>
                <w:szCs w:val="24"/>
              </w:rPr>
              <w:t>.</w:t>
            </w:r>
          </w:p>
          <w:p w14:paraId="49D69D39" w14:textId="77777777" w:rsidR="00C82B50" w:rsidRPr="00F438F7" w:rsidRDefault="00C82B50" w:rsidP="00C82B50">
            <w:pPr>
              <w:jc w:val="both"/>
              <w:rPr>
                <w:szCs w:val="24"/>
              </w:rPr>
            </w:pPr>
            <w:r w:rsidRPr="00F438F7">
              <w:rPr>
                <w:color w:val="000000" w:themeColor="text1"/>
                <w:szCs w:val="24"/>
              </w:rPr>
              <w:t>Duomenų saugyklos valdymo programinė įranga turi turėti sistemos stebėjimo funkcionalumą, įskaitant talpos užimtumą (duomenų centro, mazgo detalumu), našumą, pralaidumą, vėlinimą, replikavimo būseną, bendrą sistemos būklę, gedimų diagnostiką ir t.t. Metrikų duomenys turi būti saugomi ne trumpiau kaip 30 dienų.</w:t>
            </w:r>
            <w:r w:rsidRPr="00F438F7">
              <w:rPr>
                <w:szCs w:val="24"/>
              </w:rPr>
              <w:t xml:space="preserve"> Metrikos turi būti prieinamos ir per sistemos valdymo API.</w:t>
            </w:r>
          </w:p>
          <w:p w14:paraId="495A6D79" w14:textId="77777777" w:rsidR="00C82B50" w:rsidRPr="00F438F7" w:rsidRDefault="00C82B50" w:rsidP="00C82B50">
            <w:pPr>
              <w:jc w:val="both"/>
              <w:rPr>
                <w:szCs w:val="24"/>
              </w:rPr>
            </w:pPr>
            <w:r w:rsidRPr="00F438F7">
              <w:rPr>
                <w:szCs w:val="24"/>
              </w:rPr>
              <w:t>Duomenų saugykla turi užtikrinti, kad S3 API užklausos būtų įrašomos į įvykių žurnalą.</w:t>
            </w:r>
          </w:p>
          <w:p w14:paraId="5B81229F" w14:textId="5A593E81" w:rsidR="00524996" w:rsidRPr="00F438F7" w:rsidRDefault="00C82B50" w:rsidP="00C82B50">
            <w:pPr>
              <w:jc w:val="both"/>
              <w:rPr>
                <w:color w:val="000000" w:themeColor="text1"/>
                <w:szCs w:val="24"/>
              </w:rPr>
            </w:pPr>
            <w:r w:rsidRPr="00F438F7">
              <w:rPr>
                <w:szCs w:val="24"/>
              </w:rPr>
              <w:t xml:space="preserve">Valdymo programinė įranga turi siųsti pranešimus apie įvykius elektroniniu paštu arba SNMP </w:t>
            </w:r>
            <w:r w:rsidR="00090006" w:rsidRPr="00F438F7">
              <w:rPr>
                <w:szCs w:val="24"/>
              </w:rPr>
              <w:t xml:space="preserve">arba lygiaverčiu </w:t>
            </w:r>
            <w:r w:rsidRPr="00F438F7">
              <w:rPr>
                <w:szCs w:val="24"/>
              </w:rPr>
              <w:t>protokolu.</w:t>
            </w:r>
          </w:p>
        </w:tc>
        <w:tc>
          <w:tcPr>
            <w:tcW w:w="3123" w:type="dxa"/>
            <w:vAlign w:val="center"/>
          </w:tcPr>
          <w:p w14:paraId="56E6357C" w14:textId="77777777" w:rsidR="00524996" w:rsidRPr="00F438F7" w:rsidRDefault="00524996" w:rsidP="00524996">
            <w:pPr>
              <w:jc w:val="both"/>
              <w:rPr>
                <w:color w:val="000000" w:themeColor="text1"/>
                <w:szCs w:val="24"/>
              </w:rPr>
            </w:pPr>
          </w:p>
        </w:tc>
      </w:tr>
      <w:tr w:rsidR="00524996" w:rsidRPr="00F438F7" w14:paraId="5A91D8A8" w14:textId="589EB8A7" w:rsidTr="4D4E42A1">
        <w:trPr>
          <w:trHeight w:val="282"/>
        </w:trPr>
        <w:tc>
          <w:tcPr>
            <w:tcW w:w="709" w:type="dxa"/>
            <w:vAlign w:val="center"/>
          </w:tcPr>
          <w:p w14:paraId="79A1C293" w14:textId="77777777" w:rsidR="00524996" w:rsidRPr="00F438F7" w:rsidRDefault="00524996" w:rsidP="00524996">
            <w:pPr>
              <w:numPr>
                <w:ilvl w:val="0"/>
                <w:numId w:val="1"/>
              </w:numPr>
              <w:jc w:val="both"/>
              <w:rPr>
                <w:color w:val="000000" w:themeColor="text1"/>
                <w:szCs w:val="24"/>
              </w:rPr>
            </w:pPr>
          </w:p>
        </w:tc>
        <w:tc>
          <w:tcPr>
            <w:tcW w:w="1980" w:type="dxa"/>
            <w:vAlign w:val="center"/>
          </w:tcPr>
          <w:p w14:paraId="4DB277DD" w14:textId="02AD604A" w:rsidR="00524996" w:rsidRPr="00F438F7" w:rsidRDefault="005B5EA6" w:rsidP="00692BA9">
            <w:pPr>
              <w:rPr>
                <w:color w:val="000000" w:themeColor="text1"/>
                <w:szCs w:val="24"/>
              </w:rPr>
            </w:pPr>
            <w:r w:rsidRPr="00F438F7">
              <w:rPr>
                <w:color w:val="000000" w:themeColor="text1"/>
                <w:szCs w:val="24"/>
              </w:rPr>
              <w:t>Suderinamumas su Microsoft Active Directory</w:t>
            </w:r>
          </w:p>
        </w:tc>
        <w:tc>
          <w:tcPr>
            <w:tcW w:w="3685" w:type="dxa"/>
            <w:vAlign w:val="center"/>
          </w:tcPr>
          <w:p w14:paraId="52AD39DE" w14:textId="3075CB0D" w:rsidR="00524996" w:rsidRPr="00F438F7" w:rsidRDefault="00C70834" w:rsidP="00524996">
            <w:pPr>
              <w:jc w:val="both"/>
              <w:rPr>
                <w:color w:val="000000" w:themeColor="text1"/>
                <w:szCs w:val="24"/>
              </w:rPr>
            </w:pPr>
            <w:r w:rsidRPr="00F438F7">
              <w:t xml:space="preserve">Duomenų saugykla turi turėti galimybę veikti vienu metu su keletu Windows Active Directory domenų </w:t>
            </w:r>
            <w:r w:rsidRPr="00F438F7">
              <w:rPr>
                <w:b/>
                <w:bCs/>
              </w:rPr>
              <w:t>priklausančių skirtingoms vartotojų grupėms ar organizacijoms (angl. „Tenant“)</w:t>
            </w:r>
            <w:r w:rsidRPr="00F438F7">
              <w:t xml:space="preserve"> be papildomos programinės įrangos ar DNS peradresavimų </w:t>
            </w:r>
            <w:r w:rsidRPr="00F438F7">
              <w:rPr>
                <w:b/>
                <w:bCs/>
              </w:rPr>
              <w:t>ir užtikrinant prieigą visais reikalaujamais protokolais.</w:t>
            </w:r>
            <w:r w:rsidRPr="00F438F7">
              <w:t>”</w:t>
            </w:r>
          </w:p>
        </w:tc>
        <w:tc>
          <w:tcPr>
            <w:tcW w:w="3123" w:type="dxa"/>
            <w:vAlign w:val="center"/>
          </w:tcPr>
          <w:p w14:paraId="5C1EC578" w14:textId="77777777" w:rsidR="00524996" w:rsidRPr="00F438F7" w:rsidRDefault="00524996" w:rsidP="00524996">
            <w:pPr>
              <w:jc w:val="both"/>
              <w:rPr>
                <w:color w:val="000000" w:themeColor="text1"/>
                <w:szCs w:val="24"/>
              </w:rPr>
            </w:pPr>
          </w:p>
        </w:tc>
      </w:tr>
      <w:tr w:rsidR="00524996" w:rsidRPr="00F438F7" w14:paraId="4D329445" w14:textId="238A6E87" w:rsidTr="4D4E42A1">
        <w:trPr>
          <w:trHeight w:val="555"/>
        </w:trPr>
        <w:tc>
          <w:tcPr>
            <w:tcW w:w="709" w:type="dxa"/>
            <w:vAlign w:val="center"/>
          </w:tcPr>
          <w:p w14:paraId="28318B29" w14:textId="77777777" w:rsidR="00524996" w:rsidRPr="00F438F7" w:rsidRDefault="00524996" w:rsidP="00524996">
            <w:pPr>
              <w:numPr>
                <w:ilvl w:val="0"/>
                <w:numId w:val="1"/>
              </w:numPr>
              <w:jc w:val="both"/>
              <w:rPr>
                <w:color w:val="000000" w:themeColor="text1"/>
                <w:szCs w:val="24"/>
              </w:rPr>
            </w:pPr>
          </w:p>
        </w:tc>
        <w:tc>
          <w:tcPr>
            <w:tcW w:w="1980" w:type="dxa"/>
            <w:vAlign w:val="center"/>
          </w:tcPr>
          <w:p w14:paraId="0FB46D7A" w14:textId="68123562" w:rsidR="00524996" w:rsidRPr="00F438F7" w:rsidRDefault="005B5EA6" w:rsidP="00524996">
            <w:pPr>
              <w:jc w:val="both"/>
              <w:rPr>
                <w:color w:val="000000" w:themeColor="text1"/>
                <w:szCs w:val="24"/>
              </w:rPr>
            </w:pPr>
            <w:r w:rsidRPr="00F438F7">
              <w:rPr>
                <w:color w:val="000000" w:themeColor="text1"/>
                <w:szCs w:val="24"/>
              </w:rPr>
              <w:t>Duomenų saugyklos funkcionalumas bei licencijos</w:t>
            </w:r>
          </w:p>
        </w:tc>
        <w:tc>
          <w:tcPr>
            <w:tcW w:w="3685" w:type="dxa"/>
            <w:vAlign w:val="center"/>
          </w:tcPr>
          <w:p w14:paraId="48F3EDDF" w14:textId="129152EB" w:rsidR="005B5EA6" w:rsidRPr="00F438F7" w:rsidRDefault="005B5EA6" w:rsidP="005B5EA6">
            <w:pPr>
              <w:jc w:val="both"/>
              <w:rPr>
                <w:szCs w:val="24"/>
              </w:rPr>
            </w:pPr>
            <w:r w:rsidRPr="00F438F7">
              <w:rPr>
                <w:szCs w:val="24"/>
              </w:rPr>
              <w:t>Duomenų saugykla turi</w:t>
            </w:r>
            <w:r w:rsidR="00090006" w:rsidRPr="00F438F7">
              <w:rPr>
                <w:szCs w:val="24"/>
              </w:rPr>
              <w:t xml:space="preserve"> turėti ne mažiau kaip</w:t>
            </w:r>
            <w:r w:rsidRPr="00F438F7">
              <w:rPr>
                <w:szCs w:val="24"/>
              </w:rPr>
              <w:t>:</w:t>
            </w:r>
          </w:p>
          <w:p w14:paraId="50F96545" w14:textId="6AD24685" w:rsidR="005B5EA6" w:rsidRPr="00F438F7" w:rsidRDefault="005B5EA6" w:rsidP="00063709">
            <w:pPr>
              <w:pStyle w:val="ListParagraph"/>
              <w:numPr>
                <w:ilvl w:val="0"/>
                <w:numId w:val="7"/>
              </w:numPr>
              <w:jc w:val="both"/>
              <w:rPr>
                <w:szCs w:val="24"/>
              </w:rPr>
            </w:pPr>
            <w:r w:rsidRPr="00F438F7">
              <w:rPr>
                <w:szCs w:val="24"/>
              </w:rPr>
              <w:t>realaus laiko duomenų suspaudimo funkcionalumą;</w:t>
            </w:r>
          </w:p>
          <w:p w14:paraId="0AAED911" w14:textId="77777777" w:rsidR="005B5EA6" w:rsidRPr="00F438F7" w:rsidRDefault="005B5EA6" w:rsidP="00063709">
            <w:pPr>
              <w:pStyle w:val="ListParagraph"/>
              <w:numPr>
                <w:ilvl w:val="0"/>
                <w:numId w:val="7"/>
              </w:numPr>
              <w:jc w:val="both"/>
              <w:rPr>
                <w:szCs w:val="24"/>
              </w:rPr>
            </w:pPr>
            <w:r w:rsidRPr="00F438F7">
              <w:rPr>
                <w:szCs w:val="24"/>
              </w:rPr>
              <w:t>užtikrinti duomenų apsaugą nuo ištrynimo ir modifikavimo (angl. WORM) “S3 bucket” arba objekto lygmenyje;</w:t>
            </w:r>
          </w:p>
          <w:p w14:paraId="70CA2236" w14:textId="77777777" w:rsidR="005B5EA6" w:rsidRPr="00F438F7" w:rsidRDefault="005B5EA6" w:rsidP="00063709">
            <w:pPr>
              <w:pStyle w:val="ListParagraph"/>
              <w:numPr>
                <w:ilvl w:val="0"/>
                <w:numId w:val="7"/>
              </w:numPr>
              <w:jc w:val="both"/>
              <w:rPr>
                <w:szCs w:val="24"/>
              </w:rPr>
            </w:pPr>
            <w:r w:rsidRPr="00F438F7">
              <w:rPr>
                <w:szCs w:val="24"/>
              </w:rPr>
              <w:t>palaikyti objektų versijavimą “S3 bucket” lygmenyje;</w:t>
            </w:r>
          </w:p>
          <w:p w14:paraId="158F64EF" w14:textId="77777777" w:rsidR="005B5EA6" w:rsidRPr="00F438F7" w:rsidRDefault="005B5EA6" w:rsidP="00063709">
            <w:pPr>
              <w:pStyle w:val="ListParagraph"/>
              <w:numPr>
                <w:ilvl w:val="0"/>
                <w:numId w:val="7"/>
              </w:numPr>
              <w:jc w:val="both"/>
              <w:rPr>
                <w:szCs w:val="24"/>
              </w:rPr>
            </w:pPr>
            <w:r w:rsidRPr="00F438F7">
              <w:rPr>
                <w:szCs w:val="24"/>
              </w:rPr>
              <w:t xml:space="preserve">palaikyti duomenų išlaikymo (anlg. „retention“) </w:t>
            </w:r>
            <w:r w:rsidRPr="00F438F7">
              <w:rPr>
                <w:szCs w:val="24"/>
              </w:rPr>
              <w:lastRenderedPageBreak/>
              <w:t>funkcionalumą “S3 bucket” lygmenyje;</w:t>
            </w:r>
          </w:p>
          <w:p w14:paraId="391FED48" w14:textId="77777777" w:rsidR="005B5EA6" w:rsidRPr="00F438F7" w:rsidRDefault="005B5EA6" w:rsidP="00063709">
            <w:pPr>
              <w:pStyle w:val="ListParagraph"/>
              <w:numPr>
                <w:ilvl w:val="0"/>
                <w:numId w:val="7"/>
              </w:numPr>
              <w:jc w:val="both"/>
              <w:rPr>
                <w:szCs w:val="24"/>
              </w:rPr>
            </w:pPr>
            <w:r w:rsidRPr="00F438F7">
              <w:rPr>
                <w:szCs w:val="24"/>
              </w:rPr>
              <w:t xml:space="preserve">leisti apibrėžti detalią prieigos politiką (angl. „granular access policy“) objektui „S3 bucket” lygmenyje; funkcionalumas turi būti suderinamas su tapatybės valdymo sprendimais; </w:t>
            </w:r>
          </w:p>
          <w:p w14:paraId="18DEAF70" w14:textId="10C276E6" w:rsidR="005B5EA6" w:rsidRPr="00F438F7" w:rsidRDefault="005B5EA6" w:rsidP="00063709">
            <w:pPr>
              <w:pStyle w:val="ListParagraph"/>
              <w:numPr>
                <w:ilvl w:val="0"/>
                <w:numId w:val="7"/>
              </w:numPr>
              <w:jc w:val="both"/>
              <w:rPr>
                <w:szCs w:val="24"/>
              </w:rPr>
            </w:pPr>
            <w:r w:rsidRPr="00F438F7">
              <w:rPr>
                <w:szCs w:val="24"/>
              </w:rPr>
              <w:t>turėti saugomų duomenų paieškos mechanizmą, kuris:</w:t>
            </w:r>
          </w:p>
          <w:p w14:paraId="31FD0BB8" w14:textId="77777777" w:rsidR="005B5EA6" w:rsidRPr="00F438F7" w:rsidRDefault="005B5EA6" w:rsidP="00063709">
            <w:pPr>
              <w:pStyle w:val="ListParagraph"/>
              <w:numPr>
                <w:ilvl w:val="1"/>
                <w:numId w:val="7"/>
              </w:numPr>
              <w:jc w:val="both"/>
              <w:rPr>
                <w:szCs w:val="24"/>
              </w:rPr>
            </w:pPr>
            <w:r w:rsidRPr="00F438F7">
              <w:rPr>
                <w:szCs w:val="24"/>
              </w:rPr>
              <w:t>realizuotas pačios duomenų saugyklos programinės įrangos, jei yra poreikis diegti papildomas išorines aplikacijas ar įrenginius, turi būti pateikta visa reikalinga įranga;</w:t>
            </w:r>
          </w:p>
          <w:p w14:paraId="53B755E1" w14:textId="77777777" w:rsidR="005B5EA6" w:rsidRPr="00F438F7" w:rsidRDefault="005B5EA6" w:rsidP="00063709">
            <w:pPr>
              <w:pStyle w:val="ListParagraph"/>
              <w:numPr>
                <w:ilvl w:val="1"/>
                <w:numId w:val="7"/>
              </w:numPr>
              <w:jc w:val="both"/>
              <w:rPr>
                <w:szCs w:val="24"/>
              </w:rPr>
            </w:pPr>
            <w:r w:rsidRPr="00F438F7">
              <w:rPr>
                <w:szCs w:val="24"/>
              </w:rPr>
              <w:t>paiešką atlieka duomenų saugykloje saugomuose duomenyse pagal meta duomenų atributus;</w:t>
            </w:r>
          </w:p>
          <w:p w14:paraId="3B666FE1" w14:textId="41817102" w:rsidR="005B5EA6" w:rsidRPr="00F438F7" w:rsidRDefault="005B5EA6" w:rsidP="00063709">
            <w:pPr>
              <w:pStyle w:val="ListParagraph"/>
              <w:numPr>
                <w:ilvl w:val="0"/>
                <w:numId w:val="7"/>
              </w:numPr>
              <w:jc w:val="both"/>
              <w:rPr>
                <w:szCs w:val="24"/>
              </w:rPr>
            </w:pPr>
            <w:r w:rsidRPr="00F438F7">
              <w:rPr>
                <w:szCs w:val="24"/>
              </w:rPr>
              <w:t>turėti administravimo auditavimo funkcionalumą;</w:t>
            </w:r>
          </w:p>
          <w:p w14:paraId="63DEEE17" w14:textId="2E2F2F49" w:rsidR="005B5EA6" w:rsidRPr="00F438F7" w:rsidRDefault="005B5EA6" w:rsidP="00063709">
            <w:pPr>
              <w:pStyle w:val="ListParagraph"/>
              <w:numPr>
                <w:ilvl w:val="0"/>
                <w:numId w:val="7"/>
              </w:numPr>
              <w:jc w:val="both"/>
              <w:rPr>
                <w:szCs w:val="24"/>
              </w:rPr>
            </w:pPr>
            <w:r w:rsidRPr="00F438F7">
              <w:rPr>
                <w:color w:val="000000" w:themeColor="text1"/>
                <w:szCs w:val="24"/>
              </w:rPr>
              <w:t>palaikyti talpos kvotų funkcionalumą vardų srities ir “S3 bucket” lygmenyse.</w:t>
            </w:r>
          </w:p>
          <w:p w14:paraId="6CF34F35" w14:textId="7A60E303" w:rsidR="00524996" w:rsidRPr="00F438F7" w:rsidRDefault="005B5EA6" w:rsidP="005B5EA6">
            <w:pPr>
              <w:jc w:val="both"/>
              <w:rPr>
                <w:color w:val="000000" w:themeColor="text1"/>
                <w:szCs w:val="24"/>
              </w:rPr>
            </w:pPr>
            <w:r w:rsidRPr="00F438F7">
              <w:rPr>
                <w:color w:val="000000" w:themeColor="text1"/>
                <w:szCs w:val="24"/>
              </w:rPr>
              <w:t>Visam reikalaujamam funkcionalumui turi būti pateiktos licencijos be apribojimų. Jei licencijoms taikomi talpos apribojimai, turi būti pateiktos licencijos siūlomai saugyklos talpai.</w:t>
            </w:r>
          </w:p>
        </w:tc>
        <w:tc>
          <w:tcPr>
            <w:tcW w:w="3123" w:type="dxa"/>
            <w:vAlign w:val="center"/>
          </w:tcPr>
          <w:p w14:paraId="10BEF408" w14:textId="77777777" w:rsidR="00524996" w:rsidRPr="00F438F7" w:rsidRDefault="00524996" w:rsidP="00524996">
            <w:pPr>
              <w:jc w:val="both"/>
              <w:rPr>
                <w:bCs/>
                <w:color w:val="000000" w:themeColor="text1"/>
                <w:szCs w:val="24"/>
              </w:rPr>
            </w:pPr>
          </w:p>
        </w:tc>
      </w:tr>
      <w:tr w:rsidR="00524996" w:rsidRPr="00F438F7" w14:paraId="72E284E5" w14:textId="08A49939" w:rsidTr="005F45C4">
        <w:trPr>
          <w:trHeight w:val="558"/>
        </w:trPr>
        <w:tc>
          <w:tcPr>
            <w:tcW w:w="709" w:type="dxa"/>
            <w:vAlign w:val="center"/>
          </w:tcPr>
          <w:p w14:paraId="286F0A30" w14:textId="77777777" w:rsidR="00524996" w:rsidRPr="00F438F7" w:rsidRDefault="00524996" w:rsidP="00524996">
            <w:pPr>
              <w:numPr>
                <w:ilvl w:val="0"/>
                <w:numId w:val="1"/>
              </w:numPr>
              <w:jc w:val="both"/>
              <w:rPr>
                <w:color w:val="000000" w:themeColor="text1"/>
                <w:szCs w:val="24"/>
              </w:rPr>
            </w:pPr>
          </w:p>
        </w:tc>
        <w:tc>
          <w:tcPr>
            <w:tcW w:w="1980" w:type="dxa"/>
            <w:vAlign w:val="center"/>
          </w:tcPr>
          <w:p w14:paraId="46E69539" w14:textId="4894BA74" w:rsidR="00524996" w:rsidRPr="00F438F7" w:rsidRDefault="005B5EA6" w:rsidP="00524996">
            <w:pPr>
              <w:jc w:val="both"/>
              <w:rPr>
                <w:color w:val="000000" w:themeColor="text1"/>
                <w:szCs w:val="24"/>
              </w:rPr>
            </w:pPr>
            <w:r w:rsidRPr="00F438F7">
              <w:rPr>
                <w:szCs w:val="24"/>
              </w:rPr>
              <w:t>Duomenų replikavimas</w:t>
            </w:r>
          </w:p>
        </w:tc>
        <w:tc>
          <w:tcPr>
            <w:tcW w:w="3685" w:type="dxa"/>
            <w:vAlign w:val="center"/>
          </w:tcPr>
          <w:p w14:paraId="0724F227" w14:textId="77777777" w:rsidR="005B5EA6" w:rsidRPr="00F438F7" w:rsidRDefault="005B5EA6" w:rsidP="005B5EA6">
            <w:pPr>
              <w:jc w:val="both"/>
              <w:rPr>
                <w:szCs w:val="24"/>
              </w:rPr>
            </w:pPr>
            <w:r w:rsidRPr="00F438F7">
              <w:rPr>
                <w:szCs w:val="24"/>
              </w:rPr>
              <w:t xml:space="preserve">Abi siūlomos duomenų saugyklos turi palaikyti tarpusavio asinchroninio duomenų replikavimo funkcionalumą, kai viena duomenų saugykla patalpinta nutolintame duomenų centre (šiame pirkime siūlomos saugyklos bus diegiamos skirtinguose nutolintuose dviejuose duomenų centruose). </w:t>
            </w:r>
          </w:p>
          <w:p w14:paraId="2F6A6A2E" w14:textId="77777777" w:rsidR="005B5EA6" w:rsidRPr="00F438F7" w:rsidRDefault="005B5EA6" w:rsidP="005B5EA6">
            <w:pPr>
              <w:jc w:val="both"/>
              <w:rPr>
                <w:szCs w:val="24"/>
              </w:rPr>
            </w:pPr>
            <w:r w:rsidRPr="00F438F7">
              <w:rPr>
                <w:szCs w:val="24"/>
              </w:rPr>
              <w:t xml:space="preserve">Replikavimas turi būti konfigūruojamas </w:t>
            </w:r>
            <w:r w:rsidRPr="00F438F7">
              <w:rPr>
                <w:color w:val="000000" w:themeColor="text1"/>
                <w:szCs w:val="24"/>
              </w:rPr>
              <w:t xml:space="preserve">vardų srities lygmenyje ir/arba „S3 bucket“ lygyje. Turi būti palaikomos skirtingos replikavimo politikos. </w:t>
            </w:r>
          </w:p>
          <w:p w14:paraId="20784067" w14:textId="77777777" w:rsidR="005B5EA6" w:rsidRPr="00F438F7" w:rsidRDefault="005B5EA6" w:rsidP="005B5EA6">
            <w:pPr>
              <w:jc w:val="both"/>
              <w:rPr>
                <w:szCs w:val="24"/>
              </w:rPr>
            </w:pPr>
            <w:r w:rsidRPr="00F438F7">
              <w:rPr>
                <w:szCs w:val="24"/>
              </w:rPr>
              <w:lastRenderedPageBreak/>
              <w:t xml:space="preserve">Turi būti galima sukonfigūruoti replikavimą „active-active“ rėžimu, kai duomenys gali būti rašomi ir pasiekiami skaitymui iš bet kurio duomenų centro duomenų saugyklos.  </w:t>
            </w:r>
          </w:p>
          <w:p w14:paraId="338E3DB8" w14:textId="404B7327" w:rsidR="00524996" w:rsidRPr="00F438F7" w:rsidRDefault="005B5EA6" w:rsidP="005B5EA6">
            <w:pPr>
              <w:jc w:val="both"/>
              <w:rPr>
                <w:color w:val="000000" w:themeColor="text1"/>
                <w:szCs w:val="24"/>
              </w:rPr>
            </w:pPr>
            <w:r w:rsidRPr="00F438F7">
              <w:rPr>
                <w:szCs w:val="24"/>
              </w:rPr>
              <w:t>Turi būti užtikrintas replikuojamo srauto šifravimo funkcionalumas.</w:t>
            </w:r>
          </w:p>
        </w:tc>
        <w:tc>
          <w:tcPr>
            <w:tcW w:w="3123" w:type="dxa"/>
            <w:vAlign w:val="center"/>
          </w:tcPr>
          <w:p w14:paraId="2D96C9AB" w14:textId="77777777" w:rsidR="00524996" w:rsidRPr="00F438F7" w:rsidRDefault="00524996" w:rsidP="00524996">
            <w:pPr>
              <w:jc w:val="both"/>
              <w:rPr>
                <w:color w:val="000000" w:themeColor="text1"/>
                <w:szCs w:val="24"/>
              </w:rPr>
            </w:pPr>
          </w:p>
        </w:tc>
      </w:tr>
      <w:tr w:rsidR="00524996" w:rsidRPr="00F438F7" w14:paraId="1ABD2CA5" w14:textId="0CC3742D" w:rsidTr="4D4E42A1">
        <w:trPr>
          <w:trHeight w:val="282"/>
        </w:trPr>
        <w:tc>
          <w:tcPr>
            <w:tcW w:w="709" w:type="dxa"/>
            <w:vAlign w:val="center"/>
          </w:tcPr>
          <w:p w14:paraId="77114936" w14:textId="77777777" w:rsidR="00524996" w:rsidRPr="00F438F7" w:rsidRDefault="00524996" w:rsidP="00524996">
            <w:pPr>
              <w:numPr>
                <w:ilvl w:val="0"/>
                <w:numId w:val="1"/>
              </w:numPr>
              <w:jc w:val="both"/>
              <w:rPr>
                <w:color w:val="000000" w:themeColor="text1"/>
                <w:szCs w:val="24"/>
              </w:rPr>
            </w:pPr>
          </w:p>
        </w:tc>
        <w:tc>
          <w:tcPr>
            <w:tcW w:w="1980" w:type="dxa"/>
            <w:vAlign w:val="center"/>
          </w:tcPr>
          <w:p w14:paraId="6D329EEA" w14:textId="76854C7F" w:rsidR="00524996" w:rsidRPr="00F438F7" w:rsidRDefault="005B5EA6" w:rsidP="005B5EA6">
            <w:pPr>
              <w:spacing w:after="200" w:line="276" w:lineRule="auto"/>
              <w:rPr>
                <w:color w:val="000000" w:themeColor="text1"/>
                <w:szCs w:val="24"/>
              </w:rPr>
            </w:pPr>
            <w:r w:rsidRPr="00F438F7">
              <w:rPr>
                <w:color w:val="000000" w:themeColor="text1"/>
                <w:szCs w:val="24"/>
              </w:rPr>
              <w:t>Duomenų šifravimas</w:t>
            </w:r>
          </w:p>
        </w:tc>
        <w:tc>
          <w:tcPr>
            <w:tcW w:w="3685" w:type="dxa"/>
            <w:vAlign w:val="center"/>
          </w:tcPr>
          <w:p w14:paraId="1A8C1CDC" w14:textId="24125ED4" w:rsidR="005B5EA6" w:rsidRPr="00F438F7" w:rsidRDefault="005B5EA6" w:rsidP="005B5EA6">
            <w:pPr>
              <w:jc w:val="both"/>
              <w:rPr>
                <w:szCs w:val="24"/>
              </w:rPr>
            </w:pPr>
            <w:r w:rsidRPr="00F438F7">
              <w:rPr>
                <w:szCs w:val="24"/>
              </w:rPr>
              <w:t xml:space="preserve">Turi būti palaikomas duomenų DARE šifravimo (angl „Data at Rest Encryption“) </w:t>
            </w:r>
            <w:r w:rsidR="00F1738F" w:rsidRPr="00F438F7">
              <w:rPr>
                <w:szCs w:val="24"/>
              </w:rPr>
              <w:t xml:space="preserve">arba lygiavertis </w:t>
            </w:r>
            <w:r w:rsidRPr="00F438F7">
              <w:rPr>
                <w:szCs w:val="24"/>
              </w:rPr>
              <w:t xml:space="preserve">funkcionalumas visai nurodytai duomenų saugyklos talpai, turi nereikalauti </w:t>
            </w:r>
            <w:r w:rsidR="00F21ECA" w:rsidRPr="00F438F7">
              <w:t xml:space="preserve">iš Perkančiosios organizacijos </w:t>
            </w:r>
            <w:r w:rsidRPr="00F438F7">
              <w:rPr>
                <w:szCs w:val="24"/>
              </w:rPr>
              <w:t xml:space="preserve">jokių papildomų priemonių šifravimo </w:t>
            </w:r>
            <w:r w:rsidR="00C47827" w:rsidRPr="00F438F7">
              <w:t>įgyvendinimui</w:t>
            </w:r>
            <w:r w:rsidR="00C47827" w:rsidRPr="00F438F7">
              <w:rPr>
                <w:szCs w:val="24"/>
              </w:rPr>
              <w:t xml:space="preserve"> </w:t>
            </w:r>
            <w:r w:rsidRPr="00F438F7">
              <w:rPr>
                <w:szCs w:val="24"/>
              </w:rPr>
              <w:t>Jei duomenų saugykla negali naudoti šifravimo funkcionalumo be išorinių raktų valdymo sprendimo, turi būti pateiktas suderinamas išorinių raktų valdymo sprendimas.</w:t>
            </w:r>
          </w:p>
          <w:p w14:paraId="4A07726A" w14:textId="0C3BE137" w:rsidR="00524996" w:rsidRPr="00F438F7" w:rsidRDefault="005B5EA6" w:rsidP="005B5EA6">
            <w:pPr>
              <w:jc w:val="both"/>
              <w:rPr>
                <w:color w:val="000000" w:themeColor="text1"/>
                <w:szCs w:val="24"/>
              </w:rPr>
            </w:pPr>
            <w:r w:rsidRPr="00F438F7">
              <w:rPr>
                <w:szCs w:val="24"/>
              </w:rPr>
              <w:t>Turi būti galima šifravimą įjungti vardų srities (angl. „namespace“)  ir „S3 bucket” lygyje.</w:t>
            </w:r>
          </w:p>
        </w:tc>
        <w:tc>
          <w:tcPr>
            <w:tcW w:w="3123" w:type="dxa"/>
            <w:vAlign w:val="center"/>
          </w:tcPr>
          <w:p w14:paraId="414C87AA" w14:textId="77777777" w:rsidR="00524996" w:rsidRPr="00F438F7" w:rsidRDefault="00524996" w:rsidP="00524996">
            <w:pPr>
              <w:jc w:val="both"/>
              <w:rPr>
                <w:color w:val="000000" w:themeColor="text1"/>
                <w:szCs w:val="24"/>
              </w:rPr>
            </w:pPr>
          </w:p>
        </w:tc>
      </w:tr>
      <w:tr w:rsidR="00524996" w:rsidRPr="00F438F7" w14:paraId="71ADDC8A" w14:textId="2FFD49C5" w:rsidTr="4D4E42A1">
        <w:trPr>
          <w:trHeight w:val="1940"/>
        </w:trPr>
        <w:tc>
          <w:tcPr>
            <w:tcW w:w="709" w:type="dxa"/>
            <w:vAlign w:val="center"/>
          </w:tcPr>
          <w:p w14:paraId="66666B23" w14:textId="77777777" w:rsidR="00524996" w:rsidRPr="00F438F7" w:rsidRDefault="00524996" w:rsidP="00524996">
            <w:pPr>
              <w:numPr>
                <w:ilvl w:val="0"/>
                <w:numId w:val="1"/>
              </w:numPr>
              <w:jc w:val="both"/>
              <w:rPr>
                <w:color w:val="000000" w:themeColor="text1"/>
                <w:szCs w:val="24"/>
              </w:rPr>
            </w:pPr>
          </w:p>
        </w:tc>
        <w:tc>
          <w:tcPr>
            <w:tcW w:w="1980" w:type="dxa"/>
            <w:vAlign w:val="center"/>
          </w:tcPr>
          <w:p w14:paraId="02291C93" w14:textId="686563A7" w:rsidR="00524996" w:rsidRPr="00F438F7" w:rsidRDefault="009A0F0C" w:rsidP="00524996">
            <w:pPr>
              <w:spacing w:after="200" w:line="276" w:lineRule="auto"/>
              <w:rPr>
                <w:color w:val="000000" w:themeColor="text1"/>
                <w:szCs w:val="24"/>
              </w:rPr>
            </w:pPr>
            <w:r w:rsidRPr="00F438F7">
              <w:rPr>
                <w:szCs w:val="24"/>
              </w:rPr>
              <w:t>Duomenų saugyklos zonos skirtingoms vartotojų grupėms</w:t>
            </w:r>
          </w:p>
        </w:tc>
        <w:tc>
          <w:tcPr>
            <w:tcW w:w="3685" w:type="dxa"/>
            <w:vAlign w:val="center"/>
          </w:tcPr>
          <w:p w14:paraId="0B95175C" w14:textId="27718D8B" w:rsidR="00524996" w:rsidRPr="00F438F7" w:rsidRDefault="009A0F0C" w:rsidP="00524996">
            <w:pPr>
              <w:jc w:val="both"/>
              <w:rPr>
                <w:color w:val="000000" w:themeColor="text1"/>
                <w:szCs w:val="24"/>
              </w:rPr>
            </w:pPr>
            <w:r w:rsidRPr="00F438F7">
              <w:rPr>
                <w:szCs w:val="24"/>
              </w:rPr>
              <w:t>Duomenų saugykla turi palaikyti atskiras nepriklausomas izoliuotas zonas talpos prieigos ir talpos administravimo bei stebėjimo poreikiams tenkinti, kurias galima deleguoti skirtingoms vartotojų grupėms (angl. „Multi-Tenancy“).</w:t>
            </w:r>
          </w:p>
        </w:tc>
        <w:tc>
          <w:tcPr>
            <w:tcW w:w="3123" w:type="dxa"/>
            <w:vAlign w:val="center"/>
          </w:tcPr>
          <w:p w14:paraId="2303C935" w14:textId="77777777" w:rsidR="00524996" w:rsidRPr="00F438F7" w:rsidRDefault="00524996" w:rsidP="00524996">
            <w:pPr>
              <w:jc w:val="both"/>
              <w:rPr>
                <w:color w:val="000000" w:themeColor="text1"/>
                <w:szCs w:val="24"/>
              </w:rPr>
            </w:pPr>
          </w:p>
        </w:tc>
      </w:tr>
      <w:tr w:rsidR="00524996" w:rsidRPr="00F438F7" w14:paraId="72F1F122" w14:textId="634ACA66" w:rsidTr="4D4E42A1">
        <w:trPr>
          <w:trHeight w:val="1136"/>
        </w:trPr>
        <w:tc>
          <w:tcPr>
            <w:tcW w:w="709" w:type="dxa"/>
            <w:vAlign w:val="center"/>
          </w:tcPr>
          <w:p w14:paraId="35F29C36" w14:textId="77777777" w:rsidR="00524996" w:rsidRPr="00F438F7" w:rsidRDefault="00524996" w:rsidP="00524996">
            <w:pPr>
              <w:numPr>
                <w:ilvl w:val="0"/>
                <w:numId w:val="1"/>
              </w:numPr>
              <w:jc w:val="both"/>
              <w:rPr>
                <w:color w:val="000000" w:themeColor="text1"/>
                <w:szCs w:val="24"/>
              </w:rPr>
            </w:pPr>
          </w:p>
        </w:tc>
        <w:tc>
          <w:tcPr>
            <w:tcW w:w="1980" w:type="dxa"/>
            <w:vAlign w:val="center"/>
          </w:tcPr>
          <w:p w14:paraId="375F83AF" w14:textId="4A5577A3" w:rsidR="00524996" w:rsidRPr="00F438F7" w:rsidRDefault="009A0F0C" w:rsidP="00524996">
            <w:pPr>
              <w:jc w:val="both"/>
              <w:rPr>
                <w:color w:val="000000" w:themeColor="text1"/>
                <w:szCs w:val="24"/>
              </w:rPr>
            </w:pPr>
            <w:r w:rsidRPr="00F438F7">
              <w:rPr>
                <w:szCs w:val="24"/>
              </w:rPr>
              <w:t>Duomenų saugyklos tinklo sąsajos</w:t>
            </w:r>
          </w:p>
        </w:tc>
        <w:tc>
          <w:tcPr>
            <w:tcW w:w="3685" w:type="dxa"/>
            <w:vAlign w:val="center"/>
          </w:tcPr>
          <w:p w14:paraId="00E8F082" w14:textId="3320A05A" w:rsidR="009A0F0C" w:rsidRPr="00F438F7" w:rsidRDefault="009A0F0C" w:rsidP="009A0F0C">
            <w:pPr>
              <w:jc w:val="both"/>
              <w:rPr>
                <w:szCs w:val="24"/>
              </w:rPr>
            </w:pPr>
            <w:r w:rsidRPr="00F438F7">
              <w:rPr>
                <w:szCs w:val="24"/>
              </w:rPr>
              <w:t xml:space="preserve">Duomenų saugykla turi turėti pakankamą suminę dubliuotų prievadų spartą, reikalaujamam našumui išpildyti, skirtą vartotojų prieigai, duomenų skaitymui, rašymui, replikavimui (angl. „front-end“) ir duomenų saugyklų valdymui. Tarnybinių operacijų ir vartotojų reikmėms skirti prievadai </w:t>
            </w:r>
            <w:r w:rsidR="009C3571" w:rsidRPr="00F438F7">
              <w:rPr>
                <w:szCs w:val="24"/>
              </w:rPr>
              <w:t>turi</w:t>
            </w:r>
            <w:r w:rsidRPr="00F438F7">
              <w:rPr>
                <w:szCs w:val="24"/>
              </w:rPr>
              <w:t xml:space="preserve"> būti </w:t>
            </w:r>
            <w:r w:rsidR="009C3571" w:rsidRPr="00F438F7">
              <w:rPr>
                <w:szCs w:val="24"/>
              </w:rPr>
              <w:t>atskiri</w:t>
            </w:r>
            <w:r w:rsidRPr="00F438F7">
              <w:rPr>
                <w:szCs w:val="24"/>
              </w:rPr>
              <w:t>.</w:t>
            </w:r>
          </w:p>
          <w:p w14:paraId="035F580A" w14:textId="77777777" w:rsidR="009A0F0C" w:rsidRPr="00F438F7" w:rsidRDefault="009A0F0C" w:rsidP="009A0F0C">
            <w:pPr>
              <w:jc w:val="both"/>
              <w:rPr>
                <w:szCs w:val="24"/>
              </w:rPr>
            </w:pPr>
            <w:r w:rsidRPr="00F438F7">
              <w:rPr>
                <w:szCs w:val="24"/>
              </w:rPr>
              <w:t>Duomenų saugykla turi turėti gamintojo rekomenduojamą pakankamą kiekį tinklo prievadų, skirtų duomenų saugyklos tarnybinių operacijų reikmėms (angl. „back-end“), bet ne mažiau kaip 2 vnt. kiekviename duomenų saugyklos mazge.</w:t>
            </w:r>
          </w:p>
          <w:p w14:paraId="0B94757B" w14:textId="3D891A75" w:rsidR="005246A9" w:rsidRPr="00F438F7" w:rsidRDefault="009A0F0C" w:rsidP="009A0F0C">
            <w:pPr>
              <w:jc w:val="both"/>
              <w:rPr>
                <w:szCs w:val="24"/>
              </w:rPr>
            </w:pPr>
            <w:r w:rsidRPr="00F438F7">
              <w:rPr>
                <w:szCs w:val="24"/>
              </w:rPr>
              <w:t xml:space="preserve">Kiekvienas mazgas turi būti dubliuotai prijungtas prie siūlomų </w:t>
            </w:r>
            <w:r w:rsidRPr="00F438F7">
              <w:rPr>
                <w:szCs w:val="24"/>
              </w:rPr>
              <w:lastRenderedPageBreak/>
              <w:t>komutatorių (vartotojų prieigos ir tarnybinių duomenų tinklo).</w:t>
            </w:r>
          </w:p>
          <w:p w14:paraId="4FC8C6C8" w14:textId="5D29229C" w:rsidR="005246A9" w:rsidRPr="00F438F7" w:rsidRDefault="005246A9" w:rsidP="009A0F0C">
            <w:pPr>
              <w:jc w:val="both"/>
              <w:rPr>
                <w:szCs w:val="24"/>
              </w:rPr>
            </w:pPr>
            <w:r w:rsidRPr="00F438F7">
              <w:rPr>
                <w:szCs w:val="24"/>
              </w:rPr>
              <w:t>Šio pirkimo apimtyje turi būti pateiktas reikiamas kiekis komutatorių. Kiekvieno tipo komutatorių turi būti pateikiama ne mažiau kaip po 2 vnt. per duomenų centrą.</w:t>
            </w:r>
          </w:p>
          <w:p w14:paraId="7BD34458" w14:textId="5614339C" w:rsidR="00524996" w:rsidRPr="00F438F7" w:rsidRDefault="009A0F0C" w:rsidP="009A0F0C">
            <w:pPr>
              <w:jc w:val="both"/>
              <w:rPr>
                <w:color w:val="000000" w:themeColor="text1"/>
                <w:szCs w:val="24"/>
              </w:rPr>
            </w:pPr>
            <w:r w:rsidRPr="00F438F7">
              <w:rPr>
                <w:szCs w:val="24"/>
              </w:rPr>
              <w:t>Kartu su duomenų saugykla turės būti pateikti reikiamo ilgio bei tipo kabeliai, skirti siūlomos įrangos tarpusavio sujungimui bei prijungimui prie duomenų centro LAN komutatorių.</w:t>
            </w:r>
          </w:p>
        </w:tc>
        <w:tc>
          <w:tcPr>
            <w:tcW w:w="3123" w:type="dxa"/>
            <w:vAlign w:val="center"/>
          </w:tcPr>
          <w:p w14:paraId="47438438" w14:textId="77777777" w:rsidR="00524996" w:rsidRPr="00F438F7" w:rsidRDefault="00524996" w:rsidP="00524996">
            <w:pPr>
              <w:jc w:val="both"/>
              <w:rPr>
                <w:color w:val="000000" w:themeColor="text1"/>
                <w:szCs w:val="24"/>
              </w:rPr>
            </w:pPr>
          </w:p>
        </w:tc>
      </w:tr>
      <w:tr w:rsidR="00524996" w:rsidRPr="00F438F7" w14:paraId="6F153F58" w14:textId="04343808" w:rsidTr="4D4E42A1">
        <w:trPr>
          <w:trHeight w:val="1658"/>
        </w:trPr>
        <w:tc>
          <w:tcPr>
            <w:tcW w:w="709" w:type="dxa"/>
            <w:vAlign w:val="center"/>
          </w:tcPr>
          <w:p w14:paraId="46BC8748" w14:textId="77777777" w:rsidR="00524996" w:rsidRPr="00F438F7" w:rsidRDefault="00524996" w:rsidP="00524996">
            <w:pPr>
              <w:numPr>
                <w:ilvl w:val="0"/>
                <w:numId w:val="1"/>
              </w:numPr>
              <w:jc w:val="both"/>
              <w:rPr>
                <w:color w:val="000000" w:themeColor="text1"/>
                <w:szCs w:val="24"/>
              </w:rPr>
            </w:pPr>
          </w:p>
        </w:tc>
        <w:tc>
          <w:tcPr>
            <w:tcW w:w="1980" w:type="dxa"/>
            <w:vAlign w:val="center"/>
          </w:tcPr>
          <w:p w14:paraId="499EBE95" w14:textId="03C27D44" w:rsidR="00524996" w:rsidRPr="00F438F7" w:rsidRDefault="009A0F0C" w:rsidP="00524996">
            <w:pPr>
              <w:jc w:val="both"/>
              <w:rPr>
                <w:color w:val="000000" w:themeColor="text1"/>
                <w:szCs w:val="24"/>
              </w:rPr>
            </w:pPr>
            <w:r w:rsidRPr="00F438F7">
              <w:rPr>
                <w:szCs w:val="24"/>
              </w:rPr>
              <w:t>Duomenų saugyklos vartotojų tinklo įranga</w:t>
            </w:r>
          </w:p>
        </w:tc>
        <w:tc>
          <w:tcPr>
            <w:tcW w:w="3685" w:type="dxa"/>
            <w:vAlign w:val="center"/>
          </w:tcPr>
          <w:p w14:paraId="007837BE" w14:textId="65B4CB33" w:rsidR="009A0F0C" w:rsidRPr="00F438F7" w:rsidRDefault="009A0F0C" w:rsidP="009A0F0C">
            <w:pPr>
              <w:jc w:val="both"/>
              <w:rPr>
                <w:szCs w:val="24"/>
              </w:rPr>
            </w:pPr>
            <w:r w:rsidRPr="00F438F7">
              <w:rPr>
                <w:szCs w:val="24"/>
              </w:rPr>
              <w:t xml:space="preserve">Kiekvienam duomenų centrui turi būti pateikta ne mažiau kaip 2 vnt. tinklo komutatorių, skirtų vartotojų prieigai prie duomenų saugyklos. </w:t>
            </w:r>
          </w:p>
          <w:p w14:paraId="1EFF379C" w14:textId="5F6EB53E" w:rsidR="009A0F0C" w:rsidRPr="00F438F7" w:rsidRDefault="009A0F0C" w:rsidP="514D743D">
            <w:pPr>
              <w:jc w:val="both"/>
            </w:pPr>
            <w:r w:rsidRPr="00F438F7">
              <w:t>Komutatoriai turi užtikrinti pakankamą prievadų, skirtų vartotojų duomenims (angl. „frontend“), kiekį</w:t>
            </w:r>
            <w:r w:rsidR="005246A9" w:rsidRPr="00F438F7">
              <w:t xml:space="preserve"> bei</w:t>
            </w:r>
            <w:r w:rsidRPr="00F438F7">
              <w:t xml:space="preserve"> tipą duomenų saugyklos klasterio mazgų prievadų prijungimui. </w:t>
            </w:r>
            <w:r w:rsidR="005246A9" w:rsidRPr="00F438F7">
              <w:t>Siūlomi</w:t>
            </w:r>
            <w:r w:rsidRPr="00F438F7">
              <w:t xml:space="preserve"> komutatoriai, prievadai duomenų saugyklos mazgams ir prievadai prijungimui prie tinklo infrastruktūros negali riboti reikalaujamos duomenų saugyklos spartos</w:t>
            </w:r>
            <w:r w:rsidR="001F3CFA" w:rsidRPr="00F438F7">
              <w:t>.</w:t>
            </w:r>
            <w:r w:rsidR="005B732A" w:rsidRPr="00F438F7">
              <w:t xml:space="preserve"> </w:t>
            </w:r>
            <w:r w:rsidRPr="00F438F7">
              <w:t xml:space="preserve">Komutatorių prijungimas prie Perkančiosios organizacijos komutatorių turi būti realizuotas </w:t>
            </w:r>
            <w:r w:rsidR="00F1738F" w:rsidRPr="00F438F7">
              <w:t xml:space="preserve">ne mažiau kaip </w:t>
            </w:r>
            <w:r w:rsidRPr="00F438F7">
              <w:t>25 Gbps spartos SFP28 tinklo prievadais</w:t>
            </w:r>
            <w:r w:rsidR="005246A9" w:rsidRPr="00F438F7">
              <w:t xml:space="preserve"> (jungtis LC MM)</w:t>
            </w:r>
            <w:r w:rsidRPr="00F438F7">
              <w:t xml:space="preserve"> bei turi turėti laisvų prievadų rezervą, kuris atitinka </w:t>
            </w:r>
            <w:r w:rsidR="00F1738F" w:rsidRPr="00F438F7">
              <w:t xml:space="preserve">ne mažiau kaip </w:t>
            </w:r>
            <w:r w:rsidRPr="00F438F7">
              <w:t>30% nuo panaudotų prievadų.</w:t>
            </w:r>
          </w:p>
          <w:p w14:paraId="5CB85BD2" w14:textId="3BA6F78F" w:rsidR="007C7F1D" w:rsidRPr="007C7F1D" w:rsidRDefault="004E4C8C" w:rsidP="007C7F1D">
            <w:pPr>
              <w:jc w:val="both"/>
            </w:pPr>
            <w:r w:rsidRPr="00F438F7">
              <w:t>Maitinimo šaltiniai turi būti dubliuoti. Vienam iš jų sugedus, įranga turi veikti toliau.</w:t>
            </w:r>
            <w:r w:rsidR="007C7F1D" w:rsidRPr="00F438F7">
              <w:t xml:space="preserve"> </w:t>
            </w:r>
          </w:p>
          <w:p w14:paraId="5C5AA332" w14:textId="706253A3" w:rsidR="009E5C27" w:rsidRPr="00F438F7" w:rsidRDefault="009E5C27" w:rsidP="4D4E42A1">
            <w:pPr>
              <w:jc w:val="both"/>
            </w:pPr>
            <w:r w:rsidRPr="00F438F7">
              <w:t>Ventiliatoriai turi būti dubliuoti. Vienam iš jų sugedus, įranga turi veikti toliau.</w:t>
            </w:r>
            <w:r w:rsidR="007C7F1D" w:rsidRPr="00F438F7">
              <w:t xml:space="preserve"> </w:t>
            </w:r>
            <w:r w:rsidR="007C7F1D" w:rsidRPr="007C7F1D">
              <w:t>Aušinimo kryptis turi būti iš galo į priekį, kai priekis yra prievadų panelė.</w:t>
            </w:r>
          </w:p>
          <w:p w14:paraId="0FD653F5" w14:textId="2C5F8C03" w:rsidR="007C7F1D" w:rsidRPr="00F438F7" w:rsidRDefault="007C7F1D" w:rsidP="4D4E42A1">
            <w:pPr>
              <w:jc w:val="both"/>
            </w:pPr>
          </w:p>
          <w:p w14:paraId="383AE433" w14:textId="7F48081E" w:rsidR="00524996" w:rsidRPr="00F438F7" w:rsidRDefault="16023640" w:rsidP="4D4E42A1">
            <w:pPr>
              <w:spacing w:after="200"/>
              <w:jc w:val="both"/>
            </w:pPr>
            <w:r w:rsidRPr="00F438F7">
              <w:t xml:space="preserve">Visi siūlomi optiniai keitikliai turi būti to paties gamintojo  kaip ir siūlomas komutatorius arba kelių gamintojų suderinami bendram darbui ir nepažeidžiantys gamintojų </w:t>
            </w:r>
            <w:r w:rsidRPr="00F438F7">
              <w:lastRenderedPageBreak/>
              <w:t>pateiktų įrangos eksploatavimo taisyklių.</w:t>
            </w:r>
          </w:p>
          <w:p w14:paraId="7711C3A3" w14:textId="77777777" w:rsidR="00524996" w:rsidRPr="00F438F7" w:rsidRDefault="009A0F0C" w:rsidP="514D743D">
            <w:pPr>
              <w:spacing w:after="200"/>
              <w:jc w:val="both"/>
            </w:pPr>
            <w:r w:rsidRPr="00F438F7">
              <w:t xml:space="preserve">Vartotojų tinklo komutatoriai turi būti suderinami ir turi integruotis į Perkančiosios organizacijos naudojamą Cisco </w:t>
            </w:r>
            <w:r w:rsidR="005246A9" w:rsidRPr="00F438F7">
              <w:t>DCNM</w:t>
            </w:r>
            <w:r w:rsidRPr="00F438F7">
              <w:t xml:space="preserve"> centralizuot</w:t>
            </w:r>
            <w:r w:rsidR="005246A9" w:rsidRPr="00F438F7">
              <w:t>ą</w:t>
            </w:r>
            <w:r w:rsidRPr="00F438F7">
              <w:t xml:space="preserve"> tinklo įrangos valdymo sprendimą.</w:t>
            </w:r>
          </w:p>
          <w:p w14:paraId="6A022368" w14:textId="2DCA7FB8" w:rsidR="003C08C5" w:rsidRPr="00F438F7" w:rsidRDefault="00855D85" w:rsidP="514D743D">
            <w:pPr>
              <w:spacing w:after="200"/>
              <w:jc w:val="both"/>
              <w:rPr>
                <w:color w:val="000000" w:themeColor="text1"/>
              </w:rPr>
            </w:pPr>
            <w:r w:rsidRPr="00F438F7">
              <w:t xml:space="preserve">Vartotojų tinklo komutatoriai turi </w:t>
            </w:r>
            <w:r w:rsidR="00A30037" w:rsidRPr="00F438F7">
              <w:t xml:space="preserve">korektiškai susijungti su </w:t>
            </w:r>
            <w:r w:rsidRPr="00F438F7">
              <w:t>perkan</w:t>
            </w:r>
            <w:r w:rsidR="00EF0FA1" w:rsidRPr="00F438F7">
              <w:t>č</w:t>
            </w:r>
            <w:r w:rsidRPr="00F438F7">
              <w:t>iosios organizacijos naud</w:t>
            </w:r>
            <w:r w:rsidR="00EF0FA1" w:rsidRPr="00F438F7">
              <w:t>ojam</w:t>
            </w:r>
            <w:r w:rsidR="00A30037" w:rsidRPr="00F438F7">
              <w:t>ai</w:t>
            </w:r>
            <w:r w:rsidR="00EF0FA1" w:rsidRPr="00F438F7">
              <w:t>s Cisco Nexus 93240 komutatori</w:t>
            </w:r>
            <w:r w:rsidR="00A30037" w:rsidRPr="00F438F7">
              <w:t xml:space="preserve">ais. </w:t>
            </w:r>
          </w:p>
        </w:tc>
        <w:tc>
          <w:tcPr>
            <w:tcW w:w="3123" w:type="dxa"/>
            <w:vAlign w:val="center"/>
          </w:tcPr>
          <w:p w14:paraId="62563CA8" w14:textId="77777777" w:rsidR="00524996" w:rsidRPr="00F438F7" w:rsidRDefault="00524996" w:rsidP="00524996">
            <w:pPr>
              <w:jc w:val="both"/>
              <w:rPr>
                <w:color w:val="000000" w:themeColor="text1"/>
                <w:szCs w:val="24"/>
              </w:rPr>
            </w:pPr>
          </w:p>
        </w:tc>
      </w:tr>
      <w:tr w:rsidR="00524996" w:rsidRPr="00F438F7" w14:paraId="69D86F46" w14:textId="2161EA40" w:rsidTr="4D4E42A1">
        <w:trPr>
          <w:trHeight w:val="1392"/>
        </w:trPr>
        <w:tc>
          <w:tcPr>
            <w:tcW w:w="709" w:type="dxa"/>
            <w:vAlign w:val="center"/>
          </w:tcPr>
          <w:p w14:paraId="1D2C08C2" w14:textId="77777777" w:rsidR="00524996" w:rsidRPr="00F438F7" w:rsidRDefault="00524996" w:rsidP="00524996">
            <w:pPr>
              <w:numPr>
                <w:ilvl w:val="0"/>
                <w:numId w:val="1"/>
              </w:numPr>
              <w:jc w:val="both"/>
              <w:rPr>
                <w:color w:val="000000" w:themeColor="text1"/>
                <w:szCs w:val="24"/>
              </w:rPr>
            </w:pPr>
          </w:p>
        </w:tc>
        <w:tc>
          <w:tcPr>
            <w:tcW w:w="1980" w:type="dxa"/>
            <w:vAlign w:val="center"/>
          </w:tcPr>
          <w:p w14:paraId="3D58C2A2" w14:textId="00EDBA20" w:rsidR="00524996" w:rsidRPr="00F438F7" w:rsidRDefault="005246A9" w:rsidP="514D743D">
            <w:pPr>
              <w:jc w:val="both"/>
              <w:rPr>
                <w:color w:val="000000" w:themeColor="text1"/>
                <w:highlight w:val="yellow"/>
              </w:rPr>
            </w:pPr>
            <w:r w:rsidRPr="00F438F7">
              <w:t>Duomenų saugyklos tarnybinių duomenų tinklo įranga</w:t>
            </w:r>
          </w:p>
        </w:tc>
        <w:tc>
          <w:tcPr>
            <w:tcW w:w="3685" w:type="dxa"/>
            <w:vAlign w:val="center"/>
          </w:tcPr>
          <w:p w14:paraId="639B804E" w14:textId="77777777" w:rsidR="005246A9" w:rsidRPr="00F438F7" w:rsidRDefault="005246A9" w:rsidP="005246A9">
            <w:pPr>
              <w:jc w:val="both"/>
              <w:rPr>
                <w:szCs w:val="24"/>
              </w:rPr>
            </w:pPr>
            <w:r w:rsidRPr="00F438F7">
              <w:rPr>
                <w:szCs w:val="24"/>
              </w:rPr>
              <w:t xml:space="preserve">Duomenų centrui turi būti pareikta ne mažiau kaip 2 vnt. tinklo komutatorių, skirtų duomenų saugyklos tarnybinėms operacijoms vykdyti. Šie komutatoriai turi būti gamintojo oficialiai įvardinti kaip sprendimo sudedamoji dalis. </w:t>
            </w:r>
          </w:p>
          <w:p w14:paraId="6E5C0DFB" w14:textId="0E56CFE7" w:rsidR="00524996" w:rsidRPr="00F438F7" w:rsidRDefault="005246A9" w:rsidP="005246A9">
            <w:pPr>
              <w:jc w:val="both"/>
              <w:rPr>
                <w:szCs w:val="24"/>
              </w:rPr>
            </w:pPr>
            <w:r w:rsidRPr="00F438F7">
              <w:rPr>
                <w:szCs w:val="24"/>
              </w:rPr>
              <w:t xml:space="preserve">Komutatoriai turi turėti duomenų saugyklos gamintojo rekomenduojamą pakankamą kiekį tinklo prievadų, skirtų duomenų saugyklos tarnybinių operacijų reikmėms (angl. „back-end“) bei turi turėti laisvų prievadų rezervą, kuris atitinka </w:t>
            </w:r>
            <w:r w:rsidR="00F1738F" w:rsidRPr="00F438F7">
              <w:rPr>
                <w:szCs w:val="24"/>
              </w:rPr>
              <w:t xml:space="preserve">ne mažiau kaip </w:t>
            </w:r>
            <w:r w:rsidRPr="00F438F7">
              <w:rPr>
                <w:szCs w:val="24"/>
              </w:rPr>
              <w:t>30% nuo panaudotų prievadų.</w:t>
            </w:r>
          </w:p>
          <w:p w14:paraId="7A2BA223" w14:textId="77777777" w:rsidR="00052477" w:rsidRPr="00F438F7" w:rsidRDefault="00052477" w:rsidP="4D4E42A1">
            <w:pPr>
              <w:jc w:val="both"/>
              <w:rPr>
                <w:rStyle w:val="normaltextrun"/>
              </w:rPr>
            </w:pPr>
            <w:r w:rsidRPr="00F438F7">
              <w:rPr>
                <w:rStyle w:val="normaltextrun"/>
              </w:rPr>
              <w:t>Maitinimo šaltiniai turi būti dubliuoti. Vienam iš jų sugedus, įranga turi veikti toliau.</w:t>
            </w:r>
          </w:p>
          <w:p w14:paraId="536411C6" w14:textId="77777777" w:rsidR="007C7F1D" w:rsidRPr="00F438F7" w:rsidRDefault="00052477" w:rsidP="007C7F1D">
            <w:pPr>
              <w:jc w:val="both"/>
            </w:pPr>
            <w:r w:rsidRPr="00F438F7">
              <w:t>Ventiliatoriai turi būti dubliuoti. Vienam iš jų sugedus, įranga turi veikti toliau.</w:t>
            </w:r>
            <w:r w:rsidR="007C7F1D" w:rsidRPr="00F438F7">
              <w:t xml:space="preserve"> </w:t>
            </w:r>
            <w:r w:rsidR="007C7F1D" w:rsidRPr="007C7F1D">
              <w:t>Aušinimo kryptis turi būti iš galo į priekį, kai priekis yra prievadų panelė.</w:t>
            </w:r>
          </w:p>
          <w:p w14:paraId="6164FC30" w14:textId="77777777" w:rsidR="00052477" w:rsidRPr="00F438F7" w:rsidRDefault="00052477" w:rsidP="4D4E42A1">
            <w:pPr>
              <w:jc w:val="both"/>
            </w:pPr>
          </w:p>
          <w:p w14:paraId="352E8109" w14:textId="77777777" w:rsidR="00965181" w:rsidRPr="00F438F7" w:rsidRDefault="00ED42BC" w:rsidP="4D4E42A1">
            <w:pPr>
              <w:spacing w:after="200"/>
              <w:jc w:val="both"/>
            </w:pPr>
            <w:r w:rsidRPr="00F438F7">
              <w:t>Visi siūlomi optiniai keitikliai turi būti to paties gamintojo  kaip ir siūlomas komutatorius arba kelių gamintojų suderinami bendram darbui ir nepažeidžiantys gamintojų pateiktų įrangos eksploatavimo taisyklių.</w:t>
            </w:r>
          </w:p>
          <w:p w14:paraId="112F979F" w14:textId="4766418F" w:rsidR="00ED42BC" w:rsidRPr="00F438F7" w:rsidRDefault="00122BC6" w:rsidP="4D4E42A1">
            <w:pPr>
              <w:spacing w:after="200"/>
              <w:jc w:val="both"/>
            </w:pPr>
            <w:r w:rsidRPr="00F438F7">
              <w:t>Duomenų saugyklos tarnybinių operacijų komutatori</w:t>
            </w:r>
            <w:r w:rsidR="00C66B0F" w:rsidRPr="00F438F7">
              <w:t xml:space="preserve">ų </w:t>
            </w:r>
            <w:r w:rsidR="001A1BB2" w:rsidRPr="00F438F7">
              <w:t xml:space="preserve">valdymo ir </w:t>
            </w:r>
            <w:r w:rsidR="004347B5" w:rsidRPr="00F438F7">
              <w:t xml:space="preserve">įeinančio srauto </w:t>
            </w:r>
            <w:r w:rsidR="00EC5103" w:rsidRPr="00F438F7">
              <w:t xml:space="preserve">(angl. </w:t>
            </w:r>
            <w:r w:rsidR="001A1BB2" w:rsidRPr="00F438F7">
              <w:t>U</w:t>
            </w:r>
            <w:r w:rsidR="00EC5103" w:rsidRPr="00F438F7">
              <w:t>plink)</w:t>
            </w:r>
            <w:r w:rsidR="001A1BB2" w:rsidRPr="00F438F7">
              <w:t xml:space="preserve"> </w:t>
            </w:r>
            <w:r w:rsidR="00EC5103" w:rsidRPr="00F438F7">
              <w:t>prievadai</w:t>
            </w:r>
            <w:r w:rsidRPr="00F438F7">
              <w:t xml:space="preserve"> turi korektiškai susijungti </w:t>
            </w:r>
            <w:r w:rsidRPr="00F438F7">
              <w:lastRenderedPageBreak/>
              <w:t>su perkančiosios organizacijos naudojamais Cisco Nexus 93</w:t>
            </w:r>
            <w:r w:rsidR="3EF42B2C" w:rsidRPr="00F438F7">
              <w:t>48</w:t>
            </w:r>
            <w:r w:rsidRPr="00F438F7">
              <w:t xml:space="preserve"> komutatori</w:t>
            </w:r>
            <w:r w:rsidR="00EC5103" w:rsidRPr="00F438F7">
              <w:t>ų prievadais.</w:t>
            </w:r>
          </w:p>
        </w:tc>
        <w:tc>
          <w:tcPr>
            <w:tcW w:w="3123" w:type="dxa"/>
            <w:vAlign w:val="center"/>
          </w:tcPr>
          <w:p w14:paraId="44645E55" w14:textId="77777777" w:rsidR="00524996" w:rsidRPr="00F438F7" w:rsidRDefault="00524996" w:rsidP="00524996">
            <w:pPr>
              <w:jc w:val="both"/>
              <w:rPr>
                <w:bCs/>
                <w:color w:val="000000" w:themeColor="text1"/>
                <w:szCs w:val="24"/>
              </w:rPr>
            </w:pPr>
          </w:p>
        </w:tc>
      </w:tr>
      <w:tr w:rsidR="005246A9" w:rsidRPr="00F438F7" w14:paraId="0DA9D63A" w14:textId="77777777" w:rsidTr="4D4E42A1">
        <w:trPr>
          <w:trHeight w:val="1266"/>
        </w:trPr>
        <w:tc>
          <w:tcPr>
            <w:tcW w:w="709" w:type="dxa"/>
            <w:vAlign w:val="center"/>
          </w:tcPr>
          <w:p w14:paraId="2DB0FF25" w14:textId="77777777" w:rsidR="005246A9" w:rsidRPr="00F438F7" w:rsidRDefault="005246A9" w:rsidP="00524996">
            <w:pPr>
              <w:numPr>
                <w:ilvl w:val="0"/>
                <w:numId w:val="1"/>
              </w:numPr>
              <w:jc w:val="both"/>
              <w:rPr>
                <w:color w:val="000000" w:themeColor="text1"/>
                <w:szCs w:val="24"/>
              </w:rPr>
            </w:pPr>
          </w:p>
        </w:tc>
        <w:tc>
          <w:tcPr>
            <w:tcW w:w="1980" w:type="dxa"/>
            <w:vAlign w:val="center"/>
          </w:tcPr>
          <w:p w14:paraId="7A3902E2" w14:textId="478C2AA3" w:rsidR="005246A9" w:rsidRPr="00F438F7" w:rsidRDefault="005246A9" w:rsidP="00524996">
            <w:pPr>
              <w:jc w:val="both"/>
              <w:rPr>
                <w:bCs/>
                <w:color w:val="000000" w:themeColor="text1"/>
                <w:szCs w:val="24"/>
              </w:rPr>
            </w:pPr>
            <w:r w:rsidRPr="00F438F7">
              <w:rPr>
                <w:szCs w:val="24"/>
              </w:rPr>
              <w:t>Duomenų saugyklos techniniai parametrai</w:t>
            </w:r>
          </w:p>
        </w:tc>
        <w:tc>
          <w:tcPr>
            <w:tcW w:w="3685" w:type="dxa"/>
            <w:vAlign w:val="center"/>
          </w:tcPr>
          <w:p w14:paraId="78308D23" w14:textId="60DA2730" w:rsidR="005246A9" w:rsidRPr="00F438F7" w:rsidRDefault="005246A9" w:rsidP="00524996">
            <w:pPr>
              <w:jc w:val="both"/>
              <w:rPr>
                <w:szCs w:val="24"/>
              </w:rPr>
            </w:pPr>
            <w:r w:rsidRPr="00F438F7">
              <w:rPr>
                <w:szCs w:val="24"/>
              </w:rPr>
              <w:t xml:space="preserve">Duomenų saugykla (įskaitant įtrauktus į pasiūlymą dubliuotus apjungimo komutatorius ir kitus reikalingus komponentus) turi užimti ne daugiau kaip </w:t>
            </w:r>
            <w:r w:rsidR="00FB78AD" w:rsidRPr="00F438F7">
              <w:rPr>
                <w:szCs w:val="24"/>
              </w:rPr>
              <w:t xml:space="preserve">120U </w:t>
            </w:r>
            <w:r w:rsidRPr="00F438F7">
              <w:rPr>
                <w:szCs w:val="24"/>
              </w:rPr>
              <w:t>komutacinėje spintoje</w:t>
            </w:r>
            <w:r w:rsidR="007C7F1D" w:rsidRPr="00F438F7">
              <w:rPr>
                <w:szCs w:val="24"/>
              </w:rPr>
              <w:t xml:space="preserve"> (viename duomenų centre)</w:t>
            </w:r>
            <w:r w:rsidRPr="00F438F7">
              <w:rPr>
                <w:szCs w:val="24"/>
              </w:rPr>
              <w:t>.</w:t>
            </w:r>
          </w:p>
        </w:tc>
        <w:tc>
          <w:tcPr>
            <w:tcW w:w="3123" w:type="dxa"/>
            <w:vAlign w:val="center"/>
          </w:tcPr>
          <w:p w14:paraId="79A36D6D" w14:textId="77777777" w:rsidR="005246A9" w:rsidRPr="00F438F7" w:rsidRDefault="005246A9" w:rsidP="00524996">
            <w:pPr>
              <w:jc w:val="both"/>
              <w:rPr>
                <w:szCs w:val="24"/>
              </w:rPr>
            </w:pPr>
          </w:p>
        </w:tc>
      </w:tr>
      <w:tr w:rsidR="005246A9" w:rsidRPr="00F438F7" w14:paraId="3048936C" w14:textId="77777777" w:rsidTr="4D4E42A1">
        <w:trPr>
          <w:trHeight w:val="1266"/>
        </w:trPr>
        <w:tc>
          <w:tcPr>
            <w:tcW w:w="709" w:type="dxa"/>
            <w:vAlign w:val="center"/>
          </w:tcPr>
          <w:p w14:paraId="5EAAB068" w14:textId="77777777" w:rsidR="005246A9" w:rsidRPr="00F438F7" w:rsidRDefault="005246A9" w:rsidP="00524996">
            <w:pPr>
              <w:numPr>
                <w:ilvl w:val="0"/>
                <w:numId w:val="1"/>
              </w:numPr>
              <w:jc w:val="both"/>
              <w:rPr>
                <w:color w:val="000000" w:themeColor="text1"/>
                <w:szCs w:val="24"/>
              </w:rPr>
            </w:pPr>
          </w:p>
        </w:tc>
        <w:tc>
          <w:tcPr>
            <w:tcW w:w="1980" w:type="dxa"/>
            <w:vAlign w:val="center"/>
          </w:tcPr>
          <w:p w14:paraId="553E7DD1" w14:textId="67B89A1C" w:rsidR="005246A9" w:rsidRPr="00F438F7" w:rsidRDefault="005246A9" w:rsidP="00524996">
            <w:pPr>
              <w:jc w:val="both"/>
              <w:rPr>
                <w:bCs/>
                <w:color w:val="000000" w:themeColor="text1"/>
                <w:szCs w:val="24"/>
              </w:rPr>
            </w:pPr>
            <w:r w:rsidRPr="00F438F7">
              <w:rPr>
                <w:bCs/>
                <w:color w:val="000000" w:themeColor="text1"/>
                <w:szCs w:val="24"/>
              </w:rPr>
              <w:t>Siūlomos įrangos architektūra</w:t>
            </w:r>
          </w:p>
        </w:tc>
        <w:tc>
          <w:tcPr>
            <w:tcW w:w="3685" w:type="dxa"/>
            <w:vAlign w:val="center"/>
          </w:tcPr>
          <w:p w14:paraId="596D9450" w14:textId="38B2D74E" w:rsidR="005246A9" w:rsidRPr="00F438F7" w:rsidRDefault="005246A9" w:rsidP="00524996">
            <w:pPr>
              <w:jc w:val="both"/>
              <w:rPr>
                <w:szCs w:val="24"/>
              </w:rPr>
            </w:pPr>
            <w:r w:rsidRPr="00F438F7">
              <w:rPr>
                <w:szCs w:val="24"/>
              </w:rPr>
              <w:t>Visa siūloma įranga turi būti pritaikyta montavimui į 19 colių pločio standartinę kompiuterinei įrangai montuoti skirtą spintą.</w:t>
            </w:r>
          </w:p>
        </w:tc>
        <w:tc>
          <w:tcPr>
            <w:tcW w:w="3123" w:type="dxa"/>
            <w:vAlign w:val="center"/>
          </w:tcPr>
          <w:p w14:paraId="5BDFB5A6" w14:textId="77777777" w:rsidR="005246A9" w:rsidRPr="00F438F7" w:rsidRDefault="005246A9" w:rsidP="00524996">
            <w:pPr>
              <w:jc w:val="both"/>
              <w:rPr>
                <w:szCs w:val="24"/>
              </w:rPr>
            </w:pPr>
          </w:p>
        </w:tc>
      </w:tr>
      <w:tr w:rsidR="005246A9" w:rsidRPr="00F438F7" w14:paraId="2B5D359D" w14:textId="5983CED9" w:rsidTr="4D4E42A1">
        <w:trPr>
          <w:trHeight w:val="1266"/>
        </w:trPr>
        <w:tc>
          <w:tcPr>
            <w:tcW w:w="709" w:type="dxa"/>
            <w:vAlign w:val="center"/>
          </w:tcPr>
          <w:p w14:paraId="2F31B955" w14:textId="77777777" w:rsidR="005246A9" w:rsidRPr="00F438F7" w:rsidRDefault="005246A9" w:rsidP="005246A9">
            <w:pPr>
              <w:numPr>
                <w:ilvl w:val="0"/>
                <w:numId w:val="1"/>
              </w:numPr>
              <w:jc w:val="both"/>
              <w:rPr>
                <w:color w:val="000000" w:themeColor="text1"/>
                <w:szCs w:val="24"/>
              </w:rPr>
            </w:pPr>
          </w:p>
        </w:tc>
        <w:tc>
          <w:tcPr>
            <w:tcW w:w="1980" w:type="dxa"/>
            <w:vAlign w:val="center"/>
          </w:tcPr>
          <w:p w14:paraId="219FB0BF" w14:textId="77777777" w:rsidR="005246A9" w:rsidRPr="00F438F7" w:rsidRDefault="005246A9" w:rsidP="005246A9">
            <w:pPr>
              <w:jc w:val="both"/>
              <w:rPr>
                <w:bCs/>
                <w:color w:val="000000" w:themeColor="text1"/>
                <w:szCs w:val="24"/>
              </w:rPr>
            </w:pPr>
            <w:r w:rsidRPr="00F438F7">
              <w:rPr>
                <w:bCs/>
                <w:color w:val="000000" w:themeColor="text1"/>
                <w:szCs w:val="24"/>
              </w:rPr>
              <w:t>Garantinės priežiūros laikotarpis</w:t>
            </w:r>
          </w:p>
        </w:tc>
        <w:tc>
          <w:tcPr>
            <w:tcW w:w="3685" w:type="dxa"/>
          </w:tcPr>
          <w:p w14:paraId="08377E68" w14:textId="1B3AD65D" w:rsidR="005246A9" w:rsidRPr="00F438F7" w:rsidRDefault="005246A9" w:rsidP="73585263">
            <w:pPr>
              <w:jc w:val="both"/>
            </w:pPr>
            <w:r w:rsidRPr="00F438F7">
              <w:t xml:space="preserve">Visai įrangai turi būti suteikta ne mažiau 5 metų gamintojo garantija. Gedimų registravimas, sprendimas ir komponentų pristatymas – 7 dienas per savaitę, 24 valandas per parą, įskaitant ir šventines dienas. Sugedusių komponentų gamintojo deklaruojamas pristatymo </w:t>
            </w:r>
            <w:r w:rsidR="00160A71" w:rsidRPr="00F438F7">
              <w:t xml:space="preserve">terminas </w:t>
            </w:r>
            <w:r w:rsidRPr="00F438F7">
              <w:t xml:space="preserve">aukščiausio prioriteto sutrikimams po gedimo diagnozavimo – ne ilgiau kaip 4 darbo valandos bet kuriuo paros metu (įskaitant ir šventines dienas). Gamintojo garantuojamas nemokamas dalių tiekimas, nemokami taisymo darbai atliekami įrangos eksploatavimo vietoje. Turi būti užtikrintas duomenų saugyklos </w:t>
            </w:r>
            <w:r w:rsidR="2461662A" w:rsidRPr="00F438F7">
              <w:t xml:space="preserve">bei tarnybinių duomenų tinklo įrangos </w:t>
            </w:r>
            <w:r w:rsidRPr="00F438F7">
              <w:t>a</w:t>
            </w:r>
            <w:r w:rsidR="724418CA" w:rsidRPr="00F438F7">
              <w:t>p</w:t>
            </w:r>
            <w:r w:rsidRPr="00F438F7">
              <w:t>tarnavimas kreipiantis į vieną serviso centrą („vieno langelio“ aptarnavimas).</w:t>
            </w:r>
          </w:p>
          <w:p w14:paraId="53F91AA5" w14:textId="77777777" w:rsidR="005246A9" w:rsidRPr="00F438F7" w:rsidRDefault="005246A9" w:rsidP="005246A9">
            <w:pPr>
              <w:jc w:val="both"/>
              <w:rPr>
                <w:szCs w:val="24"/>
              </w:rPr>
            </w:pPr>
            <w:r w:rsidRPr="00F438F7">
              <w:rPr>
                <w:szCs w:val="24"/>
              </w:rPr>
              <w:t xml:space="preserve">Turi būti užtikrinamas automatinis informavimo apie gedimus siuntimas gamintojo servisui. </w:t>
            </w:r>
          </w:p>
          <w:p w14:paraId="168014FE" w14:textId="4FE55E30" w:rsidR="005246A9" w:rsidRPr="00F438F7" w:rsidRDefault="005246A9" w:rsidP="005246A9">
            <w:pPr>
              <w:jc w:val="both"/>
              <w:rPr>
                <w:szCs w:val="24"/>
              </w:rPr>
            </w:pPr>
            <w:r w:rsidRPr="00F438F7">
              <w:rPr>
                <w:szCs w:val="24"/>
              </w:rPr>
              <w:t xml:space="preserve">SSD diskams garantija turi galioti visą saugyklos garantinį laikotarpį, be diskų nusidėvėjimo apribojimo. </w:t>
            </w:r>
            <w:r w:rsidR="00280182" w:rsidRPr="00F438F7">
              <w:t>Sugedus diskams, diskai negrąžinami.</w:t>
            </w:r>
          </w:p>
          <w:p w14:paraId="37289808" w14:textId="6D2DC496" w:rsidR="005246A9" w:rsidRPr="00F438F7" w:rsidRDefault="005246A9" w:rsidP="005246A9">
            <w:pPr>
              <w:jc w:val="both"/>
              <w:rPr>
                <w:b/>
                <w:bCs/>
                <w:color w:val="000000" w:themeColor="text1"/>
                <w:szCs w:val="24"/>
              </w:rPr>
            </w:pPr>
            <w:r w:rsidRPr="00F438F7">
              <w:rPr>
                <w:b/>
              </w:rPr>
              <w:t xml:space="preserve">Kartu su pasiūlymu turi būti pateiktas paties gamintojo raštiškas patvirtinimas, aiškiai nurodant, kad šiame pirkime siūloma įranga yra skirta </w:t>
            </w:r>
            <w:r w:rsidRPr="00F438F7">
              <w:rPr>
                <w:b/>
              </w:rPr>
              <w:lastRenderedPageBreak/>
              <w:t>Perkančiajai organizacijai ir jai galios visi išvardinti reikalavimai.</w:t>
            </w:r>
            <w:r w:rsidRPr="00F438F7">
              <w:rPr>
                <w:b/>
                <w:bCs/>
                <w:szCs w:val="24"/>
              </w:rPr>
              <w:t xml:space="preserve"> </w:t>
            </w:r>
          </w:p>
        </w:tc>
        <w:tc>
          <w:tcPr>
            <w:tcW w:w="3123" w:type="dxa"/>
            <w:vAlign w:val="center"/>
          </w:tcPr>
          <w:p w14:paraId="30A35138" w14:textId="77777777" w:rsidR="005246A9" w:rsidRPr="00F438F7" w:rsidRDefault="005246A9" w:rsidP="005246A9">
            <w:pPr>
              <w:jc w:val="both"/>
              <w:rPr>
                <w:szCs w:val="24"/>
              </w:rPr>
            </w:pPr>
          </w:p>
        </w:tc>
      </w:tr>
    </w:tbl>
    <w:p w14:paraId="14006F1D" w14:textId="268F91FF" w:rsidR="00926B03" w:rsidRPr="00F438F7" w:rsidRDefault="00750B3C" w:rsidP="00750B3C">
      <w:pPr>
        <w:jc w:val="both"/>
        <w:rPr>
          <w:bCs/>
          <w:i/>
          <w:szCs w:val="24"/>
        </w:rPr>
      </w:pPr>
      <w:r w:rsidRPr="00750B3C">
        <w:rPr>
          <w:rFonts w:eastAsia="Arial Unicode MS"/>
          <w:szCs w:val="24"/>
          <w:bdr w:val="nil"/>
        </w:rPr>
        <w:t>Nurodytų parametrų teisingumą įrodančius firmos gamintojos dokumentus (bukletus ir pan.) originalo, o reikalaujamų parametrų – ir lietuvių kalbomis. Originaliame firmos gamintojos dokumente privalo būti atžyma, kurį specialiųjų reikalavimų lentelės parametrą patvirtina nurodytas parametras.</w:t>
      </w:r>
    </w:p>
    <w:p w14:paraId="42483BD0" w14:textId="77777777" w:rsidR="003706CF" w:rsidRPr="00F438F7" w:rsidRDefault="003706CF" w:rsidP="00692BA9">
      <w:pPr>
        <w:jc w:val="center"/>
      </w:pPr>
      <w:r w:rsidRPr="00F438F7">
        <w:rPr>
          <w:szCs w:val="24"/>
        </w:rPr>
        <w:t>___________________</w:t>
      </w:r>
    </w:p>
    <w:p w14:paraId="2FE411CC" w14:textId="682B66C3" w:rsidR="003706CF" w:rsidRPr="00F438F7" w:rsidRDefault="003706CF" w:rsidP="003706CF">
      <w:pPr>
        <w:pStyle w:val="ListParagraph"/>
        <w:tabs>
          <w:tab w:val="center" w:pos="0"/>
          <w:tab w:val="left" w:pos="426"/>
        </w:tabs>
        <w:suppressAutoHyphens/>
        <w:autoSpaceDN w:val="0"/>
        <w:ind w:left="0"/>
        <w:jc w:val="center"/>
        <w:textAlignment w:val="baseline"/>
        <w:rPr>
          <w:szCs w:val="24"/>
        </w:rPr>
      </w:pPr>
    </w:p>
    <w:p w14:paraId="64123CA0" w14:textId="2AACB4A5" w:rsidR="003706CF" w:rsidRPr="00F438F7" w:rsidRDefault="003706CF" w:rsidP="003706CF">
      <w:pPr>
        <w:pStyle w:val="ListParagraph"/>
        <w:tabs>
          <w:tab w:val="center" w:pos="0"/>
          <w:tab w:val="left" w:pos="426"/>
        </w:tabs>
        <w:suppressAutoHyphens/>
        <w:autoSpaceDN w:val="0"/>
        <w:ind w:left="0"/>
        <w:jc w:val="center"/>
        <w:textAlignment w:val="baseline"/>
        <w:rPr>
          <w:szCs w:val="24"/>
        </w:rPr>
      </w:pPr>
    </w:p>
    <w:p w14:paraId="3E9AF4B5" w14:textId="77777777" w:rsidR="003706CF" w:rsidRPr="00F438F7" w:rsidRDefault="003706CF" w:rsidP="003706CF">
      <w:pPr>
        <w:pStyle w:val="ListParagraph"/>
        <w:tabs>
          <w:tab w:val="center" w:pos="0"/>
          <w:tab w:val="left" w:pos="426"/>
        </w:tabs>
        <w:suppressAutoHyphens/>
        <w:autoSpaceDN w:val="0"/>
        <w:ind w:left="0"/>
        <w:jc w:val="center"/>
        <w:textAlignment w:val="baseline"/>
        <w:rPr>
          <w:szCs w:val="24"/>
        </w:rPr>
      </w:pPr>
    </w:p>
    <w:p w14:paraId="6E458592" w14:textId="59AAAAA1" w:rsidR="003706CF" w:rsidRPr="00F438F7" w:rsidRDefault="003706CF">
      <w:pPr>
        <w:spacing w:after="160" w:line="259" w:lineRule="auto"/>
        <w:rPr>
          <w:szCs w:val="24"/>
        </w:rPr>
      </w:pPr>
      <w:r w:rsidRPr="00F438F7">
        <w:rPr>
          <w:szCs w:val="24"/>
        </w:rPr>
        <w:br w:type="page"/>
      </w:r>
    </w:p>
    <w:p w14:paraId="3A5981FF" w14:textId="77777777" w:rsidR="003706CF" w:rsidRPr="00F438F7" w:rsidRDefault="003706CF">
      <w:pPr>
        <w:pStyle w:val="ListParagraph"/>
        <w:tabs>
          <w:tab w:val="center" w:pos="0"/>
          <w:tab w:val="left" w:pos="426"/>
        </w:tabs>
        <w:suppressAutoHyphens/>
        <w:autoSpaceDN w:val="0"/>
        <w:ind w:left="0"/>
        <w:jc w:val="center"/>
        <w:textAlignment w:val="baseline"/>
        <w:rPr>
          <w:szCs w:val="24"/>
        </w:rPr>
        <w:sectPr w:rsidR="003706CF" w:rsidRPr="00F438F7" w:rsidSect="001D6EE5">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cols w:space="1296"/>
          <w:titlePg/>
          <w:docGrid w:linePitch="360"/>
        </w:sectPr>
      </w:pPr>
    </w:p>
    <w:p w14:paraId="0919C918" w14:textId="77777777" w:rsidR="00367A0B" w:rsidRPr="00F438F7" w:rsidRDefault="00367A0B" w:rsidP="00367A0B">
      <w:pPr>
        <w:ind w:left="360"/>
        <w:jc w:val="center"/>
        <w:rPr>
          <w:b/>
          <w:bCs/>
          <w:szCs w:val="24"/>
        </w:rPr>
      </w:pPr>
      <w:r w:rsidRPr="00F438F7">
        <w:rPr>
          <w:b/>
          <w:bCs/>
          <w:szCs w:val="24"/>
        </w:rPr>
        <w:lastRenderedPageBreak/>
        <w:t xml:space="preserve">TECHNINĖS SPECIFIKACIJOS PRIEDAS NR.1 </w:t>
      </w:r>
    </w:p>
    <w:p w14:paraId="3D445F22" w14:textId="77777777" w:rsidR="00367A0B" w:rsidRPr="00F438F7" w:rsidRDefault="00367A0B" w:rsidP="00367A0B">
      <w:pPr>
        <w:ind w:left="360"/>
        <w:jc w:val="center"/>
        <w:rPr>
          <w:b/>
          <w:bCs/>
          <w:szCs w:val="24"/>
        </w:rPr>
      </w:pPr>
      <w:r w:rsidRPr="00F438F7">
        <w:rPr>
          <w:b/>
          <w:bCs/>
          <w:szCs w:val="24"/>
        </w:rPr>
        <w:t>ATSAKOMYBIŲ MATRICA</w:t>
      </w:r>
    </w:p>
    <w:p w14:paraId="030264C9" w14:textId="77777777" w:rsidR="00367A0B" w:rsidRPr="00F438F7" w:rsidRDefault="00367A0B" w:rsidP="00367A0B">
      <w:pPr>
        <w:ind w:left="360"/>
        <w:jc w:val="center"/>
        <w:rPr>
          <w:b/>
          <w:bCs/>
          <w:szCs w:val="24"/>
        </w:rPr>
      </w:pPr>
    </w:p>
    <w:p w14:paraId="0DE126CC" w14:textId="77777777" w:rsidR="00367A0B" w:rsidRPr="00F438F7" w:rsidRDefault="00367A0B" w:rsidP="00367A0B">
      <w:pPr>
        <w:ind w:firstLine="567"/>
        <w:jc w:val="both"/>
        <w:rPr>
          <w:bCs/>
          <w:szCs w:val="24"/>
        </w:rPr>
      </w:pPr>
      <w:bookmarkStart w:id="4" w:name="_Hlk79673720"/>
      <w:r w:rsidRPr="00F438F7">
        <w:rPr>
          <w:szCs w:val="24"/>
        </w:rPr>
        <w:t xml:space="preserve">Diegėjas, glaudžiai bendradarbiaudamas su Įrangos tiekėjais / gamintojais  bei Perkančiosios organizacijos atstovais, </w:t>
      </w:r>
      <w:bookmarkStart w:id="5" w:name="_Hlk79673150"/>
      <w:r w:rsidRPr="00F438F7">
        <w:rPr>
          <w:szCs w:val="24"/>
        </w:rPr>
        <w:t>privalės pilna apimtimi užtikrinti korektišką ir galutinį Detalioje architektūroje suprojektuoto sprendimo (toliau – Sprendimas) įdiegimą, integravimą bei pridavimą Perkančiajai organizacijai eksploatacijai (bandomajai ir gamybinei).</w:t>
      </w:r>
      <w:bookmarkEnd w:id="5"/>
      <w:r w:rsidRPr="00F438F7">
        <w:rPr>
          <w:szCs w:val="24"/>
        </w:rPr>
        <w:t xml:space="preserve"> Žemiau pateikiama Sprendimo</w:t>
      </w:r>
      <w:r w:rsidRPr="00F438F7">
        <w:rPr>
          <w:bCs/>
          <w:szCs w:val="24"/>
        </w:rPr>
        <w:t xml:space="preserve"> diegimo (toliau – Diegimas) atsakomybių matrica, apibrėžianti konkrečias atsakomybių ribas tarp Diegėjo, Įrangos tiekėjų ir Perkančiosios organizacijos.</w:t>
      </w:r>
    </w:p>
    <w:bookmarkEnd w:id="4"/>
    <w:p w14:paraId="119A274C" w14:textId="77777777" w:rsidR="00367A0B" w:rsidRPr="00F438F7" w:rsidRDefault="00367A0B" w:rsidP="00367A0B">
      <w:pPr>
        <w:pStyle w:val="Heading1"/>
        <w:numPr>
          <w:ilvl w:val="0"/>
          <w:numId w:val="0"/>
        </w:numPr>
        <w:jc w:val="both"/>
        <w:rPr>
          <w:rFonts w:ascii="Times New Roman" w:hAnsi="Times New Roman" w:cs="Times New Roman"/>
          <w:b/>
          <w:color w:val="000000" w:themeColor="text1"/>
          <w:sz w:val="24"/>
          <w:lang w:val="lt-LT"/>
        </w:rPr>
      </w:pPr>
      <w:r w:rsidRPr="00F438F7">
        <w:rPr>
          <w:rFonts w:ascii="Times New Roman" w:hAnsi="Times New Roman" w:cs="Times New Roman"/>
          <w:b/>
          <w:color w:val="000000" w:themeColor="text1"/>
          <w:sz w:val="24"/>
          <w:lang w:val="lt-LT"/>
        </w:rPr>
        <w:t>1 lentelė. Atsakomybių matrica</w:t>
      </w:r>
    </w:p>
    <w:tbl>
      <w:tblPr>
        <w:tblW w:w="14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8789"/>
        <w:gridCol w:w="1559"/>
        <w:gridCol w:w="1559"/>
        <w:gridCol w:w="1559"/>
      </w:tblGrid>
      <w:tr w:rsidR="00367A0B" w:rsidRPr="00F438F7" w14:paraId="0DAA76CC" w14:textId="77777777" w:rsidTr="00514EF2">
        <w:trPr>
          <w:cantSplit/>
          <w:trHeight w:val="617"/>
          <w:tblHeader/>
        </w:trPr>
        <w:tc>
          <w:tcPr>
            <w:tcW w:w="699" w:type="dxa"/>
            <w:shd w:val="clear" w:color="auto" w:fill="D9D9D9" w:themeFill="background1" w:themeFillShade="D9"/>
            <w:vAlign w:val="center"/>
          </w:tcPr>
          <w:p w14:paraId="61E24827" w14:textId="77777777" w:rsidR="00367A0B" w:rsidRPr="00F438F7" w:rsidRDefault="00367A0B" w:rsidP="00514EF2">
            <w:pPr>
              <w:jc w:val="center"/>
              <w:rPr>
                <w:b/>
                <w:bCs/>
                <w:color w:val="000000"/>
                <w:szCs w:val="24"/>
              </w:rPr>
            </w:pPr>
            <w:r w:rsidRPr="00F438F7">
              <w:rPr>
                <w:b/>
                <w:bCs/>
                <w:color w:val="000000"/>
                <w:szCs w:val="24"/>
              </w:rPr>
              <w:t>Eil. nr.</w:t>
            </w:r>
          </w:p>
        </w:tc>
        <w:tc>
          <w:tcPr>
            <w:tcW w:w="8789" w:type="dxa"/>
            <w:shd w:val="clear" w:color="auto" w:fill="D9D9D9" w:themeFill="background1" w:themeFillShade="D9"/>
            <w:vAlign w:val="center"/>
          </w:tcPr>
          <w:p w14:paraId="40F6ED30" w14:textId="77777777" w:rsidR="00367A0B" w:rsidRPr="00F438F7" w:rsidRDefault="00367A0B" w:rsidP="00514EF2">
            <w:pPr>
              <w:jc w:val="center"/>
              <w:rPr>
                <w:bCs/>
                <w:color w:val="000000"/>
                <w:szCs w:val="24"/>
              </w:rPr>
            </w:pPr>
            <w:r w:rsidRPr="00F438F7">
              <w:rPr>
                <w:b/>
                <w:bCs/>
                <w:color w:val="000000"/>
                <w:szCs w:val="24"/>
              </w:rPr>
              <w:t>Veiksmas</w:t>
            </w:r>
          </w:p>
        </w:tc>
        <w:tc>
          <w:tcPr>
            <w:tcW w:w="1559" w:type="dxa"/>
            <w:shd w:val="clear" w:color="auto" w:fill="D9D9D9" w:themeFill="background1" w:themeFillShade="D9"/>
            <w:vAlign w:val="center"/>
          </w:tcPr>
          <w:p w14:paraId="5BF62F4A" w14:textId="77777777" w:rsidR="00367A0B" w:rsidRPr="00F438F7" w:rsidRDefault="00367A0B" w:rsidP="00514EF2">
            <w:pPr>
              <w:jc w:val="center"/>
              <w:rPr>
                <w:b/>
                <w:bCs/>
                <w:color w:val="000000"/>
                <w:szCs w:val="24"/>
              </w:rPr>
            </w:pPr>
            <w:r w:rsidRPr="00F438F7">
              <w:rPr>
                <w:b/>
                <w:szCs w:val="24"/>
              </w:rPr>
              <w:t>Įrangos tiekėjas</w:t>
            </w:r>
          </w:p>
        </w:tc>
        <w:tc>
          <w:tcPr>
            <w:tcW w:w="1559" w:type="dxa"/>
            <w:shd w:val="clear" w:color="auto" w:fill="D9D9D9" w:themeFill="background1" w:themeFillShade="D9"/>
            <w:vAlign w:val="center"/>
          </w:tcPr>
          <w:p w14:paraId="0E811675" w14:textId="77777777" w:rsidR="00367A0B" w:rsidRPr="00F438F7" w:rsidRDefault="00367A0B" w:rsidP="00514EF2">
            <w:pPr>
              <w:jc w:val="center"/>
              <w:rPr>
                <w:b/>
                <w:bCs/>
                <w:color w:val="000000"/>
                <w:szCs w:val="24"/>
              </w:rPr>
            </w:pPr>
            <w:r w:rsidRPr="00F438F7">
              <w:rPr>
                <w:b/>
                <w:szCs w:val="24"/>
              </w:rPr>
              <w:t>Diegėjas</w:t>
            </w:r>
          </w:p>
        </w:tc>
        <w:tc>
          <w:tcPr>
            <w:tcW w:w="1559" w:type="dxa"/>
            <w:shd w:val="clear" w:color="auto" w:fill="D9D9D9" w:themeFill="background1" w:themeFillShade="D9"/>
            <w:vAlign w:val="center"/>
          </w:tcPr>
          <w:p w14:paraId="0947418D" w14:textId="77777777" w:rsidR="00367A0B" w:rsidRPr="00F438F7" w:rsidRDefault="00367A0B" w:rsidP="00514EF2">
            <w:pPr>
              <w:jc w:val="center"/>
              <w:rPr>
                <w:b/>
                <w:bCs/>
                <w:color w:val="000000"/>
                <w:szCs w:val="24"/>
              </w:rPr>
            </w:pPr>
            <w:r w:rsidRPr="00F438F7">
              <w:rPr>
                <w:b/>
                <w:bCs/>
                <w:szCs w:val="24"/>
              </w:rPr>
              <w:t>Perkančioji organizacija</w:t>
            </w:r>
          </w:p>
        </w:tc>
      </w:tr>
      <w:tr w:rsidR="00367A0B" w:rsidRPr="00F438F7" w14:paraId="04DA19FC" w14:textId="77777777" w:rsidTr="00514EF2">
        <w:trPr>
          <w:trHeight w:val="323"/>
        </w:trPr>
        <w:tc>
          <w:tcPr>
            <w:tcW w:w="14165" w:type="dxa"/>
            <w:gridSpan w:val="5"/>
            <w:tcBorders>
              <w:top w:val="single" w:sz="8" w:space="0" w:color="auto"/>
              <w:left w:val="single" w:sz="8" w:space="0" w:color="auto"/>
              <w:bottom w:val="single" w:sz="8" w:space="0" w:color="auto"/>
              <w:right w:val="single" w:sz="8" w:space="0" w:color="auto"/>
            </w:tcBorders>
          </w:tcPr>
          <w:p w14:paraId="5F9C28E7" w14:textId="77777777" w:rsidR="00367A0B" w:rsidRPr="00F438F7" w:rsidRDefault="00367A0B" w:rsidP="00367A0B">
            <w:pPr>
              <w:pStyle w:val="ListParagraph"/>
              <w:numPr>
                <w:ilvl w:val="0"/>
                <w:numId w:val="10"/>
              </w:numPr>
              <w:ind w:left="306"/>
              <w:rPr>
                <w:b/>
                <w:bCs/>
                <w:color w:val="000000"/>
                <w:szCs w:val="24"/>
              </w:rPr>
            </w:pPr>
            <w:r w:rsidRPr="00F438F7">
              <w:rPr>
                <w:b/>
                <w:bCs/>
                <w:color w:val="000000"/>
                <w:szCs w:val="24"/>
              </w:rPr>
              <w:t>Diegimo planavimas ir reikalavimų ruošimas</w:t>
            </w:r>
          </w:p>
        </w:tc>
      </w:tr>
      <w:tr w:rsidR="00367A0B" w:rsidRPr="00F438F7" w14:paraId="6DCD71B6" w14:textId="77777777" w:rsidTr="00514EF2">
        <w:trPr>
          <w:trHeight w:val="3175"/>
        </w:trPr>
        <w:tc>
          <w:tcPr>
            <w:tcW w:w="699" w:type="dxa"/>
            <w:tcBorders>
              <w:top w:val="single" w:sz="8" w:space="0" w:color="auto"/>
              <w:left w:val="single" w:sz="8" w:space="0" w:color="auto"/>
              <w:bottom w:val="single" w:sz="8" w:space="0" w:color="auto"/>
              <w:right w:val="single" w:sz="8" w:space="0" w:color="auto"/>
            </w:tcBorders>
          </w:tcPr>
          <w:p w14:paraId="3E2399E3" w14:textId="77777777" w:rsidR="00367A0B" w:rsidRPr="00F438F7" w:rsidRDefault="00367A0B" w:rsidP="00367A0B">
            <w:pPr>
              <w:pStyle w:val="ListParagraph"/>
              <w:numPr>
                <w:ilvl w:val="1"/>
                <w:numId w:val="10"/>
              </w:numPr>
              <w:ind w:left="460" w:hanging="478"/>
              <w:contextualSpacing w:val="0"/>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76D35BEC" w14:textId="77777777" w:rsidR="00367A0B" w:rsidRPr="00F438F7" w:rsidRDefault="00367A0B" w:rsidP="00514EF2">
            <w:pPr>
              <w:pStyle w:val="ListParagraph"/>
              <w:ind w:left="0"/>
              <w:contextualSpacing w:val="0"/>
              <w:jc w:val="both"/>
              <w:rPr>
                <w:color w:val="000000"/>
                <w:szCs w:val="24"/>
              </w:rPr>
            </w:pPr>
            <w:r w:rsidRPr="00F438F7">
              <w:rPr>
                <w:color w:val="000000"/>
                <w:szCs w:val="24"/>
              </w:rPr>
              <w:t>Parengti ir suderinti Diegimo įgyvendinimo planą ir kitą Diegimo dokumentaciją, apibrėžiančią ne mažiau kaip:</w:t>
            </w:r>
          </w:p>
          <w:p w14:paraId="257A715C" w14:textId="77777777" w:rsidR="00367A0B" w:rsidRPr="00F438F7" w:rsidRDefault="00367A0B" w:rsidP="00367A0B">
            <w:pPr>
              <w:pStyle w:val="ListParagraph"/>
              <w:numPr>
                <w:ilvl w:val="0"/>
                <w:numId w:val="11"/>
              </w:numPr>
              <w:contextualSpacing w:val="0"/>
              <w:jc w:val="both"/>
              <w:rPr>
                <w:color w:val="000000"/>
                <w:szCs w:val="24"/>
              </w:rPr>
            </w:pPr>
            <w:r w:rsidRPr="00F438F7">
              <w:rPr>
                <w:color w:val="000000"/>
                <w:szCs w:val="24"/>
              </w:rPr>
              <w:t xml:space="preserve">tikslus, apimtį, prielaidas bei apribojimus; </w:t>
            </w:r>
          </w:p>
          <w:p w14:paraId="655B9D61" w14:textId="77777777" w:rsidR="00367A0B" w:rsidRPr="00F438F7" w:rsidRDefault="00367A0B" w:rsidP="00367A0B">
            <w:pPr>
              <w:pStyle w:val="ListParagraph"/>
              <w:numPr>
                <w:ilvl w:val="0"/>
                <w:numId w:val="11"/>
              </w:numPr>
              <w:spacing w:line="276" w:lineRule="auto"/>
              <w:contextualSpacing w:val="0"/>
              <w:jc w:val="both"/>
              <w:rPr>
                <w:color w:val="000000"/>
                <w:szCs w:val="24"/>
              </w:rPr>
            </w:pPr>
            <w:r w:rsidRPr="00F438F7">
              <w:rPr>
                <w:color w:val="000000"/>
                <w:szCs w:val="24"/>
              </w:rPr>
              <w:t>valdymo struktūrą ir dalyvių atsakomybes;</w:t>
            </w:r>
          </w:p>
          <w:p w14:paraId="06B16C9B" w14:textId="77777777" w:rsidR="00367A0B" w:rsidRPr="00F438F7" w:rsidRDefault="00367A0B" w:rsidP="00367A0B">
            <w:pPr>
              <w:pStyle w:val="ListParagraph"/>
              <w:numPr>
                <w:ilvl w:val="0"/>
                <w:numId w:val="11"/>
              </w:numPr>
              <w:spacing w:line="276" w:lineRule="auto"/>
              <w:contextualSpacing w:val="0"/>
              <w:jc w:val="both"/>
              <w:rPr>
                <w:color w:val="000000"/>
                <w:szCs w:val="24"/>
              </w:rPr>
            </w:pPr>
            <w:r w:rsidRPr="00F438F7">
              <w:rPr>
                <w:color w:val="000000"/>
                <w:szCs w:val="24"/>
              </w:rPr>
              <w:t>komunikavimo procedūrą;</w:t>
            </w:r>
          </w:p>
          <w:p w14:paraId="5FA02C08" w14:textId="77777777" w:rsidR="00367A0B" w:rsidRPr="00F438F7" w:rsidRDefault="00367A0B" w:rsidP="00367A0B">
            <w:pPr>
              <w:pStyle w:val="ListParagraph"/>
              <w:numPr>
                <w:ilvl w:val="0"/>
                <w:numId w:val="11"/>
              </w:numPr>
              <w:spacing w:line="276" w:lineRule="auto"/>
              <w:contextualSpacing w:val="0"/>
              <w:jc w:val="both"/>
              <w:rPr>
                <w:color w:val="000000"/>
                <w:szCs w:val="24"/>
              </w:rPr>
            </w:pPr>
            <w:r w:rsidRPr="00F438F7">
              <w:rPr>
                <w:color w:val="000000"/>
                <w:szCs w:val="24"/>
              </w:rPr>
              <w:t>kokybės valdymo procedūrą;</w:t>
            </w:r>
          </w:p>
          <w:p w14:paraId="1EC611D0" w14:textId="77777777" w:rsidR="00367A0B" w:rsidRPr="00F438F7" w:rsidRDefault="00367A0B" w:rsidP="00367A0B">
            <w:pPr>
              <w:pStyle w:val="ListParagraph"/>
              <w:numPr>
                <w:ilvl w:val="0"/>
                <w:numId w:val="11"/>
              </w:numPr>
              <w:spacing w:line="276" w:lineRule="auto"/>
              <w:contextualSpacing w:val="0"/>
              <w:jc w:val="both"/>
              <w:rPr>
                <w:color w:val="000000"/>
                <w:szCs w:val="24"/>
              </w:rPr>
            </w:pPr>
            <w:r w:rsidRPr="00F438F7">
              <w:rPr>
                <w:color w:val="000000"/>
                <w:szCs w:val="24"/>
              </w:rPr>
              <w:t>rizikų valdymo procedūrą;</w:t>
            </w:r>
          </w:p>
          <w:p w14:paraId="2FA62969" w14:textId="77777777" w:rsidR="00367A0B" w:rsidRPr="00F438F7" w:rsidRDefault="00367A0B" w:rsidP="00367A0B">
            <w:pPr>
              <w:pStyle w:val="ListParagraph"/>
              <w:numPr>
                <w:ilvl w:val="0"/>
                <w:numId w:val="11"/>
              </w:numPr>
              <w:spacing w:line="276" w:lineRule="auto"/>
              <w:contextualSpacing w:val="0"/>
              <w:jc w:val="both"/>
              <w:rPr>
                <w:color w:val="000000"/>
                <w:szCs w:val="24"/>
              </w:rPr>
            </w:pPr>
            <w:r w:rsidRPr="00F438F7">
              <w:rPr>
                <w:color w:val="000000"/>
                <w:szCs w:val="24"/>
              </w:rPr>
              <w:t>pokyčių valdymo procedūrą;</w:t>
            </w:r>
          </w:p>
          <w:p w14:paraId="148F7A9D" w14:textId="77777777" w:rsidR="00367A0B" w:rsidRPr="00F438F7" w:rsidRDefault="00367A0B" w:rsidP="00367A0B">
            <w:pPr>
              <w:pStyle w:val="ListParagraph"/>
              <w:numPr>
                <w:ilvl w:val="0"/>
                <w:numId w:val="11"/>
              </w:numPr>
              <w:spacing w:line="276" w:lineRule="auto"/>
              <w:contextualSpacing w:val="0"/>
              <w:jc w:val="both"/>
              <w:rPr>
                <w:color w:val="000000"/>
                <w:szCs w:val="24"/>
              </w:rPr>
            </w:pPr>
            <w:r w:rsidRPr="00F438F7">
              <w:rPr>
                <w:color w:val="000000"/>
                <w:szCs w:val="24"/>
              </w:rPr>
              <w:t>dokumentų ir rezultatų derinimo bei galutinio priėmimo procedūrą;</w:t>
            </w:r>
          </w:p>
          <w:p w14:paraId="5F5F87DD" w14:textId="77777777" w:rsidR="00367A0B" w:rsidRPr="00F438F7" w:rsidRDefault="00367A0B" w:rsidP="00367A0B">
            <w:pPr>
              <w:pStyle w:val="ListParagraph"/>
              <w:numPr>
                <w:ilvl w:val="0"/>
                <w:numId w:val="11"/>
              </w:numPr>
              <w:spacing w:line="276" w:lineRule="auto"/>
              <w:contextualSpacing w:val="0"/>
              <w:jc w:val="both"/>
              <w:rPr>
                <w:color w:val="000000"/>
                <w:szCs w:val="24"/>
              </w:rPr>
            </w:pPr>
            <w:r w:rsidRPr="00F438F7">
              <w:rPr>
                <w:color w:val="000000"/>
                <w:szCs w:val="24"/>
              </w:rPr>
              <w:t>veiklų grafiką (etapai, veiklos, trukmės, tarpusavio priklausomybės, rezultatų pateikimo terminai). </w:t>
            </w:r>
          </w:p>
        </w:tc>
        <w:tc>
          <w:tcPr>
            <w:tcW w:w="1559" w:type="dxa"/>
            <w:tcBorders>
              <w:top w:val="single" w:sz="8" w:space="0" w:color="auto"/>
              <w:left w:val="single" w:sz="8" w:space="0" w:color="auto"/>
              <w:bottom w:val="single" w:sz="8" w:space="0" w:color="auto"/>
              <w:right w:val="single" w:sz="8" w:space="0" w:color="auto"/>
            </w:tcBorders>
            <w:vAlign w:val="center"/>
          </w:tcPr>
          <w:p w14:paraId="6EEC1747" w14:textId="77777777" w:rsidR="00367A0B" w:rsidRPr="00F438F7" w:rsidRDefault="00367A0B" w:rsidP="00514EF2">
            <w:pPr>
              <w:pStyle w:val="ListParagraph"/>
              <w:rPr>
                <w:color w:val="000000"/>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7245F181" w14:textId="77777777" w:rsidR="00367A0B" w:rsidRPr="00F438F7" w:rsidRDefault="00367A0B" w:rsidP="00514EF2">
            <w:pPr>
              <w:jc w:val="center"/>
              <w:rPr>
                <w:color w:val="000000"/>
                <w:szCs w:val="24"/>
              </w:rPr>
            </w:pPr>
            <w:r w:rsidRPr="00F438F7">
              <w:rPr>
                <w:color w:val="000000"/>
                <w:szCs w:val="24"/>
              </w:rPr>
              <w:t>R</w:t>
            </w:r>
            <w:r w:rsidRPr="00F438F7">
              <w:rPr>
                <w:rStyle w:val="FootnoteReference"/>
                <w:color w:val="000000"/>
              </w:rPr>
              <w:footnoteReference w:id="6"/>
            </w:r>
          </w:p>
        </w:tc>
        <w:tc>
          <w:tcPr>
            <w:tcW w:w="1559" w:type="dxa"/>
            <w:tcBorders>
              <w:top w:val="single" w:sz="8" w:space="0" w:color="auto"/>
              <w:left w:val="single" w:sz="8" w:space="0" w:color="auto"/>
              <w:bottom w:val="single" w:sz="8" w:space="0" w:color="auto"/>
              <w:right w:val="single" w:sz="8" w:space="0" w:color="auto"/>
            </w:tcBorders>
            <w:vAlign w:val="center"/>
          </w:tcPr>
          <w:p w14:paraId="004EE5AB" w14:textId="77777777" w:rsidR="00367A0B" w:rsidRPr="00F438F7" w:rsidRDefault="00367A0B" w:rsidP="00514EF2">
            <w:pPr>
              <w:jc w:val="center"/>
              <w:rPr>
                <w:color w:val="000000"/>
                <w:szCs w:val="24"/>
              </w:rPr>
            </w:pPr>
            <w:r w:rsidRPr="00F438F7">
              <w:rPr>
                <w:color w:val="000000"/>
                <w:szCs w:val="24"/>
              </w:rPr>
              <w:t>A</w:t>
            </w:r>
            <w:r w:rsidRPr="00F438F7">
              <w:rPr>
                <w:rStyle w:val="FootnoteReference"/>
                <w:color w:val="000000"/>
              </w:rPr>
              <w:footnoteReference w:id="7"/>
            </w:r>
          </w:p>
        </w:tc>
      </w:tr>
      <w:tr w:rsidR="00367A0B" w:rsidRPr="00F438F7" w14:paraId="039EFB51" w14:textId="77777777" w:rsidTr="00514EF2">
        <w:trPr>
          <w:trHeight w:val="356"/>
        </w:trPr>
        <w:tc>
          <w:tcPr>
            <w:tcW w:w="699" w:type="dxa"/>
          </w:tcPr>
          <w:p w14:paraId="7D9053D8" w14:textId="77777777" w:rsidR="00367A0B" w:rsidRPr="00F438F7" w:rsidRDefault="00367A0B" w:rsidP="00367A0B">
            <w:pPr>
              <w:pStyle w:val="ListParagraph"/>
              <w:numPr>
                <w:ilvl w:val="1"/>
                <w:numId w:val="10"/>
              </w:numPr>
              <w:ind w:left="460" w:hanging="478"/>
              <w:contextualSpacing w:val="0"/>
              <w:jc w:val="both"/>
              <w:rPr>
                <w:color w:val="000000"/>
                <w:szCs w:val="24"/>
              </w:rPr>
            </w:pPr>
          </w:p>
        </w:tc>
        <w:tc>
          <w:tcPr>
            <w:tcW w:w="8789" w:type="dxa"/>
          </w:tcPr>
          <w:p w14:paraId="24ED6FF2" w14:textId="77777777" w:rsidR="00367A0B" w:rsidRPr="00F438F7" w:rsidRDefault="00367A0B" w:rsidP="00514EF2">
            <w:pPr>
              <w:pStyle w:val="ListParagraph"/>
              <w:ind w:left="0"/>
              <w:contextualSpacing w:val="0"/>
              <w:jc w:val="both"/>
              <w:rPr>
                <w:color w:val="000000"/>
                <w:szCs w:val="24"/>
              </w:rPr>
            </w:pPr>
            <w:r w:rsidRPr="00F438F7">
              <w:rPr>
                <w:color w:val="000000"/>
                <w:szCs w:val="24"/>
              </w:rPr>
              <w:t>Parengti ir suderinti reikalavimus / standartus Įrangos montavimui, diegimui, pradiniam konfigūravimui, kabeliavimui, žymėjimui, testavimo vykdymui bei rezultatų pateikimo dokumentų šablonus.</w:t>
            </w:r>
          </w:p>
        </w:tc>
        <w:tc>
          <w:tcPr>
            <w:tcW w:w="1559" w:type="dxa"/>
            <w:vAlign w:val="center"/>
          </w:tcPr>
          <w:p w14:paraId="43EC4EBC" w14:textId="77777777" w:rsidR="00367A0B" w:rsidRPr="00F438F7" w:rsidRDefault="00367A0B" w:rsidP="00514EF2">
            <w:pPr>
              <w:jc w:val="center"/>
              <w:rPr>
                <w:color w:val="000000"/>
                <w:szCs w:val="24"/>
              </w:rPr>
            </w:pPr>
          </w:p>
        </w:tc>
        <w:tc>
          <w:tcPr>
            <w:tcW w:w="1559" w:type="dxa"/>
            <w:vAlign w:val="center"/>
          </w:tcPr>
          <w:p w14:paraId="5B95687F" w14:textId="77777777" w:rsidR="00367A0B" w:rsidRPr="00F438F7" w:rsidRDefault="00367A0B" w:rsidP="00514EF2">
            <w:pPr>
              <w:jc w:val="center"/>
              <w:rPr>
                <w:color w:val="000000"/>
                <w:szCs w:val="24"/>
              </w:rPr>
            </w:pPr>
            <w:r w:rsidRPr="00F438F7">
              <w:rPr>
                <w:color w:val="000000"/>
                <w:szCs w:val="24"/>
              </w:rPr>
              <w:t>R</w:t>
            </w:r>
          </w:p>
        </w:tc>
        <w:tc>
          <w:tcPr>
            <w:tcW w:w="1559" w:type="dxa"/>
            <w:shd w:val="clear" w:color="auto" w:fill="auto"/>
            <w:vAlign w:val="center"/>
          </w:tcPr>
          <w:p w14:paraId="0DD6C70D"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05C27216" w14:textId="77777777" w:rsidTr="00514EF2">
        <w:trPr>
          <w:trHeight w:val="324"/>
        </w:trPr>
        <w:tc>
          <w:tcPr>
            <w:tcW w:w="699" w:type="dxa"/>
            <w:tcBorders>
              <w:top w:val="single" w:sz="8" w:space="0" w:color="auto"/>
              <w:left w:val="single" w:sz="8" w:space="0" w:color="auto"/>
              <w:bottom w:val="single" w:sz="8" w:space="0" w:color="auto"/>
              <w:right w:val="single" w:sz="8" w:space="0" w:color="auto"/>
            </w:tcBorders>
          </w:tcPr>
          <w:p w14:paraId="051C11BE" w14:textId="77777777" w:rsidR="00367A0B" w:rsidRPr="00F438F7" w:rsidDel="005F1E6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20E16C29" w14:textId="77777777" w:rsidR="00367A0B" w:rsidRPr="00F438F7" w:rsidRDefault="00367A0B" w:rsidP="00514EF2">
            <w:pPr>
              <w:pStyle w:val="ListParagraph"/>
              <w:ind w:left="0"/>
              <w:jc w:val="both"/>
              <w:rPr>
                <w:color w:val="000000"/>
                <w:szCs w:val="24"/>
              </w:rPr>
            </w:pPr>
            <w:r w:rsidRPr="00F438F7">
              <w:rPr>
                <w:color w:val="000000"/>
                <w:szCs w:val="24"/>
              </w:rPr>
              <w:t>Parengti ir suderinti Įrangos tiekėjų pristatytos Įrangos testavimo scenarijus bei viso  Sprendimo galutinio testavimo scenarijus.</w:t>
            </w:r>
          </w:p>
        </w:tc>
        <w:tc>
          <w:tcPr>
            <w:tcW w:w="1559" w:type="dxa"/>
            <w:tcBorders>
              <w:top w:val="single" w:sz="8" w:space="0" w:color="auto"/>
              <w:left w:val="single" w:sz="8" w:space="0" w:color="auto"/>
              <w:bottom w:val="single" w:sz="8" w:space="0" w:color="auto"/>
              <w:right w:val="single" w:sz="8" w:space="0" w:color="auto"/>
            </w:tcBorders>
            <w:vAlign w:val="center"/>
          </w:tcPr>
          <w:p w14:paraId="02FF14F9" w14:textId="77777777" w:rsidR="00367A0B" w:rsidRPr="00F438F7" w:rsidDel="005F1E6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0ED45127"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vAlign w:val="center"/>
          </w:tcPr>
          <w:p w14:paraId="0239FD98"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39746C9E" w14:textId="77777777" w:rsidTr="00514EF2">
        <w:trPr>
          <w:trHeight w:val="324"/>
        </w:trPr>
        <w:tc>
          <w:tcPr>
            <w:tcW w:w="699" w:type="dxa"/>
            <w:tcBorders>
              <w:top w:val="single" w:sz="8" w:space="0" w:color="auto"/>
              <w:left w:val="single" w:sz="8" w:space="0" w:color="auto"/>
              <w:bottom w:val="single" w:sz="8" w:space="0" w:color="auto"/>
              <w:right w:val="single" w:sz="8" w:space="0" w:color="auto"/>
            </w:tcBorders>
          </w:tcPr>
          <w:p w14:paraId="0F9F5C83" w14:textId="77777777" w:rsidR="00367A0B" w:rsidRPr="00F438F7" w:rsidDel="005F1E6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6FACBFA1" w14:textId="77777777" w:rsidR="00367A0B" w:rsidRPr="00F438F7" w:rsidRDefault="00367A0B" w:rsidP="00514EF2">
            <w:pPr>
              <w:pStyle w:val="ListParagraph"/>
              <w:ind w:left="0"/>
              <w:jc w:val="both"/>
              <w:rPr>
                <w:color w:val="000000"/>
                <w:szCs w:val="24"/>
              </w:rPr>
            </w:pPr>
            <w:r w:rsidRPr="00F438F7">
              <w:rPr>
                <w:color w:val="000000"/>
                <w:szCs w:val="24"/>
              </w:rPr>
              <w:t>Parengti ir suderinti techninės dokumentacijos šablonus.</w:t>
            </w:r>
          </w:p>
        </w:tc>
        <w:tc>
          <w:tcPr>
            <w:tcW w:w="1559" w:type="dxa"/>
            <w:tcBorders>
              <w:top w:val="single" w:sz="8" w:space="0" w:color="auto"/>
              <w:left w:val="single" w:sz="8" w:space="0" w:color="auto"/>
              <w:bottom w:val="single" w:sz="8" w:space="0" w:color="auto"/>
              <w:right w:val="single" w:sz="8" w:space="0" w:color="auto"/>
            </w:tcBorders>
            <w:vAlign w:val="center"/>
          </w:tcPr>
          <w:p w14:paraId="51408154" w14:textId="77777777" w:rsidR="00367A0B" w:rsidRPr="00F438F7" w:rsidDel="005F1E6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32AE6316"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vAlign w:val="center"/>
          </w:tcPr>
          <w:p w14:paraId="671C0839"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61D063E5" w14:textId="77777777" w:rsidTr="00514EF2">
        <w:trPr>
          <w:trHeight w:val="324"/>
        </w:trPr>
        <w:tc>
          <w:tcPr>
            <w:tcW w:w="699" w:type="dxa"/>
            <w:tcBorders>
              <w:top w:val="single" w:sz="8" w:space="0" w:color="auto"/>
              <w:left w:val="single" w:sz="8" w:space="0" w:color="auto"/>
              <w:bottom w:val="single" w:sz="8" w:space="0" w:color="auto"/>
              <w:right w:val="single" w:sz="8" w:space="0" w:color="auto"/>
            </w:tcBorders>
          </w:tcPr>
          <w:p w14:paraId="4277B12E" w14:textId="77777777" w:rsidR="00367A0B" w:rsidRPr="00F438F7" w:rsidDel="005F1E6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04D50C01" w14:textId="77777777" w:rsidR="00367A0B" w:rsidRPr="00F438F7" w:rsidDel="005F1E67" w:rsidRDefault="00367A0B" w:rsidP="00514EF2">
            <w:pPr>
              <w:pStyle w:val="ListParagraph"/>
              <w:ind w:left="0"/>
              <w:jc w:val="both"/>
              <w:rPr>
                <w:color w:val="000000"/>
                <w:szCs w:val="24"/>
              </w:rPr>
            </w:pPr>
            <w:r w:rsidRPr="00F438F7">
              <w:rPr>
                <w:color w:val="000000"/>
                <w:szCs w:val="24"/>
              </w:rPr>
              <w:t>Parengti ir suderinti bandomosios eksploatacijos reglamentą.</w:t>
            </w:r>
          </w:p>
        </w:tc>
        <w:tc>
          <w:tcPr>
            <w:tcW w:w="1559" w:type="dxa"/>
            <w:tcBorders>
              <w:top w:val="single" w:sz="8" w:space="0" w:color="auto"/>
              <w:left w:val="single" w:sz="8" w:space="0" w:color="auto"/>
              <w:bottom w:val="single" w:sz="8" w:space="0" w:color="auto"/>
              <w:right w:val="single" w:sz="8" w:space="0" w:color="auto"/>
            </w:tcBorders>
            <w:vAlign w:val="center"/>
          </w:tcPr>
          <w:p w14:paraId="7C3A311D" w14:textId="77777777" w:rsidR="00367A0B" w:rsidRPr="00F438F7" w:rsidDel="005F1E6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vAlign w:val="center"/>
          </w:tcPr>
          <w:p w14:paraId="5F7B32EC" w14:textId="77777777" w:rsidR="00367A0B" w:rsidRPr="00F438F7" w:rsidDel="005F1E6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vAlign w:val="center"/>
          </w:tcPr>
          <w:p w14:paraId="145D7EA6" w14:textId="77777777" w:rsidR="00367A0B" w:rsidRPr="00F438F7" w:rsidDel="005F1E67" w:rsidRDefault="00367A0B" w:rsidP="00514EF2">
            <w:pPr>
              <w:jc w:val="center"/>
              <w:rPr>
                <w:color w:val="000000"/>
                <w:szCs w:val="24"/>
              </w:rPr>
            </w:pPr>
            <w:r w:rsidRPr="00F438F7">
              <w:rPr>
                <w:color w:val="000000"/>
                <w:szCs w:val="24"/>
              </w:rPr>
              <w:t>A</w:t>
            </w:r>
          </w:p>
        </w:tc>
      </w:tr>
      <w:tr w:rsidR="00367A0B" w:rsidRPr="00F438F7" w14:paraId="000D8A26" w14:textId="77777777" w:rsidTr="00514EF2">
        <w:trPr>
          <w:trHeight w:val="324"/>
        </w:trPr>
        <w:tc>
          <w:tcPr>
            <w:tcW w:w="14165" w:type="dxa"/>
            <w:gridSpan w:val="5"/>
            <w:tcBorders>
              <w:top w:val="single" w:sz="8" w:space="0" w:color="auto"/>
              <w:left w:val="single" w:sz="8" w:space="0" w:color="auto"/>
              <w:bottom w:val="single" w:sz="8" w:space="0" w:color="auto"/>
              <w:right w:val="single" w:sz="8" w:space="0" w:color="auto"/>
            </w:tcBorders>
          </w:tcPr>
          <w:p w14:paraId="12952DDF" w14:textId="77777777" w:rsidR="00367A0B" w:rsidRPr="00F438F7" w:rsidRDefault="00367A0B" w:rsidP="00367A0B">
            <w:pPr>
              <w:pStyle w:val="ListParagraph"/>
              <w:numPr>
                <w:ilvl w:val="0"/>
                <w:numId w:val="10"/>
              </w:numPr>
              <w:ind w:left="306"/>
              <w:jc w:val="both"/>
              <w:rPr>
                <w:b/>
                <w:bCs/>
                <w:color w:val="000000"/>
                <w:szCs w:val="24"/>
              </w:rPr>
            </w:pPr>
            <w:r w:rsidRPr="00F438F7">
              <w:rPr>
                <w:b/>
                <w:bCs/>
                <w:color w:val="000000"/>
                <w:szCs w:val="24"/>
              </w:rPr>
              <w:t>Įrangos pristatymas, montavimas ir pradinis konfigūravimas</w:t>
            </w:r>
          </w:p>
        </w:tc>
      </w:tr>
      <w:tr w:rsidR="00367A0B" w:rsidRPr="00F438F7" w14:paraId="5D9A2EE4"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227987E2"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2B5EA5CC" w14:textId="77777777" w:rsidR="00367A0B" w:rsidRPr="00F438F7" w:rsidRDefault="00367A0B" w:rsidP="00514EF2">
            <w:pPr>
              <w:autoSpaceDE w:val="0"/>
              <w:autoSpaceDN w:val="0"/>
              <w:adjustRightInd w:val="0"/>
              <w:jc w:val="both"/>
              <w:rPr>
                <w:szCs w:val="24"/>
              </w:rPr>
            </w:pPr>
            <w:r w:rsidRPr="00F438F7">
              <w:rPr>
                <w:szCs w:val="24"/>
              </w:rPr>
              <w:t xml:space="preserve">Parengti duomenų centro patalpas ir spintas Įrangos montavimui įskaitant el. tiekimą, </w:t>
            </w:r>
            <w:r w:rsidRPr="00F438F7">
              <w:rPr>
                <w:color w:val="000000" w:themeColor="text1"/>
                <w:szCs w:val="24"/>
              </w:rPr>
              <w:t>vėdinimą</w:t>
            </w:r>
            <w:r w:rsidRPr="00F438F7">
              <w:rPr>
                <w:szCs w:val="24"/>
              </w:rPr>
              <w:t>, fizinę apsaugą, el. rozečių (PDU) montavimą spintose.</w:t>
            </w:r>
          </w:p>
        </w:tc>
        <w:tc>
          <w:tcPr>
            <w:tcW w:w="1559" w:type="dxa"/>
            <w:tcBorders>
              <w:top w:val="single" w:sz="8" w:space="0" w:color="auto"/>
              <w:left w:val="single" w:sz="8" w:space="0" w:color="auto"/>
              <w:bottom w:val="single" w:sz="8" w:space="0" w:color="auto"/>
              <w:right w:val="single" w:sz="8" w:space="0" w:color="auto"/>
            </w:tcBorders>
            <w:vAlign w:val="center"/>
          </w:tcPr>
          <w:p w14:paraId="690B492A" w14:textId="77777777" w:rsidR="00367A0B" w:rsidRPr="00F438F7" w:rsidRDefault="00367A0B" w:rsidP="00514EF2">
            <w:pPr>
              <w:jc w:val="center"/>
              <w:rPr>
                <w:rFonts w:eastAsia="TimesNewRomanPSMT"/>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02CA17"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0FBB89" w14:textId="77777777" w:rsidR="00367A0B" w:rsidRPr="00F438F7" w:rsidRDefault="00367A0B" w:rsidP="00514EF2">
            <w:pPr>
              <w:jc w:val="center"/>
              <w:rPr>
                <w:color w:val="000000"/>
                <w:szCs w:val="24"/>
              </w:rPr>
            </w:pPr>
            <w:r w:rsidRPr="00F438F7">
              <w:rPr>
                <w:color w:val="000000"/>
                <w:szCs w:val="24"/>
              </w:rPr>
              <w:t>R</w:t>
            </w:r>
          </w:p>
        </w:tc>
      </w:tr>
      <w:tr w:rsidR="00367A0B" w:rsidRPr="00F438F7" w14:paraId="0B423241"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7F05BC89"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1A1EE090" w14:textId="77777777" w:rsidR="00367A0B" w:rsidRPr="00F438F7" w:rsidRDefault="00367A0B" w:rsidP="00514EF2">
            <w:pPr>
              <w:autoSpaceDE w:val="0"/>
              <w:autoSpaceDN w:val="0"/>
              <w:adjustRightInd w:val="0"/>
              <w:jc w:val="both"/>
              <w:rPr>
                <w:color w:val="000000" w:themeColor="text1"/>
                <w:szCs w:val="24"/>
              </w:rPr>
            </w:pPr>
            <w:r w:rsidRPr="00F438F7">
              <w:rPr>
                <w:szCs w:val="24"/>
              </w:rPr>
              <w:t>Realizuoti duomenų centrų sujungimus pagal Detalios architektūros dokumente apibrėžtus reikalavimus,  duomenų perdavimo tinklui.</w:t>
            </w:r>
          </w:p>
        </w:tc>
        <w:tc>
          <w:tcPr>
            <w:tcW w:w="1559" w:type="dxa"/>
            <w:tcBorders>
              <w:top w:val="single" w:sz="8" w:space="0" w:color="auto"/>
              <w:left w:val="single" w:sz="8" w:space="0" w:color="auto"/>
              <w:bottom w:val="single" w:sz="8" w:space="0" w:color="auto"/>
              <w:right w:val="single" w:sz="8" w:space="0" w:color="auto"/>
            </w:tcBorders>
            <w:vAlign w:val="center"/>
          </w:tcPr>
          <w:p w14:paraId="2D99B37A"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872DE0"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F7F36B" w14:textId="77777777" w:rsidR="00367A0B" w:rsidRPr="00F438F7" w:rsidRDefault="00367A0B" w:rsidP="00514EF2">
            <w:pPr>
              <w:jc w:val="center"/>
              <w:rPr>
                <w:color w:val="000000"/>
                <w:szCs w:val="24"/>
              </w:rPr>
            </w:pPr>
            <w:r w:rsidRPr="00F438F7">
              <w:rPr>
                <w:color w:val="000000"/>
                <w:szCs w:val="24"/>
              </w:rPr>
              <w:t>R</w:t>
            </w:r>
          </w:p>
        </w:tc>
      </w:tr>
      <w:tr w:rsidR="00367A0B" w:rsidRPr="00F438F7" w14:paraId="09F88CA1"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058EAE0D"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4DB7D24F" w14:textId="77777777" w:rsidR="00367A0B" w:rsidRPr="00F438F7" w:rsidRDefault="00367A0B" w:rsidP="00514EF2">
            <w:pPr>
              <w:jc w:val="both"/>
              <w:rPr>
                <w:color w:val="000000"/>
                <w:szCs w:val="24"/>
              </w:rPr>
            </w:pPr>
            <w:r w:rsidRPr="00F438F7">
              <w:rPr>
                <w:color w:val="000000"/>
                <w:szCs w:val="24"/>
              </w:rPr>
              <w:t>Pristatyti Įrangą.</w:t>
            </w:r>
          </w:p>
        </w:tc>
        <w:tc>
          <w:tcPr>
            <w:tcW w:w="1559" w:type="dxa"/>
            <w:tcBorders>
              <w:top w:val="single" w:sz="8" w:space="0" w:color="auto"/>
              <w:left w:val="single" w:sz="8" w:space="0" w:color="auto"/>
              <w:bottom w:val="single" w:sz="8" w:space="0" w:color="auto"/>
              <w:right w:val="single" w:sz="8" w:space="0" w:color="auto"/>
            </w:tcBorders>
            <w:vAlign w:val="center"/>
          </w:tcPr>
          <w:p w14:paraId="200BF346"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807E5A"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7C05D5"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3FDF1FF2" w14:textId="77777777" w:rsidTr="00514EF2">
        <w:trPr>
          <w:trHeight w:val="624"/>
        </w:trPr>
        <w:tc>
          <w:tcPr>
            <w:tcW w:w="699" w:type="dxa"/>
            <w:tcBorders>
              <w:top w:val="single" w:sz="8" w:space="0" w:color="auto"/>
              <w:left w:val="single" w:sz="8" w:space="0" w:color="auto"/>
              <w:bottom w:val="single" w:sz="8" w:space="0" w:color="auto"/>
              <w:right w:val="single" w:sz="8" w:space="0" w:color="auto"/>
            </w:tcBorders>
          </w:tcPr>
          <w:p w14:paraId="1F37C492"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397CE4D7" w14:textId="77777777" w:rsidR="00367A0B" w:rsidRPr="00F438F7" w:rsidRDefault="00367A0B" w:rsidP="00514EF2">
            <w:pPr>
              <w:jc w:val="both"/>
              <w:rPr>
                <w:color w:val="000000"/>
                <w:szCs w:val="24"/>
              </w:rPr>
            </w:pPr>
            <w:r w:rsidRPr="00F438F7">
              <w:rPr>
                <w:color w:val="000000"/>
                <w:szCs w:val="24"/>
              </w:rPr>
              <w:t>Pristatyti elementus, reikalingus Įrangos montavimui ir prijungimui duomenų centrų patalpose (reikiamų parametrų kabeliai, tvirtinimo elementai ir pan.).</w:t>
            </w:r>
          </w:p>
        </w:tc>
        <w:tc>
          <w:tcPr>
            <w:tcW w:w="1559" w:type="dxa"/>
            <w:tcBorders>
              <w:top w:val="single" w:sz="8" w:space="0" w:color="auto"/>
              <w:left w:val="single" w:sz="8" w:space="0" w:color="auto"/>
              <w:bottom w:val="single" w:sz="8" w:space="0" w:color="auto"/>
              <w:right w:val="single" w:sz="8" w:space="0" w:color="auto"/>
            </w:tcBorders>
            <w:vAlign w:val="center"/>
          </w:tcPr>
          <w:p w14:paraId="0763D0BE"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4BCB30"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BEB2D3"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32A49181" w14:textId="77777777" w:rsidTr="00514EF2">
        <w:trPr>
          <w:trHeight w:val="624"/>
        </w:trPr>
        <w:tc>
          <w:tcPr>
            <w:tcW w:w="699" w:type="dxa"/>
            <w:tcBorders>
              <w:top w:val="single" w:sz="8" w:space="0" w:color="auto"/>
              <w:left w:val="single" w:sz="8" w:space="0" w:color="auto"/>
              <w:bottom w:val="single" w:sz="8" w:space="0" w:color="auto"/>
              <w:right w:val="single" w:sz="8" w:space="0" w:color="auto"/>
            </w:tcBorders>
          </w:tcPr>
          <w:p w14:paraId="6DD951D7"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45259785" w14:textId="77777777" w:rsidR="00367A0B" w:rsidRPr="00F438F7" w:rsidRDefault="00367A0B" w:rsidP="00514EF2">
            <w:pPr>
              <w:jc w:val="both"/>
              <w:rPr>
                <w:color w:val="000000"/>
                <w:szCs w:val="24"/>
              </w:rPr>
            </w:pPr>
            <w:r w:rsidRPr="00F438F7">
              <w:rPr>
                <w:color w:val="000000"/>
                <w:szCs w:val="24"/>
              </w:rPr>
              <w:t>Parengti ir pateikti Įrangos tiekėjams Įrangos diegimui / konfigūravimui reikalingą informaciją (pvz. Įrangos diegimo planas, Įrangos montavimo ir sujungimo schemos, IP adresavimo taisyklės, ir pan.).</w:t>
            </w:r>
          </w:p>
        </w:tc>
        <w:tc>
          <w:tcPr>
            <w:tcW w:w="1559" w:type="dxa"/>
            <w:tcBorders>
              <w:top w:val="single" w:sz="8" w:space="0" w:color="auto"/>
              <w:left w:val="single" w:sz="8" w:space="0" w:color="auto"/>
              <w:bottom w:val="single" w:sz="8" w:space="0" w:color="auto"/>
              <w:right w:val="single" w:sz="8" w:space="0" w:color="auto"/>
            </w:tcBorders>
            <w:vAlign w:val="center"/>
          </w:tcPr>
          <w:p w14:paraId="4E32B13E"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C66EE5"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98F2BA"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127848CF" w14:textId="77777777" w:rsidTr="00514EF2">
        <w:trPr>
          <w:trHeight w:val="624"/>
        </w:trPr>
        <w:tc>
          <w:tcPr>
            <w:tcW w:w="699" w:type="dxa"/>
            <w:tcBorders>
              <w:top w:val="single" w:sz="8" w:space="0" w:color="auto"/>
              <w:left w:val="single" w:sz="8" w:space="0" w:color="auto"/>
              <w:bottom w:val="single" w:sz="8" w:space="0" w:color="auto"/>
              <w:right w:val="single" w:sz="8" w:space="0" w:color="auto"/>
            </w:tcBorders>
          </w:tcPr>
          <w:p w14:paraId="6E6EC3B9"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2A578373" w14:textId="77777777" w:rsidR="00367A0B" w:rsidRPr="00F438F7" w:rsidRDefault="00367A0B" w:rsidP="00514EF2">
            <w:pPr>
              <w:jc w:val="both"/>
              <w:rPr>
                <w:color w:val="000000"/>
                <w:szCs w:val="24"/>
              </w:rPr>
            </w:pPr>
            <w:r w:rsidRPr="00F438F7">
              <w:rPr>
                <w:color w:val="000000"/>
                <w:szCs w:val="24"/>
              </w:rPr>
              <w:t>Atlikti Įrangos montavimo, prijungimo prie elektros, LAN bei SAN tinklų (sujungimai turi būti užtikrinti visuose duomenų centruose DC1, DC2 ir DC3), kabeliavimo, kabelių žymėjimo, diegimo bei pradinio konfigūravimo darbus ir techninės dokumentacijos paruošimą pagal apibrėžtus reikalavimus ir standartus.</w:t>
            </w:r>
          </w:p>
        </w:tc>
        <w:tc>
          <w:tcPr>
            <w:tcW w:w="1559" w:type="dxa"/>
            <w:tcBorders>
              <w:top w:val="single" w:sz="8" w:space="0" w:color="auto"/>
              <w:left w:val="single" w:sz="8" w:space="0" w:color="auto"/>
              <w:bottom w:val="single" w:sz="8" w:space="0" w:color="auto"/>
              <w:right w:val="single" w:sz="8" w:space="0" w:color="auto"/>
            </w:tcBorders>
            <w:vAlign w:val="center"/>
          </w:tcPr>
          <w:p w14:paraId="7A5A9456"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F9A4F8" w14:textId="77777777" w:rsidR="00367A0B" w:rsidRPr="00F438F7" w:rsidRDefault="00367A0B" w:rsidP="00514EF2">
            <w:pPr>
              <w:jc w:val="center"/>
              <w:rPr>
                <w:color w:val="000000"/>
                <w:szCs w:val="24"/>
              </w:rPr>
            </w:pPr>
            <w:r w:rsidRPr="00F438F7">
              <w:rPr>
                <w:color w:val="000000"/>
                <w:szCs w:val="24"/>
              </w:rPr>
              <w:t>A</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3AB681" w14:textId="77777777" w:rsidR="00367A0B" w:rsidRPr="00F438F7" w:rsidRDefault="00367A0B" w:rsidP="00514EF2">
            <w:pPr>
              <w:jc w:val="center"/>
              <w:rPr>
                <w:color w:val="000000"/>
                <w:szCs w:val="24"/>
              </w:rPr>
            </w:pPr>
          </w:p>
        </w:tc>
      </w:tr>
      <w:tr w:rsidR="00367A0B" w:rsidRPr="00F438F7" w14:paraId="0131BDCC" w14:textId="77777777" w:rsidTr="00514EF2">
        <w:trPr>
          <w:trHeight w:val="624"/>
        </w:trPr>
        <w:tc>
          <w:tcPr>
            <w:tcW w:w="699" w:type="dxa"/>
            <w:tcBorders>
              <w:top w:val="single" w:sz="8" w:space="0" w:color="auto"/>
              <w:left w:val="single" w:sz="8" w:space="0" w:color="auto"/>
              <w:bottom w:val="single" w:sz="8" w:space="0" w:color="auto"/>
              <w:right w:val="single" w:sz="8" w:space="0" w:color="auto"/>
            </w:tcBorders>
          </w:tcPr>
          <w:p w14:paraId="2B8DEDCA"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7EE827E2" w14:textId="77777777" w:rsidR="00367A0B" w:rsidRPr="00F438F7" w:rsidRDefault="00367A0B" w:rsidP="00514EF2">
            <w:pPr>
              <w:jc w:val="both"/>
              <w:rPr>
                <w:color w:val="000000"/>
                <w:szCs w:val="24"/>
              </w:rPr>
            </w:pPr>
            <w:r w:rsidRPr="00F438F7">
              <w:rPr>
                <w:color w:val="000000"/>
                <w:szCs w:val="24"/>
              </w:rPr>
              <w:t>Atlikti pateikiamos programinės ir techninės Įrangos bei jos vidinės programinės Įrangos (mikrokodo angl. firmware) atnaujinimą ir pilną parengimą eksploatacijai, pateikti darbų sekas ir kitus reikalingus duomenis bei dokumentus Įrangai eksploatuoti elektroniniame pavidale.</w:t>
            </w:r>
          </w:p>
        </w:tc>
        <w:tc>
          <w:tcPr>
            <w:tcW w:w="1559" w:type="dxa"/>
            <w:tcBorders>
              <w:top w:val="single" w:sz="8" w:space="0" w:color="auto"/>
              <w:left w:val="single" w:sz="8" w:space="0" w:color="auto"/>
              <w:bottom w:val="single" w:sz="8" w:space="0" w:color="auto"/>
              <w:right w:val="single" w:sz="8" w:space="0" w:color="auto"/>
            </w:tcBorders>
            <w:vAlign w:val="center"/>
          </w:tcPr>
          <w:p w14:paraId="2B4F1093"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3B9A77" w14:textId="77777777" w:rsidR="00367A0B" w:rsidRPr="00F438F7" w:rsidRDefault="00367A0B" w:rsidP="00514EF2">
            <w:pPr>
              <w:jc w:val="center"/>
              <w:rPr>
                <w:color w:val="000000"/>
                <w:szCs w:val="24"/>
              </w:rPr>
            </w:pPr>
            <w:r w:rsidRPr="00F438F7">
              <w:rPr>
                <w:color w:val="000000"/>
                <w:szCs w:val="24"/>
              </w:rPr>
              <w:t>A</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A19082" w14:textId="77777777" w:rsidR="00367A0B" w:rsidRPr="00F438F7" w:rsidRDefault="00367A0B" w:rsidP="00514EF2">
            <w:pPr>
              <w:jc w:val="center"/>
              <w:rPr>
                <w:color w:val="000000"/>
                <w:szCs w:val="24"/>
              </w:rPr>
            </w:pPr>
          </w:p>
        </w:tc>
      </w:tr>
      <w:tr w:rsidR="00367A0B" w:rsidRPr="00F438F7" w14:paraId="5AAD2C02" w14:textId="77777777" w:rsidTr="00514EF2">
        <w:trPr>
          <w:trHeight w:val="624"/>
        </w:trPr>
        <w:tc>
          <w:tcPr>
            <w:tcW w:w="699" w:type="dxa"/>
            <w:tcBorders>
              <w:top w:val="single" w:sz="8" w:space="0" w:color="auto"/>
              <w:left w:val="single" w:sz="8" w:space="0" w:color="auto"/>
              <w:bottom w:val="single" w:sz="8" w:space="0" w:color="auto"/>
              <w:right w:val="single" w:sz="8" w:space="0" w:color="auto"/>
            </w:tcBorders>
          </w:tcPr>
          <w:p w14:paraId="6C4AE43E"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10231404" w14:textId="77777777" w:rsidR="00367A0B" w:rsidRPr="00F438F7" w:rsidRDefault="00367A0B" w:rsidP="00514EF2">
            <w:pPr>
              <w:jc w:val="both"/>
              <w:rPr>
                <w:color w:val="000000"/>
                <w:szCs w:val="24"/>
              </w:rPr>
            </w:pPr>
            <w:r w:rsidRPr="00F438F7">
              <w:rPr>
                <w:color w:val="000000"/>
                <w:szCs w:val="24"/>
              </w:rPr>
              <w:t>Parengti ir suderinti techninę dokumentaciją, kurioje būtų pateikta: Įrangos montavimo schemos, elektros, LAN bei SAN tinklų sujungimo schemos, kabelių žymėjimo aprašymai bei kiti duomenys, reikalingi tolimesniam Įrangos konfigūravimui ir eksploatavimui (IP adresai, valdymo programų vardai, prisijungimų vardai, slaptažodžiai ir pan.).</w:t>
            </w:r>
          </w:p>
        </w:tc>
        <w:tc>
          <w:tcPr>
            <w:tcW w:w="1559" w:type="dxa"/>
            <w:tcBorders>
              <w:top w:val="single" w:sz="8" w:space="0" w:color="auto"/>
              <w:left w:val="single" w:sz="8" w:space="0" w:color="auto"/>
              <w:bottom w:val="single" w:sz="8" w:space="0" w:color="auto"/>
              <w:right w:val="single" w:sz="8" w:space="0" w:color="auto"/>
            </w:tcBorders>
            <w:vAlign w:val="center"/>
          </w:tcPr>
          <w:p w14:paraId="2CC39547"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4284A1" w14:textId="77777777" w:rsidR="00367A0B" w:rsidRPr="00F438F7" w:rsidRDefault="00367A0B" w:rsidP="00514EF2">
            <w:pPr>
              <w:jc w:val="center"/>
              <w:rPr>
                <w:color w:val="000000"/>
                <w:szCs w:val="24"/>
              </w:rPr>
            </w:pPr>
            <w:r w:rsidRPr="00F438F7">
              <w:rPr>
                <w:color w:val="000000"/>
                <w:szCs w:val="24"/>
              </w:rPr>
              <w:t>A</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70B67" w14:textId="77777777" w:rsidR="00367A0B" w:rsidRPr="00F438F7" w:rsidRDefault="00367A0B" w:rsidP="00514EF2">
            <w:pPr>
              <w:jc w:val="center"/>
              <w:rPr>
                <w:color w:val="000000"/>
                <w:szCs w:val="24"/>
              </w:rPr>
            </w:pPr>
          </w:p>
        </w:tc>
      </w:tr>
      <w:tr w:rsidR="00367A0B" w:rsidRPr="00F438F7" w14:paraId="322FBC89" w14:textId="77777777" w:rsidTr="00514EF2">
        <w:trPr>
          <w:trHeight w:val="624"/>
        </w:trPr>
        <w:tc>
          <w:tcPr>
            <w:tcW w:w="699" w:type="dxa"/>
            <w:tcBorders>
              <w:top w:val="single" w:sz="8" w:space="0" w:color="auto"/>
              <w:left w:val="single" w:sz="8" w:space="0" w:color="auto"/>
              <w:bottom w:val="single" w:sz="8" w:space="0" w:color="auto"/>
              <w:right w:val="single" w:sz="8" w:space="0" w:color="auto"/>
            </w:tcBorders>
          </w:tcPr>
          <w:p w14:paraId="407E2E68"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43C711EA" w14:textId="77777777" w:rsidR="00367A0B" w:rsidRPr="00F438F7" w:rsidRDefault="00367A0B" w:rsidP="00514EF2">
            <w:pPr>
              <w:jc w:val="both"/>
              <w:rPr>
                <w:color w:val="000000"/>
                <w:szCs w:val="24"/>
              </w:rPr>
            </w:pPr>
            <w:r w:rsidRPr="00F438F7">
              <w:rPr>
                <w:color w:val="000000"/>
                <w:szCs w:val="24"/>
              </w:rPr>
              <w:t>Užregistruoti techninę ir programinę Įrangą Perkančiosios organizacijos vardu gamintojų nustatyta tvarka garantinių paslaugų teikimui ir registracijos duomenis perduoti Perkančiajai organizacijai.</w:t>
            </w:r>
          </w:p>
        </w:tc>
        <w:tc>
          <w:tcPr>
            <w:tcW w:w="1559" w:type="dxa"/>
            <w:tcBorders>
              <w:top w:val="single" w:sz="8" w:space="0" w:color="auto"/>
              <w:left w:val="single" w:sz="8" w:space="0" w:color="auto"/>
              <w:bottom w:val="single" w:sz="8" w:space="0" w:color="auto"/>
              <w:right w:val="single" w:sz="8" w:space="0" w:color="auto"/>
            </w:tcBorders>
            <w:vAlign w:val="center"/>
          </w:tcPr>
          <w:p w14:paraId="47071872"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41B077"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1BCA61"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6A1045CB" w14:textId="77777777" w:rsidTr="00514EF2">
        <w:trPr>
          <w:trHeight w:val="324"/>
        </w:trPr>
        <w:tc>
          <w:tcPr>
            <w:tcW w:w="699" w:type="dxa"/>
            <w:tcBorders>
              <w:top w:val="single" w:sz="8" w:space="0" w:color="auto"/>
              <w:left w:val="single" w:sz="8" w:space="0" w:color="auto"/>
              <w:bottom w:val="single" w:sz="8" w:space="0" w:color="auto"/>
              <w:right w:val="single" w:sz="8" w:space="0" w:color="auto"/>
            </w:tcBorders>
          </w:tcPr>
          <w:p w14:paraId="6C60B0AE"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5466E60A" w14:textId="77777777" w:rsidR="00367A0B" w:rsidRPr="00F438F7" w:rsidRDefault="00367A0B" w:rsidP="00514EF2">
            <w:pPr>
              <w:jc w:val="both"/>
              <w:rPr>
                <w:color w:val="000000"/>
                <w:szCs w:val="24"/>
              </w:rPr>
            </w:pPr>
            <w:r w:rsidRPr="00F438F7">
              <w:rPr>
                <w:color w:val="000000"/>
                <w:szCs w:val="24"/>
              </w:rPr>
              <w:t>Įvertinti ar Įranga pristatyta ir sumontuota pagal apibrėžtus reikalavimus ir standartus.</w:t>
            </w:r>
          </w:p>
        </w:tc>
        <w:tc>
          <w:tcPr>
            <w:tcW w:w="1559" w:type="dxa"/>
            <w:tcBorders>
              <w:top w:val="single" w:sz="8" w:space="0" w:color="auto"/>
              <w:left w:val="single" w:sz="8" w:space="0" w:color="auto"/>
              <w:bottom w:val="single" w:sz="8" w:space="0" w:color="auto"/>
              <w:right w:val="single" w:sz="8" w:space="0" w:color="auto"/>
            </w:tcBorders>
            <w:vAlign w:val="center"/>
          </w:tcPr>
          <w:p w14:paraId="0A93FDF4"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8237D4"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A4B714"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2D4CD175" w14:textId="77777777" w:rsidTr="00514EF2">
        <w:trPr>
          <w:trHeight w:val="407"/>
        </w:trPr>
        <w:tc>
          <w:tcPr>
            <w:tcW w:w="699" w:type="dxa"/>
          </w:tcPr>
          <w:p w14:paraId="0D525A2F"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Pr>
          <w:p w14:paraId="2B5A83F5" w14:textId="77777777" w:rsidR="00367A0B" w:rsidRPr="00F438F7" w:rsidRDefault="00367A0B" w:rsidP="00514EF2">
            <w:pPr>
              <w:jc w:val="both"/>
              <w:rPr>
                <w:color w:val="000000"/>
                <w:szCs w:val="24"/>
              </w:rPr>
            </w:pPr>
            <w:r w:rsidRPr="00F438F7">
              <w:rPr>
                <w:color w:val="000000"/>
                <w:szCs w:val="24"/>
              </w:rPr>
              <w:t>Įvertinti ar Įranga įdiegta ir paruošta tolimesniam Sprendimo konfigūravimui pagal apibrėžtus reikalavimus ir standartus.</w:t>
            </w:r>
          </w:p>
        </w:tc>
        <w:tc>
          <w:tcPr>
            <w:tcW w:w="1559" w:type="dxa"/>
            <w:vAlign w:val="center"/>
          </w:tcPr>
          <w:p w14:paraId="4A852166" w14:textId="77777777" w:rsidR="00367A0B" w:rsidRPr="00F438F7" w:rsidRDefault="00367A0B" w:rsidP="00514EF2">
            <w:pPr>
              <w:jc w:val="center"/>
              <w:rPr>
                <w:color w:val="000000"/>
                <w:szCs w:val="24"/>
              </w:rPr>
            </w:pPr>
          </w:p>
        </w:tc>
        <w:tc>
          <w:tcPr>
            <w:tcW w:w="1559" w:type="dxa"/>
            <w:shd w:val="clear" w:color="auto" w:fill="auto"/>
            <w:noWrap/>
            <w:vAlign w:val="center"/>
            <w:hideMark/>
          </w:tcPr>
          <w:p w14:paraId="705F2643" w14:textId="77777777" w:rsidR="00367A0B" w:rsidRPr="00F438F7" w:rsidRDefault="00367A0B" w:rsidP="00514EF2">
            <w:pPr>
              <w:jc w:val="center"/>
              <w:rPr>
                <w:color w:val="000000"/>
                <w:szCs w:val="24"/>
              </w:rPr>
            </w:pPr>
            <w:r w:rsidRPr="00F438F7">
              <w:rPr>
                <w:color w:val="000000"/>
                <w:szCs w:val="24"/>
              </w:rPr>
              <w:t>R</w:t>
            </w:r>
          </w:p>
        </w:tc>
        <w:tc>
          <w:tcPr>
            <w:tcW w:w="1559" w:type="dxa"/>
            <w:shd w:val="clear" w:color="auto" w:fill="auto"/>
            <w:noWrap/>
            <w:vAlign w:val="center"/>
            <w:hideMark/>
          </w:tcPr>
          <w:p w14:paraId="0D4BBAE0"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439D689E" w14:textId="77777777" w:rsidTr="00514EF2">
        <w:trPr>
          <w:trHeight w:val="554"/>
        </w:trPr>
        <w:tc>
          <w:tcPr>
            <w:tcW w:w="699" w:type="dxa"/>
          </w:tcPr>
          <w:p w14:paraId="770C442D"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Pr>
          <w:p w14:paraId="2CA067E9" w14:textId="77777777" w:rsidR="00367A0B" w:rsidRPr="00F438F7" w:rsidRDefault="00367A0B" w:rsidP="00514EF2">
            <w:pPr>
              <w:jc w:val="both"/>
              <w:rPr>
                <w:color w:val="000000"/>
                <w:szCs w:val="24"/>
              </w:rPr>
            </w:pPr>
            <w:r w:rsidRPr="00F438F7">
              <w:rPr>
                <w:color w:val="000000"/>
                <w:szCs w:val="24"/>
              </w:rPr>
              <w:t>Atlikti įdiegtos Įrangos veikimo testavimus pagal iš anksto suderintus testavimo scenarijus (aukšto patikimumo, našumo savybių ir pan.) ir pateikti testų rezultatus popieriniu bei elektroniniu formatu pagal apibrėžtus reikalavimus / standartus.</w:t>
            </w:r>
          </w:p>
        </w:tc>
        <w:tc>
          <w:tcPr>
            <w:tcW w:w="1559" w:type="dxa"/>
            <w:vAlign w:val="center"/>
          </w:tcPr>
          <w:p w14:paraId="20BF2F56" w14:textId="77777777" w:rsidR="00367A0B" w:rsidRPr="00F438F7" w:rsidRDefault="00367A0B" w:rsidP="00514EF2">
            <w:pPr>
              <w:jc w:val="center"/>
              <w:rPr>
                <w:color w:val="000000"/>
                <w:highlight w:val="yellow"/>
              </w:rPr>
            </w:pPr>
            <w:r w:rsidRPr="00F438F7">
              <w:rPr>
                <w:color w:val="000000"/>
                <w:szCs w:val="24"/>
              </w:rPr>
              <w:t>R</w:t>
            </w:r>
          </w:p>
        </w:tc>
        <w:tc>
          <w:tcPr>
            <w:tcW w:w="1559" w:type="dxa"/>
            <w:shd w:val="clear" w:color="auto" w:fill="auto"/>
            <w:noWrap/>
            <w:vAlign w:val="center"/>
          </w:tcPr>
          <w:p w14:paraId="6187B9FA" w14:textId="77777777" w:rsidR="00367A0B" w:rsidRPr="00F438F7" w:rsidRDefault="00367A0B" w:rsidP="00514EF2">
            <w:pPr>
              <w:jc w:val="center"/>
              <w:rPr>
                <w:color w:val="000000"/>
                <w:szCs w:val="24"/>
              </w:rPr>
            </w:pPr>
            <w:r w:rsidRPr="00F438F7">
              <w:rPr>
                <w:color w:val="000000"/>
                <w:szCs w:val="24"/>
              </w:rPr>
              <w:t>A</w:t>
            </w:r>
          </w:p>
        </w:tc>
        <w:tc>
          <w:tcPr>
            <w:tcW w:w="1559" w:type="dxa"/>
            <w:shd w:val="clear" w:color="auto" w:fill="auto"/>
            <w:noWrap/>
            <w:vAlign w:val="center"/>
          </w:tcPr>
          <w:p w14:paraId="2EF68D74" w14:textId="77777777" w:rsidR="00367A0B" w:rsidRPr="00F438F7" w:rsidRDefault="00367A0B" w:rsidP="00514EF2">
            <w:pPr>
              <w:jc w:val="center"/>
              <w:rPr>
                <w:color w:val="000000"/>
                <w:szCs w:val="24"/>
              </w:rPr>
            </w:pPr>
          </w:p>
        </w:tc>
      </w:tr>
      <w:tr w:rsidR="00367A0B" w:rsidRPr="00F438F7" w14:paraId="2B468B46" w14:textId="77777777" w:rsidTr="00514EF2">
        <w:trPr>
          <w:trHeight w:val="554"/>
        </w:trPr>
        <w:tc>
          <w:tcPr>
            <w:tcW w:w="699" w:type="dxa"/>
          </w:tcPr>
          <w:p w14:paraId="08C34833"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Pr>
          <w:p w14:paraId="46B574FD" w14:textId="77777777" w:rsidR="00367A0B" w:rsidRPr="00F438F7" w:rsidRDefault="00367A0B" w:rsidP="00514EF2">
            <w:pPr>
              <w:jc w:val="both"/>
              <w:rPr>
                <w:color w:val="000000"/>
                <w:szCs w:val="24"/>
              </w:rPr>
            </w:pPr>
            <w:r w:rsidRPr="00F438F7">
              <w:rPr>
                <w:color w:val="000000"/>
                <w:szCs w:val="24"/>
              </w:rPr>
              <w:t>Įvertinti, ar Įrangos veikimo testavimai atlikti pagal patvirtintus testavimo scenarijus,  apibrėžtus reikalavimus ir standartus.</w:t>
            </w:r>
            <w:r w:rsidRPr="00F438F7" w:rsidDel="002C0944">
              <w:rPr>
                <w:color w:val="000000"/>
                <w:szCs w:val="24"/>
              </w:rPr>
              <w:t xml:space="preserve"> </w:t>
            </w:r>
          </w:p>
        </w:tc>
        <w:tc>
          <w:tcPr>
            <w:tcW w:w="1559" w:type="dxa"/>
            <w:vAlign w:val="center"/>
          </w:tcPr>
          <w:p w14:paraId="3A55EB0C" w14:textId="77777777" w:rsidR="00367A0B" w:rsidRPr="00F438F7" w:rsidRDefault="00367A0B" w:rsidP="00514EF2">
            <w:pPr>
              <w:jc w:val="center"/>
              <w:rPr>
                <w:color w:val="000000"/>
                <w:szCs w:val="24"/>
              </w:rPr>
            </w:pPr>
          </w:p>
        </w:tc>
        <w:tc>
          <w:tcPr>
            <w:tcW w:w="1559" w:type="dxa"/>
            <w:shd w:val="clear" w:color="auto" w:fill="auto"/>
            <w:noWrap/>
            <w:vAlign w:val="center"/>
          </w:tcPr>
          <w:p w14:paraId="0D26FCBC" w14:textId="77777777" w:rsidR="00367A0B" w:rsidRPr="00F438F7" w:rsidRDefault="00367A0B" w:rsidP="00514EF2">
            <w:pPr>
              <w:jc w:val="center"/>
              <w:rPr>
                <w:color w:val="000000"/>
                <w:szCs w:val="24"/>
              </w:rPr>
            </w:pPr>
            <w:r w:rsidRPr="00F438F7">
              <w:rPr>
                <w:color w:val="000000"/>
                <w:szCs w:val="24"/>
              </w:rPr>
              <w:t>R</w:t>
            </w:r>
          </w:p>
        </w:tc>
        <w:tc>
          <w:tcPr>
            <w:tcW w:w="1559" w:type="dxa"/>
            <w:shd w:val="clear" w:color="auto" w:fill="auto"/>
            <w:noWrap/>
            <w:vAlign w:val="center"/>
          </w:tcPr>
          <w:p w14:paraId="2BBA75D1"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5AB1A258" w14:textId="77777777" w:rsidTr="00514EF2">
        <w:trPr>
          <w:trHeight w:val="324"/>
        </w:trPr>
        <w:tc>
          <w:tcPr>
            <w:tcW w:w="699" w:type="dxa"/>
          </w:tcPr>
          <w:p w14:paraId="4C59C6AF"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Pr>
          <w:p w14:paraId="2B2801A4" w14:textId="77777777" w:rsidR="00367A0B" w:rsidRPr="00F438F7" w:rsidRDefault="00367A0B" w:rsidP="00514EF2">
            <w:pPr>
              <w:jc w:val="both"/>
              <w:rPr>
                <w:color w:val="000000"/>
                <w:szCs w:val="24"/>
              </w:rPr>
            </w:pPr>
            <w:r w:rsidRPr="00F438F7">
              <w:rPr>
                <w:color w:val="000000"/>
                <w:szCs w:val="24"/>
              </w:rPr>
              <w:t>Perduoti – priimti pristatytą, sumontuotą ir įdiegtą Įrangą bei pateiktą dokumentaciją.</w:t>
            </w:r>
          </w:p>
        </w:tc>
        <w:tc>
          <w:tcPr>
            <w:tcW w:w="1559" w:type="dxa"/>
            <w:vAlign w:val="center"/>
          </w:tcPr>
          <w:p w14:paraId="38D3B0CB" w14:textId="77777777" w:rsidR="00367A0B" w:rsidRPr="00F438F7" w:rsidRDefault="00367A0B" w:rsidP="00514EF2">
            <w:pPr>
              <w:jc w:val="center"/>
              <w:rPr>
                <w:color w:val="000000"/>
                <w:szCs w:val="24"/>
              </w:rPr>
            </w:pPr>
            <w:r w:rsidRPr="00F438F7">
              <w:rPr>
                <w:color w:val="000000"/>
                <w:szCs w:val="24"/>
              </w:rPr>
              <w:t>R</w:t>
            </w:r>
          </w:p>
        </w:tc>
        <w:tc>
          <w:tcPr>
            <w:tcW w:w="1559" w:type="dxa"/>
            <w:shd w:val="clear" w:color="auto" w:fill="auto"/>
            <w:noWrap/>
            <w:vAlign w:val="center"/>
            <w:hideMark/>
          </w:tcPr>
          <w:p w14:paraId="2C3228C6" w14:textId="77777777" w:rsidR="00367A0B" w:rsidRPr="00F438F7" w:rsidRDefault="00367A0B" w:rsidP="00514EF2">
            <w:pPr>
              <w:jc w:val="center"/>
              <w:rPr>
                <w:color w:val="000000"/>
                <w:szCs w:val="24"/>
              </w:rPr>
            </w:pPr>
          </w:p>
        </w:tc>
        <w:tc>
          <w:tcPr>
            <w:tcW w:w="1559" w:type="dxa"/>
            <w:shd w:val="clear" w:color="auto" w:fill="auto"/>
            <w:noWrap/>
            <w:vAlign w:val="center"/>
            <w:hideMark/>
          </w:tcPr>
          <w:p w14:paraId="1B530348"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09318C10" w14:textId="77777777" w:rsidTr="00514EF2">
        <w:trPr>
          <w:trHeight w:val="324"/>
        </w:trPr>
        <w:tc>
          <w:tcPr>
            <w:tcW w:w="14165" w:type="dxa"/>
            <w:gridSpan w:val="5"/>
            <w:tcBorders>
              <w:top w:val="single" w:sz="8" w:space="0" w:color="auto"/>
              <w:left w:val="single" w:sz="8" w:space="0" w:color="auto"/>
              <w:bottom w:val="single" w:sz="8" w:space="0" w:color="auto"/>
              <w:right w:val="single" w:sz="8" w:space="0" w:color="auto"/>
            </w:tcBorders>
          </w:tcPr>
          <w:p w14:paraId="6BADE4DB" w14:textId="77777777" w:rsidR="00367A0B" w:rsidRPr="00F438F7" w:rsidRDefault="00367A0B" w:rsidP="00367A0B">
            <w:pPr>
              <w:pStyle w:val="ListParagraph"/>
              <w:numPr>
                <w:ilvl w:val="0"/>
                <w:numId w:val="10"/>
              </w:numPr>
              <w:ind w:left="306"/>
              <w:rPr>
                <w:b/>
                <w:bCs/>
                <w:color w:val="000000"/>
                <w:szCs w:val="24"/>
              </w:rPr>
            </w:pPr>
            <w:r w:rsidRPr="00F438F7">
              <w:rPr>
                <w:b/>
                <w:bCs/>
                <w:color w:val="000000"/>
                <w:szCs w:val="24"/>
              </w:rPr>
              <w:t>Sprendimo diegimas ir galutinis konfigūravimas</w:t>
            </w:r>
          </w:p>
        </w:tc>
      </w:tr>
      <w:tr w:rsidR="00367A0B" w:rsidRPr="00F438F7" w14:paraId="70229D33"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4CD707DF"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7055C97B" w14:textId="77777777" w:rsidR="00367A0B" w:rsidRPr="00F438F7" w:rsidRDefault="00367A0B" w:rsidP="00514EF2">
            <w:pPr>
              <w:jc w:val="both"/>
              <w:rPr>
                <w:color w:val="000000"/>
                <w:szCs w:val="24"/>
              </w:rPr>
            </w:pPr>
            <w:r w:rsidRPr="00F438F7">
              <w:rPr>
                <w:color w:val="000000"/>
                <w:szCs w:val="24"/>
              </w:rPr>
              <w:t xml:space="preserve">Įdiegti ir pilna apimtimi sukonfigūruoti Detalioje architektūroje numatytą Sprendimą. </w:t>
            </w:r>
          </w:p>
        </w:tc>
        <w:tc>
          <w:tcPr>
            <w:tcW w:w="1559" w:type="dxa"/>
            <w:tcBorders>
              <w:top w:val="single" w:sz="8" w:space="0" w:color="auto"/>
              <w:left w:val="single" w:sz="8" w:space="0" w:color="auto"/>
              <w:bottom w:val="single" w:sz="8" w:space="0" w:color="auto"/>
              <w:right w:val="single" w:sz="8" w:space="0" w:color="auto"/>
            </w:tcBorders>
            <w:vAlign w:val="center"/>
          </w:tcPr>
          <w:p w14:paraId="261F5ADD"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D8869"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96D97F"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34B13F61"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7AF592FB"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3A1495DA" w14:textId="77777777" w:rsidR="00367A0B" w:rsidRPr="00F438F7" w:rsidRDefault="00367A0B" w:rsidP="00514EF2">
            <w:pPr>
              <w:jc w:val="both"/>
              <w:rPr>
                <w:color w:val="000000"/>
                <w:szCs w:val="24"/>
              </w:rPr>
            </w:pPr>
            <w:r w:rsidRPr="00F438F7">
              <w:rPr>
                <w:color w:val="000000"/>
                <w:szCs w:val="24"/>
              </w:rPr>
              <w:t>Parengti ir/arba atnaujinti bei suderinti įdiegto Sprendimo dokumentaciją.</w:t>
            </w:r>
          </w:p>
        </w:tc>
        <w:tc>
          <w:tcPr>
            <w:tcW w:w="1559" w:type="dxa"/>
            <w:tcBorders>
              <w:top w:val="single" w:sz="8" w:space="0" w:color="auto"/>
              <w:left w:val="single" w:sz="8" w:space="0" w:color="auto"/>
              <w:bottom w:val="single" w:sz="8" w:space="0" w:color="auto"/>
              <w:right w:val="single" w:sz="8" w:space="0" w:color="auto"/>
            </w:tcBorders>
            <w:vAlign w:val="center"/>
          </w:tcPr>
          <w:p w14:paraId="42C5B0F9"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232610"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77F2FB"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40B35C7B"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0ED94EEC"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41B56FAD" w14:textId="77777777" w:rsidR="00367A0B" w:rsidRPr="00F438F7" w:rsidRDefault="00367A0B" w:rsidP="00514EF2">
            <w:pPr>
              <w:jc w:val="both"/>
              <w:rPr>
                <w:color w:val="000000"/>
                <w:szCs w:val="24"/>
              </w:rPr>
            </w:pPr>
            <w:r w:rsidRPr="00F438F7">
              <w:rPr>
                <w:color w:val="000000"/>
                <w:szCs w:val="24"/>
              </w:rPr>
              <w:t xml:space="preserve">Dalyvauti Sprendimo diegimo procese ir glaudžiai bendradarbiauti su Diegėju bei Perkančiąja organizacija, teikti visas būtinas konsultacijas pasiūlytos Įrangos konfigūravimo, komutavimo, eksploatavimo ir kitais klausimais.  </w:t>
            </w:r>
          </w:p>
        </w:tc>
        <w:tc>
          <w:tcPr>
            <w:tcW w:w="1559" w:type="dxa"/>
            <w:tcBorders>
              <w:top w:val="single" w:sz="8" w:space="0" w:color="auto"/>
              <w:left w:val="single" w:sz="8" w:space="0" w:color="auto"/>
              <w:bottom w:val="single" w:sz="8" w:space="0" w:color="auto"/>
              <w:right w:val="single" w:sz="8" w:space="0" w:color="auto"/>
            </w:tcBorders>
            <w:vAlign w:val="center"/>
          </w:tcPr>
          <w:p w14:paraId="688A25AC"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D431EC" w14:textId="77777777" w:rsidR="00367A0B" w:rsidRPr="00F438F7" w:rsidRDefault="00367A0B" w:rsidP="00514EF2">
            <w:pPr>
              <w:jc w:val="center"/>
              <w:rPr>
                <w:color w:val="000000"/>
                <w:szCs w:val="24"/>
              </w:rPr>
            </w:pPr>
            <w:r w:rsidRPr="00F438F7">
              <w:rPr>
                <w:color w:val="000000"/>
                <w:szCs w:val="24"/>
              </w:rPr>
              <w:t>A</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8BD691" w14:textId="77777777" w:rsidR="00367A0B" w:rsidRPr="00F438F7" w:rsidRDefault="00367A0B" w:rsidP="00514EF2">
            <w:pPr>
              <w:jc w:val="center"/>
              <w:rPr>
                <w:color w:val="000000"/>
                <w:szCs w:val="24"/>
              </w:rPr>
            </w:pPr>
          </w:p>
        </w:tc>
      </w:tr>
      <w:tr w:rsidR="00367A0B" w:rsidRPr="00F438F7" w14:paraId="1F039592"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3BEFB26D"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759CCDF8" w14:textId="77777777" w:rsidR="00367A0B" w:rsidRPr="00F438F7" w:rsidRDefault="00367A0B" w:rsidP="00514EF2">
            <w:pPr>
              <w:jc w:val="both"/>
              <w:rPr>
                <w:color w:val="000000"/>
                <w:szCs w:val="24"/>
              </w:rPr>
            </w:pPr>
            <w:r w:rsidRPr="00F438F7">
              <w:rPr>
                <w:color w:val="000000"/>
                <w:szCs w:val="24"/>
              </w:rPr>
              <w:t>Įvertinti ar įdiegtas Sprendimas atitinka Detalioje architektūroje numatytą Sprendimą.</w:t>
            </w:r>
          </w:p>
        </w:tc>
        <w:tc>
          <w:tcPr>
            <w:tcW w:w="1559" w:type="dxa"/>
            <w:tcBorders>
              <w:top w:val="single" w:sz="8" w:space="0" w:color="auto"/>
              <w:left w:val="single" w:sz="8" w:space="0" w:color="auto"/>
              <w:bottom w:val="single" w:sz="8" w:space="0" w:color="auto"/>
              <w:right w:val="single" w:sz="8" w:space="0" w:color="auto"/>
            </w:tcBorders>
            <w:vAlign w:val="center"/>
          </w:tcPr>
          <w:p w14:paraId="1B96A326"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FDAC9D"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D3EBA3"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518D5D81"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678DD535"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473943EC" w14:textId="77777777" w:rsidR="00367A0B" w:rsidRPr="00F438F7" w:rsidRDefault="00367A0B" w:rsidP="00514EF2">
            <w:pPr>
              <w:jc w:val="both"/>
              <w:rPr>
                <w:color w:val="000000"/>
                <w:szCs w:val="24"/>
              </w:rPr>
            </w:pPr>
            <w:r w:rsidRPr="00F438F7">
              <w:rPr>
                <w:color w:val="000000"/>
                <w:szCs w:val="24"/>
              </w:rPr>
              <w:t>Atlikti Sprendimo veikimo testavimus pagal iš anksto suderintus testavimo scenarijus ir pateikti testų rezultatus popieriniu bei elektroniniu formatu pagal apibrėžtus standartus</w:t>
            </w:r>
          </w:p>
        </w:tc>
        <w:tc>
          <w:tcPr>
            <w:tcW w:w="1559" w:type="dxa"/>
            <w:tcBorders>
              <w:top w:val="single" w:sz="8" w:space="0" w:color="auto"/>
              <w:left w:val="single" w:sz="8" w:space="0" w:color="auto"/>
              <w:bottom w:val="single" w:sz="8" w:space="0" w:color="auto"/>
              <w:right w:val="single" w:sz="8" w:space="0" w:color="auto"/>
            </w:tcBorders>
            <w:vAlign w:val="center"/>
          </w:tcPr>
          <w:p w14:paraId="7AEF7D43"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A56CF3"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51789F"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3BD5EB5F"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3748ED83" w14:textId="77777777" w:rsidR="00367A0B" w:rsidRPr="00F438F7" w:rsidDel="008E4DC4"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03CC97A8" w14:textId="77777777" w:rsidR="00367A0B" w:rsidRPr="00F438F7" w:rsidRDefault="00367A0B" w:rsidP="00514EF2">
            <w:pPr>
              <w:jc w:val="both"/>
              <w:rPr>
                <w:color w:val="000000"/>
                <w:szCs w:val="24"/>
              </w:rPr>
            </w:pPr>
            <w:r w:rsidRPr="00F438F7">
              <w:rPr>
                <w:color w:val="000000"/>
                <w:szCs w:val="24"/>
              </w:rPr>
              <w:t>Įvertinti, ar Sprendimo veikimo testavimai atlikti pagal patvirtintus testavimo scenarijus,  apibrėžtus reikalavimus ir standartus.</w:t>
            </w:r>
          </w:p>
        </w:tc>
        <w:tc>
          <w:tcPr>
            <w:tcW w:w="1559" w:type="dxa"/>
            <w:tcBorders>
              <w:top w:val="single" w:sz="8" w:space="0" w:color="auto"/>
              <w:left w:val="single" w:sz="8" w:space="0" w:color="auto"/>
              <w:bottom w:val="single" w:sz="8" w:space="0" w:color="auto"/>
              <w:right w:val="single" w:sz="8" w:space="0" w:color="auto"/>
            </w:tcBorders>
            <w:vAlign w:val="center"/>
          </w:tcPr>
          <w:p w14:paraId="5AE2AC12"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F0168A"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9D8A78" w14:textId="77777777" w:rsidR="00367A0B" w:rsidRPr="00F438F7" w:rsidRDefault="00367A0B" w:rsidP="00514EF2">
            <w:pPr>
              <w:jc w:val="center"/>
              <w:rPr>
                <w:color w:val="000000"/>
                <w:szCs w:val="24"/>
              </w:rPr>
            </w:pPr>
            <w:r w:rsidRPr="00F438F7">
              <w:rPr>
                <w:color w:val="000000"/>
                <w:szCs w:val="24"/>
              </w:rPr>
              <w:t>R</w:t>
            </w:r>
          </w:p>
        </w:tc>
      </w:tr>
      <w:tr w:rsidR="00367A0B" w:rsidRPr="00F438F7" w14:paraId="7560894A" w14:textId="77777777" w:rsidTr="00514EF2">
        <w:trPr>
          <w:trHeight w:val="324"/>
        </w:trPr>
        <w:tc>
          <w:tcPr>
            <w:tcW w:w="699" w:type="dxa"/>
            <w:tcBorders>
              <w:top w:val="single" w:sz="8" w:space="0" w:color="auto"/>
              <w:left w:val="single" w:sz="8" w:space="0" w:color="auto"/>
              <w:bottom w:val="single" w:sz="8" w:space="0" w:color="auto"/>
              <w:right w:val="single" w:sz="8" w:space="0" w:color="auto"/>
            </w:tcBorders>
          </w:tcPr>
          <w:p w14:paraId="18B363D2"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35092DA1" w14:textId="77777777" w:rsidR="00367A0B" w:rsidRPr="00F438F7" w:rsidRDefault="00367A0B" w:rsidP="00514EF2">
            <w:pPr>
              <w:jc w:val="both"/>
              <w:rPr>
                <w:color w:val="000000"/>
                <w:szCs w:val="24"/>
              </w:rPr>
            </w:pPr>
            <w:r w:rsidRPr="00F438F7">
              <w:rPr>
                <w:color w:val="000000"/>
                <w:szCs w:val="24"/>
              </w:rPr>
              <w:t>Perduoti – priimti bandomajai eksploatacijai įdiegtą, sukonfigūruotą ir ištestuotą Sprendimą.</w:t>
            </w:r>
          </w:p>
        </w:tc>
        <w:tc>
          <w:tcPr>
            <w:tcW w:w="1559" w:type="dxa"/>
            <w:tcBorders>
              <w:top w:val="single" w:sz="8" w:space="0" w:color="auto"/>
              <w:left w:val="single" w:sz="8" w:space="0" w:color="auto"/>
              <w:bottom w:val="single" w:sz="8" w:space="0" w:color="auto"/>
              <w:right w:val="single" w:sz="8" w:space="0" w:color="auto"/>
            </w:tcBorders>
            <w:vAlign w:val="center"/>
          </w:tcPr>
          <w:p w14:paraId="3C285820"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C986E8"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4976D5"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2AD1EDAD" w14:textId="77777777" w:rsidTr="00514EF2">
        <w:trPr>
          <w:trHeight w:val="324"/>
        </w:trPr>
        <w:tc>
          <w:tcPr>
            <w:tcW w:w="14165" w:type="dxa"/>
            <w:gridSpan w:val="5"/>
            <w:tcBorders>
              <w:top w:val="single" w:sz="8" w:space="0" w:color="auto"/>
              <w:left w:val="single" w:sz="8" w:space="0" w:color="auto"/>
              <w:bottom w:val="single" w:sz="8" w:space="0" w:color="auto"/>
              <w:right w:val="single" w:sz="8" w:space="0" w:color="auto"/>
            </w:tcBorders>
          </w:tcPr>
          <w:p w14:paraId="137FD9C4" w14:textId="77777777" w:rsidR="00367A0B" w:rsidRPr="00F438F7" w:rsidRDefault="00367A0B" w:rsidP="00367A0B">
            <w:pPr>
              <w:pStyle w:val="ListParagraph"/>
              <w:numPr>
                <w:ilvl w:val="0"/>
                <w:numId w:val="10"/>
              </w:numPr>
              <w:ind w:left="306"/>
              <w:rPr>
                <w:b/>
                <w:bCs/>
                <w:color w:val="000000"/>
                <w:szCs w:val="24"/>
              </w:rPr>
            </w:pPr>
            <w:r w:rsidRPr="00F438F7">
              <w:rPr>
                <w:b/>
                <w:bCs/>
                <w:color w:val="000000"/>
                <w:szCs w:val="24"/>
              </w:rPr>
              <w:t>Bandomoji eksploatacija</w:t>
            </w:r>
          </w:p>
        </w:tc>
      </w:tr>
      <w:tr w:rsidR="00367A0B" w:rsidRPr="00F438F7" w14:paraId="62721498"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5297C589" w14:textId="77777777" w:rsidR="00367A0B" w:rsidRPr="00F438F7" w:rsidDel="00BF6CE0"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238201BF" w14:textId="77777777" w:rsidR="00367A0B" w:rsidRPr="00F438F7" w:rsidRDefault="00367A0B" w:rsidP="00514EF2">
            <w:pPr>
              <w:jc w:val="both"/>
              <w:rPr>
                <w:color w:val="000000"/>
                <w:szCs w:val="24"/>
              </w:rPr>
            </w:pPr>
            <w:r w:rsidRPr="00F438F7">
              <w:rPr>
                <w:color w:val="000000"/>
                <w:szCs w:val="24"/>
              </w:rPr>
              <w:t xml:space="preserve">Vykdyti Sprendimo bandomąją eksploataciją pagal suderintą bandomosios eksploatacijos reglamentą. Fiksuoti klaidas, gedimus, trūkumus ir kt., informuoti apie pastebėtus neatitikimus.  </w:t>
            </w:r>
          </w:p>
        </w:tc>
        <w:tc>
          <w:tcPr>
            <w:tcW w:w="1559" w:type="dxa"/>
            <w:tcBorders>
              <w:top w:val="single" w:sz="8" w:space="0" w:color="auto"/>
              <w:left w:val="single" w:sz="8" w:space="0" w:color="auto"/>
              <w:bottom w:val="single" w:sz="8" w:space="0" w:color="auto"/>
              <w:right w:val="single" w:sz="8" w:space="0" w:color="auto"/>
            </w:tcBorders>
            <w:vAlign w:val="center"/>
          </w:tcPr>
          <w:p w14:paraId="4D89C238"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ECC346"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0C219A" w14:textId="77777777" w:rsidR="00367A0B" w:rsidRPr="00F438F7" w:rsidRDefault="00367A0B" w:rsidP="00514EF2">
            <w:pPr>
              <w:jc w:val="center"/>
              <w:rPr>
                <w:color w:val="000000"/>
                <w:szCs w:val="24"/>
              </w:rPr>
            </w:pPr>
            <w:r w:rsidRPr="00F438F7">
              <w:rPr>
                <w:color w:val="000000"/>
                <w:szCs w:val="24"/>
              </w:rPr>
              <w:t>R</w:t>
            </w:r>
          </w:p>
        </w:tc>
      </w:tr>
      <w:tr w:rsidR="00367A0B" w:rsidRPr="00F438F7" w14:paraId="0DC45EF9"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4D8CEA9A" w14:textId="77777777" w:rsidR="00367A0B" w:rsidRPr="00F438F7" w:rsidDel="00BF6CE0"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3210F88D" w14:textId="77777777" w:rsidR="00367A0B" w:rsidRPr="00F438F7" w:rsidRDefault="00367A0B" w:rsidP="00514EF2">
            <w:pPr>
              <w:jc w:val="both"/>
              <w:rPr>
                <w:color w:val="000000"/>
                <w:szCs w:val="24"/>
              </w:rPr>
            </w:pPr>
            <w:r w:rsidRPr="00F438F7">
              <w:rPr>
                <w:color w:val="000000"/>
                <w:szCs w:val="24"/>
              </w:rPr>
              <w:t xml:space="preserve">Vykdyti Sprendimo bandomąją eksploataciją pagal suderintą bandomosios eksploatacijos reglamentą. Vykdyti techninės ir programinės Įrangos veikimo nuolatinį stebėjimą, fiksuoti klaidas, gedimus, trūkumus ir kt., informuoti apie pastebėtus neatitikimus.  </w:t>
            </w:r>
          </w:p>
        </w:tc>
        <w:tc>
          <w:tcPr>
            <w:tcW w:w="1559" w:type="dxa"/>
            <w:tcBorders>
              <w:top w:val="single" w:sz="8" w:space="0" w:color="auto"/>
              <w:left w:val="single" w:sz="8" w:space="0" w:color="auto"/>
              <w:bottom w:val="single" w:sz="8" w:space="0" w:color="auto"/>
              <w:right w:val="single" w:sz="8" w:space="0" w:color="auto"/>
            </w:tcBorders>
            <w:vAlign w:val="center"/>
          </w:tcPr>
          <w:p w14:paraId="501C148F"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4D9BE5"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629A41"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72011CFE"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417C2224" w14:textId="77777777" w:rsidR="00367A0B" w:rsidRPr="00F438F7" w:rsidDel="00BF6CE0"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523694F2" w14:textId="77777777" w:rsidR="00367A0B" w:rsidRPr="00F438F7" w:rsidRDefault="00367A0B" w:rsidP="00514EF2">
            <w:pPr>
              <w:jc w:val="both"/>
              <w:rPr>
                <w:color w:val="000000"/>
                <w:szCs w:val="24"/>
              </w:rPr>
            </w:pPr>
            <w:r w:rsidRPr="00F438F7">
              <w:rPr>
                <w:color w:val="000000"/>
                <w:szCs w:val="24"/>
              </w:rPr>
              <w:t>Šalinti visas Sprendimo techninės ir programinės Įrangos veikimo klaidas, gedimus, trūkumus ir neatitikimus.</w:t>
            </w:r>
          </w:p>
        </w:tc>
        <w:tc>
          <w:tcPr>
            <w:tcW w:w="1559" w:type="dxa"/>
            <w:tcBorders>
              <w:top w:val="single" w:sz="8" w:space="0" w:color="auto"/>
              <w:left w:val="single" w:sz="8" w:space="0" w:color="auto"/>
              <w:bottom w:val="single" w:sz="8" w:space="0" w:color="auto"/>
              <w:right w:val="single" w:sz="8" w:space="0" w:color="auto"/>
            </w:tcBorders>
            <w:vAlign w:val="center"/>
          </w:tcPr>
          <w:p w14:paraId="12FCE7E6"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9302F"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9A3571"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2A830415"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2FC240AC" w14:textId="77777777" w:rsidR="00367A0B" w:rsidRPr="00F438F7" w:rsidDel="00BF6CE0"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4A37DED3" w14:textId="77777777" w:rsidR="00367A0B" w:rsidRPr="00F438F7" w:rsidRDefault="00367A0B" w:rsidP="00514EF2">
            <w:pPr>
              <w:jc w:val="both"/>
              <w:rPr>
                <w:color w:val="000000"/>
                <w:szCs w:val="24"/>
              </w:rPr>
            </w:pPr>
            <w:r w:rsidRPr="00F438F7">
              <w:rPr>
                <w:color w:val="000000"/>
                <w:szCs w:val="24"/>
              </w:rPr>
              <w:t xml:space="preserve">Teikti visas būtinas konsultacijas pasiūlytos Įrangos konfigūravimo, komutavimo, eksploatavimo ir kitais klausimais.  </w:t>
            </w:r>
          </w:p>
        </w:tc>
        <w:tc>
          <w:tcPr>
            <w:tcW w:w="1559" w:type="dxa"/>
            <w:tcBorders>
              <w:top w:val="single" w:sz="8" w:space="0" w:color="auto"/>
              <w:left w:val="single" w:sz="8" w:space="0" w:color="auto"/>
              <w:bottom w:val="single" w:sz="8" w:space="0" w:color="auto"/>
              <w:right w:val="single" w:sz="8" w:space="0" w:color="auto"/>
            </w:tcBorders>
            <w:vAlign w:val="center"/>
          </w:tcPr>
          <w:p w14:paraId="5C6C2469"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BDAF3B" w14:textId="77777777" w:rsidR="00367A0B" w:rsidRPr="00F438F7" w:rsidRDefault="00367A0B" w:rsidP="00514EF2">
            <w:pPr>
              <w:jc w:val="center"/>
              <w:rPr>
                <w:color w:val="000000"/>
                <w:szCs w:val="24"/>
              </w:rPr>
            </w:pPr>
            <w:r w:rsidRPr="00F438F7">
              <w:rPr>
                <w:color w:val="000000"/>
                <w:szCs w:val="24"/>
              </w:rPr>
              <w:t>A</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F8312A" w14:textId="77777777" w:rsidR="00367A0B" w:rsidRPr="00F438F7" w:rsidRDefault="00367A0B" w:rsidP="00514EF2">
            <w:pPr>
              <w:jc w:val="center"/>
              <w:rPr>
                <w:color w:val="000000"/>
                <w:szCs w:val="24"/>
              </w:rPr>
            </w:pPr>
          </w:p>
        </w:tc>
      </w:tr>
      <w:tr w:rsidR="00367A0B" w:rsidRPr="00F438F7" w14:paraId="1CC10512"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7F405BC9"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630E3D21" w14:textId="77777777" w:rsidR="00367A0B" w:rsidRPr="00F438F7" w:rsidRDefault="00367A0B" w:rsidP="00514EF2">
            <w:pPr>
              <w:jc w:val="both"/>
              <w:rPr>
                <w:color w:val="000000"/>
                <w:szCs w:val="24"/>
              </w:rPr>
            </w:pPr>
            <w:r w:rsidRPr="00F438F7">
              <w:rPr>
                <w:color w:val="000000"/>
                <w:szCs w:val="24"/>
              </w:rPr>
              <w:t>Vykdyti visus būtinus Sprendimo techninės ir programinės Įrangos atnaujinimus.</w:t>
            </w:r>
          </w:p>
        </w:tc>
        <w:tc>
          <w:tcPr>
            <w:tcW w:w="1559" w:type="dxa"/>
            <w:tcBorders>
              <w:top w:val="single" w:sz="8" w:space="0" w:color="auto"/>
              <w:left w:val="single" w:sz="8" w:space="0" w:color="auto"/>
              <w:bottom w:val="single" w:sz="8" w:space="0" w:color="auto"/>
              <w:right w:val="single" w:sz="8" w:space="0" w:color="auto"/>
            </w:tcBorders>
            <w:vAlign w:val="center"/>
          </w:tcPr>
          <w:p w14:paraId="344C18CB"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5FFC9C"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6AD6D9"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64CE2463"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33EC4CE5"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0B4EC05E" w14:textId="77777777" w:rsidR="00367A0B" w:rsidRPr="00F438F7" w:rsidRDefault="00367A0B" w:rsidP="00514EF2">
            <w:pPr>
              <w:jc w:val="both"/>
              <w:rPr>
                <w:color w:val="000000"/>
                <w:szCs w:val="24"/>
              </w:rPr>
            </w:pPr>
            <w:r w:rsidRPr="00F438F7">
              <w:rPr>
                <w:color w:val="000000"/>
                <w:szCs w:val="24"/>
              </w:rPr>
              <w:t>Konsultuoti Perkančiosios organizacijos atstovus įdiegto Sprendimo naudojimo, administravimo, konfigūravimo, priežiūros ir kitais klausimais.</w:t>
            </w:r>
          </w:p>
        </w:tc>
        <w:tc>
          <w:tcPr>
            <w:tcW w:w="1559" w:type="dxa"/>
            <w:tcBorders>
              <w:top w:val="single" w:sz="8" w:space="0" w:color="auto"/>
              <w:left w:val="single" w:sz="8" w:space="0" w:color="auto"/>
              <w:bottom w:val="single" w:sz="8" w:space="0" w:color="auto"/>
              <w:right w:val="single" w:sz="8" w:space="0" w:color="auto"/>
            </w:tcBorders>
            <w:vAlign w:val="center"/>
          </w:tcPr>
          <w:p w14:paraId="67367B16"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1CE9E3"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457CB5"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0AC59393"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5356D4BD"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452C2A48" w14:textId="77777777" w:rsidR="00367A0B" w:rsidRPr="00F438F7" w:rsidRDefault="00367A0B" w:rsidP="00514EF2">
            <w:pPr>
              <w:jc w:val="both"/>
              <w:rPr>
                <w:color w:val="000000"/>
                <w:szCs w:val="24"/>
              </w:rPr>
            </w:pPr>
            <w:r w:rsidRPr="00F438F7">
              <w:rPr>
                <w:color w:val="000000"/>
                <w:szCs w:val="24"/>
              </w:rPr>
              <w:t>Atnaujinti ir derinti įdiegto Sprendimo dokumentaciją.</w:t>
            </w:r>
          </w:p>
        </w:tc>
        <w:tc>
          <w:tcPr>
            <w:tcW w:w="1559" w:type="dxa"/>
            <w:tcBorders>
              <w:top w:val="single" w:sz="8" w:space="0" w:color="auto"/>
              <w:left w:val="single" w:sz="8" w:space="0" w:color="auto"/>
              <w:bottom w:val="single" w:sz="8" w:space="0" w:color="auto"/>
              <w:right w:val="single" w:sz="8" w:space="0" w:color="auto"/>
            </w:tcBorders>
            <w:vAlign w:val="center"/>
          </w:tcPr>
          <w:p w14:paraId="4A5EDAE8"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00CC73"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B02D46"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4426D3D4"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58BB2A45"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1F5177EE" w14:textId="77777777" w:rsidR="00367A0B" w:rsidRPr="00F438F7" w:rsidRDefault="00367A0B" w:rsidP="00514EF2">
            <w:pPr>
              <w:jc w:val="both"/>
              <w:rPr>
                <w:color w:val="000000"/>
                <w:szCs w:val="24"/>
              </w:rPr>
            </w:pPr>
            <w:r w:rsidRPr="00F438F7">
              <w:rPr>
                <w:color w:val="000000"/>
                <w:szCs w:val="24"/>
              </w:rPr>
              <w:t>Atlikti galutinius Sprendimo veikimo testavimus pagal iš anksto suderintus testavimo scenarijus.</w:t>
            </w:r>
          </w:p>
        </w:tc>
        <w:tc>
          <w:tcPr>
            <w:tcW w:w="1559" w:type="dxa"/>
            <w:tcBorders>
              <w:top w:val="single" w:sz="8" w:space="0" w:color="auto"/>
              <w:left w:val="single" w:sz="8" w:space="0" w:color="auto"/>
              <w:bottom w:val="single" w:sz="8" w:space="0" w:color="auto"/>
              <w:right w:val="single" w:sz="8" w:space="0" w:color="auto"/>
            </w:tcBorders>
            <w:vAlign w:val="center"/>
          </w:tcPr>
          <w:p w14:paraId="1372974B"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22C3B5"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BAB7B8"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594DEF67" w14:textId="77777777" w:rsidTr="00514EF2">
        <w:trPr>
          <w:trHeight w:val="312"/>
        </w:trPr>
        <w:tc>
          <w:tcPr>
            <w:tcW w:w="699" w:type="dxa"/>
          </w:tcPr>
          <w:p w14:paraId="20993885"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Pr>
          <w:p w14:paraId="311A0B40" w14:textId="77777777" w:rsidR="00367A0B" w:rsidRPr="00F438F7" w:rsidRDefault="00367A0B" w:rsidP="00514EF2">
            <w:pPr>
              <w:jc w:val="both"/>
              <w:rPr>
                <w:color w:val="000000"/>
                <w:szCs w:val="24"/>
              </w:rPr>
            </w:pPr>
            <w:r w:rsidRPr="00F438F7">
              <w:rPr>
                <w:color w:val="000000"/>
                <w:szCs w:val="24"/>
              </w:rPr>
              <w:t>Parengti ir suderinti bandomosios eksploatacijos rezultatus pagal bandomosios eksploatacijos reglamentą.</w:t>
            </w:r>
          </w:p>
        </w:tc>
        <w:tc>
          <w:tcPr>
            <w:tcW w:w="1559" w:type="dxa"/>
            <w:vAlign w:val="center"/>
          </w:tcPr>
          <w:p w14:paraId="4F2E7449" w14:textId="77777777" w:rsidR="00367A0B" w:rsidRPr="00F438F7" w:rsidRDefault="00367A0B" w:rsidP="00514EF2">
            <w:pPr>
              <w:jc w:val="center"/>
              <w:rPr>
                <w:color w:val="000000"/>
                <w:szCs w:val="24"/>
              </w:rPr>
            </w:pPr>
          </w:p>
        </w:tc>
        <w:tc>
          <w:tcPr>
            <w:tcW w:w="1559" w:type="dxa"/>
            <w:shd w:val="clear" w:color="auto" w:fill="auto"/>
            <w:noWrap/>
            <w:vAlign w:val="center"/>
          </w:tcPr>
          <w:p w14:paraId="442FECC9" w14:textId="77777777" w:rsidR="00367A0B" w:rsidRPr="00F438F7" w:rsidRDefault="00367A0B" w:rsidP="00514EF2">
            <w:pPr>
              <w:jc w:val="center"/>
              <w:rPr>
                <w:color w:val="000000"/>
                <w:szCs w:val="24"/>
              </w:rPr>
            </w:pPr>
            <w:r w:rsidRPr="00F438F7">
              <w:rPr>
                <w:color w:val="000000"/>
                <w:szCs w:val="24"/>
              </w:rPr>
              <w:t>R</w:t>
            </w:r>
          </w:p>
        </w:tc>
        <w:tc>
          <w:tcPr>
            <w:tcW w:w="1559" w:type="dxa"/>
            <w:shd w:val="clear" w:color="auto" w:fill="auto"/>
            <w:noWrap/>
            <w:vAlign w:val="center"/>
          </w:tcPr>
          <w:p w14:paraId="7D9BB3CE"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43AA7288" w14:textId="77777777" w:rsidTr="00514EF2">
        <w:trPr>
          <w:trHeight w:val="636"/>
        </w:trPr>
        <w:tc>
          <w:tcPr>
            <w:tcW w:w="699" w:type="dxa"/>
            <w:tcBorders>
              <w:top w:val="single" w:sz="8" w:space="0" w:color="auto"/>
              <w:left w:val="single" w:sz="8" w:space="0" w:color="auto"/>
              <w:bottom w:val="single" w:sz="8" w:space="0" w:color="auto"/>
              <w:right w:val="single" w:sz="8" w:space="0" w:color="auto"/>
            </w:tcBorders>
          </w:tcPr>
          <w:p w14:paraId="1DE62F24"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22AB410F" w14:textId="77777777" w:rsidR="00367A0B" w:rsidRPr="00F438F7" w:rsidRDefault="00367A0B" w:rsidP="00514EF2">
            <w:pPr>
              <w:jc w:val="both"/>
              <w:rPr>
                <w:color w:val="000000"/>
                <w:szCs w:val="24"/>
              </w:rPr>
            </w:pPr>
            <w:r w:rsidRPr="00F438F7">
              <w:rPr>
                <w:color w:val="000000"/>
                <w:szCs w:val="24"/>
              </w:rPr>
              <w:t>Perduoti – priimti gamybinei eksploatacijai pilnai įdiegtą, sukonfigūruotą ir ištestuotą Sprendimą.</w:t>
            </w:r>
          </w:p>
        </w:tc>
        <w:tc>
          <w:tcPr>
            <w:tcW w:w="1559" w:type="dxa"/>
            <w:tcBorders>
              <w:top w:val="single" w:sz="8" w:space="0" w:color="auto"/>
              <w:left w:val="single" w:sz="8" w:space="0" w:color="auto"/>
              <w:bottom w:val="single" w:sz="8" w:space="0" w:color="auto"/>
              <w:right w:val="single" w:sz="8" w:space="0" w:color="auto"/>
            </w:tcBorders>
            <w:vAlign w:val="center"/>
          </w:tcPr>
          <w:p w14:paraId="1EEBB325"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44BFC" w14:textId="77777777" w:rsidR="00367A0B" w:rsidRPr="00F438F7" w:rsidRDefault="00367A0B" w:rsidP="00514EF2">
            <w:pPr>
              <w:jc w:val="center"/>
              <w:rPr>
                <w:color w:val="000000"/>
                <w:szCs w:val="24"/>
              </w:rPr>
            </w:pPr>
            <w:r w:rsidRPr="00F438F7">
              <w:rPr>
                <w:color w:val="000000"/>
                <w:szCs w:val="24"/>
              </w:rPr>
              <w:t>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23EF90"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66FCD52E" w14:textId="77777777" w:rsidTr="00514EF2">
        <w:trPr>
          <w:trHeight w:val="324"/>
        </w:trPr>
        <w:tc>
          <w:tcPr>
            <w:tcW w:w="14165" w:type="dxa"/>
            <w:gridSpan w:val="5"/>
            <w:tcBorders>
              <w:top w:val="single" w:sz="8" w:space="0" w:color="auto"/>
              <w:left w:val="single" w:sz="8" w:space="0" w:color="auto"/>
              <w:bottom w:val="single" w:sz="8" w:space="0" w:color="auto"/>
              <w:right w:val="single" w:sz="8" w:space="0" w:color="auto"/>
            </w:tcBorders>
          </w:tcPr>
          <w:p w14:paraId="7CF891C3" w14:textId="77777777" w:rsidR="00367A0B" w:rsidRPr="00F438F7" w:rsidRDefault="00367A0B" w:rsidP="00367A0B">
            <w:pPr>
              <w:pStyle w:val="ListParagraph"/>
              <w:numPr>
                <w:ilvl w:val="0"/>
                <w:numId w:val="10"/>
              </w:numPr>
              <w:ind w:left="306"/>
              <w:rPr>
                <w:b/>
                <w:bCs/>
                <w:color w:val="000000"/>
                <w:szCs w:val="24"/>
              </w:rPr>
            </w:pPr>
            <w:r w:rsidRPr="00F438F7">
              <w:rPr>
                <w:b/>
                <w:bCs/>
                <w:color w:val="000000"/>
                <w:szCs w:val="24"/>
              </w:rPr>
              <w:t>Gamybinė eksploatacija ir garantinis aptarnavimas</w:t>
            </w:r>
          </w:p>
        </w:tc>
      </w:tr>
      <w:tr w:rsidR="00367A0B" w:rsidRPr="00F438F7" w14:paraId="60B52962" w14:textId="77777777" w:rsidTr="00514EF2">
        <w:trPr>
          <w:trHeight w:val="312"/>
        </w:trPr>
        <w:tc>
          <w:tcPr>
            <w:tcW w:w="699" w:type="dxa"/>
            <w:tcBorders>
              <w:top w:val="single" w:sz="8" w:space="0" w:color="auto"/>
              <w:left w:val="single" w:sz="8" w:space="0" w:color="auto"/>
              <w:bottom w:val="single" w:sz="8" w:space="0" w:color="auto"/>
              <w:right w:val="single" w:sz="8" w:space="0" w:color="auto"/>
            </w:tcBorders>
          </w:tcPr>
          <w:p w14:paraId="0C8B42EB" w14:textId="77777777" w:rsidR="00367A0B" w:rsidRPr="00F438F7" w:rsidDel="00055327" w:rsidRDefault="00367A0B" w:rsidP="00367A0B">
            <w:pPr>
              <w:pStyle w:val="ListParagraph"/>
              <w:numPr>
                <w:ilvl w:val="1"/>
                <w:numId w:val="10"/>
              </w:numPr>
              <w:ind w:left="460" w:hanging="478"/>
              <w:jc w:val="both"/>
              <w:rPr>
                <w:color w:val="000000"/>
                <w:szCs w:val="24"/>
              </w:rPr>
            </w:pPr>
          </w:p>
        </w:tc>
        <w:tc>
          <w:tcPr>
            <w:tcW w:w="8789" w:type="dxa"/>
            <w:tcBorders>
              <w:top w:val="single" w:sz="8" w:space="0" w:color="auto"/>
              <w:left w:val="single" w:sz="8" w:space="0" w:color="auto"/>
              <w:bottom w:val="single" w:sz="8" w:space="0" w:color="auto"/>
              <w:right w:val="single" w:sz="8" w:space="0" w:color="auto"/>
            </w:tcBorders>
          </w:tcPr>
          <w:p w14:paraId="5592F8DA" w14:textId="77777777" w:rsidR="00367A0B" w:rsidRPr="00F438F7" w:rsidRDefault="00367A0B" w:rsidP="00514EF2">
            <w:pPr>
              <w:jc w:val="both"/>
              <w:rPr>
                <w:color w:val="000000"/>
                <w:szCs w:val="24"/>
              </w:rPr>
            </w:pPr>
            <w:r w:rsidRPr="00F438F7">
              <w:rPr>
                <w:color w:val="000000"/>
                <w:szCs w:val="24"/>
              </w:rPr>
              <w:t xml:space="preserve">Naudoti Sprendimą gamybiniu režimu. </w:t>
            </w:r>
          </w:p>
        </w:tc>
        <w:tc>
          <w:tcPr>
            <w:tcW w:w="1559" w:type="dxa"/>
            <w:tcBorders>
              <w:top w:val="single" w:sz="8" w:space="0" w:color="auto"/>
              <w:left w:val="single" w:sz="8" w:space="0" w:color="auto"/>
              <w:bottom w:val="single" w:sz="8" w:space="0" w:color="auto"/>
              <w:right w:val="single" w:sz="8" w:space="0" w:color="auto"/>
            </w:tcBorders>
            <w:vAlign w:val="center"/>
          </w:tcPr>
          <w:p w14:paraId="0261A7FA"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5E10F" w14:textId="77777777" w:rsidR="00367A0B" w:rsidRPr="00F438F7" w:rsidRDefault="00367A0B" w:rsidP="00514EF2">
            <w:pPr>
              <w:jc w:val="center"/>
              <w:rPr>
                <w:color w:val="00000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47E1FC" w14:textId="77777777" w:rsidR="00367A0B" w:rsidRPr="00F438F7" w:rsidRDefault="00367A0B" w:rsidP="00514EF2">
            <w:pPr>
              <w:jc w:val="center"/>
              <w:rPr>
                <w:color w:val="000000"/>
                <w:szCs w:val="24"/>
              </w:rPr>
            </w:pPr>
            <w:r w:rsidRPr="00F438F7">
              <w:rPr>
                <w:color w:val="000000"/>
                <w:szCs w:val="24"/>
              </w:rPr>
              <w:t>R</w:t>
            </w:r>
          </w:p>
        </w:tc>
      </w:tr>
      <w:tr w:rsidR="00367A0B" w:rsidRPr="00F438F7" w14:paraId="5A06EDBF" w14:textId="77777777" w:rsidTr="00514EF2">
        <w:trPr>
          <w:trHeight w:val="312"/>
        </w:trPr>
        <w:tc>
          <w:tcPr>
            <w:tcW w:w="699" w:type="dxa"/>
          </w:tcPr>
          <w:p w14:paraId="21016E38"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Pr>
          <w:p w14:paraId="4EEE257F" w14:textId="77777777" w:rsidR="00367A0B" w:rsidRPr="00F438F7" w:rsidRDefault="00367A0B" w:rsidP="00514EF2">
            <w:pPr>
              <w:jc w:val="both"/>
              <w:rPr>
                <w:color w:val="000000"/>
                <w:szCs w:val="24"/>
              </w:rPr>
            </w:pPr>
            <w:r w:rsidRPr="00F438F7">
              <w:rPr>
                <w:color w:val="000000"/>
                <w:szCs w:val="24"/>
              </w:rPr>
              <w:t>Teikti Įrangos garantinį aptarnavimą.</w:t>
            </w:r>
          </w:p>
        </w:tc>
        <w:tc>
          <w:tcPr>
            <w:tcW w:w="1559" w:type="dxa"/>
            <w:vAlign w:val="center"/>
          </w:tcPr>
          <w:p w14:paraId="21215A19" w14:textId="77777777" w:rsidR="00367A0B" w:rsidRPr="00F438F7" w:rsidRDefault="00367A0B" w:rsidP="00514EF2">
            <w:pPr>
              <w:jc w:val="center"/>
              <w:rPr>
                <w:color w:val="000000"/>
                <w:szCs w:val="24"/>
              </w:rPr>
            </w:pPr>
            <w:r w:rsidRPr="00F438F7">
              <w:rPr>
                <w:color w:val="000000"/>
                <w:szCs w:val="24"/>
              </w:rPr>
              <w:t>R</w:t>
            </w:r>
          </w:p>
        </w:tc>
        <w:tc>
          <w:tcPr>
            <w:tcW w:w="1559" w:type="dxa"/>
            <w:shd w:val="clear" w:color="auto" w:fill="auto"/>
            <w:noWrap/>
            <w:vAlign w:val="center"/>
            <w:hideMark/>
          </w:tcPr>
          <w:p w14:paraId="178A2636" w14:textId="77777777" w:rsidR="00367A0B" w:rsidRPr="00F438F7" w:rsidRDefault="00367A0B" w:rsidP="00514EF2">
            <w:pPr>
              <w:jc w:val="center"/>
              <w:rPr>
                <w:color w:val="000000"/>
                <w:szCs w:val="24"/>
              </w:rPr>
            </w:pPr>
          </w:p>
        </w:tc>
        <w:tc>
          <w:tcPr>
            <w:tcW w:w="1559" w:type="dxa"/>
            <w:shd w:val="clear" w:color="auto" w:fill="auto"/>
            <w:noWrap/>
            <w:vAlign w:val="center"/>
            <w:hideMark/>
          </w:tcPr>
          <w:p w14:paraId="29E890C7" w14:textId="77777777" w:rsidR="00367A0B" w:rsidRPr="00F438F7" w:rsidRDefault="00367A0B" w:rsidP="00514EF2">
            <w:pPr>
              <w:jc w:val="center"/>
              <w:rPr>
                <w:color w:val="000000"/>
                <w:szCs w:val="24"/>
              </w:rPr>
            </w:pPr>
            <w:r w:rsidRPr="00F438F7">
              <w:rPr>
                <w:color w:val="000000"/>
                <w:szCs w:val="24"/>
              </w:rPr>
              <w:t>A</w:t>
            </w:r>
          </w:p>
        </w:tc>
      </w:tr>
      <w:tr w:rsidR="00367A0B" w:rsidRPr="00F438F7" w14:paraId="697A09C7" w14:textId="77777777" w:rsidTr="00514EF2">
        <w:trPr>
          <w:trHeight w:val="312"/>
        </w:trPr>
        <w:tc>
          <w:tcPr>
            <w:tcW w:w="699" w:type="dxa"/>
          </w:tcPr>
          <w:p w14:paraId="56DB8EDA" w14:textId="77777777" w:rsidR="00367A0B" w:rsidRPr="00F438F7" w:rsidRDefault="00367A0B" w:rsidP="00367A0B">
            <w:pPr>
              <w:pStyle w:val="ListParagraph"/>
              <w:numPr>
                <w:ilvl w:val="1"/>
                <w:numId w:val="10"/>
              </w:numPr>
              <w:ind w:left="460" w:hanging="478"/>
              <w:jc w:val="both"/>
              <w:rPr>
                <w:color w:val="000000"/>
                <w:szCs w:val="24"/>
              </w:rPr>
            </w:pPr>
          </w:p>
        </w:tc>
        <w:tc>
          <w:tcPr>
            <w:tcW w:w="8789" w:type="dxa"/>
          </w:tcPr>
          <w:p w14:paraId="40043290" w14:textId="77777777" w:rsidR="00367A0B" w:rsidRPr="00F438F7" w:rsidRDefault="00367A0B" w:rsidP="00514EF2">
            <w:pPr>
              <w:jc w:val="both"/>
              <w:rPr>
                <w:color w:val="000000"/>
                <w:szCs w:val="24"/>
              </w:rPr>
            </w:pPr>
            <w:r w:rsidRPr="00F438F7">
              <w:rPr>
                <w:color w:val="000000"/>
                <w:szCs w:val="24"/>
              </w:rPr>
              <w:t>Teikti įdiegto Sprendimo ir Įrangos konfigūracijos garantinį aptarnavimą.</w:t>
            </w:r>
          </w:p>
        </w:tc>
        <w:tc>
          <w:tcPr>
            <w:tcW w:w="1559" w:type="dxa"/>
            <w:vAlign w:val="center"/>
          </w:tcPr>
          <w:p w14:paraId="7C149154" w14:textId="77777777" w:rsidR="00367A0B" w:rsidRPr="00F438F7" w:rsidRDefault="00367A0B" w:rsidP="00514EF2">
            <w:pPr>
              <w:jc w:val="center"/>
              <w:rPr>
                <w:color w:val="000000"/>
                <w:szCs w:val="24"/>
              </w:rPr>
            </w:pPr>
          </w:p>
        </w:tc>
        <w:tc>
          <w:tcPr>
            <w:tcW w:w="1559" w:type="dxa"/>
            <w:shd w:val="clear" w:color="auto" w:fill="auto"/>
            <w:noWrap/>
            <w:vAlign w:val="center"/>
            <w:hideMark/>
          </w:tcPr>
          <w:p w14:paraId="3C184D9C" w14:textId="77777777" w:rsidR="00367A0B" w:rsidRPr="00F438F7" w:rsidRDefault="00367A0B" w:rsidP="00514EF2">
            <w:pPr>
              <w:jc w:val="center"/>
              <w:rPr>
                <w:color w:val="000000"/>
                <w:szCs w:val="24"/>
              </w:rPr>
            </w:pPr>
            <w:r w:rsidRPr="00F438F7">
              <w:rPr>
                <w:color w:val="000000"/>
                <w:szCs w:val="24"/>
              </w:rPr>
              <w:t>R</w:t>
            </w:r>
          </w:p>
        </w:tc>
        <w:tc>
          <w:tcPr>
            <w:tcW w:w="1559" w:type="dxa"/>
            <w:shd w:val="clear" w:color="auto" w:fill="auto"/>
            <w:noWrap/>
            <w:vAlign w:val="center"/>
            <w:hideMark/>
          </w:tcPr>
          <w:p w14:paraId="0B662A86" w14:textId="77777777" w:rsidR="00367A0B" w:rsidRPr="00F438F7" w:rsidRDefault="00367A0B" w:rsidP="00514EF2">
            <w:pPr>
              <w:jc w:val="center"/>
              <w:rPr>
                <w:color w:val="000000"/>
                <w:szCs w:val="24"/>
              </w:rPr>
            </w:pPr>
            <w:r w:rsidRPr="00F438F7">
              <w:rPr>
                <w:color w:val="000000"/>
                <w:szCs w:val="24"/>
              </w:rPr>
              <w:t>A</w:t>
            </w:r>
          </w:p>
        </w:tc>
      </w:tr>
    </w:tbl>
    <w:p w14:paraId="09D612DA" w14:textId="77777777" w:rsidR="00367A0B" w:rsidRPr="00F438F7" w:rsidRDefault="00367A0B" w:rsidP="00367A0B">
      <w:pPr>
        <w:rPr>
          <w:szCs w:val="24"/>
        </w:rPr>
      </w:pPr>
    </w:p>
    <w:p w14:paraId="749DFCD3" w14:textId="77777777" w:rsidR="00367A0B" w:rsidRPr="00F438F7" w:rsidRDefault="00367A0B" w:rsidP="00367A0B"/>
    <w:p w14:paraId="3EECE60B" w14:textId="77777777" w:rsidR="003706CF" w:rsidRPr="00F438F7" w:rsidRDefault="003706CF" w:rsidP="003706CF">
      <w:pPr>
        <w:spacing w:line="276" w:lineRule="auto"/>
        <w:rPr>
          <w:i/>
          <w:color w:val="FF0000"/>
          <w:szCs w:val="24"/>
          <w:lang w:bidi="en-US"/>
        </w:rPr>
      </w:pPr>
    </w:p>
    <w:p w14:paraId="2141F88F" w14:textId="77777777" w:rsidR="003706CF" w:rsidRPr="00F438F7" w:rsidRDefault="003706CF" w:rsidP="003706CF">
      <w:pPr>
        <w:spacing w:after="200" w:line="276" w:lineRule="auto"/>
        <w:jc w:val="center"/>
        <w:rPr>
          <w:szCs w:val="24"/>
          <w:lang w:bidi="en-US"/>
        </w:rPr>
      </w:pPr>
      <w:r w:rsidRPr="00F438F7">
        <w:rPr>
          <w:szCs w:val="24"/>
          <w:lang w:bidi="en-US"/>
        </w:rPr>
        <w:t>______________________________</w:t>
      </w:r>
    </w:p>
    <w:p w14:paraId="0360CB64" w14:textId="23C792DA" w:rsidR="003706CF" w:rsidRPr="00F438F7" w:rsidRDefault="003706CF" w:rsidP="00692BA9">
      <w:pPr>
        <w:pStyle w:val="ListParagraph"/>
        <w:tabs>
          <w:tab w:val="center" w:pos="0"/>
          <w:tab w:val="left" w:pos="426"/>
        </w:tabs>
        <w:suppressAutoHyphens/>
        <w:autoSpaceDN w:val="0"/>
        <w:ind w:left="0"/>
        <w:jc w:val="center"/>
        <w:textAlignment w:val="baseline"/>
        <w:rPr>
          <w:szCs w:val="24"/>
        </w:rPr>
      </w:pPr>
    </w:p>
    <w:sectPr w:rsidR="003706CF" w:rsidRPr="00F438F7" w:rsidSect="00692BA9">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D39B" w14:textId="77777777" w:rsidR="00ED7CD6" w:rsidRDefault="00ED7CD6">
      <w:r>
        <w:separator/>
      </w:r>
    </w:p>
  </w:endnote>
  <w:endnote w:type="continuationSeparator" w:id="0">
    <w:p w14:paraId="5B00C578" w14:textId="77777777" w:rsidR="00ED7CD6" w:rsidRDefault="00ED7CD6">
      <w:r>
        <w:continuationSeparator/>
      </w:r>
    </w:p>
  </w:endnote>
  <w:endnote w:type="continuationNotice" w:id="1">
    <w:p w14:paraId="0C7599E9" w14:textId="77777777" w:rsidR="00ED7CD6" w:rsidRDefault="00ED7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D713" w14:textId="77777777" w:rsidR="00E168C1" w:rsidRDefault="00E16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2942" w14:textId="77777777" w:rsidR="00E168C1" w:rsidRDefault="00E16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3798" w14:textId="77777777" w:rsidR="00E168C1" w:rsidRDefault="00E16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37D7" w14:textId="77777777" w:rsidR="00ED7CD6" w:rsidRDefault="00ED7CD6">
      <w:r>
        <w:separator/>
      </w:r>
    </w:p>
  </w:footnote>
  <w:footnote w:type="continuationSeparator" w:id="0">
    <w:p w14:paraId="3C6B3EF7" w14:textId="77777777" w:rsidR="00ED7CD6" w:rsidRDefault="00ED7CD6">
      <w:r>
        <w:continuationSeparator/>
      </w:r>
    </w:p>
  </w:footnote>
  <w:footnote w:type="continuationNotice" w:id="1">
    <w:p w14:paraId="4260C5B4" w14:textId="77777777" w:rsidR="00ED7CD6" w:rsidRDefault="00ED7CD6"/>
  </w:footnote>
  <w:footnote w:id="2">
    <w:p w14:paraId="6E95D60D" w14:textId="77777777" w:rsidR="003B0EB0" w:rsidRPr="00AE3E8B" w:rsidRDefault="003B0EB0" w:rsidP="003B0EB0">
      <w:pPr>
        <w:pStyle w:val="FootnoteText"/>
        <w:jc w:val="both"/>
      </w:pPr>
      <w:r>
        <w:rPr>
          <w:rStyle w:val="FootnoteReference"/>
        </w:rPr>
        <w:footnoteRef/>
      </w:r>
      <w:r>
        <w:t xml:space="preserve"> </w:t>
      </w:r>
      <w:r w:rsidRPr="00AE3E8B">
        <w:t>Perkančioji organizacija taip pat įgyvendina susijusį investicijų projektą „Valstybės informacinių išteklių infrastruktūros konsolidavimas ir įgyvendinimas”, finansuojamą iš 2014–2020 metų Europos Sąjungos fondų investicijų veiksmų programos 10 prioriteto „Visuomenės poreikius atitinkantis ir pažangus viešasis valdymas“ priemonės Nr. 10.1.1-ESFA-V-912 (</w:t>
      </w:r>
      <w:r w:rsidRPr="00AE3E8B">
        <w:rPr>
          <w:kern w:val="12"/>
          <w:lang w:eastAsia="ar-SA"/>
        </w:rPr>
        <w:t>galima susipažinti adresu</w:t>
      </w:r>
      <w:r>
        <w:rPr>
          <w:kern w:val="12"/>
          <w:lang w:eastAsia="ar-SA"/>
        </w:rPr>
        <w:t xml:space="preserve"> </w:t>
      </w:r>
      <w:hyperlink r:id="rId1" w:history="1">
        <w:r w:rsidRPr="00274435">
          <w:rPr>
            <w:rStyle w:val="Hyperlink"/>
          </w:rPr>
          <w:t>https://www.epaslaugos.lt/portal/file/2cbef3ec-9cce-41e9-bf8d-b5d85edf527c</w:t>
        </w:r>
      </w:hyperlink>
      <w:r w:rsidRPr="00AE3E8B">
        <w:t xml:space="preserve">), kurio </w:t>
      </w:r>
      <w:r>
        <w:t xml:space="preserve">uždaviniai ir </w:t>
      </w:r>
      <w:r w:rsidRPr="00AE3E8B">
        <w:t xml:space="preserve">rezultatai yra </w:t>
      </w:r>
      <w:r>
        <w:t xml:space="preserve">tiesiogiai </w:t>
      </w:r>
      <w:r w:rsidRPr="00AE3E8B">
        <w:t>susiję su Projekto uždaviniais ir rezultatais, todėl</w:t>
      </w:r>
      <w:r>
        <w:t>, siekiant bendrų tikslų ir rezultatų įgyvendinimo,</w:t>
      </w:r>
      <w:r w:rsidRPr="00AE3E8B">
        <w:t xml:space="preserve"> visi Projekte dalyvaujantys </w:t>
      </w:r>
      <w:r>
        <w:t>įrangos/</w:t>
      </w:r>
      <w:r w:rsidRPr="00AE3E8B">
        <w:t>paslaugų tiekėjai</w:t>
      </w:r>
      <w:r>
        <w:t xml:space="preserve"> (tame tarpe ir šio viešojo pirkimo laimėtojas)</w:t>
      </w:r>
      <w:r w:rsidRPr="00AE3E8B">
        <w:t>,</w:t>
      </w:r>
      <w:r>
        <w:t xml:space="preserve"> </w:t>
      </w:r>
      <w:r w:rsidRPr="00AE3E8B">
        <w:t xml:space="preserve">privalės </w:t>
      </w:r>
      <w:r>
        <w:t xml:space="preserve">glaudžiai </w:t>
      </w:r>
      <w:r w:rsidRPr="00AE3E8B">
        <w:t xml:space="preserve">bendradarbiauti su 10 prioriteto projekte dalyvaujančiais </w:t>
      </w:r>
      <w:r>
        <w:t>įrangos/p</w:t>
      </w:r>
      <w:r w:rsidRPr="00AE3E8B">
        <w:t>aslaugų tiekėjais</w:t>
      </w:r>
      <w:r>
        <w:t xml:space="preserve"> (prireikus).</w:t>
      </w:r>
      <w:r w:rsidRPr="00AE3E8B">
        <w:t xml:space="preserve"> </w:t>
      </w:r>
    </w:p>
  </w:footnote>
  <w:footnote w:id="3">
    <w:p w14:paraId="1E26CDEA" w14:textId="77777777" w:rsidR="003B0EB0" w:rsidRPr="00B60895" w:rsidRDefault="003B0EB0" w:rsidP="003B0EB0">
      <w:pPr>
        <w:pStyle w:val="FootnoteText"/>
        <w:jc w:val="both"/>
      </w:pPr>
      <w:r w:rsidRPr="00412312">
        <w:rPr>
          <w:rStyle w:val="FootnoteReference"/>
        </w:rPr>
        <w:footnoteRef/>
      </w:r>
      <w:r w:rsidRPr="00412312">
        <w:t xml:space="preserve"> VDPT - Valstybės debesijos paslaugų teikėjas, VITC - Valstybės informacinių technologijų centras</w:t>
      </w:r>
      <w:r>
        <w:t xml:space="preserve"> </w:t>
      </w:r>
    </w:p>
  </w:footnote>
  <w:footnote w:id="4">
    <w:p w14:paraId="445B6F66" w14:textId="77777777" w:rsidR="00711168" w:rsidRPr="00D12D18" w:rsidRDefault="00711168" w:rsidP="00A6627F">
      <w:pPr>
        <w:pStyle w:val="FootnoteText"/>
        <w:jc w:val="both"/>
      </w:pPr>
      <w:r>
        <w:rPr>
          <w:rStyle w:val="FootnoteReference"/>
        </w:rPr>
        <w:footnoteRef/>
      </w:r>
      <w:r>
        <w:t xml:space="preserve"> Įrangos išdėstymo duomenų centruose schema pateikta Detalios architektūros dokumente. Įrangos tiekėjas teikdamas pasiūlymą turi įvertinti tai, kad įrangos išdėstymas spintose gali kisti priklausomai nuo įsigytos įrangos modelių. Bendras spintų kiekis duomenų centruose nesikeis.</w:t>
      </w:r>
    </w:p>
  </w:footnote>
  <w:footnote w:id="5">
    <w:p w14:paraId="3638508E" w14:textId="500BA4D2" w:rsidR="00711168" w:rsidRDefault="00711168" w:rsidP="00412312">
      <w:pPr>
        <w:pStyle w:val="FootnoteText"/>
        <w:jc w:val="both"/>
      </w:pPr>
      <w:r>
        <w:rPr>
          <w:rStyle w:val="FootnoteReference"/>
        </w:rPr>
        <w:footnoteRef/>
      </w:r>
      <w:r w:rsidRPr="00412312">
        <w:t xml:space="preserve"> </w:t>
      </w:r>
      <w:r>
        <w:t xml:space="preserve">Reikalavimas galioja tik Įrangos tiekėjo rengiamai dokumentacijai, o Įrangos gamintojų standartinė dokumentacija </w:t>
      </w:r>
    </w:p>
    <w:p w14:paraId="1F5614AF" w14:textId="13C8BFD8" w:rsidR="00711168" w:rsidRPr="00412312" w:rsidRDefault="00711168" w:rsidP="00412312">
      <w:pPr>
        <w:pStyle w:val="FootnoteText"/>
        <w:jc w:val="both"/>
      </w:pPr>
      <w:r>
        <w:t>(gamintojų instrukcijos, aprašymai ir t.t.), gali būti pateikiami anglų kalba.</w:t>
      </w:r>
    </w:p>
  </w:footnote>
  <w:footnote w:id="6">
    <w:p w14:paraId="6BF91D5D" w14:textId="77777777" w:rsidR="00367A0B" w:rsidRPr="001A6FF3" w:rsidRDefault="00367A0B" w:rsidP="00367A0B">
      <w:pPr>
        <w:pStyle w:val="FootnoteText"/>
        <w:rPr>
          <w:sz w:val="22"/>
          <w:szCs w:val="22"/>
        </w:rPr>
      </w:pPr>
      <w:r w:rsidRPr="001A6FF3">
        <w:rPr>
          <w:rStyle w:val="FootnoteReference"/>
          <w:sz w:val="22"/>
          <w:szCs w:val="22"/>
        </w:rPr>
        <w:footnoteRef/>
      </w:r>
      <w:r w:rsidRPr="001A6FF3">
        <w:rPr>
          <w:sz w:val="22"/>
          <w:szCs w:val="22"/>
        </w:rPr>
        <w:t xml:space="preserve"> R (Responsible) - vykdo darbus</w:t>
      </w:r>
    </w:p>
  </w:footnote>
  <w:footnote w:id="7">
    <w:p w14:paraId="4EE87C95" w14:textId="77777777" w:rsidR="00367A0B" w:rsidRPr="00A86628" w:rsidRDefault="00367A0B" w:rsidP="00367A0B">
      <w:pPr>
        <w:pStyle w:val="FootnoteText"/>
      </w:pPr>
      <w:r w:rsidRPr="001A6FF3">
        <w:rPr>
          <w:rStyle w:val="FootnoteReference"/>
          <w:sz w:val="22"/>
          <w:szCs w:val="22"/>
        </w:rPr>
        <w:footnoteRef/>
      </w:r>
      <w:r w:rsidRPr="001A6FF3">
        <w:rPr>
          <w:sz w:val="22"/>
          <w:szCs w:val="22"/>
        </w:rPr>
        <w:t xml:space="preserve"> A (Accountable) - priima darbų rezultatus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65E4" w14:textId="77777777" w:rsidR="00E168C1" w:rsidRDefault="00E16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F9D6" w14:textId="77777777" w:rsidR="00E168C1" w:rsidRDefault="00E16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608B" w14:textId="77777777" w:rsidR="00711168" w:rsidRPr="00585173" w:rsidRDefault="00711168" w:rsidP="00AA0FBF">
    <w:pPr>
      <w:pStyle w:val="Header"/>
      <w:jc w:val="center"/>
      <w:rPr>
        <w:sz w:val="16"/>
        <w:szCs w:val="12"/>
      </w:rPr>
    </w:pPr>
    <w:r w:rsidRPr="00585173">
      <w:rPr>
        <w:sz w:val="16"/>
        <w:szCs w:val="12"/>
      </w:rPr>
      <w:t>ATVIRO KONKURSO PIRKIMO DOKUMENTAI</w:t>
    </w:r>
  </w:p>
  <w:p w14:paraId="46977FCD" w14:textId="77777777" w:rsidR="00711168" w:rsidRPr="00585173" w:rsidRDefault="00711168" w:rsidP="00AA0FBF">
    <w:pPr>
      <w:pStyle w:val="Header"/>
      <w:jc w:val="center"/>
      <w:rPr>
        <w:sz w:val="16"/>
        <w:szCs w:val="12"/>
      </w:rPr>
    </w:pPr>
    <w:r w:rsidRPr="00585173">
      <w:rPr>
        <w:sz w:val="16"/>
        <w:szCs w:val="12"/>
      </w:rPr>
      <w:t>TECHNINĖ SPECIFIKACIJA</w:t>
    </w:r>
  </w:p>
  <w:p w14:paraId="13160522" w14:textId="77777777" w:rsidR="00711168" w:rsidRDefault="00711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AF9"/>
    <w:multiLevelType w:val="hybridMultilevel"/>
    <w:tmpl w:val="96E8C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C4A92"/>
    <w:multiLevelType w:val="multilevel"/>
    <w:tmpl w:val="F5E0363A"/>
    <w:styleLink w:val="Style1"/>
    <w:lvl w:ilvl="0">
      <w:start w:val="5"/>
      <w:numFmt w:val="decimal"/>
      <w:lvlText w:val="%1."/>
      <w:lvlJc w:val="left"/>
      <w:pPr>
        <w:ind w:left="786" w:hanging="360"/>
      </w:pPr>
      <w:rPr>
        <w:rFonts w:ascii="Times New Roman" w:hAnsi="Times New Roman" w:hint="default"/>
        <w:b w:val="0"/>
        <w:color w:val="auto"/>
      </w:rPr>
    </w:lvl>
    <w:lvl w:ilvl="1">
      <w:start w:val="5"/>
      <w:numFmt w:val="decimal"/>
      <w:lvlText w:val="%2."/>
      <w:lvlJc w:val="left"/>
      <w:pPr>
        <w:ind w:left="792"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3B5A9F"/>
    <w:multiLevelType w:val="multilevel"/>
    <w:tmpl w:val="3EE4FC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33048C"/>
    <w:multiLevelType w:val="multilevel"/>
    <w:tmpl w:val="3C68AA86"/>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000000" w:themeColor="text1"/>
      </w:rPr>
    </w:lvl>
    <w:lvl w:ilvl="2">
      <w:start w:val="1"/>
      <w:numFmt w:val="decimal"/>
      <w:lvlText w:val="%1.%2.%3."/>
      <w:lvlJc w:val="left"/>
      <w:pPr>
        <w:ind w:left="157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79161B2"/>
    <w:multiLevelType w:val="hybridMultilevel"/>
    <w:tmpl w:val="FC5847CC"/>
    <w:lvl w:ilvl="0" w:tplc="0346085C">
      <w:start w:val="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2"/>
  </w:num>
  <w:num w:numId="5">
    <w:abstractNumId w:val="6"/>
  </w:num>
  <w:num w:numId="6">
    <w:abstractNumId w:val="9"/>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26F"/>
    <w:rsid w:val="00001731"/>
    <w:rsid w:val="00003465"/>
    <w:rsid w:val="0000684D"/>
    <w:rsid w:val="000077F3"/>
    <w:rsid w:val="00011B1A"/>
    <w:rsid w:val="00013A3A"/>
    <w:rsid w:val="00013F05"/>
    <w:rsid w:val="00014607"/>
    <w:rsid w:val="00014A0D"/>
    <w:rsid w:val="000152D5"/>
    <w:rsid w:val="00017252"/>
    <w:rsid w:val="0001736F"/>
    <w:rsid w:val="000214E3"/>
    <w:rsid w:val="00026E69"/>
    <w:rsid w:val="00027466"/>
    <w:rsid w:val="0003240F"/>
    <w:rsid w:val="000353A2"/>
    <w:rsid w:val="0003558B"/>
    <w:rsid w:val="00035736"/>
    <w:rsid w:val="00041A0E"/>
    <w:rsid w:val="0004685E"/>
    <w:rsid w:val="0004745E"/>
    <w:rsid w:val="000509C2"/>
    <w:rsid w:val="00052477"/>
    <w:rsid w:val="0005288B"/>
    <w:rsid w:val="0005561F"/>
    <w:rsid w:val="00055E44"/>
    <w:rsid w:val="00063709"/>
    <w:rsid w:val="000641FB"/>
    <w:rsid w:val="00065140"/>
    <w:rsid w:val="00065672"/>
    <w:rsid w:val="00073907"/>
    <w:rsid w:val="00077615"/>
    <w:rsid w:val="00084B4C"/>
    <w:rsid w:val="00084F01"/>
    <w:rsid w:val="000856C6"/>
    <w:rsid w:val="00090006"/>
    <w:rsid w:val="000928E6"/>
    <w:rsid w:val="00095419"/>
    <w:rsid w:val="000A1B3C"/>
    <w:rsid w:val="000A3E24"/>
    <w:rsid w:val="000A4913"/>
    <w:rsid w:val="000A4E41"/>
    <w:rsid w:val="000B3AEF"/>
    <w:rsid w:val="000B63EE"/>
    <w:rsid w:val="000B70B7"/>
    <w:rsid w:val="000C010A"/>
    <w:rsid w:val="000C0C43"/>
    <w:rsid w:val="000C2441"/>
    <w:rsid w:val="000C4D5D"/>
    <w:rsid w:val="000D02AD"/>
    <w:rsid w:val="000D2B5F"/>
    <w:rsid w:val="000E1A86"/>
    <w:rsid w:val="000E67F2"/>
    <w:rsid w:val="000F06DE"/>
    <w:rsid w:val="000F4A37"/>
    <w:rsid w:val="00102635"/>
    <w:rsid w:val="0010385E"/>
    <w:rsid w:val="001044EC"/>
    <w:rsid w:val="00113AC8"/>
    <w:rsid w:val="0011416B"/>
    <w:rsid w:val="0011458F"/>
    <w:rsid w:val="00114690"/>
    <w:rsid w:val="00122BC6"/>
    <w:rsid w:val="00125840"/>
    <w:rsid w:val="001265F4"/>
    <w:rsid w:val="00137896"/>
    <w:rsid w:val="00145E9C"/>
    <w:rsid w:val="001567AA"/>
    <w:rsid w:val="00160A71"/>
    <w:rsid w:val="001627A1"/>
    <w:rsid w:val="00162A30"/>
    <w:rsid w:val="001669B4"/>
    <w:rsid w:val="00172C9D"/>
    <w:rsid w:val="001744B3"/>
    <w:rsid w:val="0018222D"/>
    <w:rsid w:val="00184545"/>
    <w:rsid w:val="0018629D"/>
    <w:rsid w:val="00186A32"/>
    <w:rsid w:val="001873D7"/>
    <w:rsid w:val="0019185B"/>
    <w:rsid w:val="001A1BB2"/>
    <w:rsid w:val="001A1D5E"/>
    <w:rsid w:val="001A7701"/>
    <w:rsid w:val="001B2015"/>
    <w:rsid w:val="001B2ED4"/>
    <w:rsid w:val="001C0C2C"/>
    <w:rsid w:val="001C2A66"/>
    <w:rsid w:val="001C2CA6"/>
    <w:rsid w:val="001C4532"/>
    <w:rsid w:val="001D4889"/>
    <w:rsid w:val="001D5D76"/>
    <w:rsid w:val="001D5D93"/>
    <w:rsid w:val="001D6EE5"/>
    <w:rsid w:val="001D7269"/>
    <w:rsid w:val="001E0968"/>
    <w:rsid w:val="001E408D"/>
    <w:rsid w:val="001F284D"/>
    <w:rsid w:val="001F3CFA"/>
    <w:rsid w:val="001F6210"/>
    <w:rsid w:val="002007DC"/>
    <w:rsid w:val="0020572D"/>
    <w:rsid w:val="00205DF0"/>
    <w:rsid w:val="00207F6D"/>
    <w:rsid w:val="00210E08"/>
    <w:rsid w:val="00212118"/>
    <w:rsid w:val="00214298"/>
    <w:rsid w:val="002177E5"/>
    <w:rsid w:val="00220226"/>
    <w:rsid w:val="00220637"/>
    <w:rsid w:val="002217AC"/>
    <w:rsid w:val="00223510"/>
    <w:rsid w:val="002251CB"/>
    <w:rsid w:val="00230185"/>
    <w:rsid w:val="00231E2D"/>
    <w:rsid w:val="00234076"/>
    <w:rsid w:val="002347FC"/>
    <w:rsid w:val="0023612E"/>
    <w:rsid w:val="00240A11"/>
    <w:rsid w:val="00243291"/>
    <w:rsid w:val="00243A8B"/>
    <w:rsid w:val="00244068"/>
    <w:rsid w:val="00244159"/>
    <w:rsid w:val="0025070E"/>
    <w:rsid w:val="0025441E"/>
    <w:rsid w:val="002557A0"/>
    <w:rsid w:val="002663D8"/>
    <w:rsid w:val="00271AAE"/>
    <w:rsid w:val="00273186"/>
    <w:rsid w:val="00273C81"/>
    <w:rsid w:val="0027559D"/>
    <w:rsid w:val="00280182"/>
    <w:rsid w:val="00284C8E"/>
    <w:rsid w:val="00290DEB"/>
    <w:rsid w:val="0029272E"/>
    <w:rsid w:val="00292F3E"/>
    <w:rsid w:val="00297930"/>
    <w:rsid w:val="002A63F4"/>
    <w:rsid w:val="002A6699"/>
    <w:rsid w:val="002B218D"/>
    <w:rsid w:val="002C3F13"/>
    <w:rsid w:val="002C60D3"/>
    <w:rsid w:val="002D10E8"/>
    <w:rsid w:val="002D25AF"/>
    <w:rsid w:val="002D3906"/>
    <w:rsid w:val="002E6B0A"/>
    <w:rsid w:val="002E7BC7"/>
    <w:rsid w:val="002F122C"/>
    <w:rsid w:val="002F2CB7"/>
    <w:rsid w:val="002F53D9"/>
    <w:rsid w:val="002F5CBB"/>
    <w:rsid w:val="002F723A"/>
    <w:rsid w:val="003029B4"/>
    <w:rsid w:val="00304DF1"/>
    <w:rsid w:val="00305925"/>
    <w:rsid w:val="00310D51"/>
    <w:rsid w:val="00312C90"/>
    <w:rsid w:val="00314F82"/>
    <w:rsid w:val="00317B11"/>
    <w:rsid w:val="00324339"/>
    <w:rsid w:val="003362AF"/>
    <w:rsid w:val="003364FE"/>
    <w:rsid w:val="00343B13"/>
    <w:rsid w:val="00352677"/>
    <w:rsid w:val="003556B1"/>
    <w:rsid w:val="00360561"/>
    <w:rsid w:val="00362300"/>
    <w:rsid w:val="00362392"/>
    <w:rsid w:val="00365BC2"/>
    <w:rsid w:val="003668F1"/>
    <w:rsid w:val="0036748D"/>
    <w:rsid w:val="0036753A"/>
    <w:rsid w:val="00367A0B"/>
    <w:rsid w:val="003705C4"/>
    <w:rsid w:val="003706CF"/>
    <w:rsid w:val="00370B86"/>
    <w:rsid w:val="00370E13"/>
    <w:rsid w:val="00373EFC"/>
    <w:rsid w:val="00384D8C"/>
    <w:rsid w:val="003922CF"/>
    <w:rsid w:val="00393258"/>
    <w:rsid w:val="003952E2"/>
    <w:rsid w:val="003B098D"/>
    <w:rsid w:val="003B0EB0"/>
    <w:rsid w:val="003B2BD9"/>
    <w:rsid w:val="003B3A04"/>
    <w:rsid w:val="003B4824"/>
    <w:rsid w:val="003B5B2B"/>
    <w:rsid w:val="003B7005"/>
    <w:rsid w:val="003C08C5"/>
    <w:rsid w:val="003D09AD"/>
    <w:rsid w:val="003D3275"/>
    <w:rsid w:val="003D3F92"/>
    <w:rsid w:val="003D503B"/>
    <w:rsid w:val="003E1B0D"/>
    <w:rsid w:val="003E29DB"/>
    <w:rsid w:val="003E745F"/>
    <w:rsid w:val="003F0B52"/>
    <w:rsid w:val="003F1892"/>
    <w:rsid w:val="003F2CB3"/>
    <w:rsid w:val="003F349B"/>
    <w:rsid w:val="00400A33"/>
    <w:rsid w:val="00412312"/>
    <w:rsid w:val="004123BA"/>
    <w:rsid w:val="0041384D"/>
    <w:rsid w:val="00413A2D"/>
    <w:rsid w:val="00414CD3"/>
    <w:rsid w:val="00416BA1"/>
    <w:rsid w:val="0042009D"/>
    <w:rsid w:val="00423866"/>
    <w:rsid w:val="004267F1"/>
    <w:rsid w:val="00427FB4"/>
    <w:rsid w:val="004347B5"/>
    <w:rsid w:val="00434892"/>
    <w:rsid w:val="00434CCD"/>
    <w:rsid w:val="0043762C"/>
    <w:rsid w:val="00442EED"/>
    <w:rsid w:val="00446F0E"/>
    <w:rsid w:val="0045325B"/>
    <w:rsid w:val="00453AE8"/>
    <w:rsid w:val="004545CF"/>
    <w:rsid w:val="0045630B"/>
    <w:rsid w:val="00457463"/>
    <w:rsid w:val="00462389"/>
    <w:rsid w:val="00475AF5"/>
    <w:rsid w:val="004A1436"/>
    <w:rsid w:val="004A2C34"/>
    <w:rsid w:val="004A4A02"/>
    <w:rsid w:val="004A628A"/>
    <w:rsid w:val="004A77DD"/>
    <w:rsid w:val="004B0C3A"/>
    <w:rsid w:val="004B1A32"/>
    <w:rsid w:val="004B7D9F"/>
    <w:rsid w:val="004C4E73"/>
    <w:rsid w:val="004C5E17"/>
    <w:rsid w:val="004D5F86"/>
    <w:rsid w:val="004D610B"/>
    <w:rsid w:val="004E3CDE"/>
    <w:rsid w:val="004E4C8C"/>
    <w:rsid w:val="004F4DCC"/>
    <w:rsid w:val="00501FA6"/>
    <w:rsid w:val="00502AE3"/>
    <w:rsid w:val="005045F9"/>
    <w:rsid w:val="00514EF2"/>
    <w:rsid w:val="0052081F"/>
    <w:rsid w:val="005246A9"/>
    <w:rsid w:val="00524996"/>
    <w:rsid w:val="00526AEE"/>
    <w:rsid w:val="0053326C"/>
    <w:rsid w:val="00540B35"/>
    <w:rsid w:val="00542106"/>
    <w:rsid w:val="005429EE"/>
    <w:rsid w:val="00544A27"/>
    <w:rsid w:val="00545061"/>
    <w:rsid w:val="005506D1"/>
    <w:rsid w:val="00551CD3"/>
    <w:rsid w:val="0055414D"/>
    <w:rsid w:val="0055620F"/>
    <w:rsid w:val="00557BCB"/>
    <w:rsid w:val="00563B6E"/>
    <w:rsid w:val="00571977"/>
    <w:rsid w:val="005775F4"/>
    <w:rsid w:val="0058023B"/>
    <w:rsid w:val="00582C0D"/>
    <w:rsid w:val="00584EF7"/>
    <w:rsid w:val="00586F64"/>
    <w:rsid w:val="00596D86"/>
    <w:rsid w:val="005A07F3"/>
    <w:rsid w:val="005A221A"/>
    <w:rsid w:val="005A4B34"/>
    <w:rsid w:val="005A7FEB"/>
    <w:rsid w:val="005B4129"/>
    <w:rsid w:val="005B4EA4"/>
    <w:rsid w:val="005B598F"/>
    <w:rsid w:val="005B5D92"/>
    <w:rsid w:val="005B5EA6"/>
    <w:rsid w:val="005B6E48"/>
    <w:rsid w:val="005B732A"/>
    <w:rsid w:val="005C1093"/>
    <w:rsid w:val="005C1475"/>
    <w:rsid w:val="005C5D7B"/>
    <w:rsid w:val="005D1139"/>
    <w:rsid w:val="005D20F1"/>
    <w:rsid w:val="005E0D77"/>
    <w:rsid w:val="005E1CE4"/>
    <w:rsid w:val="005E467C"/>
    <w:rsid w:val="005F1F43"/>
    <w:rsid w:val="005F45C4"/>
    <w:rsid w:val="005F4A87"/>
    <w:rsid w:val="00600F7E"/>
    <w:rsid w:val="006103ED"/>
    <w:rsid w:val="0061150C"/>
    <w:rsid w:val="00616599"/>
    <w:rsid w:val="00624456"/>
    <w:rsid w:val="00631DBD"/>
    <w:rsid w:val="006415E0"/>
    <w:rsid w:val="0064322C"/>
    <w:rsid w:val="006436B2"/>
    <w:rsid w:val="0064390F"/>
    <w:rsid w:val="00645A2D"/>
    <w:rsid w:val="00647F2B"/>
    <w:rsid w:val="00650F88"/>
    <w:rsid w:val="00652184"/>
    <w:rsid w:val="00653593"/>
    <w:rsid w:val="00653F3F"/>
    <w:rsid w:val="00654F25"/>
    <w:rsid w:val="00657BED"/>
    <w:rsid w:val="006618B6"/>
    <w:rsid w:val="006639B1"/>
    <w:rsid w:val="006716FF"/>
    <w:rsid w:val="006757EF"/>
    <w:rsid w:val="00686C7D"/>
    <w:rsid w:val="006904D1"/>
    <w:rsid w:val="00692BA9"/>
    <w:rsid w:val="00692FF7"/>
    <w:rsid w:val="006948E5"/>
    <w:rsid w:val="006A1C69"/>
    <w:rsid w:val="006A7709"/>
    <w:rsid w:val="006A7D70"/>
    <w:rsid w:val="006B04DE"/>
    <w:rsid w:val="006B0984"/>
    <w:rsid w:val="006B7AAF"/>
    <w:rsid w:val="006C5653"/>
    <w:rsid w:val="006C56F9"/>
    <w:rsid w:val="006C6B90"/>
    <w:rsid w:val="006D7328"/>
    <w:rsid w:val="006D77D3"/>
    <w:rsid w:val="006E008C"/>
    <w:rsid w:val="006E0640"/>
    <w:rsid w:val="006E1ABA"/>
    <w:rsid w:val="006E6FF1"/>
    <w:rsid w:val="006F26C1"/>
    <w:rsid w:val="0070112F"/>
    <w:rsid w:val="00701D7C"/>
    <w:rsid w:val="00710556"/>
    <w:rsid w:val="00711168"/>
    <w:rsid w:val="00712610"/>
    <w:rsid w:val="007141D5"/>
    <w:rsid w:val="00714D69"/>
    <w:rsid w:val="007216C7"/>
    <w:rsid w:val="007229A7"/>
    <w:rsid w:val="00722B91"/>
    <w:rsid w:val="00724D3B"/>
    <w:rsid w:val="00727D53"/>
    <w:rsid w:val="00734B65"/>
    <w:rsid w:val="0073667B"/>
    <w:rsid w:val="00737783"/>
    <w:rsid w:val="007458FC"/>
    <w:rsid w:val="00750B3C"/>
    <w:rsid w:val="007534A9"/>
    <w:rsid w:val="0076068B"/>
    <w:rsid w:val="007858FF"/>
    <w:rsid w:val="007904C5"/>
    <w:rsid w:val="00791C11"/>
    <w:rsid w:val="007949E5"/>
    <w:rsid w:val="00796A16"/>
    <w:rsid w:val="007B0570"/>
    <w:rsid w:val="007B7354"/>
    <w:rsid w:val="007C1682"/>
    <w:rsid w:val="007C1A78"/>
    <w:rsid w:val="007C7F1D"/>
    <w:rsid w:val="007D73BF"/>
    <w:rsid w:val="007E5524"/>
    <w:rsid w:val="007E58FD"/>
    <w:rsid w:val="007E64D3"/>
    <w:rsid w:val="007E7827"/>
    <w:rsid w:val="007F1481"/>
    <w:rsid w:val="007F3759"/>
    <w:rsid w:val="007F4981"/>
    <w:rsid w:val="007F6C98"/>
    <w:rsid w:val="007F7520"/>
    <w:rsid w:val="00801302"/>
    <w:rsid w:val="00801495"/>
    <w:rsid w:val="008034CE"/>
    <w:rsid w:val="00803881"/>
    <w:rsid w:val="00803D82"/>
    <w:rsid w:val="00806C1F"/>
    <w:rsid w:val="008136D2"/>
    <w:rsid w:val="00821936"/>
    <w:rsid w:val="008237FD"/>
    <w:rsid w:val="0082431F"/>
    <w:rsid w:val="008261F5"/>
    <w:rsid w:val="00827D59"/>
    <w:rsid w:val="008367A4"/>
    <w:rsid w:val="008373FE"/>
    <w:rsid w:val="00840581"/>
    <w:rsid w:val="00841B07"/>
    <w:rsid w:val="00842874"/>
    <w:rsid w:val="00842CCA"/>
    <w:rsid w:val="00845455"/>
    <w:rsid w:val="008527ED"/>
    <w:rsid w:val="00855D85"/>
    <w:rsid w:val="00857D22"/>
    <w:rsid w:val="0086323A"/>
    <w:rsid w:val="0086710C"/>
    <w:rsid w:val="008752D0"/>
    <w:rsid w:val="00877740"/>
    <w:rsid w:val="00884757"/>
    <w:rsid w:val="00884B67"/>
    <w:rsid w:val="0089545D"/>
    <w:rsid w:val="0089595E"/>
    <w:rsid w:val="0089659E"/>
    <w:rsid w:val="00897B5A"/>
    <w:rsid w:val="008A0EF1"/>
    <w:rsid w:val="008B0165"/>
    <w:rsid w:val="008B0FE5"/>
    <w:rsid w:val="008B7C61"/>
    <w:rsid w:val="008C7C0D"/>
    <w:rsid w:val="008E0F17"/>
    <w:rsid w:val="008E1618"/>
    <w:rsid w:val="008E3770"/>
    <w:rsid w:val="008E463B"/>
    <w:rsid w:val="008E58F7"/>
    <w:rsid w:val="008F1A32"/>
    <w:rsid w:val="008F5801"/>
    <w:rsid w:val="00915501"/>
    <w:rsid w:val="009177C6"/>
    <w:rsid w:val="00920147"/>
    <w:rsid w:val="00926B03"/>
    <w:rsid w:val="00931D93"/>
    <w:rsid w:val="00933C72"/>
    <w:rsid w:val="009345BE"/>
    <w:rsid w:val="00936DA7"/>
    <w:rsid w:val="009370B3"/>
    <w:rsid w:val="0094105F"/>
    <w:rsid w:val="00950C2F"/>
    <w:rsid w:val="00952124"/>
    <w:rsid w:val="00952D65"/>
    <w:rsid w:val="009530EC"/>
    <w:rsid w:val="0096085C"/>
    <w:rsid w:val="00961FFD"/>
    <w:rsid w:val="009641E9"/>
    <w:rsid w:val="00965181"/>
    <w:rsid w:val="00971846"/>
    <w:rsid w:val="0097340D"/>
    <w:rsid w:val="009748E3"/>
    <w:rsid w:val="009777BF"/>
    <w:rsid w:val="00977CE6"/>
    <w:rsid w:val="0098090E"/>
    <w:rsid w:val="00980F8E"/>
    <w:rsid w:val="00990442"/>
    <w:rsid w:val="0099089C"/>
    <w:rsid w:val="00991BA0"/>
    <w:rsid w:val="0099275A"/>
    <w:rsid w:val="00992DBC"/>
    <w:rsid w:val="00994B49"/>
    <w:rsid w:val="00995F3F"/>
    <w:rsid w:val="009A0F0C"/>
    <w:rsid w:val="009A220E"/>
    <w:rsid w:val="009A2AB9"/>
    <w:rsid w:val="009A5EB9"/>
    <w:rsid w:val="009A7EC9"/>
    <w:rsid w:val="009B0F7F"/>
    <w:rsid w:val="009B1027"/>
    <w:rsid w:val="009B199E"/>
    <w:rsid w:val="009B2237"/>
    <w:rsid w:val="009B29BD"/>
    <w:rsid w:val="009B4383"/>
    <w:rsid w:val="009B5072"/>
    <w:rsid w:val="009C1016"/>
    <w:rsid w:val="009C3571"/>
    <w:rsid w:val="009D2B44"/>
    <w:rsid w:val="009D32B2"/>
    <w:rsid w:val="009D4C12"/>
    <w:rsid w:val="009E1265"/>
    <w:rsid w:val="009E2820"/>
    <w:rsid w:val="009E5C27"/>
    <w:rsid w:val="009F5063"/>
    <w:rsid w:val="00A038FA"/>
    <w:rsid w:val="00A121C6"/>
    <w:rsid w:val="00A131C5"/>
    <w:rsid w:val="00A14298"/>
    <w:rsid w:val="00A14552"/>
    <w:rsid w:val="00A17DCE"/>
    <w:rsid w:val="00A2070E"/>
    <w:rsid w:val="00A2238B"/>
    <w:rsid w:val="00A258B5"/>
    <w:rsid w:val="00A30037"/>
    <w:rsid w:val="00A313B2"/>
    <w:rsid w:val="00A37360"/>
    <w:rsid w:val="00A439AD"/>
    <w:rsid w:val="00A449A9"/>
    <w:rsid w:val="00A456C7"/>
    <w:rsid w:val="00A46E0C"/>
    <w:rsid w:val="00A53FCD"/>
    <w:rsid w:val="00A54FA9"/>
    <w:rsid w:val="00A6627F"/>
    <w:rsid w:val="00A674F0"/>
    <w:rsid w:val="00A70893"/>
    <w:rsid w:val="00A71D12"/>
    <w:rsid w:val="00A74142"/>
    <w:rsid w:val="00A76C3D"/>
    <w:rsid w:val="00A90202"/>
    <w:rsid w:val="00A96225"/>
    <w:rsid w:val="00A96518"/>
    <w:rsid w:val="00AA0E24"/>
    <w:rsid w:val="00AA0FBF"/>
    <w:rsid w:val="00AA21C8"/>
    <w:rsid w:val="00AB1C35"/>
    <w:rsid w:val="00AB1D33"/>
    <w:rsid w:val="00AB3B66"/>
    <w:rsid w:val="00AB5346"/>
    <w:rsid w:val="00AB7D4A"/>
    <w:rsid w:val="00AC26EE"/>
    <w:rsid w:val="00AC41B6"/>
    <w:rsid w:val="00AD2FCD"/>
    <w:rsid w:val="00AD5D59"/>
    <w:rsid w:val="00AD6C0A"/>
    <w:rsid w:val="00AE2AF7"/>
    <w:rsid w:val="00AE2B2D"/>
    <w:rsid w:val="00AE2DB6"/>
    <w:rsid w:val="00AF09D9"/>
    <w:rsid w:val="00AF09DC"/>
    <w:rsid w:val="00AF5623"/>
    <w:rsid w:val="00AF6717"/>
    <w:rsid w:val="00B11D29"/>
    <w:rsid w:val="00B2131E"/>
    <w:rsid w:val="00B22360"/>
    <w:rsid w:val="00B22C06"/>
    <w:rsid w:val="00B23478"/>
    <w:rsid w:val="00B23C9D"/>
    <w:rsid w:val="00B24B9C"/>
    <w:rsid w:val="00B256F2"/>
    <w:rsid w:val="00B27210"/>
    <w:rsid w:val="00B31818"/>
    <w:rsid w:val="00B32BF4"/>
    <w:rsid w:val="00B34DB2"/>
    <w:rsid w:val="00B3771D"/>
    <w:rsid w:val="00B43131"/>
    <w:rsid w:val="00B44294"/>
    <w:rsid w:val="00B50832"/>
    <w:rsid w:val="00B527CA"/>
    <w:rsid w:val="00B5726F"/>
    <w:rsid w:val="00B6014C"/>
    <w:rsid w:val="00B60895"/>
    <w:rsid w:val="00B61B1C"/>
    <w:rsid w:val="00B62184"/>
    <w:rsid w:val="00B7015A"/>
    <w:rsid w:val="00B8267B"/>
    <w:rsid w:val="00B9577D"/>
    <w:rsid w:val="00B97BA3"/>
    <w:rsid w:val="00BB027A"/>
    <w:rsid w:val="00BB43F9"/>
    <w:rsid w:val="00BB682B"/>
    <w:rsid w:val="00BC39DF"/>
    <w:rsid w:val="00BD4B75"/>
    <w:rsid w:val="00BD74BF"/>
    <w:rsid w:val="00BE7261"/>
    <w:rsid w:val="00C02A13"/>
    <w:rsid w:val="00C12556"/>
    <w:rsid w:val="00C13C29"/>
    <w:rsid w:val="00C1422A"/>
    <w:rsid w:val="00C21A9D"/>
    <w:rsid w:val="00C23080"/>
    <w:rsid w:val="00C34139"/>
    <w:rsid w:val="00C3644F"/>
    <w:rsid w:val="00C45608"/>
    <w:rsid w:val="00C457D9"/>
    <w:rsid w:val="00C45E47"/>
    <w:rsid w:val="00C47827"/>
    <w:rsid w:val="00C660CE"/>
    <w:rsid w:val="00C661DD"/>
    <w:rsid w:val="00C66B0F"/>
    <w:rsid w:val="00C70834"/>
    <w:rsid w:val="00C72F9A"/>
    <w:rsid w:val="00C74D1D"/>
    <w:rsid w:val="00C7591D"/>
    <w:rsid w:val="00C8026F"/>
    <w:rsid w:val="00C80E9D"/>
    <w:rsid w:val="00C82B50"/>
    <w:rsid w:val="00C83037"/>
    <w:rsid w:val="00C83DD7"/>
    <w:rsid w:val="00C86271"/>
    <w:rsid w:val="00C96A5E"/>
    <w:rsid w:val="00C96E81"/>
    <w:rsid w:val="00C976DF"/>
    <w:rsid w:val="00CA01F1"/>
    <w:rsid w:val="00CA0CF1"/>
    <w:rsid w:val="00CA37E5"/>
    <w:rsid w:val="00CA57B2"/>
    <w:rsid w:val="00CB408F"/>
    <w:rsid w:val="00CC1032"/>
    <w:rsid w:val="00CD6507"/>
    <w:rsid w:val="00CD6D6B"/>
    <w:rsid w:val="00CE3E69"/>
    <w:rsid w:val="00CE47D7"/>
    <w:rsid w:val="00CE595F"/>
    <w:rsid w:val="00CE6C51"/>
    <w:rsid w:val="00CF13E1"/>
    <w:rsid w:val="00CF4D92"/>
    <w:rsid w:val="00CF6776"/>
    <w:rsid w:val="00D03C8F"/>
    <w:rsid w:val="00D059D9"/>
    <w:rsid w:val="00D06B9D"/>
    <w:rsid w:val="00D108FB"/>
    <w:rsid w:val="00D30441"/>
    <w:rsid w:val="00D34455"/>
    <w:rsid w:val="00D352EB"/>
    <w:rsid w:val="00D361C8"/>
    <w:rsid w:val="00D36BA3"/>
    <w:rsid w:val="00D41AFD"/>
    <w:rsid w:val="00D431F2"/>
    <w:rsid w:val="00D471E5"/>
    <w:rsid w:val="00D6564B"/>
    <w:rsid w:val="00D67B00"/>
    <w:rsid w:val="00D7096C"/>
    <w:rsid w:val="00D716B4"/>
    <w:rsid w:val="00D71F2E"/>
    <w:rsid w:val="00D736BE"/>
    <w:rsid w:val="00D75F23"/>
    <w:rsid w:val="00D77251"/>
    <w:rsid w:val="00D779DE"/>
    <w:rsid w:val="00D81E68"/>
    <w:rsid w:val="00D82788"/>
    <w:rsid w:val="00D86CFA"/>
    <w:rsid w:val="00D918C9"/>
    <w:rsid w:val="00DA2F0D"/>
    <w:rsid w:val="00DA327B"/>
    <w:rsid w:val="00DA36E2"/>
    <w:rsid w:val="00DA3E5F"/>
    <w:rsid w:val="00DA4282"/>
    <w:rsid w:val="00DB5D33"/>
    <w:rsid w:val="00DC07F9"/>
    <w:rsid w:val="00DC3C20"/>
    <w:rsid w:val="00DC6725"/>
    <w:rsid w:val="00DD2287"/>
    <w:rsid w:val="00DD33E9"/>
    <w:rsid w:val="00DD587D"/>
    <w:rsid w:val="00DE052F"/>
    <w:rsid w:val="00DE1747"/>
    <w:rsid w:val="00DE2EC4"/>
    <w:rsid w:val="00DE6D28"/>
    <w:rsid w:val="00E05DDA"/>
    <w:rsid w:val="00E13978"/>
    <w:rsid w:val="00E168C1"/>
    <w:rsid w:val="00E2080A"/>
    <w:rsid w:val="00E24351"/>
    <w:rsid w:val="00E33703"/>
    <w:rsid w:val="00E3450C"/>
    <w:rsid w:val="00E35215"/>
    <w:rsid w:val="00E40D6E"/>
    <w:rsid w:val="00E4119F"/>
    <w:rsid w:val="00E461FB"/>
    <w:rsid w:val="00E47372"/>
    <w:rsid w:val="00E51D77"/>
    <w:rsid w:val="00E52465"/>
    <w:rsid w:val="00E54C5F"/>
    <w:rsid w:val="00E56296"/>
    <w:rsid w:val="00E62EAC"/>
    <w:rsid w:val="00E653A9"/>
    <w:rsid w:val="00E6655E"/>
    <w:rsid w:val="00E74A02"/>
    <w:rsid w:val="00E7643E"/>
    <w:rsid w:val="00E76FB3"/>
    <w:rsid w:val="00E81B2A"/>
    <w:rsid w:val="00E81E72"/>
    <w:rsid w:val="00E84557"/>
    <w:rsid w:val="00EA0001"/>
    <w:rsid w:val="00EA2E33"/>
    <w:rsid w:val="00EA39B4"/>
    <w:rsid w:val="00EB262A"/>
    <w:rsid w:val="00EB5EBE"/>
    <w:rsid w:val="00EC0585"/>
    <w:rsid w:val="00EC1FFE"/>
    <w:rsid w:val="00EC29C4"/>
    <w:rsid w:val="00EC5103"/>
    <w:rsid w:val="00ED09A7"/>
    <w:rsid w:val="00ED42BC"/>
    <w:rsid w:val="00ED7AA3"/>
    <w:rsid w:val="00ED7CD6"/>
    <w:rsid w:val="00EE4B92"/>
    <w:rsid w:val="00EE60F8"/>
    <w:rsid w:val="00EF0FA1"/>
    <w:rsid w:val="00EF178F"/>
    <w:rsid w:val="00EF2F2F"/>
    <w:rsid w:val="00EF33F3"/>
    <w:rsid w:val="00EF3913"/>
    <w:rsid w:val="00EF50A6"/>
    <w:rsid w:val="00EF56E9"/>
    <w:rsid w:val="00F000AE"/>
    <w:rsid w:val="00F00921"/>
    <w:rsid w:val="00F00E1B"/>
    <w:rsid w:val="00F03E49"/>
    <w:rsid w:val="00F0512F"/>
    <w:rsid w:val="00F168F6"/>
    <w:rsid w:val="00F16EAE"/>
    <w:rsid w:val="00F1738F"/>
    <w:rsid w:val="00F17ABF"/>
    <w:rsid w:val="00F2071C"/>
    <w:rsid w:val="00F21ECA"/>
    <w:rsid w:val="00F23C8E"/>
    <w:rsid w:val="00F2447B"/>
    <w:rsid w:val="00F27FB0"/>
    <w:rsid w:val="00F36445"/>
    <w:rsid w:val="00F41EF9"/>
    <w:rsid w:val="00F438F7"/>
    <w:rsid w:val="00F52EA3"/>
    <w:rsid w:val="00F6219C"/>
    <w:rsid w:val="00F64438"/>
    <w:rsid w:val="00F67F86"/>
    <w:rsid w:val="00F72491"/>
    <w:rsid w:val="00F74840"/>
    <w:rsid w:val="00F83310"/>
    <w:rsid w:val="00F87CF6"/>
    <w:rsid w:val="00F916FF"/>
    <w:rsid w:val="00F92E7A"/>
    <w:rsid w:val="00F93F88"/>
    <w:rsid w:val="00F9661E"/>
    <w:rsid w:val="00FA27E8"/>
    <w:rsid w:val="00FA28AC"/>
    <w:rsid w:val="00FA4000"/>
    <w:rsid w:val="00FA6008"/>
    <w:rsid w:val="00FA6A7E"/>
    <w:rsid w:val="00FA723B"/>
    <w:rsid w:val="00FB5A80"/>
    <w:rsid w:val="00FB6735"/>
    <w:rsid w:val="00FB70A9"/>
    <w:rsid w:val="00FB78AD"/>
    <w:rsid w:val="00FD1248"/>
    <w:rsid w:val="00FD1458"/>
    <w:rsid w:val="00FE0EDA"/>
    <w:rsid w:val="00FF11F2"/>
    <w:rsid w:val="16023640"/>
    <w:rsid w:val="2461662A"/>
    <w:rsid w:val="257AFBC6"/>
    <w:rsid w:val="3627F227"/>
    <w:rsid w:val="3EF42B2C"/>
    <w:rsid w:val="4D4E42A1"/>
    <w:rsid w:val="50E89A67"/>
    <w:rsid w:val="514D743D"/>
    <w:rsid w:val="52D0B3B9"/>
    <w:rsid w:val="562DE7CE"/>
    <w:rsid w:val="56DBFC8A"/>
    <w:rsid w:val="5AF6895F"/>
    <w:rsid w:val="724418CA"/>
    <w:rsid w:val="73585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36D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47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2081F"/>
    <w:pPr>
      <w:keepNext/>
      <w:keepLines/>
      <w:numPr>
        <w:numId w:val="2"/>
      </w:numPr>
      <w:spacing w:before="240" w:line="276" w:lineRule="auto"/>
      <w:outlineLvl w:val="0"/>
    </w:pPr>
    <w:rPr>
      <w:rFonts w:asciiTheme="majorHAnsi" w:eastAsiaTheme="majorEastAsia" w:hAnsiTheme="majorHAnsi" w:cstheme="majorBidi"/>
      <w:color w:val="2F5496" w:themeColor="accent1" w:themeShade="BF"/>
      <w:sz w:val="32"/>
      <w:szCs w:val="32"/>
      <w:lang w:val="en-US" w:bidi="en-US"/>
    </w:rPr>
  </w:style>
  <w:style w:type="paragraph" w:styleId="Heading2">
    <w:name w:val="heading 2"/>
    <w:basedOn w:val="Normal"/>
    <w:next w:val="Normal"/>
    <w:link w:val="Heading2Char"/>
    <w:uiPriority w:val="9"/>
    <w:unhideWhenUsed/>
    <w:qFormat/>
    <w:rsid w:val="0052081F"/>
    <w:pPr>
      <w:keepNext/>
      <w:keepLines/>
      <w:numPr>
        <w:ilvl w:val="1"/>
        <w:numId w:val="2"/>
      </w:numPr>
      <w:spacing w:before="40" w:line="276" w:lineRule="auto"/>
      <w:outlineLvl w:val="1"/>
    </w:pPr>
    <w:rPr>
      <w:rFonts w:asciiTheme="majorHAnsi" w:eastAsiaTheme="majorEastAsia" w:hAnsiTheme="majorHAnsi" w:cstheme="majorBidi"/>
      <w:color w:val="2F5496" w:themeColor="accent1" w:themeShade="BF"/>
      <w:sz w:val="26"/>
      <w:szCs w:val="26"/>
      <w:lang w:val="en-US" w:bidi="en-US"/>
    </w:rPr>
  </w:style>
  <w:style w:type="paragraph" w:styleId="Heading3">
    <w:name w:val="heading 3"/>
    <w:basedOn w:val="Normal"/>
    <w:next w:val="Normal"/>
    <w:link w:val="Heading3Char"/>
    <w:uiPriority w:val="9"/>
    <w:semiHidden/>
    <w:unhideWhenUsed/>
    <w:qFormat/>
    <w:rsid w:val="0052081F"/>
    <w:pPr>
      <w:keepNext/>
      <w:keepLines/>
      <w:numPr>
        <w:ilvl w:val="2"/>
        <w:numId w:val="2"/>
      </w:numPr>
      <w:spacing w:before="40" w:line="276" w:lineRule="auto"/>
      <w:outlineLvl w:val="2"/>
    </w:pPr>
    <w:rPr>
      <w:rFonts w:asciiTheme="majorHAnsi" w:eastAsiaTheme="majorEastAsia" w:hAnsiTheme="majorHAnsi" w:cstheme="majorBidi"/>
      <w:color w:val="1F3763" w:themeColor="accent1" w:themeShade="7F"/>
      <w:szCs w:val="24"/>
      <w:lang w:val="en-US" w:bidi="en-US"/>
    </w:rPr>
  </w:style>
  <w:style w:type="paragraph" w:styleId="Heading4">
    <w:name w:val="heading 4"/>
    <w:basedOn w:val="Normal"/>
    <w:next w:val="Normal"/>
    <w:link w:val="Heading4Char"/>
    <w:uiPriority w:val="9"/>
    <w:semiHidden/>
    <w:unhideWhenUsed/>
    <w:qFormat/>
    <w:rsid w:val="0052081F"/>
    <w:pPr>
      <w:keepNext/>
      <w:keepLines/>
      <w:numPr>
        <w:ilvl w:val="3"/>
        <w:numId w:val="2"/>
      </w:numPr>
      <w:spacing w:before="40" w:line="276" w:lineRule="auto"/>
      <w:outlineLvl w:val="3"/>
    </w:pPr>
    <w:rPr>
      <w:rFonts w:asciiTheme="majorHAnsi" w:eastAsiaTheme="majorEastAsia" w:hAnsiTheme="majorHAnsi" w:cstheme="majorBidi"/>
      <w:i/>
      <w:iCs/>
      <w:color w:val="2F5496" w:themeColor="accent1" w:themeShade="BF"/>
      <w:sz w:val="22"/>
      <w:szCs w:val="22"/>
      <w:lang w:val="en-US" w:bidi="en-US"/>
    </w:rPr>
  </w:style>
  <w:style w:type="paragraph" w:styleId="Heading5">
    <w:name w:val="heading 5"/>
    <w:basedOn w:val="Normal"/>
    <w:next w:val="Normal"/>
    <w:link w:val="Heading5Char"/>
    <w:uiPriority w:val="9"/>
    <w:semiHidden/>
    <w:unhideWhenUsed/>
    <w:qFormat/>
    <w:rsid w:val="0052081F"/>
    <w:pPr>
      <w:keepNext/>
      <w:keepLines/>
      <w:numPr>
        <w:ilvl w:val="4"/>
        <w:numId w:val="2"/>
      </w:numPr>
      <w:spacing w:before="40" w:line="276" w:lineRule="auto"/>
      <w:outlineLvl w:val="4"/>
    </w:pPr>
    <w:rPr>
      <w:rFonts w:asciiTheme="majorHAnsi" w:eastAsiaTheme="majorEastAsia" w:hAnsiTheme="majorHAnsi" w:cstheme="majorBidi"/>
      <w:color w:val="2F5496" w:themeColor="accent1" w:themeShade="BF"/>
      <w:sz w:val="22"/>
      <w:szCs w:val="22"/>
      <w:lang w:val="en-US" w:bidi="en-US"/>
    </w:rPr>
  </w:style>
  <w:style w:type="paragraph" w:styleId="Heading6">
    <w:name w:val="heading 6"/>
    <w:basedOn w:val="Normal"/>
    <w:next w:val="Normal"/>
    <w:link w:val="Heading6Char"/>
    <w:uiPriority w:val="9"/>
    <w:semiHidden/>
    <w:unhideWhenUsed/>
    <w:qFormat/>
    <w:rsid w:val="0052081F"/>
    <w:pPr>
      <w:keepNext/>
      <w:keepLines/>
      <w:numPr>
        <w:ilvl w:val="5"/>
        <w:numId w:val="2"/>
      </w:numPr>
      <w:spacing w:before="40" w:line="276" w:lineRule="auto"/>
      <w:outlineLvl w:val="5"/>
    </w:pPr>
    <w:rPr>
      <w:rFonts w:asciiTheme="majorHAnsi" w:eastAsiaTheme="majorEastAsia" w:hAnsiTheme="majorHAnsi" w:cstheme="majorBidi"/>
      <w:color w:val="1F3763"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52081F"/>
    <w:pPr>
      <w:keepNext/>
      <w:keepLines/>
      <w:numPr>
        <w:ilvl w:val="6"/>
        <w:numId w:val="2"/>
      </w:numPr>
      <w:spacing w:before="40" w:line="276" w:lineRule="auto"/>
      <w:outlineLvl w:val="6"/>
    </w:pPr>
    <w:rPr>
      <w:rFonts w:asciiTheme="majorHAnsi" w:eastAsiaTheme="majorEastAsia" w:hAnsiTheme="majorHAnsi" w:cstheme="majorBidi"/>
      <w:i/>
      <w:iCs/>
      <w:color w:val="1F3763" w:themeColor="accent1" w:themeShade="7F"/>
      <w:sz w:val="22"/>
      <w:szCs w:val="22"/>
      <w:lang w:val="en-US" w:bidi="en-US"/>
    </w:rPr>
  </w:style>
  <w:style w:type="paragraph" w:styleId="Heading8">
    <w:name w:val="heading 8"/>
    <w:basedOn w:val="Normal"/>
    <w:next w:val="Normal"/>
    <w:link w:val="Heading8Char"/>
    <w:uiPriority w:val="9"/>
    <w:semiHidden/>
    <w:unhideWhenUsed/>
    <w:qFormat/>
    <w:rsid w:val="0052081F"/>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val="en-US" w:bidi="en-US"/>
    </w:rPr>
  </w:style>
  <w:style w:type="paragraph" w:styleId="Heading9">
    <w:name w:val="heading 9"/>
    <w:basedOn w:val="Normal"/>
    <w:next w:val="Normal"/>
    <w:link w:val="Heading9Char"/>
    <w:uiPriority w:val="9"/>
    <w:semiHidden/>
    <w:unhideWhenUsed/>
    <w:qFormat/>
    <w:rsid w:val="0052081F"/>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726F"/>
    <w:rPr>
      <w:color w:val="0000FF"/>
      <w:u w:val="single"/>
    </w:rPr>
  </w:style>
  <w:style w:type="paragraph" w:styleId="Header">
    <w:name w:val="header"/>
    <w:basedOn w:val="Normal"/>
    <w:link w:val="HeaderChar"/>
    <w:uiPriority w:val="99"/>
    <w:rsid w:val="00B5726F"/>
    <w:pPr>
      <w:tabs>
        <w:tab w:val="center" w:pos="4819"/>
        <w:tab w:val="right" w:pos="9638"/>
      </w:tabs>
    </w:pPr>
  </w:style>
  <w:style w:type="character" w:customStyle="1" w:styleId="HeaderChar">
    <w:name w:val="Header Char"/>
    <w:basedOn w:val="DefaultParagraphFont"/>
    <w:link w:val="Header"/>
    <w:uiPriority w:val="99"/>
    <w:qFormat/>
    <w:rsid w:val="00B5726F"/>
    <w:rPr>
      <w:rFonts w:ascii="Times New Roman" w:eastAsia="Times New Roman" w:hAnsi="Times New Roman" w:cs="Times New Roman"/>
      <w:sz w:val="24"/>
      <w:szCs w:val="20"/>
      <w:lang w:val="en-GB"/>
    </w:rPr>
  </w:style>
  <w:style w:type="character" w:styleId="CommentReference">
    <w:name w:val="annotation reference"/>
    <w:uiPriority w:val="99"/>
    <w:semiHidden/>
    <w:unhideWhenUsed/>
    <w:rsid w:val="00B5726F"/>
    <w:rPr>
      <w:sz w:val="16"/>
      <w:szCs w:val="16"/>
    </w:rPr>
  </w:style>
  <w:style w:type="paragraph" w:styleId="CommentText">
    <w:name w:val="annotation text"/>
    <w:basedOn w:val="Normal"/>
    <w:link w:val="CommentTextChar"/>
    <w:uiPriority w:val="99"/>
    <w:unhideWhenUsed/>
    <w:rsid w:val="00B5726F"/>
    <w:rPr>
      <w:sz w:val="20"/>
    </w:rPr>
  </w:style>
  <w:style w:type="character" w:customStyle="1" w:styleId="CommentTextChar">
    <w:name w:val="Comment Text Char"/>
    <w:basedOn w:val="DefaultParagraphFont"/>
    <w:link w:val="CommentText"/>
    <w:uiPriority w:val="99"/>
    <w:rsid w:val="00B5726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B5726F"/>
    <w:pPr>
      <w:tabs>
        <w:tab w:val="center" w:pos="4819"/>
        <w:tab w:val="right" w:pos="9638"/>
      </w:tabs>
    </w:pPr>
  </w:style>
  <w:style w:type="character" w:customStyle="1" w:styleId="FooterChar">
    <w:name w:val="Footer Char"/>
    <w:basedOn w:val="DefaultParagraphFont"/>
    <w:link w:val="Footer"/>
    <w:uiPriority w:val="99"/>
    <w:rsid w:val="00B5726F"/>
    <w:rPr>
      <w:rFonts w:ascii="Times New Roman" w:eastAsia="Times New Roman" w:hAnsi="Times New Roman" w:cs="Times New Roman"/>
      <w:sz w:val="24"/>
      <w:szCs w:val="20"/>
      <w:lang w:val="en-GB"/>
    </w:rPr>
  </w:style>
  <w:style w:type="paragraph" w:styleId="NormalWeb">
    <w:name w:val="Normal (Web)"/>
    <w:basedOn w:val="Normal"/>
    <w:uiPriority w:val="99"/>
    <w:semiHidden/>
    <w:unhideWhenUsed/>
    <w:rsid w:val="00B5726F"/>
    <w:pPr>
      <w:spacing w:before="100" w:beforeAutospacing="1" w:after="100" w:afterAutospacing="1"/>
    </w:pPr>
    <w:rPr>
      <w:lang w:eastAsia="lt-LT"/>
    </w:rPr>
  </w:style>
  <w:style w:type="character" w:customStyle="1" w:styleId="item">
    <w:name w:val="item"/>
    <w:rsid w:val="00B5726F"/>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B5726F"/>
    <w:pPr>
      <w:ind w:left="720"/>
      <w:contextualSpacing/>
    </w:pPr>
  </w:style>
  <w:style w:type="paragraph" w:styleId="BalloonText">
    <w:name w:val="Balloon Text"/>
    <w:basedOn w:val="Normal"/>
    <w:link w:val="BalloonTextChar"/>
    <w:uiPriority w:val="99"/>
    <w:semiHidden/>
    <w:unhideWhenUsed/>
    <w:rsid w:val="00B57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26F"/>
    <w:rPr>
      <w:rFonts w:ascii="Segoe UI" w:eastAsia="Times New Roman" w:hAnsi="Segoe UI" w:cs="Segoe UI"/>
      <w:sz w:val="18"/>
      <w:szCs w:val="18"/>
      <w:lang w:val="en-GB"/>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AB1C35"/>
    <w:rPr>
      <w:rFonts w:ascii="Times New Roman" w:eastAsia="Times New Roman" w:hAnsi="Times New Roman" w:cs="Times New Roman"/>
      <w:sz w:val="24"/>
      <w:szCs w:val="20"/>
      <w:lang w:val="en-GB"/>
    </w:rPr>
  </w:style>
  <w:style w:type="paragraph" w:styleId="CommentSubject">
    <w:name w:val="annotation subject"/>
    <w:basedOn w:val="CommentText"/>
    <w:next w:val="CommentText"/>
    <w:link w:val="CommentSubjectChar"/>
    <w:uiPriority w:val="99"/>
    <w:semiHidden/>
    <w:unhideWhenUsed/>
    <w:rsid w:val="00F000AE"/>
    <w:rPr>
      <w:b/>
      <w:bCs/>
    </w:rPr>
  </w:style>
  <w:style w:type="character" w:customStyle="1" w:styleId="CommentSubjectChar">
    <w:name w:val="Comment Subject Char"/>
    <w:basedOn w:val="CommentTextChar"/>
    <w:link w:val="CommentSubject"/>
    <w:uiPriority w:val="99"/>
    <w:semiHidden/>
    <w:rsid w:val="00F000AE"/>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52081F"/>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52081F"/>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52081F"/>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52081F"/>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52081F"/>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52081F"/>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52081F"/>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52081F"/>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52081F"/>
    <w:rPr>
      <w:rFonts w:asciiTheme="majorHAnsi" w:eastAsiaTheme="majorEastAsia" w:hAnsiTheme="majorHAnsi" w:cstheme="majorBidi"/>
      <w:i/>
      <w:iCs/>
      <w:color w:val="272727" w:themeColor="text1" w:themeTint="D8"/>
      <w:sz w:val="21"/>
      <w:szCs w:val="21"/>
      <w:lang w:val="en-US" w:bidi="en-US"/>
    </w:rPr>
  </w:style>
  <w:style w:type="numbering" w:customStyle="1" w:styleId="Style1">
    <w:name w:val="Style1"/>
    <w:uiPriority w:val="99"/>
    <w:rsid w:val="00A2070E"/>
    <w:pPr>
      <w:numPr>
        <w:numId w:val="4"/>
      </w:numPr>
    </w:pPr>
  </w:style>
  <w:style w:type="character" w:customStyle="1" w:styleId="normaltextrun1">
    <w:name w:val="normaltextrun1"/>
    <w:basedOn w:val="DefaultParagraphFont"/>
    <w:rsid w:val="00710556"/>
  </w:style>
  <w:style w:type="character" w:customStyle="1" w:styleId="eop">
    <w:name w:val="eop"/>
    <w:basedOn w:val="DefaultParagraphFont"/>
    <w:rsid w:val="00710556"/>
  </w:style>
  <w:style w:type="paragraph" w:styleId="Revision">
    <w:name w:val="Revision"/>
    <w:hidden/>
    <w:uiPriority w:val="99"/>
    <w:semiHidden/>
    <w:rsid w:val="00F41EF9"/>
    <w:pPr>
      <w:spacing w:after="0" w:line="240" w:lineRule="auto"/>
    </w:pPr>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B3771D"/>
    <w:rPr>
      <w:sz w:val="20"/>
    </w:rPr>
  </w:style>
  <w:style w:type="character" w:customStyle="1" w:styleId="FootnoteTextChar">
    <w:name w:val="Footnote Text Char"/>
    <w:basedOn w:val="DefaultParagraphFont"/>
    <w:link w:val="FootnoteText"/>
    <w:uiPriority w:val="99"/>
    <w:semiHidden/>
    <w:rsid w:val="00B3771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3771D"/>
    <w:rPr>
      <w:vertAlign w:val="superscript"/>
    </w:rPr>
  </w:style>
  <w:style w:type="paragraph" w:styleId="PlainText">
    <w:name w:val="Plain Text"/>
    <w:basedOn w:val="Normal"/>
    <w:link w:val="PlainTextChar"/>
    <w:uiPriority w:val="99"/>
    <w:semiHidden/>
    <w:unhideWhenUsed/>
    <w:rsid w:val="00446F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46F0E"/>
    <w:rPr>
      <w:rFonts w:ascii="Calibri" w:hAnsi="Calibri"/>
      <w:szCs w:val="21"/>
    </w:rPr>
  </w:style>
  <w:style w:type="character" w:styleId="FollowedHyperlink">
    <w:name w:val="FollowedHyperlink"/>
    <w:basedOn w:val="DefaultParagraphFont"/>
    <w:uiPriority w:val="99"/>
    <w:semiHidden/>
    <w:unhideWhenUsed/>
    <w:rsid w:val="00F52EA3"/>
    <w:rPr>
      <w:color w:val="954F72" w:themeColor="followedHyperlink"/>
      <w:u w:val="single"/>
    </w:rPr>
  </w:style>
  <w:style w:type="paragraph" w:customStyle="1" w:styleId="Standard">
    <w:name w:val="Standard"/>
    <w:link w:val="StandardChar"/>
    <w:rsid w:val="00365BC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StandardChar">
    <w:name w:val="Standard Char"/>
    <w:basedOn w:val="DefaultParagraphFont"/>
    <w:link w:val="Standard"/>
    <w:rsid w:val="00365BC2"/>
    <w:rPr>
      <w:rFonts w:ascii="Liberation Serif" w:eastAsia="NSimSun" w:hAnsi="Liberation Serif" w:cs="Arial"/>
      <w:kern w:val="3"/>
      <w:sz w:val="24"/>
      <w:szCs w:val="24"/>
      <w:lang w:eastAsia="zh-CN" w:bidi="hi-IN"/>
    </w:rPr>
  </w:style>
  <w:style w:type="character" w:customStyle="1" w:styleId="normaltextrun">
    <w:name w:val="normaltextrun"/>
    <w:basedOn w:val="DefaultParagraphFont"/>
    <w:rsid w:val="004E4C8C"/>
  </w:style>
  <w:style w:type="paragraph" w:customStyle="1" w:styleId="paragraph">
    <w:name w:val="paragraph"/>
    <w:basedOn w:val="Normal"/>
    <w:rsid w:val="00B527C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96372">
      <w:bodyDiv w:val="1"/>
      <w:marLeft w:val="0"/>
      <w:marRight w:val="0"/>
      <w:marTop w:val="0"/>
      <w:marBottom w:val="0"/>
      <w:divBdr>
        <w:top w:val="none" w:sz="0" w:space="0" w:color="auto"/>
        <w:left w:val="none" w:sz="0" w:space="0" w:color="auto"/>
        <w:bottom w:val="none" w:sz="0" w:space="0" w:color="auto"/>
        <w:right w:val="none" w:sz="0" w:space="0" w:color="auto"/>
      </w:divBdr>
    </w:div>
    <w:div w:id="872956569">
      <w:bodyDiv w:val="1"/>
      <w:marLeft w:val="0"/>
      <w:marRight w:val="0"/>
      <w:marTop w:val="0"/>
      <w:marBottom w:val="0"/>
      <w:divBdr>
        <w:top w:val="none" w:sz="0" w:space="0" w:color="auto"/>
        <w:left w:val="none" w:sz="0" w:space="0" w:color="auto"/>
        <w:bottom w:val="none" w:sz="0" w:space="0" w:color="auto"/>
        <w:right w:val="none" w:sz="0" w:space="0" w:color="auto"/>
      </w:divBdr>
    </w:div>
    <w:div w:id="935215807">
      <w:bodyDiv w:val="1"/>
      <w:marLeft w:val="0"/>
      <w:marRight w:val="0"/>
      <w:marTop w:val="0"/>
      <w:marBottom w:val="0"/>
      <w:divBdr>
        <w:top w:val="none" w:sz="0" w:space="0" w:color="auto"/>
        <w:left w:val="none" w:sz="0" w:space="0" w:color="auto"/>
        <w:bottom w:val="none" w:sz="0" w:space="0" w:color="auto"/>
        <w:right w:val="none" w:sz="0" w:space="0" w:color="auto"/>
      </w:divBdr>
      <w:divsChild>
        <w:div w:id="704327898">
          <w:marLeft w:val="0"/>
          <w:marRight w:val="0"/>
          <w:marTop w:val="0"/>
          <w:marBottom w:val="0"/>
          <w:divBdr>
            <w:top w:val="none" w:sz="0" w:space="0" w:color="auto"/>
            <w:left w:val="none" w:sz="0" w:space="0" w:color="auto"/>
            <w:bottom w:val="none" w:sz="0" w:space="0" w:color="auto"/>
            <w:right w:val="none" w:sz="0" w:space="0" w:color="auto"/>
          </w:divBdr>
        </w:div>
      </w:divsChild>
    </w:div>
    <w:div w:id="1195651297">
      <w:bodyDiv w:val="1"/>
      <w:marLeft w:val="0"/>
      <w:marRight w:val="0"/>
      <w:marTop w:val="0"/>
      <w:marBottom w:val="0"/>
      <w:divBdr>
        <w:top w:val="none" w:sz="0" w:space="0" w:color="auto"/>
        <w:left w:val="none" w:sz="0" w:space="0" w:color="auto"/>
        <w:bottom w:val="none" w:sz="0" w:space="0" w:color="auto"/>
        <w:right w:val="none" w:sz="0" w:space="0" w:color="auto"/>
      </w:divBdr>
      <w:divsChild>
        <w:div w:id="2106996021">
          <w:marLeft w:val="0"/>
          <w:marRight w:val="0"/>
          <w:marTop w:val="0"/>
          <w:marBottom w:val="0"/>
          <w:divBdr>
            <w:top w:val="none" w:sz="0" w:space="0" w:color="auto"/>
            <w:left w:val="none" w:sz="0" w:space="0" w:color="auto"/>
            <w:bottom w:val="none" w:sz="0" w:space="0" w:color="auto"/>
            <w:right w:val="none" w:sz="0" w:space="0" w:color="auto"/>
          </w:divBdr>
        </w:div>
      </w:divsChild>
    </w:div>
    <w:div w:id="1216890235">
      <w:bodyDiv w:val="1"/>
      <w:marLeft w:val="0"/>
      <w:marRight w:val="0"/>
      <w:marTop w:val="0"/>
      <w:marBottom w:val="0"/>
      <w:divBdr>
        <w:top w:val="none" w:sz="0" w:space="0" w:color="auto"/>
        <w:left w:val="none" w:sz="0" w:space="0" w:color="auto"/>
        <w:bottom w:val="none" w:sz="0" w:space="0" w:color="auto"/>
        <w:right w:val="none" w:sz="0" w:space="0" w:color="auto"/>
      </w:divBdr>
      <w:divsChild>
        <w:div w:id="1118912718">
          <w:marLeft w:val="0"/>
          <w:marRight w:val="0"/>
          <w:marTop w:val="0"/>
          <w:marBottom w:val="0"/>
          <w:divBdr>
            <w:top w:val="none" w:sz="0" w:space="0" w:color="auto"/>
            <w:left w:val="none" w:sz="0" w:space="0" w:color="auto"/>
            <w:bottom w:val="none" w:sz="0" w:space="0" w:color="auto"/>
            <w:right w:val="none" w:sz="0" w:space="0" w:color="auto"/>
          </w:divBdr>
          <w:divsChild>
            <w:div w:id="4862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671">
      <w:bodyDiv w:val="1"/>
      <w:marLeft w:val="0"/>
      <w:marRight w:val="0"/>
      <w:marTop w:val="0"/>
      <w:marBottom w:val="0"/>
      <w:divBdr>
        <w:top w:val="none" w:sz="0" w:space="0" w:color="auto"/>
        <w:left w:val="none" w:sz="0" w:space="0" w:color="auto"/>
        <w:bottom w:val="none" w:sz="0" w:space="0" w:color="auto"/>
        <w:right w:val="none" w:sz="0" w:space="0" w:color="auto"/>
      </w:divBdr>
      <w:divsChild>
        <w:div w:id="1357535484">
          <w:marLeft w:val="0"/>
          <w:marRight w:val="0"/>
          <w:marTop w:val="0"/>
          <w:marBottom w:val="0"/>
          <w:divBdr>
            <w:top w:val="none" w:sz="0" w:space="0" w:color="auto"/>
            <w:left w:val="none" w:sz="0" w:space="0" w:color="auto"/>
            <w:bottom w:val="none" w:sz="0" w:space="0" w:color="auto"/>
            <w:right w:val="none" w:sz="0" w:space="0" w:color="auto"/>
          </w:divBdr>
        </w:div>
      </w:divsChild>
    </w:div>
    <w:div w:id="1364289294">
      <w:bodyDiv w:val="1"/>
      <w:marLeft w:val="0"/>
      <w:marRight w:val="0"/>
      <w:marTop w:val="0"/>
      <w:marBottom w:val="0"/>
      <w:divBdr>
        <w:top w:val="none" w:sz="0" w:space="0" w:color="auto"/>
        <w:left w:val="none" w:sz="0" w:space="0" w:color="auto"/>
        <w:bottom w:val="none" w:sz="0" w:space="0" w:color="auto"/>
        <w:right w:val="none" w:sz="0" w:space="0" w:color="auto"/>
      </w:divBdr>
      <w:divsChild>
        <w:div w:id="438062798">
          <w:marLeft w:val="0"/>
          <w:marRight w:val="0"/>
          <w:marTop w:val="0"/>
          <w:marBottom w:val="0"/>
          <w:divBdr>
            <w:top w:val="none" w:sz="0" w:space="0" w:color="auto"/>
            <w:left w:val="none" w:sz="0" w:space="0" w:color="auto"/>
            <w:bottom w:val="none" w:sz="0" w:space="0" w:color="auto"/>
            <w:right w:val="none" w:sz="0" w:space="0" w:color="auto"/>
          </w:divBdr>
          <w:divsChild>
            <w:div w:id="19558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2127">
      <w:bodyDiv w:val="1"/>
      <w:marLeft w:val="0"/>
      <w:marRight w:val="0"/>
      <w:marTop w:val="0"/>
      <w:marBottom w:val="0"/>
      <w:divBdr>
        <w:top w:val="none" w:sz="0" w:space="0" w:color="auto"/>
        <w:left w:val="none" w:sz="0" w:space="0" w:color="auto"/>
        <w:bottom w:val="none" w:sz="0" w:space="0" w:color="auto"/>
        <w:right w:val="none" w:sz="0" w:space="0" w:color="auto"/>
      </w:divBdr>
    </w:div>
    <w:div w:id="1570728829">
      <w:bodyDiv w:val="1"/>
      <w:marLeft w:val="0"/>
      <w:marRight w:val="0"/>
      <w:marTop w:val="0"/>
      <w:marBottom w:val="0"/>
      <w:divBdr>
        <w:top w:val="none" w:sz="0" w:space="0" w:color="auto"/>
        <w:left w:val="none" w:sz="0" w:space="0" w:color="auto"/>
        <w:bottom w:val="none" w:sz="0" w:space="0" w:color="auto"/>
        <w:right w:val="none" w:sz="0" w:space="0" w:color="auto"/>
      </w:divBdr>
      <w:divsChild>
        <w:div w:id="436680073">
          <w:marLeft w:val="0"/>
          <w:marRight w:val="0"/>
          <w:marTop w:val="0"/>
          <w:marBottom w:val="0"/>
          <w:divBdr>
            <w:top w:val="none" w:sz="0" w:space="0" w:color="auto"/>
            <w:left w:val="none" w:sz="0" w:space="0" w:color="auto"/>
            <w:bottom w:val="none" w:sz="0" w:space="0" w:color="auto"/>
            <w:right w:val="none" w:sz="0" w:space="0" w:color="auto"/>
          </w:divBdr>
        </w:div>
      </w:divsChild>
    </w:div>
    <w:div w:id="1577086268">
      <w:bodyDiv w:val="1"/>
      <w:marLeft w:val="0"/>
      <w:marRight w:val="0"/>
      <w:marTop w:val="0"/>
      <w:marBottom w:val="0"/>
      <w:divBdr>
        <w:top w:val="none" w:sz="0" w:space="0" w:color="auto"/>
        <w:left w:val="none" w:sz="0" w:space="0" w:color="auto"/>
        <w:bottom w:val="none" w:sz="0" w:space="0" w:color="auto"/>
        <w:right w:val="none" w:sz="0" w:space="0" w:color="auto"/>
      </w:divBdr>
    </w:div>
    <w:div w:id="1592006685">
      <w:bodyDiv w:val="1"/>
      <w:marLeft w:val="0"/>
      <w:marRight w:val="0"/>
      <w:marTop w:val="0"/>
      <w:marBottom w:val="0"/>
      <w:divBdr>
        <w:top w:val="none" w:sz="0" w:space="0" w:color="auto"/>
        <w:left w:val="none" w:sz="0" w:space="0" w:color="auto"/>
        <w:bottom w:val="none" w:sz="0" w:space="0" w:color="auto"/>
        <w:right w:val="none" w:sz="0" w:space="0" w:color="auto"/>
      </w:divBdr>
    </w:div>
    <w:div w:id="1691368958">
      <w:bodyDiv w:val="1"/>
      <w:marLeft w:val="0"/>
      <w:marRight w:val="0"/>
      <w:marTop w:val="0"/>
      <w:marBottom w:val="0"/>
      <w:divBdr>
        <w:top w:val="none" w:sz="0" w:space="0" w:color="auto"/>
        <w:left w:val="none" w:sz="0" w:space="0" w:color="auto"/>
        <w:bottom w:val="none" w:sz="0" w:space="0" w:color="auto"/>
        <w:right w:val="none" w:sz="0" w:space="0" w:color="auto"/>
      </w:divBdr>
    </w:div>
    <w:div w:id="1694072600">
      <w:bodyDiv w:val="1"/>
      <w:marLeft w:val="0"/>
      <w:marRight w:val="0"/>
      <w:marTop w:val="0"/>
      <w:marBottom w:val="0"/>
      <w:divBdr>
        <w:top w:val="none" w:sz="0" w:space="0" w:color="auto"/>
        <w:left w:val="none" w:sz="0" w:space="0" w:color="auto"/>
        <w:bottom w:val="none" w:sz="0" w:space="0" w:color="auto"/>
        <w:right w:val="none" w:sz="0" w:space="0" w:color="auto"/>
      </w:divBdr>
    </w:div>
    <w:div w:id="210333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vpk.lrv.lt/uploads/ivpk/documents/files/veikla/VII%20konsolidavimas/Login%C4%97_Debesijos_paslaug%C5%B3_teikimo_IT_infrastrukt%C5%ABros_architekt%C5%ABra.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slaugos.lt/portal/file/e11229f7-33f0-456e-8e0f-c1dfaf1912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paslaugos.lt/portal/file/2cbef3ec-9cce-41e9-bf8d-b5d85edf52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3" ma:contentTypeDescription="Create a new document." ma:contentTypeScope="" ma:versionID="9688fefafe093cfc4257072fba19fc69">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6d8d6ea863657888ca9e5857cc2b97f8"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76E02-D879-4B40-A73B-1965AAC61B5F}">
  <ds:schemaRefs>
    <ds:schemaRef ds:uri="http://schemas.openxmlformats.org/officeDocument/2006/bibliography"/>
  </ds:schemaRefs>
</ds:datastoreItem>
</file>

<file path=customXml/itemProps2.xml><?xml version="1.0" encoding="utf-8"?>
<ds:datastoreItem xmlns:ds="http://schemas.openxmlformats.org/officeDocument/2006/customXml" ds:itemID="{4174446F-D66A-4A01-A9B0-103EC0247622}">
  <ds:schemaRefs>
    <ds:schemaRef ds:uri="http://schemas.microsoft.com/sharepoint/v3/contenttype/forms"/>
  </ds:schemaRefs>
</ds:datastoreItem>
</file>

<file path=customXml/itemProps3.xml><?xml version="1.0" encoding="utf-8"?>
<ds:datastoreItem xmlns:ds="http://schemas.openxmlformats.org/officeDocument/2006/customXml" ds:itemID="{FCCC8E90-02D8-4ECB-A1E4-B3A7C1B2BC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E9160E-A555-43EA-910B-5C80036E4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5417</Words>
  <Characters>30882</Characters>
  <Application>Microsoft Office Word</Application>
  <DocSecurity>0</DocSecurity>
  <Lines>257</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36227</CharactersWithSpaces>
  <SharedDoc>false</SharedDoc>
  <HyperlinkBase/>
  <HLinks>
    <vt:vector size="18" baseType="variant">
      <vt:variant>
        <vt:i4>7405606</vt:i4>
      </vt:variant>
      <vt:variant>
        <vt:i4>3</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ariant>
        <vt:i4>3014779</vt:i4>
      </vt:variant>
      <vt:variant>
        <vt:i4>0</vt:i4>
      </vt:variant>
      <vt:variant>
        <vt:i4>0</vt:i4>
      </vt:variant>
      <vt:variant>
        <vt:i4>5</vt:i4>
      </vt:variant>
      <vt:variant>
        <vt:lpwstr>https://www.epaslaugos.lt/portal/file/2cbef3ec-9cce-41e9-bf8d-b5d85edf527c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2019-05-03T05:46:00Z</cp:lastPrinted>
  <dcterms:created xsi:type="dcterms:W3CDTF">2021-11-03T10:30:00Z</dcterms:created>
  <dcterms:modified xsi:type="dcterms:W3CDTF">2021-11-04T11:59:00Z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SIP_Label_34759c52-a6db-4813-b00f-5ea20e29646d_Enabled">
    <vt:lpwstr>true</vt:lpwstr>
  </property>
  <property fmtid="{D5CDD505-2E9C-101B-9397-08002B2CF9AE}" pid="4" name="MSIP_Label_34759c52-a6db-4813-b00f-5ea20e29646d_SetDate">
    <vt:lpwstr>2021-10-15T05:58:01Z</vt:lpwstr>
  </property>
  <property fmtid="{D5CDD505-2E9C-101B-9397-08002B2CF9AE}" pid="5" name="MSIP_Label_34759c52-a6db-4813-b00f-5ea20e29646d_Method">
    <vt:lpwstr>Privileged</vt:lpwstr>
  </property>
  <property fmtid="{D5CDD505-2E9C-101B-9397-08002B2CF9AE}" pid="6" name="MSIP_Label_34759c52-a6db-4813-b00f-5ea20e29646d_Name">
    <vt:lpwstr>Public</vt:lpwstr>
  </property>
  <property fmtid="{D5CDD505-2E9C-101B-9397-08002B2CF9AE}" pid="7" name="MSIP_Label_34759c52-a6db-4813-b00f-5ea20e29646d_SiteId">
    <vt:lpwstr>945c199a-83a2-4e80-9f8c-5a91be5752dd</vt:lpwstr>
  </property>
  <property fmtid="{D5CDD505-2E9C-101B-9397-08002B2CF9AE}" pid="8" name="MSIP_Label_34759c52-a6db-4813-b00f-5ea20e29646d_ActionId">
    <vt:lpwstr>2eec1607-01a0-4622-b5e7-8fba19d56ea1</vt:lpwstr>
  </property>
  <property fmtid="{D5CDD505-2E9C-101B-9397-08002B2CF9AE}" pid="9" name="MSIP_Label_34759c52-a6db-4813-b00f-5ea20e29646d_ContentBits">
    <vt:lpwstr>0</vt:lpwstr>
  </property>
</Properties>
</file>