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911FB" w14:textId="543F18C5" w:rsidR="00F93701" w:rsidRPr="00804A9B" w:rsidRDefault="00F93701" w:rsidP="00F93701">
      <w:pPr>
        <w:tabs>
          <w:tab w:val="left" w:pos="5812"/>
        </w:tabs>
        <w:spacing w:line="276" w:lineRule="auto"/>
        <w:ind w:right="1700" w:firstLine="5670"/>
        <w:outlineLvl w:val="0"/>
        <w:rPr>
          <w:bCs/>
          <w:kern w:val="28"/>
          <w:lang w:eastAsia="lt-LT"/>
        </w:rPr>
      </w:pPr>
      <w:r>
        <w:rPr>
          <w:bCs/>
          <w:kern w:val="28"/>
          <w:lang w:eastAsia="lt-LT"/>
        </w:rPr>
        <w:t>2022</w:t>
      </w:r>
      <w:r w:rsidRPr="00804A9B">
        <w:rPr>
          <w:bCs/>
          <w:kern w:val="28"/>
          <w:lang w:eastAsia="lt-LT"/>
        </w:rPr>
        <w:t xml:space="preserve"> m. </w:t>
      </w:r>
      <w:r w:rsidR="00053C49">
        <w:rPr>
          <w:bCs/>
          <w:kern w:val="28"/>
          <w:lang w:eastAsia="lt-LT"/>
        </w:rPr>
        <w:t>kovo 28 d.</w:t>
      </w:r>
      <w:r w:rsidRPr="00804A9B">
        <w:rPr>
          <w:bCs/>
          <w:kern w:val="28"/>
          <w:lang w:eastAsia="lt-LT"/>
        </w:rPr>
        <w:t xml:space="preserve">        </w:t>
      </w:r>
    </w:p>
    <w:p w14:paraId="7F9371D1" w14:textId="089BE418" w:rsidR="00F93701" w:rsidRPr="00804A9B" w:rsidRDefault="00F93701" w:rsidP="00F93701">
      <w:pPr>
        <w:spacing w:line="276" w:lineRule="auto"/>
        <w:ind w:left="5670" w:right="-1"/>
        <w:outlineLvl w:val="0"/>
        <w:rPr>
          <w:bCs/>
          <w:kern w:val="28"/>
          <w:lang w:eastAsia="lt-LT"/>
        </w:rPr>
      </w:pPr>
      <w:r>
        <w:rPr>
          <w:bCs/>
          <w:kern w:val="28"/>
          <w:lang w:eastAsia="lt-LT"/>
        </w:rPr>
        <w:t xml:space="preserve">prekių </w:t>
      </w:r>
      <w:r w:rsidRPr="00804A9B">
        <w:rPr>
          <w:bCs/>
          <w:kern w:val="28"/>
          <w:lang w:eastAsia="lt-LT"/>
        </w:rPr>
        <w:t xml:space="preserve">viešojo pirkimo-pardavimo sutarties  Nr. </w:t>
      </w:r>
      <w:r w:rsidR="00053C49">
        <w:rPr>
          <w:bCs/>
          <w:kern w:val="28"/>
          <w:lang w:eastAsia="lt-LT"/>
        </w:rPr>
        <w:t>8S-39</w:t>
      </w:r>
      <w:bookmarkStart w:id="0" w:name="_GoBack"/>
      <w:bookmarkEnd w:id="0"/>
    </w:p>
    <w:p w14:paraId="56826280" w14:textId="77777777" w:rsidR="00F93701" w:rsidRPr="00804A9B" w:rsidRDefault="00F93701" w:rsidP="00F93701">
      <w:pPr>
        <w:tabs>
          <w:tab w:val="left" w:pos="6521"/>
        </w:tabs>
        <w:spacing w:line="276" w:lineRule="auto"/>
        <w:ind w:right="2834" w:firstLine="5670"/>
        <w:outlineLvl w:val="0"/>
        <w:rPr>
          <w:bCs/>
          <w:kern w:val="28"/>
          <w:lang w:eastAsia="lt-LT"/>
        </w:rPr>
      </w:pPr>
      <w:r w:rsidRPr="00804A9B">
        <w:rPr>
          <w:bCs/>
          <w:kern w:val="28"/>
          <w:lang w:eastAsia="lt-LT"/>
        </w:rPr>
        <w:t>priedas</w:t>
      </w:r>
    </w:p>
    <w:p w14:paraId="6309B7EB" w14:textId="77777777" w:rsidR="00F93701" w:rsidRPr="00804A9B" w:rsidRDefault="00F93701" w:rsidP="00F93701">
      <w:pPr>
        <w:tabs>
          <w:tab w:val="left" w:pos="6521"/>
        </w:tabs>
        <w:spacing w:line="360" w:lineRule="auto"/>
        <w:ind w:right="2834" w:firstLine="5812"/>
        <w:outlineLvl w:val="0"/>
        <w:rPr>
          <w:bCs/>
          <w:kern w:val="28"/>
          <w:lang w:eastAsia="lt-LT"/>
        </w:rPr>
      </w:pPr>
    </w:p>
    <w:p w14:paraId="06E19009" w14:textId="77777777" w:rsidR="00F93701" w:rsidRPr="00804A9B" w:rsidRDefault="00F93701" w:rsidP="00F93701">
      <w:pPr>
        <w:spacing w:line="360" w:lineRule="auto"/>
        <w:jc w:val="center"/>
        <w:rPr>
          <w:rFonts w:eastAsia="Calibri"/>
          <w:b/>
        </w:rPr>
      </w:pPr>
      <w:r w:rsidRPr="00804A9B">
        <w:rPr>
          <w:rFonts w:eastAsia="Calibri"/>
          <w:b/>
        </w:rPr>
        <w:t>TECHNINĖ SPECIFIKACIJA</w:t>
      </w:r>
    </w:p>
    <w:p w14:paraId="165F5EB2" w14:textId="77777777" w:rsidR="00F93701" w:rsidRDefault="00F93701" w:rsidP="00F93701">
      <w:pPr>
        <w:pStyle w:val="Porat"/>
        <w:tabs>
          <w:tab w:val="left" w:pos="720"/>
        </w:tabs>
        <w:rPr>
          <w:b/>
          <w:color w:val="000000"/>
          <w:lang w:val="lt-LT"/>
        </w:rPr>
      </w:pPr>
    </w:p>
    <w:p w14:paraId="63C099B2" w14:textId="77777777" w:rsidR="00F93701" w:rsidRPr="00885CED" w:rsidRDefault="00F93701" w:rsidP="00F93701">
      <w:pPr>
        <w:pStyle w:val="Porat"/>
        <w:tabs>
          <w:tab w:val="left" w:pos="720"/>
        </w:tabs>
        <w:rPr>
          <w:b/>
          <w:color w:val="000000"/>
          <w:lang w:val="lt-LT"/>
        </w:rPr>
      </w:pPr>
      <w:r w:rsidRPr="00BA7CCD">
        <w:rPr>
          <w:b/>
          <w:color w:val="000000"/>
          <w:lang w:val="lt-LT"/>
        </w:rPr>
        <w:t>Pirkimo objektas.</w:t>
      </w:r>
      <w:r>
        <w:rPr>
          <w:color w:val="000000"/>
          <w:lang w:val="lt-LT"/>
        </w:rPr>
        <w:t xml:space="preserve"> </w:t>
      </w:r>
      <w:r>
        <w:rPr>
          <w:lang w:val="lt-LT"/>
        </w:rPr>
        <w:t>Elektros šoko įtaisai (su komplektacija)</w:t>
      </w:r>
      <w:r w:rsidRPr="00C95D10">
        <w:rPr>
          <w:color w:val="000000"/>
          <w:lang w:val="lt-LT"/>
        </w:rPr>
        <w:t>.</w:t>
      </w:r>
      <w:r w:rsidRPr="00885CED">
        <w:rPr>
          <w:b/>
          <w:color w:val="000000"/>
          <w:lang w:val="lt-LT"/>
        </w:rPr>
        <w:t xml:space="preserve"> </w:t>
      </w:r>
    </w:p>
    <w:p w14:paraId="6ED522FE" w14:textId="77777777" w:rsidR="00F93701" w:rsidRPr="00BA7CCD" w:rsidRDefault="00F93701" w:rsidP="00F93701">
      <w:pPr>
        <w:pStyle w:val="Porat"/>
        <w:tabs>
          <w:tab w:val="left" w:pos="720"/>
        </w:tabs>
        <w:rPr>
          <w:b/>
          <w:color w:val="000000"/>
          <w:lang w:val="lt-LT"/>
        </w:rPr>
      </w:pPr>
      <w:r w:rsidRPr="00BA7CCD">
        <w:rPr>
          <w:b/>
          <w:color w:val="000000"/>
          <w:lang w:val="lt-LT"/>
        </w:rPr>
        <w:t xml:space="preserve">II. </w:t>
      </w:r>
      <w:r>
        <w:rPr>
          <w:b/>
          <w:color w:val="000000"/>
          <w:lang w:val="lt-LT"/>
        </w:rPr>
        <w:t>Pirkėjas</w:t>
      </w:r>
      <w:r w:rsidRPr="00BA7CCD">
        <w:rPr>
          <w:b/>
          <w:color w:val="000000"/>
          <w:lang w:val="lt-LT"/>
        </w:rPr>
        <w:t xml:space="preserve">. </w:t>
      </w:r>
      <w:r w:rsidRPr="00BA7CCD">
        <w:rPr>
          <w:color w:val="000000"/>
          <w:lang w:val="lt-LT"/>
        </w:rPr>
        <w:t>Turt</w:t>
      </w:r>
      <w:r>
        <w:rPr>
          <w:color w:val="000000"/>
          <w:lang w:val="lt-LT"/>
        </w:rPr>
        <w:t>o valdymo ir ūkio departamentas prie Lietuvos Respublikos vidaus reikalų ministerijos</w:t>
      </w:r>
    </w:p>
    <w:p w14:paraId="192C4B7C" w14:textId="19591B04" w:rsidR="00F93701" w:rsidRPr="00D76615" w:rsidRDefault="00F93701" w:rsidP="00D76615">
      <w:pPr>
        <w:spacing w:line="360" w:lineRule="auto"/>
        <w:rPr>
          <w:b/>
          <w:color w:val="000000"/>
        </w:rPr>
      </w:pPr>
      <w:r w:rsidRPr="002F14EE">
        <w:rPr>
          <w:b/>
          <w:color w:val="000000"/>
        </w:rPr>
        <w:t>III. Reikalavimai pirkimo objektui:</w:t>
      </w:r>
    </w:p>
    <w:tbl>
      <w:tblPr>
        <w:tblStyle w:val="Lentelstinklelis"/>
        <w:tblW w:w="9351" w:type="dxa"/>
        <w:tblLayout w:type="fixed"/>
        <w:tblLook w:val="04A0" w:firstRow="1" w:lastRow="0" w:firstColumn="1" w:lastColumn="0" w:noHBand="0" w:noVBand="1"/>
      </w:tblPr>
      <w:tblGrid>
        <w:gridCol w:w="988"/>
        <w:gridCol w:w="2835"/>
        <w:gridCol w:w="5528"/>
      </w:tblGrid>
      <w:tr w:rsidR="00D76615" w:rsidRPr="00D76615" w14:paraId="453B0C0D" w14:textId="77777777" w:rsidTr="00D76615">
        <w:tc>
          <w:tcPr>
            <w:tcW w:w="988" w:type="dxa"/>
            <w:shd w:val="clear" w:color="auto" w:fill="F2F2F2" w:themeFill="background1" w:themeFillShade="F2"/>
            <w:vAlign w:val="center"/>
          </w:tcPr>
          <w:p w14:paraId="35053D16" w14:textId="77777777" w:rsidR="00D76615" w:rsidRPr="00D76615" w:rsidRDefault="00D76615" w:rsidP="00D76615">
            <w:pPr>
              <w:tabs>
                <w:tab w:val="left" w:pos="567"/>
                <w:tab w:val="left" w:pos="1089"/>
              </w:tabs>
              <w:rPr>
                <w:rFonts w:eastAsia="Calibri"/>
                <w:b/>
              </w:rPr>
            </w:pPr>
            <w:r w:rsidRPr="00D76615">
              <w:rPr>
                <w:rFonts w:eastAsia="Calibri"/>
                <w:b/>
              </w:rPr>
              <w:t>Eil. Nr.</w:t>
            </w:r>
          </w:p>
        </w:tc>
        <w:tc>
          <w:tcPr>
            <w:tcW w:w="2835" w:type="dxa"/>
            <w:shd w:val="clear" w:color="auto" w:fill="F2F2F2" w:themeFill="background1" w:themeFillShade="F2"/>
            <w:vAlign w:val="center"/>
          </w:tcPr>
          <w:p w14:paraId="25053728" w14:textId="77777777" w:rsidR="00D76615" w:rsidRPr="00D76615" w:rsidRDefault="00D76615" w:rsidP="006D107E">
            <w:pPr>
              <w:tabs>
                <w:tab w:val="left" w:pos="567"/>
                <w:tab w:val="left" w:pos="1089"/>
              </w:tabs>
              <w:jc w:val="center"/>
              <w:rPr>
                <w:rFonts w:eastAsia="Calibri"/>
                <w:b/>
              </w:rPr>
            </w:pPr>
            <w:r w:rsidRPr="00D76615">
              <w:rPr>
                <w:b/>
              </w:rPr>
              <w:t>Techninio parametro pavadinimas</w:t>
            </w:r>
          </w:p>
        </w:tc>
        <w:tc>
          <w:tcPr>
            <w:tcW w:w="5528" w:type="dxa"/>
            <w:shd w:val="clear" w:color="auto" w:fill="F2F2F2" w:themeFill="background1" w:themeFillShade="F2"/>
            <w:vAlign w:val="center"/>
          </w:tcPr>
          <w:p w14:paraId="5421C76B" w14:textId="77777777" w:rsidR="00D76615" w:rsidRPr="00D76615" w:rsidRDefault="00D76615" w:rsidP="006D107E">
            <w:pPr>
              <w:tabs>
                <w:tab w:val="left" w:pos="567"/>
                <w:tab w:val="left" w:pos="1089"/>
              </w:tabs>
              <w:jc w:val="center"/>
              <w:rPr>
                <w:rFonts w:eastAsia="Calibri"/>
                <w:b/>
              </w:rPr>
            </w:pPr>
            <w:r w:rsidRPr="00D76615">
              <w:rPr>
                <w:b/>
              </w:rPr>
              <w:t>Reikalaujamas parametras</w:t>
            </w:r>
          </w:p>
        </w:tc>
      </w:tr>
      <w:tr w:rsidR="00D76615" w:rsidRPr="00D76615" w14:paraId="371B8F93" w14:textId="77777777" w:rsidTr="00D76615">
        <w:tc>
          <w:tcPr>
            <w:tcW w:w="9351" w:type="dxa"/>
            <w:gridSpan w:val="3"/>
          </w:tcPr>
          <w:p w14:paraId="054A1DDA" w14:textId="77777777" w:rsidR="00D76615" w:rsidRPr="00D76615" w:rsidRDefault="00D76615" w:rsidP="006D107E">
            <w:pPr>
              <w:jc w:val="center"/>
            </w:pPr>
            <w:r w:rsidRPr="00D76615">
              <w:t>Gamintojas, modelis</w:t>
            </w:r>
          </w:p>
        </w:tc>
      </w:tr>
      <w:tr w:rsidR="00D76615" w:rsidRPr="00D76615" w14:paraId="15CB3917" w14:textId="77777777" w:rsidTr="00D76615">
        <w:tc>
          <w:tcPr>
            <w:tcW w:w="988" w:type="dxa"/>
          </w:tcPr>
          <w:p w14:paraId="375FB96B" w14:textId="77777777" w:rsidR="00D76615" w:rsidRPr="00D76615" w:rsidRDefault="00D76615" w:rsidP="006D107E">
            <w:pPr>
              <w:jc w:val="center"/>
            </w:pPr>
            <w:r w:rsidRPr="00D76615">
              <w:t>1.</w:t>
            </w:r>
          </w:p>
        </w:tc>
        <w:tc>
          <w:tcPr>
            <w:tcW w:w="2835" w:type="dxa"/>
          </w:tcPr>
          <w:p w14:paraId="6E590E7E" w14:textId="77777777" w:rsidR="00D76615" w:rsidRPr="00D76615" w:rsidRDefault="00D76615" w:rsidP="006D107E">
            <w:pPr>
              <w:jc w:val="both"/>
            </w:pPr>
            <w:r w:rsidRPr="00D76615">
              <w:t xml:space="preserve">Prietaiso korpuso medžiaga </w:t>
            </w:r>
          </w:p>
        </w:tc>
        <w:tc>
          <w:tcPr>
            <w:tcW w:w="5528" w:type="dxa"/>
          </w:tcPr>
          <w:p w14:paraId="698DE2B2" w14:textId="77777777" w:rsidR="00D76615" w:rsidRPr="00D76615" w:rsidRDefault="00D76615" w:rsidP="006D107E">
            <w:pPr>
              <w:jc w:val="both"/>
            </w:pPr>
            <w:r w:rsidRPr="00D76615">
              <w:t>Smūgiams atsparus plastikas.</w:t>
            </w:r>
          </w:p>
        </w:tc>
      </w:tr>
      <w:tr w:rsidR="00D76615" w:rsidRPr="00D76615" w14:paraId="0350CEA9" w14:textId="77777777" w:rsidTr="00D76615">
        <w:tc>
          <w:tcPr>
            <w:tcW w:w="988" w:type="dxa"/>
          </w:tcPr>
          <w:p w14:paraId="3059D3CB" w14:textId="77777777" w:rsidR="00D76615" w:rsidRPr="00D76615" w:rsidRDefault="00D76615" w:rsidP="006D107E">
            <w:pPr>
              <w:jc w:val="center"/>
            </w:pPr>
            <w:r w:rsidRPr="00D76615">
              <w:t>2.</w:t>
            </w:r>
          </w:p>
        </w:tc>
        <w:tc>
          <w:tcPr>
            <w:tcW w:w="2835" w:type="dxa"/>
          </w:tcPr>
          <w:p w14:paraId="011ED237" w14:textId="77777777" w:rsidR="00D76615" w:rsidRPr="00D76615" w:rsidRDefault="00D76615" w:rsidP="006D107E">
            <w:pPr>
              <w:jc w:val="both"/>
            </w:pPr>
            <w:r w:rsidRPr="00D76615">
              <w:t xml:space="preserve">Spalva </w:t>
            </w:r>
          </w:p>
        </w:tc>
        <w:tc>
          <w:tcPr>
            <w:tcW w:w="5528" w:type="dxa"/>
          </w:tcPr>
          <w:p w14:paraId="167335B1" w14:textId="77777777" w:rsidR="00D76615" w:rsidRPr="00D76615" w:rsidRDefault="00D76615" w:rsidP="006D107E">
            <w:pPr>
              <w:jc w:val="both"/>
            </w:pPr>
            <w:r w:rsidRPr="00D76615">
              <w:t xml:space="preserve">Prietaiso (ar viena iš prietaiso dalių - rankena ar korpusas) turi būti geltonos spalvos. </w:t>
            </w:r>
          </w:p>
        </w:tc>
      </w:tr>
      <w:tr w:rsidR="00D76615" w:rsidRPr="00D76615" w14:paraId="48F7D4D0" w14:textId="77777777" w:rsidTr="00D76615">
        <w:tc>
          <w:tcPr>
            <w:tcW w:w="988" w:type="dxa"/>
          </w:tcPr>
          <w:p w14:paraId="4E14E962" w14:textId="77777777" w:rsidR="00D76615" w:rsidRPr="00D76615" w:rsidRDefault="00D76615" w:rsidP="006D107E">
            <w:pPr>
              <w:jc w:val="center"/>
            </w:pPr>
            <w:r w:rsidRPr="00D76615">
              <w:t>3.</w:t>
            </w:r>
          </w:p>
        </w:tc>
        <w:tc>
          <w:tcPr>
            <w:tcW w:w="2835" w:type="dxa"/>
          </w:tcPr>
          <w:p w14:paraId="134A3317" w14:textId="77777777" w:rsidR="00D76615" w:rsidRPr="00D76615" w:rsidRDefault="00D76615" w:rsidP="006D107E">
            <w:pPr>
              <w:jc w:val="both"/>
            </w:pPr>
            <w:r w:rsidRPr="00D76615">
              <w:t xml:space="preserve">Forma </w:t>
            </w:r>
          </w:p>
        </w:tc>
        <w:tc>
          <w:tcPr>
            <w:tcW w:w="5528" w:type="dxa"/>
          </w:tcPr>
          <w:p w14:paraId="2096C5B6" w14:textId="77777777" w:rsidR="00D76615" w:rsidRPr="00D76615" w:rsidRDefault="00D76615" w:rsidP="006D107E">
            <w:pPr>
              <w:jc w:val="both"/>
            </w:pPr>
            <w:r w:rsidRPr="00D76615">
              <w:t>Pistoleto imitacija.</w:t>
            </w:r>
          </w:p>
        </w:tc>
      </w:tr>
      <w:tr w:rsidR="00D76615" w:rsidRPr="00D76615" w14:paraId="657C1817" w14:textId="77777777" w:rsidTr="00D76615">
        <w:tc>
          <w:tcPr>
            <w:tcW w:w="988" w:type="dxa"/>
          </w:tcPr>
          <w:p w14:paraId="66AC0714" w14:textId="77777777" w:rsidR="00D76615" w:rsidRPr="00D76615" w:rsidRDefault="00D76615" w:rsidP="006D107E">
            <w:pPr>
              <w:jc w:val="center"/>
            </w:pPr>
            <w:r w:rsidRPr="00D76615">
              <w:t>4.</w:t>
            </w:r>
          </w:p>
        </w:tc>
        <w:tc>
          <w:tcPr>
            <w:tcW w:w="2835" w:type="dxa"/>
          </w:tcPr>
          <w:p w14:paraId="70986A19" w14:textId="77777777" w:rsidR="00D76615" w:rsidRPr="00D76615" w:rsidRDefault="00D76615" w:rsidP="006D107E">
            <w:pPr>
              <w:jc w:val="both"/>
            </w:pPr>
            <w:r w:rsidRPr="00D76615">
              <w:t xml:space="preserve">Prietaiso priekis </w:t>
            </w:r>
          </w:p>
        </w:tc>
        <w:tc>
          <w:tcPr>
            <w:tcW w:w="5528" w:type="dxa"/>
          </w:tcPr>
          <w:p w14:paraId="222B2723" w14:textId="77777777" w:rsidR="00D76615" w:rsidRPr="00D76615" w:rsidRDefault="00D76615" w:rsidP="006D107E">
            <w:pPr>
              <w:jc w:val="both"/>
            </w:pPr>
            <w:r w:rsidRPr="00D76615">
              <w:t>Turi būti lazerinis taikiklis ( lazerio spindulys), kad užtikrinti specialiojo užtaiso šūvio taiklumą. Lazerinis taikiklis turi turėti autonominę įjungimo išjungimo galimybę.</w:t>
            </w:r>
          </w:p>
        </w:tc>
      </w:tr>
      <w:tr w:rsidR="00D76615" w:rsidRPr="00D76615" w14:paraId="052E8048" w14:textId="77777777" w:rsidTr="00D76615">
        <w:tc>
          <w:tcPr>
            <w:tcW w:w="988" w:type="dxa"/>
          </w:tcPr>
          <w:p w14:paraId="64B50731" w14:textId="77777777" w:rsidR="00D76615" w:rsidRPr="00D76615" w:rsidRDefault="00D76615" w:rsidP="006D107E">
            <w:pPr>
              <w:jc w:val="center"/>
            </w:pPr>
            <w:r w:rsidRPr="00D76615">
              <w:t>5.</w:t>
            </w:r>
          </w:p>
        </w:tc>
        <w:tc>
          <w:tcPr>
            <w:tcW w:w="2835" w:type="dxa"/>
          </w:tcPr>
          <w:p w14:paraId="0FE1BEAB" w14:textId="77777777" w:rsidR="00D76615" w:rsidRPr="00D76615" w:rsidRDefault="00D76615" w:rsidP="006D107E">
            <w:pPr>
              <w:jc w:val="both"/>
            </w:pPr>
            <w:r w:rsidRPr="00D76615">
              <w:t xml:space="preserve">Svoris </w:t>
            </w:r>
          </w:p>
        </w:tc>
        <w:tc>
          <w:tcPr>
            <w:tcW w:w="5528" w:type="dxa"/>
          </w:tcPr>
          <w:p w14:paraId="625C4DC2" w14:textId="77777777" w:rsidR="00D76615" w:rsidRPr="00D76615" w:rsidRDefault="00D76615" w:rsidP="006D107E">
            <w:pPr>
              <w:jc w:val="both"/>
            </w:pPr>
            <w:r w:rsidRPr="00D76615">
              <w:t>Ne daugiau kaip 385 g su baterija, be specialiojo užtaiso ir dėklo.</w:t>
            </w:r>
          </w:p>
        </w:tc>
      </w:tr>
      <w:tr w:rsidR="00D76615" w:rsidRPr="00D76615" w14:paraId="64FD041B" w14:textId="77777777" w:rsidTr="00D76615">
        <w:tc>
          <w:tcPr>
            <w:tcW w:w="988" w:type="dxa"/>
          </w:tcPr>
          <w:p w14:paraId="63FC038D" w14:textId="77777777" w:rsidR="00D76615" w:rsidRPr="00D76615" w:rsidRDefault="00D76615" w:rsidP="006D107E">
            <w:pPr>
              <w:jc w:val="center"/>
            </w:pPr>
            <w:r w:rsidRPr="00D76615">
              <w:t>6.</w:t>
            </w:r>
          </w:p>
        </w:tc>
        <w:tc>
          <w:tcPr>
            <w:tcW w:w="2835" w:type="dxa"/>
          </w:tcPr>
          <w:p w14:paraId="5621174E" w14:textId="77777777" w:rsidR="00D76615" w:rsidRPr="00D76615" w:rsidRDefault="00D76615" w:rsidP="006D107E">
            <w:pPr>
              <w:jc w:val="both"/>
            </w:pPr>
            <w:r w:rsidRPr="00D76615">
              <w:t xml:space="preserve">Baterijų ilgaamžiškumas </w:t>
            </w:r>
          </w:p>
        </w:tc>
        <w:tc>
          <w:tcPr>
            <w:tcW w:w="5528" w:type="dxa"/>
          </w:tcPr>
          <w:p w14:paraId="4E87F86E" w14:textId="77777777" w:rsidR="00D76615" w:rsidRPr="00D76615" w:rsidRDefault="00D76615" w:rsidP="006D107E">
            <w:pPr>
              <w:jc w:val="both"/>
            </w:pPr>
            <w:r w:rsidRPr="00D76615">
              <w:t xml:space="preserve">Ne mažiau kaip 5 metai saugant sandėlyje arba ne mažiau kaip 300 pilnų iškrovų po 5 sekundes. </w:t>
            </w:r>
          </w:p>
        </w:tc>
      </w:tr>
      <w:tr w:rsidR="00D76615" w:rsidRPr="00D76615" w14:paraId="610B7655" w14:textId="77777777" w:rsidTr="00D76615">
        <w:tc>
          <w:tcPr>
            <w:tcW w:w="988" w:type="dxa"/>
          </w:tcPr>
          <w:p w14:paraId="59936197" w14:textId="77777777" w:rsidR="00D76615" w:rsidRPr="00D76615" w:rsidRDefault="00D76615" w:rsidP="006D107E">
            <w:pPr>
              <w:jc w:val="center"/>
            </w:pPr>
            <w:r w:rsidRPr="00D76615">
              <w:t>7.</w:t>
            </w:r>
          </w:p>
        </w:tc>
        <w:tc>
          <w:tcPr>
            <w:tcW w:w="2835" w:type="dxa"/>
          </w:tcPr>
          <w:p w14:paraId="0613B946" w14:textId="77777777" w:rsidR="00D76615" w:rsidRPr="00D76615" w:rsidRDefault="00D76615" w:rsidP="006D107E">
            <w:pPr>
              <w:jc w:val="both"/>
            </w:pPr>
            <w:r w:rsidRPr="00D76615">
              <w:t>Pritaikymas ir paskirtis</w:t>
            </w:r>
          </w:p>
        </w:tc>
        <w:tc>
          <w:tcPr>
            <w:tcW w:w="5528" w:type="dxa"/>
          </w:tcPr>
          <w:p w14:paraId="3DB7569F" w14:textId="77777777" w:rsidR="00D76615" w:rsidRPr="00D76615" w:rsidRDefault="00D76615" w:rsidP="006D107E">
            <w:pPr>
              <w:jc w:val="both"/>
            </w:pPr>
            <w:r w:rsidRPr="00D76615">
              <w:t>Įtaisas sukurtas ir skirtas besipriešinančiam pažeidėjui ar agresyviam gyvūnui sutramdyti stipriais elektros impulsais liečiant tiesiogiai prie kūno kaip įprastą priglaudžiamą elektrošoko įtaisą ar įtaiso priekyje įstačius specialų užtaisą per atstumą iššaunant kontaktinius zondus sujungtus su įtaisu ir paveikti asmenį elektros srove per atstumą.</w:t>
            </w:r>
          </w:p>
        </w:tc>
      </w:tr>
      <w:tr w:rsidR="00D76615" w:rsidRPr="00D76615" w14:paraId="4DF614DD" w14:textId="77777777" w:rsidTr="00D76615">
        <w:tc>
          <w:tcPr>
            <w:tcW w:w="988" w:type="dxa"/>
          </w:tcPr>
          <w:p w14:paraId="0FC78FC5" w14:textId="77777777" w:rsidR="00D76615" w:rsidRPr="00D76615" w:rsidRDefault="00D76615" w:rsidP="006D107E">
            <w:pPr>
              <w:jc w:val="center"/>
            </w:pPr>
            <w:r w:rsidRPr="00D76615">
              <w:t>8.</w:t>
            </w:r>
          </w:p>
        </w:tc>
        <w:tc>
          <w:tcPr>
            <w:tcW w:w="2835" w:type="dxa"/>
          </w:tcPr>
          <w:p w14:paraId="75E339D3" w14:textId="77777777" w:rsidR="00D76615" w:rsidRPr="00D76615" w:rsidRDefault="00D76615" w:rsidP="006D107E">
            <w:pPr>
              <w:jc w:val="both"/>
            </w:pPr>
            <w:r w:rsidRPr="00D76615">
              <w:t>Prietaiso įtampos generavimo laikas</w:t>
            </w:r>
          </w:p>
        </w:tc>
        <w:tc>
          <w:tcPr>
            <w:tcW w:w="5528" w:type="dxa"/>
          </w:tcPr>
          <w:p w14:paraId="292E5BE0" w14:textId="77777777" w:rsidR="00D76615" w:rsidRPr="00D76615" w:rsidRDefault="00D76615" w:rsidP="006D107E">
            <w:pPr>
              <w:jc w:val="both"/>
            </w:pPr>
            <w:r w:rsidRPr="00D76615">
              <w:t xml:space="preserve">Iki 5 sekundžių vienu paspaudimu ir neribotas, laikant paspaudus nuleistuką </w:t>
            </w:r>
          </w:p>
        </w:tc>
      </w:tr>
      <w:tr w:rsidR="00D76615" w:rsidRPr="00D76615" w14:paraId="46A2ECF9" w14:textId="77777777" w:rsidTr="00D76615">
        <w:tc>
          <w:tcPr>
            <w:tcW w:w="988" w:type="dxa"/>
          </w:tcPr>
          <w:p w14:paraId="748B5080" w14:textId="77777777" w:rsidR="00D76615" w:rsidRPr="00D76615" w:rsidRDefault="00D76615" w:rsidP="006D107E">
            <w:pPr>
              <w:jc w:val="center"/>
            </w:pPr>
            <w:r w:rsidRPr="00D76615">
              <w:t>9.</w:t>
            </w:r>
          </w:p>
        </w:tc>
        <w:tc>
          <w:tcPr>
            <w:tcW w:w="2835" w:type="dxa"/>
          </w:tcPr>
          <w:p w14:paraId="1F9C461F" w14:textId="77777777" w:rsidR="00D76615" w:rsidRPr="00D76615" w:rsidRDefault="00D76615" w:rsidP="006D107E">
            <w:pPr>
              <w:jc w:val="both"/>
            </w:pPr>
            <w:r w:rsidRPr="00D76615">
              <w:t>Aukštos įtampos srovės stipris</w:t>
            </w:r>
          </w:p>
        </w:tc>
        <w:tc>
          <w:tcPr>
            <w:tcW w:w="5528" w:type="dxa"/>
          </w:tcPr>
          <w:p w14:paraId="493AE469" w14:textId="77777777" w:rsidR="00D76615" w:rsidRPr="00D76615" w:rsidRDefault="00D76615" w:rsidP="006D107E">
            <w:pPr>
              <w:jc w:val="both"/>
            </w:pPr>
            <w:r w:rsidRPr="00D76615">
              <w:t xml:space="preserve">nuo 1 iki 2,1 </w:t>
            </w:r>
            <w:proofErr w:type="spellStart"/>
            <w:r w:rsidRPr="00D76615">
              <w:t>mA</w:t>
            </w:r>
            <w:proofErr w:type="spellEnd"/>
            <w:r w:rsidRPr="00D76615">
              <w:t>.</w:t>
            </w:r>
          </w:p>
        </w:tc>
      </w:tr>
      <w:tr w:rsidR="00D76615" w:rsidRPr="00D76615" w14:paraId="457722D4" w14:textId="77777777" w:rsidTr="00D76615">
        <w:tc>
          <w:tcPr>
            <w:tcW w:w="988" w:type="dxa"/>
          </w:tcPr>
          <w:p w14:paraId="7369D5A9" w14:textId="77777777" w:rsidR="00D76615" w:rsidRPr="00D76615" w:rsidRDefault="00D76615" w:rsidP="006D107E">
            <w:pPr>
              <w:jc w:val="center"/>
            </w:pPr>
            <w:r w:rsidRPr="00D76615">
              <w:t>10.</w:t>
            </w:r>
          </w:p>
        </w:tc>
        <w:tc>
          <w:tcPr>
            <w:tcW w:w="2835" w:type="dxa"/>
          </w:tcPr>
          <w:p w14:paraId="3E369FFE" w14:textId="77777777" w:rsidR="00D76615" w:rsidRPr="00D76615" w:rsidRDefault="00D76615" w:rsidP="006D107E">
            <w:pPr>
              <w:jc w:val="both"/>
            </w:pPr>
            <w:r w:rsidRPr="00D76615">
              <w:t xml:space="preserve">Darbo temperatūra </w:t>
            </w:r>
          </w:p>
        </w:tc>
        <w:tc>
          <w:tcPr>
            <w:tcW w:w="5528" w:type="dxa"/>
          </w:tcPr>
          <w:p w14:paraId="50A4A6D1" w14:textId="77777777" w:rsidR="00D76615" w:rsidRPr="00D76615" w:rsidRDefault="00D76615" w:rsidP="006D107E">
            <w:pPr>
              <w:jc w:val="both"/>
            </w:pPr>
            <w:r w:rsidRPr="00D76615">
              <w:t>Ne prasčiau kaip nuo -20 iki +50 C.</w:t>
            </w:r>
          </w:p>
        </w:tc>
      </w:tr>
      <w:tr w:rsidR="00D76615" w:rsidRPr="00D76615" w14:paraId="5B3F55FC" w14:textId="77777777" w:rsidTr="00D76615">
        <w:tc>
          <w:tcPr>
            <w:tcW w:w="988" w:type="dxa"/>
          </w:tcPr>
          <w:p w14:paraId="067FF423" w14:textId="77777777" w:rsidR="00D76615" w:rsidRPr="00D76615" w:rsidRDefault="00D76615" w:rsidP="006D107E">
            <w:pPr>
              <w:jc w:val="center"/>
            </w:pPr>
            <w:r w:rsidRPr="00D76615">
              <w:t>11.</w:t>
            </w:r>
          </w:p>
        </w:tc>
        <w:tc>
          <w:tcPr>
            <w:tcW w:w="2835" w:type="dxa"/>
          </w:tcPr>
          <w:p w14:paraId="75C5A360" w14:textId="77777777" w:rsidR="00D76615" w:rsidRPr="00D76615" w:rsidRDefault="00D76615" w:rsidP="006D107E">
            <w:pPr>
              <w:jc w:val="both"/>
            </w:pPr>
            <w:r w:rsidRPr="00D76615">
              <w:t>Atsparumas išoriniams veiksniams</w:t>
            </w:r>
          </w:p>
        </w:tc>
        <w:tc>
          <w:tcPr>
            <w:tcW w:w="5528" w:type="dxa"/>
          </w:tcPr>
          <w:p w14:paraId="3A1990B6" w14:textId="77777777" w:rsidR="00D76615" w:rsidRPr="00D76615" w:rsidRDefault="00D76615" w:rsidP="006D107E">
            <w:pPr>
              <w:jc w:val="both"/>
            </w:pPr>
            <w:r w:rsidRPr="00D76615">
              <w:t>Nemažiau kaip IPX2.</w:t>
            </w:r>
          </w:p>
        </w:tc>
      </w:tr>
      <w:tr w:rsidR="00D76615" w:rsidRPr="00D76615" w14:paraId="069C3C4C" w14:textId="77777777" w:rsidTr="00D76615">
        <w:tc>
          <w:tcPr>
            <w:tcW w:w="988" w:type="dxa"/>
          </w:tcPr>
          <w:p w14:paraId="27D2886E" w14:textId="77777777" w:rsidR="00D76615" w:rsidRPr="00D76615" w:rsidRDefault="00D76615" w:rsidP="006D107E">
            <w:pPr>
              <w:jc w:val="center"/>
            </w:pPr>
            <w:r w:rsidRPr="00D76615">
              <w:t>12.</w:t>
            </w:r>
          </w:p>
        </w:tc>
        <w:tc>
          <w:tcPr>
            <w:tcW w:w="2835" w:type="dxa"/>
          </w:tcPr>
          <w:p w14:paraId="52C8B34F" w14:textId="77777777" w:rsidR="00D76615" w:rsidRPr="00D76615" w:rsidRDefault="00D76615" w:rsidP="006D107E">
            <w:pPr>
              <w:jc w:val="both"/>
            </w:pPr>
            <w:r w:rsidRPr="00D76615">
              <w:t xml:space="preserve">Įtaiso įjungimas/išjungimas </w:t>
            </w:r>
          </w:p>
        </w:tc>
        <w:tc>
          <w:tcPr>
            <w:tcW w:w="5528" w:type="dxa"/>
          </w:tcPr>
          <w:p w14:paraId="7893C53F" w14:textId="77777777" w:rsidR="00D76615" w:rsidRPr="00D76615" w:rsidRDefault="00D76615" w:rsidP="006D107E">
            <w:pPr>
              <w:jc w:val="both"/>
            </w:pPr>
            <w:r w:rsidRPr="00D76615">
              <w:t>Jungiklis (saugiklis) jungiamas/išjungiamas nykščiu, pritaikytas kairiarankiui ir dešiniarankiui.</w:t>
            </w:r>
          </w:p>
        </w:tc>
      </w:tr>
      <w:tr w:rsidR="00D76615" w:rsidRPr="00D76615" w14:paraId="74D5BAFB" w14:textId="77777777" w:rsidTr="00D76615">
        <w:tc>
          <w:tcPr>
            <w:tcW w:w="988" w:type="dxa"/>
          </w:tcPr>
          <w:p w14:paraId="32C1D646" w14:textId="77777777" w:rsidR="00D76615" w:rsidRPr="00D76615" w:rsidRDefault="00D76615" w:rsidP="006D107E">
            <w:pPr>
              <w:jc w:val="center"/>
            </w:pPr>
            <w:r w:rsidRPr="00D76615">
              <w:t>13.</w:t>
            </w:r>
          </w:p>
          <w:p w14:paraId="51460AC7" w14:textId="77777777" w:rsidR="00D76615" w:rsidRPr="00D76615" w:rsidRDefault="00D76615" w:rsidP="006D107E">
            <w:pPr>
              <w:jc w:val="center"/>
            </w:pPr>
          </w:p>
        </w:tc>
        <w:tc>
          <w:tcPr>
            <w:tcW w:w="2835" w:type="dxa"/>
          </w:tcPr>
          <w:p w14:paraId="07185BD9" w14:textId="77777777" w:rsidR="00D76615" w:rsidRPr="00D76615" w:rsidRDefault="00D76615" w:rsidP="006D107E">
            <w:pPr>
              <w:jc w:val="both"/>
            </w:pPr>
            <w:r w:rsidRPr="00D76615">
              <w:t xml:space="preserve">Aukštos įtampos generatoriaus </w:t>
            </w:r>
          </w:p>
          <w:p w14:paraId="4C88485B" w14:textId="77777777" w:rsidR="00D76615" w:rsidRPr="00D76615" w:rsidRDefault="00D76615" w:rsidP="006D107E">
            <w:pPr>
              <w:jc w:val="both"/>
            </w:pPr>
            <w:r w:rsidRPr="00D76615">
              <w:t xml:space="preserve">aktyvavimas </w:t>
            </w:r>
          </w:p>
        </w:tc>
        <w:tc>
          <w:tcPr>
            <w:tcW w:w="5528" w:type="dxa"/>
          </w:tcPr>
          <w:p w14:paraId="234CB190" w14:textId="77777777" w:rsidR="00D76615" w:rsidRPr="00D76615" w:rsidRDefault="00D76615" w:rsidP="006D107E">
            <w:pPr>
              <w:jc w:val="both"/>
            </w:pPr>
            <w:r w:rsidRPr="00D76615">
              <w:t>Paspaudžiant nuleistuką, analogiškai kaip pistolete.</w:t>
            </w:r>
          </w:p>
        </w:tc>
      </w:tr>
      <w:tr w:rsidR="00D76615" w:rsidRPr="00D76615" w14:paraId="4623C15D" w14:textId="77777777" w:rsidTr="00D76615">
        <w:trPr>
          <w:trHeight w:val="1460"/>
        </w:trPr>
        <w:tc>
          <w:tcPr>
            <w:tcW w:w="988" w:type="dxa"/>
          </w:tcPr>
          <w:p w14:paraId="4673165C" w14:textId="77777777" w:rsidR="00D76615" w:rsidRPr="00D76615" w:rsidRDefault="00D76615" w:rsidP="006D107E">
            <w:pPr>
              <w:jc w:val="center"/>
            </w:pPr>
            <w:r w:rsidRPr="00D76615">
              <w:lastRenderedPageBreak/>
              <w:t>14.</w:t>
            </w:r>
          </w:p>
        </w:tc>
        <w:tc>
          <w:tcPr>
            <w:tcW w:w="2835" w:type="dxa"/>
          </w:tcPr>
          <w:p w14:paraId="482DA5E8" w14:textId="77777777" w:rsidR="00D76615" w:rsidRPr="00D76615" w:rsidRDefault="00D76615" w:rsidP="006D107E">
            <w:pPr>
              <w:jc w:val="both"/>
            </w:pPr>
            <w:r w:rsidRPr="00D76615">
              <w:t xml:space="preserve">Komplektacija </w:t>
            </w:r>
          </w:p>
        </w:tc>
        <w:tc>
          <w:tcPr>
            <w:tcW w:w="5528" w:type="dxa"/>
          </w:tcPr>
          <w:p w14:paraId="1A4290FF" w14:textId="77777777" w:rsidR="00D76615" w:rsidRPr="00D76615" w:rsidRDefault="00D76615" w:rsidP="006D107E">
            <w:pPr>
              <w:widowControl w:val="0"/>
              <w:jc w:val="both"/>
            </w:pPr>
            <w:r w:rsidRPr="00D76615">
              <w:t xml:space="preserve">Elektros </w:t>
            </w:r>
            <w:proofErr w:type="spellStart"/>
            <w:r w:rsidRPr="00D76615">
              <w:t>impulsinis</w:t>
            </w:r>
            <w:proofErr w:type="spellEnd"/>
            <w:r w:rsidRPr="00D76615">
              <w:t xml:space="preserve"> prietaisas, 1 vnt.;</w:t>
            </w:r>
          </w:p>
          <w:p w14:paraId="06C146B4" w14:textId="77777777" w:rsidR="00D76615" w:rsidRPr="00D76615" w:rsidRDefault="00D76615" w:rsidP="006D107E">
            <w:pPr>
              <w:widowControl w:val="0"/>
              <w:jc w:val="both"/>
            </w:pPr>
            <w:r w:rsidRPr="00D76615">
              <w:t>Keičiama ličio baterija su vieta atsarginiam užtaisui įstatyti (prailginta rankena), 1 vnt.;</w:t>
            </w:r>
          </w:p>
          <w:p w14:paraId="3FC2267B" w14:textId="77777777" w:rsidR="00D76615" w:rsidRPr="00D76615" w:rsidRDefault="00D76615" w:rsidP="006D107E">
            <w:pPr>
              <w:widowControl w:val="0"/>
              <w:jc w:val="both"/>
            </w:pPr>
            <w:r w:rsidRPr="00D76615">
              <w:t>Įtaiso dėklas, kuris tvirtinamas prie diržo prietaisui su užtaisu ir papildomu užtaisu įstatytu į bateriją, 1 vnt.</w:t>
            </w:r>
          </w:p>
        </w:tc>
      </w:tr>
      <w:tr w:rsidR="00D76615" w:rsidRPr="00D76615" w14:paraId="47361CC8" w14:textId="77777777" w:rsidTr="00D76615">
        <w:tc>
          <w:tcPr>
            <w:tcW w:w="988" w:type="dxa"/>
          </w:tcPr>
          <w:p w14:paraId="64BDF622" w14:textId="77777777" w:rsidR="00D76615" w:rsidRPr="00D76615" w:rsidRDefault="00D76615" w:rsidP="006D107E">
            <w:pPr>
              <w:jc w:val="center"/>
            </w:pPr>
            <w:r w:rsidRPr="00D76615">
              <w:t>15.</w:t>
            </w:r>
          </w:p>
        </w:tc>
        <w:tc>
          <w:tcPr>
            <w:tcW w:w="2835" w:type="dxa"/>
          </w:tcPr>
          <w:p w14:paraId="66985F06" w14:textId="77777777" w:rsidR="00D76615" w:rsidRPr="00D76615" w:rsidRDefault="00D76615" w:rsidP="006D107E">
            <w:pPr>
              <w:jc w:val="both"/>
            </w:pPr>
            <w:r w:rsidRPr="00D76615">
              <w:t>Naudotojo vadovas</w:t>
            </w:r>
          </w:p>
        </w:tc>
        <w:tc>
          <w:tcPr>
            <w:tcW w:w="5528" w:type="dxa"/>
          </w:tcPr>
          <w:p w14:paraId="7E825FDD" w14:textId="77777777" w:rsidR="00D76615" w:rsidRPr="00D76615" w:rsidRDefault="00D76615" w:rsidP="006D107E">
            <w:pPr>
              <w:jc w:val="both"/>
            </w:pPr>
            <w:r w:rsidRPr="00D76615">
              <w:t>Lietuvių kalba.</w:t>
            </w:r>
          </w:p>
        </w:tc>
      </w:tr>
      <w:tr w:rsidR="00D76615" w:rsidRPr="00D76615" w14:paraId="6B3A0269" w14:textId="77777777" w:rsidTr="00D76615">
        <w:tc>
          <w:tcPr>
            <w:tcW w:w="988" w:type="dxa"/>
          </w:tcPr>
          <w:p w14:paraId="01FAF0A3" w14:textId="77777777" w:rsidR="00D76615" w:rsidRPr="00D76615" w:rsidRDefault="00D76615" w:rsidP="006D107E">
            <w:pPr>
              <w:jc w:val="center"/>
            </w:pPr>
          </w:p>
        </w:tc>
        <w:tc>
          <w:tcPr>
            <w:tcW w:w="2835" w:type="dxa"/>
          </w:tcPr>
          <w:p w14:paraId="12EE57BD" w14:textId="77777777" w:rsidR="00D76615" w:rsidRPr="00D76615" w:rsidRDefault="00D76615" w:rsidP="006D107E">
            <w:pPr>
              <w:jc w:val="both"/>
            </w:pPr>
            <w:r w:rsidRPr="00D76615">
              <w:t>Testavimo sistema</w:t>
            </w:r>
          </w:p>
        </w:tc>
        <w:tc>
          <w:tcPr>
            <w:tcW w:w="5528" w:type="dxa"/>
          </w:tcPr>
          <w:p w14:paraId="5CA89BD1" w14:textId="77777777" w:rsidR="00D76615" w:rsidRPr="00D76615" w:rsidRDefault="00D76615" w:rsidP="006D107E">
            <w:pPr>
              <w:jc w:val="both"/>
            </w:pPr>
            <w:r w:rsidRPr="00D76615">
              <w:t>Įtaise turi būti savaiminė testavimo sistema informuojanti vartotoją apie gedimą.</w:t>
            </w:r>
          </w:p>
        </w:tc>
      </w:tr>
      <w:tr w:rsidR="00D76615" w:rsidRPr="00D76615" w14:paraId="6354A905" w14:textId="77777777" w:rsidTr="00D76615">
        <w:tc>
          <w:tcPr>
            <w:tcW w:w="988" w:type="dxa"/>
          </w:tcPr>
          <w:p w14:paraId="2B7B7753" w14:textId="77777777" w:rsidR="00D76615" w:rsidRPr="00D76615" w:rsidRDefault="00D76615" w:rsidP="006D107E">
            <w:pPr>
              <w:jc w:val="center"/>
            </w:pPr>
            <w:r w:rsidRPr="00D76615">
              <w:t>16.</w:t>
            </w:r>
          </w:p>
          <w:p w14:paraId="3A9D6453" w14:textId="77777777" w:rsidR="00D76615" w:rsidRPr="00D76615" w:rsidRDefault="00D76615" w:rsidP="006D107E">
            <w:pPr>
              <w:jc w:val="center"/>
            </w:pPr>
          </w:p>
        </w:tc>
        <w:tc>
          <w:tcPr>
            <w:tcW w:w="2835" w:type="dxa"/>
          </w:tcPr>
          <w:p w14:paraId="431E8E55" w14:textId="77777777" w:rsidR="00D76615" w:rsidRPr="00D76615" w:rsidRDefault="00D76615" w:rsidP="006D107E">
            <w:pPr>
              <w:jc w:val="both"/>
            </w:pPr>
            <w:r w:rsidRPr="00D76615">
              <w:t xml:space="preserve">Reikalavimai prekės </w:t>
            </w:r>
          </w:p>
          <w:p w14:paraId="064725FA" w14:textId="77777777" w:rsidR="00D76615" w:rsidRPr="00D76615" w:rsidRDefault="00D76615" w:rsidP="006D107E">
            <w:pPr>
              <w:jc w:val="both"/>
            </w:pPr>
            <w:r w:rsidRPr="00D76615">
              <w:t>gamybos kokybei</w:t>
            </w:r>
          </w:p>
        </w:tc>
        <w:tc>
          <w:tcPr>
            <w:tcW w:w="5528" w:type="dxa"/>
          </w:tcPr>
          <w:p w14:paraId="7288AC27" w14:textId="77777777" w:rsidR="00D76615" w:rsidRPr="00D76615" w:rsidRDefault="00D76615" w:rsidP="006D107E">
            <w:pPr>
              <w:jc w:val="both"/>
            </w:pPr>
            <w:r w:rsidRPr="00D76615">
              <w:t>Prekės gamybos procesas sertifikuotas pagal ISO 9001 arba analogišką gamybos kokybės vadybos standartą.</w:t>
            </w:r>
          </w:p>
        </w:tc>
      </w:tr>
      <w:tr w:rsidR="00D76615" w:rsidRPr="00D76615" w14:paraId="737AC42C" w14:textId="77777777" w:rsidTr="00D76615">
        <w:tc>
          <w:tcPr>
            <w:tcW w:w="988" w:type="dxa"/>
          </w:tcPr>
          <w:p w14:paraId="41E50194" w14:textId="77777777" w:rsidR="00D76615" w:rsidRPr="00D76615" w:rsidRDefault="00D76615" w:rsidP="006D107E">
            <w:pPr>
              <w:jc w:val="center"/>
            </w:pPr>
            <w:r w:rsidRPr="00D76615">
              <w:t>17.</w:t>
            </w:r>
          </w:p>
        </w:tc>
        <w:tc>
          <w:tcPr>
            <w:tcW w:w="2835" w:type="dxa"/>
          </w:tcPr>
          <w:p w14:paraId="097A6E0D" w14:textId="77777777" w:rsidR="00D76615" w:rsidRPr="00D76615" w:rsidRDefault="00D76615" w:rsidP="006D107E">
            <w:pPr>
              <w:jc w:val="both"/>
            </w:pPr>
            <w:r w:rsidRPr="00D76615">
              <w:t>Kokybės reikalavimai</w:t>
            </w:r>
          </w:p>
        </w:tc>
        <w:tc>
          <w:tcPr>
            <w:tcW w:w="5528" w:type="dxa"/>
          </w:tcPr>
          <w:p w14:paraId="38DC8FB0" w14:textId="77777777" w:rsidR="00D76615" w:rsidRPr="00D76615" w:rsidRDefault="00D76615" w:rsidP="006D107E">
            <w:pPr>
              <w:jc w:val="both"/>
            </w:pPr>
            <w:r w:rsidRPr="00D76615">
              <w:t>Turi būti nauji, nenaudoti.</w:t>
            </w:r>
          </w:p>
        </w:tc>
      </w:tr>
      <w:tr w:rsidR="00D76615" w:rsidRPr="00D76615" w14:paraId="178E00B0" w14:textId="77777777" w:rsidTr="00D76615">
        <w:tc>
          <w:tcPr>
            <w:tcW w:w="988" w:type="dxa"/>
          </w:tcPr>
          <w:p w14:paraId="47C4CEBC" w14:textId="77777777" w:rsidR="00D76615" w:rsidRPr="00D76615" w:rsidRDefault="00D76615" w:rsidP="006D107E">
            <w:pPr>
              <w:jc w:val="center"/>
            </w:pPr>
            <w:r w:rsidRPr="00D76615">
              <w:t>18.</w:t>
            </w:r>
          </w:p>
          <w:p w14:paraId="643BE653" w14:textId="77777777" w:rsidR="00D76615" w:rsidRPr="00D76615" w:rsidRDefault="00D76615" w:rsidP="006D107E">
            <w:pPr>
              <w:jc w:val="center"/>
            </w:pPr>
          </w:p>
        </w:tc>
        <w:tc>
          <w:tcPr>
            <w:tcW w:w="2835" w:type="dxa"/>
          </w:tcPr>
          <w:p w14:paraId="68FFEACC" w14:textId="77777777" w:rsidR="00D76615" w:rsidRPr="00D76615" w:rsidRDefault="00D76615" w:rsidP="006D107E">
            <w:r w:rsidRPr="00D76615">
              <w:t xml:space="preserve">Reikalavimai dėl sveikatos saugos, </w:t>
            </w:r>
          </w:p>
          <w:p w14:paraId="3CDF7C7C" w14:textId="04B532D5" w:rsidR="00D76615" w:rsidRPr="00D76615" w:rsidRDefault="00D76615" w:rsidP="00D76615">
            <w:r w:rsidRPr="00D76615">
              <w:t xml:space="preserve">naudojimo saugos  ir aplinkos apsaugos </w:t>
            </w:r>
          </w:p>
        </w:tc>
        <w:tc>
          <w:tcPr>
            <w:tcW w:w="5528" w:type="dxa"/>
          </w:tcPr>
          <w:p w14:paraId="64B77BDC" w14:textId="77777777" w:rsidR="00D76615" w:rsidRPr="00D76615" w:rsidRDefault="00D76615" w:rsidP="006D107E">
            <w:pPr>
              <w:jc w:val="both"/>
            </w:pPr>
            <w:r w:rsidRPr="00D76615">
              <w:t>Įtaisas privalo turėti CE („</w:t>
            </w:r>
            <w:proofErr w:type="spellStart"/>
            <w:r w:rsidRPr="00D76615">
              <w:t>Conformité</w:t>
            </w:r>
            <w:proofErr w:type="spellEnd"/>
            <w:r w:rsidRPr="00D76615">
              <w:t xml:space="preserve"> </w:t>
            </w:r>
            <w:proofErr w:type="spellStart"/>
            <w:r w:rsidRPr="00D76615">
              <w:t>Européene</w:t>
            </w:r>
            <w:proofErr w:type="spellEnd"/>
            <w:r w:rsidRPr="00D76615">
              <w:t xml:space="preserve">“, </w:t>
            </w:r>
            <w:proofErr w:type="spellStart"/>
            <w:r w:rsidRPr="00D76615">
              <w:t>liet</w:t>
            </w:r>
            <w:proofErr w:type="spellEnd"/>
            <w:r w:rsidRPr="00D76615">
              <w:t>. „Europos patvirtinimas“) ženklinimą, patvirtinantį, kad įtaisas atitinka taikomus esminius Europos direktyvų reikalavimus dėl sveikatos saugos, naudojimo saugos ir aplinkos apsaugos.</w:t>
            </w:r>
          </w:p>
        </w:tc>
      </w:tr>
      <w:tr w:rsidR="00D76615" w:rsidRPr="00D76615" w14:paraId="250D09DF" w14:textId="77777777" w:rsidTr="00D76615">
        <w:tc>
          <w:tcPr>
            <w:tcW w:w="988" w:type="dxa"/>
          </w:tcPr>
          <w:p w14:paraId="3DBD0CD2" w14:textId="77777777" w:rsidR="00D76615" w:rsidRPr="00D76615" w:rsidRDefault="00D76615" w:rsidP="006D107E">
            <w:pPr>
              <w:jc w:val="right"/>
            </w:pPr>
            <w:r w:rsidRPr="00D76615">
              <w:t>19.</w:t>
            </w:r>
          </w:p>
        </w:tc>
        <w:tc>
          <w:tcPr>
            <w:tcW w:w="2835" w:type="dxa"/>
          </w:tcPr>
          <w:p w14:paraId="18A1A690" w14:textId="77777777" w:rsidR="00D76615" w:rsidRPr="00D76615" w:rsidRDefault="00D76615" w:rsidP="006D107E">
            <w:r w:rsidRPr="00D76615">
              <w:t xml:space="preserve">Garantija dėl </w:t>
            </w:r>
          </w:p>
          <w:p w14:paraId="0C7FA6BA" w14:textId="77777777" w:rsidR="00D76615" w:rsidRPr="00D76615" w:rsidRDefault="00D76615" w:rsidP="006D107E">
            <w:r w:rsidRPr="00D76615">
              <w:t>efektų, medžiagų</w:t>
            </w:r>
          </w:p>
          <w:p w14:paraId="182BDAD4" w14:textId="77777777" w:rsidR="00D76615" w:rsidRPr="00D76615" w:rsidRDefault="00D76615" w:rsidP="006D107E">
            <w:r w:rsidRPr="00D76615">
              <w:t xml:space="preserve"> ir gamybos trūkumų</w:t>
            </w:r>
          </w:p>
          <w:p w14:paraId="6576C5C3" w14:textId="77777777" w:rsidR="00D76615" w:rsidRPr="00D76615" w:rsidRDefault="00D76615" w:rsidP="006D107E">
            <w:r w:rsidRPr="00D76615">
              <w:t>visoms prekėms</w:t>
            </w:r>
          </w:p>
        </w:tc>
        <w:tc>
          <w:tcPr>
            <w:tcW w:w="5528" w:type="dxa"/>
          </w:tcPr>
          <w:p w14:paraId="188DC660" w14:textId="77777777" w:rsidR="00D76615" w:rsidRPr="00D76615" w:rsidRDefault="00D76615" w:rsidP="006D107E">
            <w:pPr>
              <w:jc w:val="both"/>
            </w:pPr>
            <w:r w:rsidRPr="00D76615">
              <w:t>Ne mažiau kaip 2 metai, bet ne mažiau kaip gamintojo viešai deklaruojama.</w:t>
            </w:r>
          </w:p>
        </w:tc>
      </w:tr>
    </w:tbl>
    <w:p w14:paraId="7508AD69" w14:textId="77777777" w:rsidR="00F93701" w:rsidRDefault="00F93701" w:rsidP="00F93701"/>
    <w:p w14:paraId="68F19CD6" w14:textId="77777777" w:rsidR="00F93701" w:rsidRDefault="00F93701" w:rsidP="00F93701">
      <w:r>
        <w:tab/>
      </w:r>
    </w:p>
    <w:p w14:paraId="181ABC26" w14:textId="77777777" w:rsidR="00F93701" w:rsidRDefault="00F93701" w:rsidP="00F93701"/>
    <w:tbl>
      <w:tblPr>
        <w:tblpPr w:leftFromText="180" w:rightFromText="180" w:vertAnchor="text" w:horzAnchor="margin" w:tblpY="18"/>
        <w:tblW w:w="10035" w:type="dxa"/>
        <w:tblLook w:val="0000" w:firstRow="0" w:lastRow="0" w:firstColumn="0" w:lastColumn="0" w:noHBand="0" w:noVBand="0"/>
      </w:tblPr>
      <w:tblGrid>
        <w:gridCol w:w="5162"/>
        <w:gridCol w:w="4873"/>
      </w:tblGrid>
      <w:tr w:rsidR="00F93701" w:rsidRPr="00126E56" w14:paraId="6EBBBB89" w14:textId="77777777" w:rsidTr="00580C9F">
        <w:trPr>
          <w:trHeight w:val="2601"/>
        </w:trPr>
        <w:tc>
          <w:tcPr>
            <w:tcW w:w="5162" w:type="dxa"/>
            <w:shd w:val="clear" w:color="auto" w:fill="auto"/>
          </w:tcPr>
          <w:p w14:paraId="54B0C1B0" w14:textId="77777777" w:rsidR="00F93701" w:rsidRPr="00126E56" w:rsidRDefault="00F93701" w:rsidP="00580C9F">
            <w:pPr>
              <w:spacing w:line="276" w:lineRule="auto"/>
              <w:ind w:left="420" w:hanging="420"/>
              <w:contextualSpacing/>
              <w:rPr>
                <w:rFonts w:eastAsia="Calibri"/>
                <w:b/>
                <w:lang w:bidi="en-US"/>
              </w:rPr>
            </w:pPr>
            <w:r>
              <w:rPr>
                <w:rFonts w:eastAsia="Calibri"/>
                <w:b/>
                <w:lang w:bidi="en-US"/>
              </w:rPr>
              <w:t>PIRKĖJAS</w:t>
            </w:r>
          </w:p>
          <w:p w14:paraId="1C036C82" w14:textId="77777777" w:rsidR="00F93701" w:rsidRPr="00126E56" w:rsidRDefault="00F93701" w:rsidP="00580C9F">
            <w:pPr>
              <w:spacing w:line="276" w:lineRule="auto"/>
              <w:rPr>
                <w:b/>
                <w:bCs/>
              </w:rPr>
            </w:pPr>
          </w:p>
          <w:p w14:paraId="4A667C76" w14:textId="77777777" w:rsidR="00F93701" w:rsidRPr="00126E56" w:rsidRDefault="00F93701" w:rsidP="00580C9F">
            <w:pPr>
              <w:spacing w:line="276" w:lineRule="auto"/>
              <w:rPr>
                <w:b/>
                <w:bCs/>
              </w:rPr>
            </w:pPr>
            <w:r>
              <w:rPr>
                <w:b/>
                <w:bCs/>
              </w:rPr>
              <w:t>Turto valdymo ir ūkio</w:t>
            </w:r>
            <w:r w:rsidRPr="00126E56">
              <w:rPr>
                <w:b/>
                <w:bCs/>
              </w:rPr>
              <w:t xml:space="preserve"> departamentas </w:t>
            </w:r>
          </w:p>
          <w:p w14:paraId="58C18E69" w14:textId="77777777" w:rsidR="00F93701" w:rsidRPr="00126E56" w:rsidRDefault="00F93701" w:rsidP="00580C9F">
            <w:pPr>
              <w:spacing w:line="276" w:lineRule="auto"/>
              <w:rPr>
                <w:b/>
                <w:bCs/>
              </w:rPr>
            </w:pPr>
            <w:r w:rsidRPr="00126E56">
              <w:rPr>
                <w:b/>
                <w:bCs/>
              </w:rPr>
              <w:t xml:space="preserve">prie Lietuvos Respublikos </w:t>
            </w:r>
          </w:p>
          <w:p w14:paraId="1481404B" w14:textId="77777777" w:rsidR="00F93701" w:rsidRPr="00126E56" w:rsidRDefault="00F93701" w:rsidP="00580C9F">
            <w:pPr>
              <w:spacing w:line="276" w:lineRule="auto"/>
              <w:rPr>
                <w:b/>
              </w:rPr>
            </w:pPr>
            <w:r w:rsidRPr="00126E56">
              <w:rPr>
                <w:b/>
                <w:bCs/>
              </w:rPr>
              <w:t>vidaus reikalų ministerijos</w:t>
            </w:r>
            <w:r w:rsidRPr="00126E56">
              <w:rPr>
                <w:b/>
              </w:rPr>
              <w:t xml:space="preserve"> </w:t>
            </w:r>
          </w:p>
          <w:p w14:paraId="3D8C312C" w14:textId="77777777" w:rsidR="00F93701" w:rsidRDefault="00F93701" w:rsidP="00580C9F">
            <w:pPr>
              <w:spacing w:line="276" w:lineRule="auto"/>
              <w:ind w:left="420" w:hanging="528"/>
              <w:contextualSpacing/>
              <w:rPr>
                <w:rFonts w:eastAsia="Calibri"/>
                <w:lang w:bidi="en-US"/>
              </w:rPr>
            </w:pPr>
          </w:p>
          <w:p w14:paraId="358CDE79" w14:textId="1700DF87" w:rsidR="00F93701" w:rsidRDefault="00F93701" w:rsidP="003C4B5D">
            <w:pPr>
              <w:spacing w:line="276" w:lineRule="auto"/>
              <w:ind w:left="420" w:hanging="386"/>
              <w:contextualSpacing/>
              <w:rPr>
                <w:rFonts w:eastAsia="Calibri"/>
                <w:lang w:bidi="en-US"/>
              </w:rPr>
            </w:pPr>
            <w:r>
              <w:rPr>
                <w:rFonts w:eastAsia="Calibri"/>
                <w:lang w:bidi="en-US"/>
              </w:rPr>
              <w:t>Direktorius</w:t>
            </w:r>
          </w:p>
          <w:p w14:paraId="783F986D" w14:textId="77777777" w:rsidR="00F93701" w:rsidRPr="00126E56" w:rsidRDefault="00F93701" w:rsidP="00580C9F">
            <w:pPr>
              <w:spacing w:line="276" w:lineRule="auto"/>
              <w:ind w:left="420" w:hanging="386"/>
              <w:contextualSpacing/>
              <w:rPr>
                <w:rFonts w:eastAsia="Calibri"/>
                <w:lang w:bidi="en-US"/>
              </w:rPr>
            </w:pPr>
            <w:r>
              <w:rPr>
                <w:rFonts w:eastAsia="Calibri"/>
                <w:lang w:bidi="en-US"/>
              </w:rPr>
              <w:t xml:space="preserve">Giedrius </w:t>
            </w:r>
            <w:proofErr w:type="spellStart"/>
            <w:r>
              <w:rPr>
                <w:rFonts w:eastAsia="Calibri"/>
                <w:lang w:bidi="en-US"/>
              </w:rPr>
              <w:t>Griška</w:t>
            </w:r>
            <w:proofErr w:type="spellEnd"/>
          </w:p>
          <w:p w14:paraId="3AC790F3" w14:textId="77777777" w:rsidR="00F93701" w:rsidRPr="00126E56" w:rsidRDefault="00F93701" w:rsidP="00580C9F">
            <w:pPr>
              <w:spacing w:line="276" w:lineRule="auto"/>
              <w:ind w:left="420" w:hanging="244"/>
              <w:contextualSpacing/>
              <w:rPr>
                <w:rFonts w:eastAsia="Calibri"/>
                <w:b/>
                <w:lang w:bidi="en-US"/>
              </w:rPr>
            </w:pPr>
          </w:p>
        </w:tc>
        <w:tc>
          <w:tcPr>
            <w:tcW w:w="4873" w:type="dxa"/>
            <w:shd w:val="clear" w:color="auto" w:fill="auto"/>
          </w:tcPr>
          <w:p w14:paraId="04F60AE8" w14:textId="06D30277" w:rsidR="00D76615" w:rsidRDefault="00D76615" w:rsidP="00D76615">
            <w:pPr>
              <w:rPr>
                <w:b/>
                <w:lang w:val="en-GB"/>
              </w:rPr>
            </w:pPr>
            <w:r>
              <w:rPr>
                <w:b/>
                <w:lang w:val="en-GB"/>
              </w:rPr>
              <w:t>PARDAVĖJAS</w:t>
            </w:r>
          </w:p>
          <w:p w14:paraId="793DCFCE" w14:textId="77777777" w:rsidR="00D76615" w:rsidRDefault="00D76615" w:rsidP="00D76615">
            <w:pPr>
              <w:rPr>
                <w:b/>
                <w:lang w:val="en-GB"/>
              </w:rPr>
            </w:pPr>
          </w:p>
          <w:p w14:paraId="0E24F901" w14:textId="77777777" w:rsidR="00D76615" w:rsidRPr="007559AF" w:rsidRDefault="00D76615" w:rsidP="00D76615">
            <w:proofErr w:type="spellStart"/>
            <w:r w:rsidRPr="007559AF">
              <w:rPr>
                <w:b/>
                <w:lang w:val="en-GB"/>
              </w:rPr>
              <w:t>Ūkio</w:t>
            </w:r>
            <w:proofErr w:type="spellEnd"/>
            <w:r w:rsidRPr="007559AF">
              <w:rPr>
                <w:b/>
                <w:lang w:val="en-GB"/>
              </w:rPr>
              <w:t xml:space="preserve"> </w:t>
            </w:r>
            <w:proofErr w:type="spellStart"/>
            <w:r w:rsidRPr="007559AF">
              <w:rPr>
                <w:b/>
                <w:lang w:val="en-GB"/>
              </w:rPr>
              <w:t>subjektų</w:t>
            </w:r>
            <w:proofErr w:type="spellEnd"/>
            <w:r w:rsidRPr="007559AF">
              <w:rPr>
                <w:b/>
                <w:lang w:val="en-GB"/>
              </w:rPr>
              <w:t xml:space="preserve"> </w:t>
            </w:r>
            <w:proofErr w:type="spellStart"/>
            <w:r w:rsidRPr="007559AF">
              <w:rPr>
                <w:b/>
                <w:lang w:val="en-GB"/>
              </w:rPr>
              <w:t>grupė</w:t>
            </w:r>
            <w:proofErr w:type="spellEnd"/>
            <w:r w:rsidRPr="007559AF">
              <w:rPr>
                <w:b/>
                <w:lang w:val="en-GB"/>
              </w:rPr>
              <w:t xml:space="preserve">, </w:t>
            </w:r>
            <w:proofErr w:type="spellStart"/>
            <w:r w:rsidRPr="007559AF">
              <w:rPr>
                <w:b/>
                <w:lang w:val="en-GB"/>
              </w:rPr>
              <w:t>sudaryta</w:t>
            </w:r>
            <w:proofErr w:type="spellEnd"/>
            <w:r w:rsidRPr="007559AF">
              <w:rPr>
                <w:b/>
                <w:lang w:val="en-GB"/>
              </w:rPr>
              <w:t xml:space="preserve"> </w:t>
            </w:r>
            <w:proofErr w:type="spellStart"/>
            <w:r w:rsidRPr="007559AF">
              <w:rPr>
                <w:b/>
                <w:lang w:val="en-GB"/>
              </w:rPr>
              <w:t>iš</w:t>
            </w:r>
            <w:proofErr w:type="spellEnd"/>
            <w:r w:rsidRPr="007559AF">
              <w:rPr>
                <w:b/>
                <w:lang w:val="en-GB"/>
              </w:rPr>
              <w:t xml:space="preserve"> UAB</w:t>
            </w:r>
            <w:r w:rsidRPr="007559AF">
              <w:rPr>
                <w:b/>
                <w:i/>
                <w:lang w:val="en-GB"/>
              </w:rPr>
              <w:t xml:space="preserve"> </w:t>
            </w:r>
            <w:r w:rsidRPr="007559AF">
              <w:rPr>
                <w:b/>
                <w:lang w:val="en-GB"/>
              </w:rPr>
              <w:t>„</w:t>
            </w:r>
            <w:proofErr w:type="spellStart"/>
            <w:r w:rsidRPr="007559AF">
              <w:rPr>
                <w:b/>
                <w:lang w:val="en-GB"/>
              </w:rPr>
              <w:t>Defensa</w:t>
            </w:r>
            <w:proofErr w:type="spellEnd"/>
            <w:r w:rsidRPr="007559AF">
              <w:rPr>
                <w:b/>
                <w:lang w:val="en-GB"/>
              </w:rPr>
              <w:t>“</w:t>
            </w:r>
            <w:r w:rsidRPr="007559AF">
              <w:rPr>
                <w:b/>
                <w:bCs/>
                <w:lang w:val="en-GB"/>
              </w:rPr>
              <w:t xml:space="preserve"> </w:t>
            </w:r>
            <w:proofErr w:type="spellStart"/>
            <w:r w:rsidRPr="007559AF">
              <w:rPr>
                <w:b/>
                <w:lang w:val="en-GB"/>
              </w:rPr>
              <w:t>ir</w:t>
            </w:r>
            <w:proofErr w:type="spellEnd"/>
            <w:r w:rsidRPr="007559AF">
              <w:rPr>
                <w:b/>
                <w:lang w:val="en-GB"/>
              </w:rPr>
              <w:t xml:space="preserve"> </w:t>
            </w:r>
            <w:r w:rsidRPr="007559AF">
              <w:rPr>
                <w:b/>
                <w:bCs/>
                <w:lang w:val="en-GB"/>
              </w:rPr>
              <w:t xml:space="preserve"> Baltic Fox OU,</w:t>
            </w:r>
            <w:r w:rsidRPr="007559AF">
              <w:rPr>
                <w:b/>
                <w:lang w:val="en-GB"/>
              </w:rPr>
              <w:t xml:space="preserve"> </w:t>
            </w:r>
            <w:proofErr w:type="spellStart"/>
            <w:r w:rsidRPr="007559AF">
              <w:rPr>
                <w:b/>
                <w:lang w:val="en-GB"/>
              </w:rPr>
              <w:t>atstovaujama</w:t>
            </w:r>
            <w:proofErr w:type="spellEnd"/>
            <w:r w:rsidRPr="007559AF">
              <w:rPr>
                <w:b/>
                <w:lang w:val="en-GB"/>
              </w:rPr>
              <w:t xml:space="preserve"> </w:t>
            </w:r>
            <w:proofErr w:type="spellStart"/>
            <w:r w:rsidRPr="007559AF">
              <w:rPr>
                <w:b/>
                <w:lang w:val="en-GB"/>
              </w:rPr>
              <w:t>atsakingojo</w:t>
            </w:r>
            <w:proofErr w:type="spellEnd"/>
            <w:r w:rsidRPr="007559AF">
              <w:rPr>
                <w:b/>
                <w:lang w:val="en-GB"/>
              </w:rPr>
              <w:t xml:space="preserve"> </w:t>
            </w:r>
            <w:proofErr w:type="spellStart"/>
            <w:r w:rsidRPr="007559AF">
              <w:rPr>
                <w:b/>
                <w:lang w:val="en-GB"/>
              </w:rPr>
              <w:t>partnerio</w:t>
            </w:r>
            <w:proofErr w:type="spellEnd"/>
            <w:r>
              <w:rPr>
                <w:b/>
                <w:lang w:val="en-GB"/>
              </w:rPr>
              <w:t xml:space="preserve"> </w:t>
            </w:r>
            <w:r w:rsidRPr="007559AF">
              <w:rPr>
                <w:b/>
                <w:bCs/>
                <w:lang w:val="en-GB"/>
              </w:rPr>
              <w:t xml:space="preserve"> Baltic Fox OU</w:t>
            </w:r>
            <w:r w:rsidRPr="007559AF">
              <w:rPr>
                <w:b/>
                <w:lang w:val="en-GB"/>
              </w:rPr>
              <w:t xml:space="preserve">  </w:t>
            </w:r>
          </w:p>
          <w:p w14:paraId="043DE78A" w14:textId="77777777" w:rsidR="00D76615" w:rsidRDefault="00D76615" w:rsidP="00D76615">
            <w:pPr>
              <w:spacing w:line="276" w:lineRule="auto"/>
              <w:contextualSpacing/>
              <w:rPr>
                <w:b/>
                <w:bCs/>
              </w:rPr>
            </w:pPr>
          </w:p>
          <w:p w14:paraId="55E85D3E" w14:textId="77777777" w:rsidR="00D76615" w:rsidRDefault="00D76615" w:rsidP="00D76615">
            <w:pPr>
              <w:spacing w:line="276" w:lineRule="auto"/>
              <w:contextualSpacing/>
              <w:rPr>
                <w:b/>
                <w:bCs/>
              </w:rPr>
            </w:pPr>
          </w:p>
          <w:p w14:paraId="3FFF2FCA" w14:textId="77777777" w:rsidR="003C4B5D" w:rsidRDefault="003C4B5D" w:rsidP="003C4B5D">
            <w:pPr>
              <w:rPr>
                <w:lang w:eastAsia="en-US"/>
              </w:rPr>
            </w:pPr>
            <w:r>
              <w:t>Įgaliotas asmuo</w:t>
            </w:r>
          </w:p>
          <w:p w14:paraId="2EC24AC9" w14:textId="3BD93632" w:rsidR="00F93701" w:rsidRPr="00804A9B" w:rsidRDefault="003C4B5D" w:rsidP="003C4B5D">
            <w:pPr>
              <w:spacing w:line="276" w:lineRule="auto"/>
              <w:contextualSpacing/>
              <w:rPr>
                <w:rFonts w:eastAsia="Calibri"/>
                <w:b/>
                <w:lang w:bidi="en-US"/>
              </w:rPr>
            </w:pPr>
            <w:r>
              <w:rPr>
                <w:lang w:eastAsia="lt-LT"/>
              </w:rPr>
              <w:t xml:space="preserve">Andželika </w:t>
            </w:r>
            <w:proofErr w:type="spellStart"/>
            <w:r>
              <w:rPr>
                <w:lang w:eastAsia="lt-LT"/>
              </w:rPr>
              <w:t>Skužinskienė</w:t>
            </w:r>
            <w:proofErr w:type="spellEnd"/>
          </w:p>
        </w:tc>
      </w:tr>
    </w:tbl>
    <w:p w14:paraId="331671A7" w14:textId="77777777" w:rsidR="00746FCD" w:rsidRDefault="00746FCD"/>
    <w:sectPr w:rsidR="00746FCD" w:rsidSect="00F9370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5EE44" w14:textId="77777777" w:rsidR="001B72A0" w:rsidRDefault="001B72A0" w:rsidP="00F93701">
      <w:r>
        <w:separator/>
      </w:r>
    </w:p>
  </w:endnote>
  <w:endnote w:type="continuationSeparator" w:id="0">
    <w:p w14:paraId="6E091CDB" w14:textId="77777777" w:rsidR="001B72A0" w:rsidRDefault="001B72A0" w:rsidP="00F9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19602" w14:textId="77777777" w:rsidR="001B72A0" w:rsidRDefault="001B72A0" w:rsidP="00F93701">
      <w:r>
        <w:separator/>
      </w:r>
    </w:p>
  </w:footnote>
  <w:footnote w:type="continuationSeparator" w:id="0">
    <w:p w14:paraId="296DA81C" w14:textId="77777777" w:rsidR="001B72A0" w:rsidRDefault="001B72A0" w:rsidP="00F93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353775"/>
      <w:docPartObj>
        <w:docPartGallery w:val="Page Numbers (Top of Page)"/>
        <w:docPartUnique/>
      </w:docPartObj>
    </w:sdtPr>
    <w:sdtEndPr/>
    <w:sdtContent>
      <w:p w14:paraId="1789D29D" w14:textId="77777777" w:rsidR="00F93701" w:rsidRDefault="00F93701">
        <w:pPr>
          <w:pStyle w:val="Antrats"/>
          <w:jc w:val="center"/>
        </w:pPr>
        <w:r>
          <w:fldChar w:fldCharType="begin"/>
        </w:r>
        <w:r>
          <w:instrText>PAGE   \* MERGEFORMAT</w:instrText>
        </w:r>
        <w:r>
          <w:fldChar w:fldCharType="separate"/>
        </w:r>
        <w:r w:rsidR="00D62C38">
          <w:rPr>
            <w:noProof/>
          </w:rPr>
          <w:t>2</w:t>
        </w:r>
        <w:r>
          <w:fldChar w:fldCharType="end"/>
        </w:r>
      </w:p>
    </w:sdtContent>
  </w:sdt>
  <w:p w14:paraId="1D61A0E9" w14:textId="77777777" w:rsidR="00F93701" w:rsidRDefault="00F937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4434D"/>
    <w:multiLevelType w:val="hybridMultilevel"/>
    <w:tmpl w:val="EFCE5D30"/>
    <w:lvl w:ilvl="0" w:tplc="97B6BB4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01"/>
    <w:rsid w:val="00053C49"/>
    <w:rsid w:val="00171917"/>
    <w:rsid w:val="001B72A0"/>
    <w:rsid w:val="002748B1"/>
    <w:rsid w:val="0037343C"/>
    <w:rsid w:val="003B6885"/>
    <w:rsid w:val="003C4B5D"/>
    <w:rsid w:val="00511964"/>
    <w:rsid w:val="00523CBF"/>
    <w:rsid w:val="006C1230"/>
    <w:rsid w:val="00746FCD"/>
    <w:rsid w:val="00BF1102"/>
    <w:rsid w:val="00D62C38"/>
    <w:rsid w:val="00D645FB"/>
    <w:rsid w:val="00D76615"/>
    <w:rsid w:val="00F937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E3D3"/>
  <w15:chartTrackingRefBased/>
  <w15:docId w15:val="{64B7B989-42DB-4570-9DB6-6F658D9B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3701"/>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93701"/>
    <w:pPr>
      <w:tabs>
        <w:tab w:val="center" w:pos="4320"/>
        <w:tab w:val="right" w:pos="8640"/>
      </w:tabs>
      <w:suppressAutoHyphens w:val="0"/>
    </w:pPr>
    <w:rPr>
      <w:lang w:val="en-US" w:eastAsia="en-US"/>
    </w:rPr>
  </w:style>
  <w:style w:type="character" w:customStyle="1" w:styleId="PoratDiagrama">
    <w:name w:val="Poraštė Diagrama"/>
    <w:basedOn w:val="Numatytasispastraiposriftas"/>
    <w:link w:val="Porat"/>
    <w:uiPriority w:val="99"/>
    <w:rsid w:val="00F93701"/>
    <w:rPr>
      <w:rFonts w:ascii="Times New Roman" w:eastAsia="Times New Roman" w:hAnsi="Times New Roman" w:cs="Times New Roman"/>
      <w:sz w:val="24"/>
      <w:szCs w:val="24"/>
      <w:lang w:val="en-US"/>
    </w:rPr>
  </w:style>
  <w:style w:type="table" w:styleId="Lentelstinklelis">
    <w:name w:val="Table Grid"/>
    <w:basedOn w:val="prastojilentel"/>
    <w:rsid w:val="00F937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93701"/>
    <w:pPr>
      <w:ind w:left="720"/>
      <w:contextualSpacing/>
    </w:pPr>
  </w:style>
  <w:style w:type="paragraph" w:styleId="Antrats">
    <w:name w:val="header"/>
    <w:basedOn w:val="prastasis"/>
    <w:link w:val="AntratsDiagrama"/>
    <w:uiPriority w:val="99"/>
    <w:unhideWhenUsed/>
    <w:rsid w:val="00F93701"/>
    <w:pPr>
      <w:tabs>
        <w:tab w:val="center" w:pos="4819"/>
        <w:tab w:val="right" w:pos="9638"/>
      </w:tabs>
    </w:pPr>
  </w:style>
  <w:style w:type="character" w:customStyle="1" w:styleId="AntratsDiagrama">
    <w:name w:val="Antraštės Diagrama"/>
    <w:basedOn w:val="Numatytasispastraiposriftas"/>
    <w:link w:val="Antrats"/>
    <w:uiPriority w:val="99"/>
    <w:rsid w:val="00F93701"/>
    <w:rPr>
      <w:rFonts w:ascii="Times New Roman" w:eastAsia="Times New Roman" w:hAnsi="Times New Roman" w:cs="Times New Roman"/>
      <w:sz w:val="24"/>
      <w:szCs w:val="24"/>
      <w:lang w:eastAsia="ar-SA"/>
    </w:rPr>
  </w:style>
  <w:style w:type="character" w:styleId="Komentaronuoroda">
    <w:name w:val="annotation reference"/>
    <w:basedOn w:val="Numatytasispastraiposriftas"/>
    <w:uiPriority w:val="99"/>
    <w:semiHidden/>
    <w:unhideWhenUsed/>
    <w:rsid w:val="00523CBF"/>
    <w:rPr>
      <w:sz w:val="16"/>
      <w:szCs w:val="16"/>
    </w:rPr>
  </w:style>
  <w:style w:type="paragraph" w:styleId="Komentarotekstas">
    <w:name w:val="annotation text"/>
    <w:basedOn w:val="prastasis"/>
    <w:link w:val="KomentarotekstasDiagrama"/>
    <w:uiPriority w:val="99"/>
    <w:semiHidden/>
    <w:unhideWhenUsed/>
    <w:rsid w:val="00523CBF"/>
    <w:rPr>
      <w:sz w:val="20"/>
      <w:szCs w:val="20"/>
    </w:rPr>
  </w:style>
  <w:style w:type="character" w:customStyle="1" w:styleId="KomentarotekstasDiagrama">
    <w:name w:val="Komentaro tekstas Diagrama"/>
    <w:basedOn w:val="Numatytasispastraiposriftas"/>
    <w:link w:val="Komentarotekstas"/>
    <w:uiPriority w:val="99"/>
    <w:semiHidden/>
    <w:rsid w:val="00523CBF"/>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523CBF"/>
    <w:rPr>
      <w:b/>
      <w:bCs/>
    </w:rPr>
  </w:style>
  <w:style w:type="character" w:customStyle="1" w:styleId="KomentarotemaDiagrama">
    <w:name w:val="Komentaro tema Diagrama"/>
    <w:basedOn w:val="KomentarotekstasDiagrama"/>
    <w:link w:val="Komentarotema"/>
    <w:uiPriority w:val="99"/>
    <w:semiHidden/>
    <w:rsid w:val="00523CBF"/>
    <w:rPr>
      <w:rFonts w:ascii="Times New Roman" w:eastAsia="Times New Roman" w:hAnsi="Times New Roman" w:cs="Times New Roman"/>
      <w:b/>
      <w:bCs/>
      <w:sz w:val="20"/>
      <w:szCs w:val="20"/>
      <w:lang w:eastAsia="ar-SA"/>
    </w:rPr>
  </w:style>
  <w:style w:type="paragraph" w:styleId="Debesliotekstas">
    <w:name w:val="Balloon Text"/>
    <w:basedOn w:val="prastasis"/>
    <w:link w:val="DebesliotekstasDiagrama"/>
    <w:uiPriority w:val="99"/>
    <w:semiHidden/>
    <w:unhideWhenUsed/>
    <w:rsid w:val="00523C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3CB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35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2095</Words>
  <Characters>1195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Česlava Grinienė</cp:lastModifiedBy>
  <cp:revision>3</cp:revision>
  <dcterms:created xsi:type="dcterms:W3CDTF">2022-03-29T13:10:00Z</dcterms:created>
  <dcterms:modified xsi:type="dcterms:W3CDTF">2022-03-29T13:10:00Z</dcterms:modified>
</cp:coreProperties>
</file>