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AD" w:rsidRPr="00686267" w:rsidRDefault="000E73AD" w:rsidP="000E73AD">
      <w:pPr>
        <w:tabs>
          <w:tab w:val="left" w:pos="6096"/>
        </w:tabs>
        <w:ind w:left="6096"/>
        <w:contextualSpacing/>
        <w:rPr>
          <w:sz w:val="23"/>
          <w:szCs w:val="23"/>
          <w:lang w:val="lt-LT"/>
        </w:rPr>
      </w:pPr>
      <w:r w:rsidRPr="00686267">
        <w:rPr>
          <w:sz w:val="23"/>
          <w:szCs w:val="23"/>
          <w:lang w:val="lt-LT"/>
        </w:rPr>
        <w:t xml:space="preserve">2022 m.  </w:t>
      </w:r>
      <w:r>
        <w:rPr>
          <w:sz w:val="23"/>
          <w:szCs w:val="23"/>
          <w:lang w:val="lt-LT"/>
        </w:rPr>
        <w:t xml:space="preserve">rugsėjo 13 d.                          </w:t>
      </w:r>
    </w:p>
    <w:p w:rsidR="000E73AD" w:rsidRPr="00686267" w:rsidRDefault="000E73AD" w:rsidP="000E73AD">
      <w:pPr>
        <w:tabs>
          <w:tab w:val="left" w:pos="6096"/>
        </w:tabs>
        <w:ind w:left="6096"/>
        <w:contextualSpacing/>
        <w:rPr>
          <w:sz w:val="23"/>
          <w:szCs w:val="23"/>
          <w:lang w:val="lt-LT"/>
        </w:rPr>
      </w:pPr>
      <w:r w:rsidRPr="00686267">
        <w:rPr>
          <w:sz w:val="23"/>
          <w:szCs w:val="23"/>
          <w:lang w:val="lt-LT"/>
        </w:rPr>
        <w:t xml:space="preserve">Paslaugų viešojo pirkimo-pardavimo                                                                                 </w:t>
      </w:r>
      <w:r w:rsidRPr="00686267">
        <w:rPr>
          <w:bCs/>
          <w:sz w:val="23"/>
          <w:szCs w:val="23"/>
          <w:lang w:val="lt-LT"/>
        </w:rPr>
        <w:t xml:space="preserve">sutarties Nr. </w:t>
      </w:r>
      <w:r>
        <w:rPr>
          <w:bCs/>
          <w:sz w:val="23"/>
          <w:szCs w:val="23"/>
          <w:lang w:val="lt-LT"/>
        </w:rPr>
        <w:t>6K-454</w:t>
      </w:r>
      <w:bookmarkStart w:id="0" w:name="_GoBack"/>
      <w:bookmarkEnd w:id="0"/>
    </w:p>
    <w:p w:rsidR="000E73AD" w:rsidRPr="00686267" w:rsidRDefault="000E73AD" w:rsidP="000E73AD">
      <w:pPr>
        <w:tabs>
          <w:tab w:val="left" w:pos="6096"/>
        </w:tabs>
        <w:ind w:left="6096"/>
        <w:rPr>
          <w:sz w:val="23"/>
          <w:szCs w:val="23"/>
          <w:lang w:val="lt-LT"/>
        </w:rPr>
      </w:pPr>
      <w:r w:rsidRPr="00686267">
        <w:rPr>
          <w:sz w:val="23"/>
          <w:szCs w:val="23"/>
          <w:lang w:val="lt-LT"/>
        </w:rPr>
        <w:t>priedas</w:t>
      </w:r>
    </w:p>
    <w:p w:rsidR="000E73AD" w:rsidRPr="00686267" w:rsidRDefault="000E73AD" w:rsidP="000E73AD">
      <w:pPr>
        <w:tabs>
          <w:tab w:val="left" w:pos="6096"/>
        </w:tabs>
        <w:contextualSpacing/>
        <w:rPr>
          <w:sz w:val="23"/>
          <w:szCs w:val="23"/>
          <w:lang w:val="lt-LT"/>
        </w:rPr>
      </w:pPr>
    </w:p>
    <w:p w:rsidR="000E73AD" w:rsidRPr="00686267" w:rsidRDefault="000E73AD" w:rsidP="000E73AD">
      <w:pPr>
        <w:pStyle w:val="Porat"/>
        <w:tabs>
          <w:tab w:val="clear" w:pos="4819"/>
          <w:tab w:val="clear" w:pos="9638"/>
          <w:tab w:val="center" w:pos="3544"/>
          <w:tab w:val="left" w:pos="6096"/>
          <w:tab w:val="right" w:pos="8640"/>
        </w:tabs>
        <w:jc w:val="center"/>
        <w:rPr>
          <w:rFonts w:cs="Times New Roman"/>
          <w:b/>
          <w:sz w:val="23"/>
          <w:szCs w:val="23"/>
        </w:rPr>
      </w:pPr>
      <w:r w:rsidRPr="00686267">
        <w:rPr>
          <w:rFonts w:cs="Times New Roman"/>
          <w:b/>
          <w:sz w:val="23"/>
          <w:szCs w:val="23"/>
        </w:rPr>
        <w:t>TECHNINĖ SPECIFIKACIJA</w:t>
      </w:r>
    </w:p>
    <w:p w:rsidR="000E73AD" w:rsidRPr="00686267" w:rsidRDefault="000E73AD" w:rsidP="000E73AD">
      <w:pPr>
        <w:widowControl w:val="0"/>
        <w:tabs>
          <w:tab w:val="left" w:pos="6096"/>
        </w:tabs>
        <w:autoSpaceDE w:val="0"/>
        <w:autoSpaceDN w:val="0"/>
        <w:adjustRightInd w:val="0"/>
        <w:jc w:val="center"/>
        <w:rPr>
          <w:b/>
          <w:sz w:val="23"/>
          <w:szCs w:val="23"/>
          <w:lang w:val="lt-LT"/>
        </w:rPr>
      </w:pPr>
    </w:p>
    <w:p w:rsidR="000E73AD" w:rsidRPr="00686267" w:rsidRDefault="000E73AD" w:rsidP="000E73AD">
      <w:pPr>
        <w:numPr>
          <w:ilvl w:val="0"/>
          <w:numId w:val="1"/>
        </w:numPr>
        <w:tabs>
          <w:tab w:val="left" w:pos="284"/>
          <w:tab w:val="left" w:pos="993"/>
          <w:tab w:val="left" w:pos="1134"/>
        </w:tabs>
        <w:ind w:left="0" w:firstLine="0"/>
        <w:jc w:val="both"/>
        <w:rPr>
          <w:sz w:val="23"/>
          <w:szCs w:val="23"/>
          <w:lang w:val="lt-LT"/>
        </w:rPr>
      </w:pPr>
      <w:r w:rsidRPr="00686267">
        <w:rPr>
          <w:sz w:val="23"/>
          <w:szCs w:val="23"/>
          <w:lang w:val="lt-LT"/>
        </w:rPr>
        <w:t>Migracijos departamentas prie Lietuvos Respublikos vidaus reikalų ministerijos (toliau – Migracijos departamentas), L. Sapiegos g. 1, LT-01510 Vilnius, Lietuva.</w:t>
      </w:r>
    </w:p>
    <w:p w:rsidR="000E73AD" w:rsidRPr="00686267" w:rsidRDefault="000E73AD" w:rsidP="000E73AD">
      <w:pPr>
        <w:numPr>
          <w:ilvl w:val="0"/>
          <w:numId w:val="1"/>
        </w:numPr>
        <w:tabs>
          <w:tab w:val="left" w:pos="284"/>
          <w:tab w:val="left" w:pos="993"/>
          <w:tab w:val="left" w:pos="1134"/>
        </w:tabs>
        <w:ind w:left="0" w:firstLine="0"/>
        <w:jc w:val="both"/>
        <w:rPr>
          <w:sz w:val="23"/>
          <w:szCs w:val="23"/>
          <w:lang w:val="lt-LT"/>
        </w:rPr>
      </w:pPr>
      <w:r w:rsidRPr="00686267">
        <w:rPr>
          <w:sz w:val="23"/>
          <w:szCs w:val="23"/>
          <w:lang w:val="lt-LT"/>
        </w:rPr>
        <w:t xml:space="preserve">Migracijos departamentas įgyvendina 2014–2020 m. Europos Sąjungos fondų investicijų veiksmų programos 10 prioriteto „Visuomenės poreikius atitinkantis ir pažangus viešasis valdymas“  priemonės Nr. 10.1.3-ESFA-V-918 „Viešojo administravimo subjektų iniciatyvos, skirtos paslaugų ir asmenų aptarnavimo kokybės gerinimui“ lėšomis finansuojamą projektą „Efektyvus migracijos procesų valdymas“ Nr. 10.1.3-ESFA-V-918-01-0003. Projekto tikslas – pagerinti migracijos paslaugų kokybę ir užtikrinti visuomenės pasitenkinimą teikiamomis paslaugomis, didinant atsakingų institucijų darbo procesų vykdymo efektyvumą. Projekto metu sukurta ir įdiegta Lietuvos migracijos informacinė sistema (MIGRIS). </w:t>
      </w:r>
    </w:p>
    <w:p w:rsidR="000E73AD" w:rsidRPr="00686267" w:rsidRDefault="000E73AD" w:rsidP="000E73AD">
      <w:pPr>
        <w:pStyle w:val="Sraopastraipa"/>
        <w:numPr>
          <w:ilvl w:val="0"/>
          <w:numId w:val="1"/>
        </w:numPr>
        <w:tabs>
          <w:tab w:val="left" w:pos="284"/>
          <w:tab w:val="left" w:pos="993"/>
          <w:tab w:val="left" w:pos="1134"/>
        </w:tabs>
        <w:ind w:left="0" w:firstLine="0"/>
        <w:jc w:val="both"/>
        <w:rPr>
          <w:sz w:val="23"/>
          <w:szCs w:val="23"/>
          <w:lang w:val="lt-LT"/>
        </w:rPr>
      </w:pPr>
      <w:r w:rsidRPr="00686267">
        <w:rPr>
          <w:sz w:val="23"/>
          <w:szCs w:val="23"/>
          <w:lang w:val="lt-LT"/>
        </w:rPr>
        <w:t xml:space="preserve">Vykdydamas 2022 m. vasario 10 d. Lietuvos Respublikos Vyriausybės protokolinį sprendimą Nr. NV-334, Migracijos departamentas ketina sudaryti galimybę užsieniečiams prašymą dėl leidimo laikinai gyventi Lietuvos Respublikoje pateikti ir pagamintą dokumentą atsiimti per Migracijos departamento atrinktą išorės paslaugų teikėją užsienyje, todėl būtina sukurti ir įdiegti naujus MIGRIS </w:t>
      </w:r>
      <w:proofErr w:type="spellStart"/>
      <w:r w:rsidRPr="00686267">
        <w:rPr>
          <w:sz w:val="23"/>
          <w:szCs w:val="23"/>
          <w:lang w:val="lt-LT"/>
        </w:rPr>
        <w:t>funkcionalumus</w:t>
      </w:r>
      <w:proofErr w:type="spellEnd"/>
      <w:r w:rsidRPr="00686267">
        <w:rPr>
          <w:sz w:val="23"/>
          <w:szCs w:val="23"/>
          <w:lang w:val="lt-LT"/>
        </w:rPr>
        <w:t xml:space="preserve">. </w:t>
      </w:r>
    </w:p>
    <w:p w:rsidR="000E73AD" w:rsidRPr="00686267" w:rsidRDefault="000E73AD" w:rsidP="000E73AD">
      <w:pPr>
        <w:pStyle w:val="Sraopastraipa"/>
        <w:numPr>
          <w:ilvl w:val="0"/>
          <w:numId w:val="1"/>
        </w:numPr>
        <w:tabs>
          <w:tab w:val="left" w:pos="284"/>
          <w:tab w:val="left" w:pos="426"/>
          <w:tab w:val="left" w:pos="993"/>
          <w:tab w:val="left" w:pos="1134"/>
        </w:tabs>
        <w:ind w:left="0" w:firstLine="0"/>
        <w:jc w:val="both"/>
        <w:rPr>
          <w:sz w:val="23"/>
          <w:szCs w:val="23"/>
          <w:lang w:val="lt-LT"/>
        </w:rPr>
      </w:pPr>
      <w:r w:rsidRPr="00686267">
        <w:rPr>
          <w:b/>
          <w:bCs/>
          <w:sz w:val="23"/>
          <w:szCs w:val="23"/>
          <w:lang w:val="lt-LT"/>
        </w:rPr>
        <w:t xml:space="preserve">Sutarties objektas </w:t>
      </w:r>
      <w:r w:rsidRPr="00686267">
        <w:rPr>
          <w:sz w:val="23"/>
          <w:szCs w:val="23"/>
          <w:lang w:val="lt-LT"/>
        </w:rPr>
        <w:t>– projekto „Efektyvus migracijos procesų valdymas“ investicijų projekto (toliau – investicijų projektas) atnaujinimo paslaugos (toliau – Paslaugos), siekiant projekto veiklas papildyti nauja veikla „</w:t>
      </w:r>
      <w:r w:rsidRPr="00686267">
        <w:rPr>
          <w:color w:val="000000"/>
          <w:kern w:val="24"/>
          <w:sz w:val="23"/>
          <w:szCs w:val="23"/>
          <w:lang w:val="lt-LT"/>
        </w:rPr>
        <w:t xml:space="preserve">Leidimų gyventi išdavimas per išorės paslaugų teikėją“ ir įvertinti MIGRIS plėtros galimybes bei naudą. </w:t>
      </w:r>
    </w:p>
    <w:p w:rsidR="000E73AD" w:rsidRPr="00686267" w:rsidRDefault="000E73AD" w:rsidP="000E73AD">
      <w:pPr>
        <w:numPr>
          <w:ilvl w:val="0"/>
          <w:numId w:val="1"/>
        </w:numPr>
        <w:tabs>
          <w:tab w:val="left" w:pos="284"/>
          <w:tab w:val="left" w:pos="426"/>
          <w:tab w:val="left" w:pos="993"/>
          <w:tab w:val="left" w:pos="1134"/>
        </w:tabs>
        <w:ind w:left="0" w:firstLine="0"/>
        <w:jc w:val="both"/>
        <w:rPr>
          <w:sz w:val="23"/>
          <w:szCs w:val="23"/>
          <w:u w:val="single"/>
          <w:lang w:val="lt-LT"/>
        </w:rPr>
      </w:pPr>
      <w:r w:rsidRPr="00686267">
        <w:rPr>
          <w:sz w:val="23"/>
          <w:szCs w:val="23"/>
          <w:u w:val="single"/>
          <w:lang w:val="lt-LT"/>
        </w:rPr>
        <w:t xml:space="preserve">Paslaugų teikėjas turės įvertinti ir pasiūlyti žemiau nurodyto poreikio įgyvendinimo sprendimus, galimas alternatyvas, atlikti poveikio vertinimą ir pateikti numatomų išlaidų pagrindimą: </w:t>
      </w:r>
    </w:p>
    <w:p w:rsidR="000E73AD" w:rsidRPr="00686267" w:rsidRDefault="000E73AD" w:rsidP="000E73AD">
      <w:pPr>
        <w:pStyle w:val="Sraopastraipa"/>
        <w:numPr>
          <w:ilvl w:val="1"/>
          <w:numId w:val="1"/>
        </w:numPr>
        <w:tabs>
          <w:tab w:val="left" w:pos="142"/>
          <w:tab w:val="left" w:pos="284"/>
          <w:tab w:val="left" w:pos="426"/>
          <w:tab w:val="left" w:pos="567"/>
          <w:tab w:val="left" w:pos="709"/>
          <w:tab w:val="left" w:pos="851"/>
          <w:tab w:val="left" w:pos="993"/>
          <w:tab w:val="left" w:pos="1276"/>
        </w:tabs>
        <w:ind w:left="0" w:firstLine="0"/>
        <w:jc w:val="both"/>
        <w:rPr>
          <w:rFonts w:eastAsia="Calibri"/>
          <w:sz w:val="23"/>
          <w:szCs w:val="23"/>
          <w:lang w:val="lt-LT" w:bidi="en-US"/>
        </w:rPr>
      </w:pPr>
      <w:r w:rsidRPr="00686267">
        <w:rPr>
          <w:rFonts w:eastAsia="Calibri"/>
          <w:sz w:val="23"/>
          <w:szCs w:val="23"/>
          <w:lang w:val="lt-LT" w:bidi="en-US"/>
        </w:rPr>
        <w:t>atlikti jau parengto investicijų projekto analizę, esant poreikiui, bendradarbiauti su investicijų projekto rengėjais;</w:t>
      </w:r>
    </w:p>
    <w:p w:rsidR="000E73AD" w:rsidRPr="00686267" w:rsidRDefault="000E73AD" w:rsidP="000E73AD">
      <w:pPr>
        <w:pStyle w:val="Sraopastraipa"/>
        <w:numPr>
          <w:ilvl w:val="1"/>
          <w:numId w:val="1"/>
        </w:numPr>
        <w:tabs>
          <w:tab w:val="left" w:pos="142"/>
          <w:tab w:val="left" w:pos="284"/>
          <w:tab w:val="left" w:pos="426"/>
          <w:tab w:val="left" w:pos="567"/>
          <w:tab w:val="left" w:pos="709"/>
          <w:tab w:val="left" w:pos="851"/>
          <w:tab w:val="left" w:pos="993"/>
          <w:tab w:val="left" w:pos="1276"/>
        </w:tabs>
        <w:ind w:left="0" w:firstLine="0"/>
        <w:jc w:val="both"/>
        <w:rPr>
          <w:rFonts w:eastAsia="Calibri"/>
          <w:sz w:val="23"/>
          <w:szCs w:val="23"/>
          <w:lang w:val="lt-LT" w:bidi="en-US"/>
        </w:rPr>
      </w:pPr>
      <w:r w:rsidRPr="00686267">
        <w:rPr>
          <w:rFonts w:eastAsia="Calibri"/>
          <w:sz w:val="23"/>
          <w:szCs w:val="23"/>
          <w:lang w:val="lt-LT" w:bidi="en-US"/>
        </w:rPr>
        <w:t>papildyti esamos ir siekiamos situacijos aprašymą;</w:t>
      </w:r>
    </w:p>
    <w:p w:rsidR="000E73AD" w:rsidRPr="00686267" w:rsidRDefault="000E73AD" w:rsidP="000E73AD">
      <w:pPr>
        <w:pStyle w:val="Sraopastraipa"/>
        <w:numPr>
          <w:ilvl w:val="1"/>
          <w:numId w:val="1"/>
        </w:numPr>
        <w:tabs>
          <w:tab w:val="left" w:pos="450"/>
        </w:tabs>
        <w:ind w:left="0" w:firstLine="0"/>
        <w:jc w:val="both"/>
        <w:rPr>
          <w:rFonts w:eastAsia="Calibri"/>
          <w:sz w:val="23"/>
          <w:szCs w:val="23"/>
          <w:lang w:val="lt-LT" w:bidi="en-US"/>
        </w:rPr>
      </w:pPr>
      <w:r w:rsidRPr="00686267">
        <w:rPr>
          <w:rFonts w:eastAsia="Calibri"/>
          <w:sz w:val="23"/>
          <w:szCs w:val="23"/>
          <w:lang w:val="lt-LT" w:bidi="en-US"/>
        </w:rPr>
        <w:t xml:space="preserve">įvertinti galimybes sukurti ir įdiegti naujus MIGRIS </w:t>
      </w:r>
      <w:proofErr w:type="spellStart"/>
      <w:r w:rsidRPr="00686267">
        <w:rPr>
          <w:rFonts w:eastAsia="Calibri"/>
          <w:sz w:val="23"/>
          <w:szCs w:val="23"/>
          <w:lang w:val="lt-LT" w:bidi="en-US"/>
        </w:rPr>
        <w:t>funkcionalumus</w:t>
      </w:r>
      <w:proofErr w:type="spellEnd"/>
      <w:r w:rsidRPr="00686267">
        <w:rPr>
          <w:rFonts w:eastAsia="Calibri"/>
          <w:sz w:val="23"/>
          <w:szCs w:val="23"/>
          <w:lang w:val="lt-LT" w:bidi="en-US"/>
        </w:rPr>
        <w:t xml:space="preserve">, susijusius su paslaugų klientams teikimu per išorės paslaugų teikėjus užsienyje bei naujų paslaugų naudą tiek Migracijos departamento klientams, tiek valstybės institucijoms. MIGRIS plėtros metu turi būti sukurtas išorės paslaugų teikėjų naudotojų prisijungimas </w:t>
      </w:r>
      <w:r w:rsidRPr="00686267">
        <w:rPr>
          <w:sz w:val="23"/>
          <w:szCs w:val="23"/>
          <w:lang w:val="lt-LT"/>
        </w:rPr>
        <w:t xml:space="preserve">pagal su Informatikos ir ryšių departamento prie Lietuvos Respublikos vidaus reikalų ministerijos suderintus saugos reikalavimus, naudotojų administravimo, prisijungimo duomenų suteikimo ir keitimo galimybės, naudotojų veiksmų kontrolės mechanizmai, prašymo apdorojimo ir duomenų paieškos procesai, praplėstas ir pritaikytas dokumentų išdavimo procesas ir kt. </w:t>
      </w:r>
    </w:p>
    <w:p w:rsidR="000E73AD" w:rsidRPr="00686267" w:rsidRDefault="000E73AD" w:rsidP="000E73AD">
      <w:pPr>
        <w:numPr>
          <w:ilvl w:val="0"/>
          <w:numId w:val="1"/>
        </w:numPr>
        <w:tabs>
          <w:tab w:val="left" w:pos="284"/>
          <w:tab w:val="left" w:pos="426"/>
          <w:tab w:val="left" w:pos="993"/>
          <w:tab w:val="left" w:pos="1134"/>
        </w:tabs>
        <w:ind w:left="0" w:firstLine="0"/>
        <w:jc w:val="both"/>
        <w:rPr>
          <w:sz w:val="23"/>
          <w:szCs w:val="23"/>
          <w:lang w:val="lt-LT"/>
        </w:rPr>
      </w:pPr>
      <w:r w:rsidRPr="00686267">
        <w:rPr>
          <w:sz w:val="23"/>
          <w:szCs w:val="23"/>
          <w:lang w:val="lt-LT"/>
        </w:rPr>
        <w:t>Paslaugų teikėjas, įgyvendindamas</w:t>
      </w:r>
      <w:r>
        <w:rPr>
          <w:sz w:val="23"/>
          <w:szCs w:val="23"/>
          <w:lang w:val="lt-LT"/>
        </w:rPr>
        <w:t xml:space="preserve"> šios techninės specifikacijos</w:t>
      </w:r>
      <w:r w:rsidRPr="00686267">
        <w:rPr>
          <w:sz w:val="23"/>
          <w:szCs w:val="23"/>
          <w:lang w:val="lt-LT"/>
        </w:rPr>
        <w:t xml:space="preserve"> 5 punkte apibrėžtą paslaugų apimtį, privalo vadovautis </w:t>
      </w:r>
      <w:r w:rsidRPr="00686267">
        <w:rPr>
          <w:sz w:val="23"/>
          <w:szCs w:val="23"/>
          <w:lang w:val="lt-LT" w:eastAsia="lt-LT"/>
        </w:rPr>
        <w:t xml:space="preserve">Paslaugų teikimo </w:t>
      </w:r>
      <w:r w:rsidRPr="00686267">
        <w:rPr>
          <w:sz w:val="23"/>
          <w:szCs w:val="23"/>
          <w:lang w:val="lt-LT"/>
        </w:rPr>
        <w:t>sutarties metu galiojančiais teisės aktų ir kitais reikalavimais bei metodikomis dėl galimybių studijų ir (ar) investicijų projektų rengimo siekiant gauti ES paramą: Investicijų projektų, kuriems siekiama gauti finansavimą iš Europos Sąjungos struktūrinės paramos ir / ar valstybės biudžeto lėšų, rengimo metodikoje (toliau – Metodika)</w:t>
      </w:r>
      <w:r w:rsidRPr="00686267">
        <w:rPr>
          <w:rStyle w:val="Puslapioinaosnuoroda"/>
          <w:sz w:val="23"/>
          <w:szCs w:val="23"/>
          <w:lang w:val="lt-LT"/>
        </w:rPr>
        <w:footnoteReference w:id="1"/>
      </w:r>
      <w:r w:rsidRPr="00686267">
        <w:rPr>
          <w:sz w:val="23"/>
          <w:szCs w:val="23"/>
          <w:lang w:val="lt-LT"/>
        </w:rPr>
        <w:t>, 2014–2020 metų Europos Sąjungos fondų investicijų veiksmų programos 10 prioriteto Visuomenės poreikius atitinkantis ir pažangus viešasis valdymas“ 10.1.3.-ESFA-V-918 priemonės „Viešojo administravimo subjektų iniciatyvos, skirtos paslaugų ir asmenų aptarnavimo kokybės gerinimui“ projektų finansavimo sąlygų aprašu</w:t>
      </w:r>
      <w:r w:rsidRPr="00686267">
        <w:rPr>
          <w:rStyle w:val="Puslapioinaosnuoroda"/>
          <w:sz w:val="23"/>
          <w:szCs w:val="23"/>
          <w:lang w:val="lt-LT"/>
        </w:rPr>
        <w:footnoteReference w:id="2"/>
      </w:r>
      <w:r w:rsidRPr="00686267">
        <w:rPr>
          <w:sz w:val="23"/>
          <w:szCs w:val="23"/>
          <w:lang w:val="lt-LT" w:eastAsia="lt-LT"/>
        </w:rPr>
        <w:t>.</w:t>
      </w:r>
      <w:r w:rsidRPr="00686267">
        <w:rPr>
          <w:b/>
          <w:sz w:val="23"/>
          <w:szCs w:val="23"/>
          <w:lang w:val="lt-LT" w:eastAsia="lt-LT"/>
        </w:rPr>
        <w:t xml:space="preserve"> </w:t>
      </w:r>
    </w:p>
    <w:p w:rsidR="000E73AD" w:rsidRPr="00686267" w:rsidRDefault="000E73AD" w:rsidP="000E73AD">
      <w:pPr>
        <w:numPr>
          <w:ilvl w:val="0"/>
          <w:numId w:val="1"/>
        </w:numPr>
        <w:tabs>
          <w:tab w:val="left" w:pos="284"/>
          <w:tab w:val="left" w:pos="426"/>
          <w:tab w:val="left" w:pos="993"/>
          <w:tab w:val="left" w:pos="1134"/>
        </w:tabs>
        <w:ind w:left="0" w:firstLine="0"/>
        <w:jc w:val="both"/>
        <w:rPr>
          <w:sz w:val="23"/>
          <w:szCs w:val="23"/>
          <w:lang w:val="lt-LT"/>
        </w:rPr>
      </w:pPr>
      <w:r w:rsidRPr="00686267">
        <w:rPr>
          <w:sz w:val="23"/>
          <w:szCs w:val="23"/>
          <w:lang w:val="lt-LT" w:eastAsia="lt-LT"/>
        </w:rPr>
        <w:t xml:space="preserve">Paslaugų teikėjas turi išanalizuoti ir atnaujinti investicijų projektą, kuris Paslaugų teikėjui bus pateiktas pasirašius Paslaugų teikimo sutartį. </w:t>
      </w:r>
    </w:p>
    <w:p w:rsidR="000E73AD" w:rsidRPr="00686267" w:rsidRDefault="000E73AD" w:rsidP="000E73AD">
      <w:pPr>
        <w:numPr>
          <w:ilvl w:val="0"/>
          <w:numId w:val="1"/>
        </w:numPr>
        <w:tabs>
          <w:tab w:val="left" w:pos="284"/>
          <w:tab w:val="left" w:pos="426"/>
          <w:tab w:val="left" w:pos="567"/>
          <w:tab w:val="left" w:pos="709"/>
          <w:tab w:val="left" w:pos="851"/>
          <w:tab w:val="left" w:pos="993"/>
          <w:tab w:val="left" w:pos="1134"/>
          <w:tab w:val="left" w:pos="1276"/>
        </w:tabs>
        <w:ind w:left="0" w:firstLine="0"/>
        <w:jc w:val="both"/>
        <w:rPr>
          <w:sz w:val="23"/>
          <w:szCs w:val="23"/>
          <w:lang w:val="lt-LT"/>
        </w:rPr>
      </w:pPr>
      <w:r w:rsidRPr="00686267">
        <w:rPr>
          <w:sz w:val="23"/>
          <w:szCs w:val="23"/>
          <w:lang w:val="lt-LT"/>
        </w:rPr>
        <w:t xml:space="preserve">Paslaugų teikėjas turės atsižvelgti į ir Valstybės informacinių sistemų gyvavimo ciklo valdymo metodikos, patvirtintos 2014 m. vasario mėn. 25 d. Informacinės visuomenės plėtros komiteto prie </w:t>
      </w:r>
      <w:r w:rsidRPr="00686267">
        <w:rPr>
          <w:sz w:val="23"/>
          <w:szCs w:val="23"/>
          <w:lang w:val="lt-LT"/>
        </w:rPr>
        <w:lastRenderedPageBreak/>
        <w:t>Susisiekimo ministerijos direktoriaus įsakymu Nr. T-29 „Dėl Valstybės informacinių sistemų gyvavimo ciklo valdymo metodikos patvirtinimo“, 3 priedą „Galimybių studijos rengimo reikalavimai“.</w:t>
      </w:r>
    </w:p>
    <w:p w:rsidR="000E73AD" w:rsidRPr="00686267" w:rsidRDefault="000E73AD" w:rsidP="000E73AD">
      <w:pPr>
        <w:numPr>
          <w:ilvl w:val="0"/>
          <w:numId w:val="1"/>
        </w:numPr>
        <w:tabs>
          <w:tab w:val="left" w:pos="284"/>
          <w:tab w:val="left" w:pos="426"/>
          <w:tab w:val="left" w:pos="567"/>
          <w:tab w:val="left" w:pos="709"/>
          <w:tab w:val="left" w:pos="851"/>
          <w:tab w:val="left" w:pos="993"/>
          <w:tab w:val="left" w:pos="1134"/>
          <w:tab w:val="left" w:pos="1276"/>
        </w:tabs>
        <w:ind w:left="0" w:firstLine="0"/>
        <w:jc w:val="both"/>
        <w:rPr>
          <w:sz w:val="23"/>
          <w:szCs w:val="23"/>
          <w:lang w:val="lt-LT"/>
        </w:rPr>
      </w:pPr>
      <w:r w:rsidRPr="00686267">
        <w:rPr>
          <w:sz w:val="23"/>
          <w:szCs w:val="23"/>
          <w:lang w:val="lt-LT"/>
        </w:rPr>
        <w:t>Kiti dokumentai (neapsiribojant), kuriais turi vadovautis Paslaugų teikėjas, teikdamas Paslaugas:</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Lietuvos migracijos informacinės sistemos nuostatai, patvirtinti 2018 m. vasario 22 d. Lietuvos Respublikos vidaus reikalų ministro įsakymu Nr. 1V-149;</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 xml:space="preserve">Asmens dokumentų išdavimo informacinės sistemos nuostatai, patvirtinti 2020 m. kovo 31 d. Lietuvos Respublikos vidaus reikalų ministro įsakymu Nr. 1V-292; </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Valstybės informacinių sistemų steigimo, kūrimo, modernizavimo ir likvidavimo tvarkos aprašas, patvirtintas Lietuvos Respublikos Vyriausybės 2013 m. vasario 27 d. nutarimu Nr. 180;</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Lietuvos Respublikos valstybės informacinių išteklių valdymo įstatymas;</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Viešųjų pirkimų įstatymas;</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rsidR="000E73AD" w:rsidRPr="00686267" w:rsidRDefault="000E73AD" w:rsidP="000E73AD">
      <w:pPr>
        <w:numPr>
          <w:ilvl w:val="1"/>
          <w:numId w:val="1"/>
        </w:numPr>
        <w:tabs>
          <w:tab w:val="left" w:pos="284"/>
          <w:tab w:val="left" w:pos="426"/>
          <w:tab w:val="left" w:pos="567"/>
          <w:tab w:val="left" w:pos="709"/>
          <w:tab w:val="left" w:pos="851"/>
          <w:tab w:val="left" w:pos="993"/>
          <w:tab w:val="left" w:pos="1134"/>
          <w:tab w:val="left" w:pos="1276"/>
          <w:tab w:val="decimal" w:pos="1440"/>
        </w:tabs>
        <w:ind w:left="0" w:firstLine="0"/>
        <w:jc w:val="both"/>
        <w:rPr>
          <w:sz w:val="23"/>
          <w:szCs w:val="23"/>
          <w:lang w:val="lt-LT"/>
        </w:rPr>
      </w:pPr>
      <w:r w:rsidRPr="00686267">
        <w:rPr>
          <w:sz w:val="23"/>
          <w:szCs w:val="23"/>
          <w:lang w:val="lt-LT"/>
        </w:rPr>
        <w:t xml:space="preserve">Teisės aktai, susiję su analizuojamais migracijos procesais, yra pateikti </w:t>
      </w:r>
      <w:hyperlink r:id="rId7" w:history="1">
        <w:r w:rsidRPr="00686267">
          <w:rPr>
            <w:rStyle w:val="Hipersaitas"/>
            <w:sz w:val="23"/>
            <w:szCs w:val="23"/>
            <w:lang w:val="lt-LT"/>
          </w:rPr>
          <w:t>http://migracija.lrv.lt/</w:t>
        </w:r>
      </w:hyperlink>
      <w:r w:rsidRPr="00686267">
        <w:rPr>
          <w:sz w:val="23"/>
          <w:szCs w:val="23"/>
          <w:lang w:val="lt-LT"/>
        </w:rPr>
        <w:t xml:space="preserve"> skiltyje „Teisinė informacija“.</w:t>
      </w:r>
    </w:p>
    <w:p w:rsidR="000E73AD" w:rsidRPr="00686267" w:rsidRDefault="000E73AD" w:rsidP="000E73AD">
      <w:pPr>
        <w:numPr>
          <w:ilvl w:val="0"/>
          <w:numId w:val="1"/>
        </w:numPr>
        <w:tabs>
          <w:tab w:val="left" w:pos="426"/>
          <w:tab w:val="left" w:pos="993"/>
          <w:tab w:val="left" w:pos="1134"/>
          <w:tab w:val="left" w:pos="1560"/>
        </w:tabs>
        <w:ind w:left="0" w:firstLine="0"/>
        <w:jc w:val="both"/>
        <w:rPr>
          <w:sz w:val="23"/>
          <w:szCs w:val="23"/>
          <w:lang w:val="lt-LT"/>
        </w:rPr>
      </w:pPr>
      <w:r w:rsidRPr="00686267">
        <w:rPr>
          <w:sz w:val="23"/>
          <w:szCs w:val="23"/>
          <w:lang w:val="lt-LT"/>
        </w:rPr>
        <w:t xml:space="preserve">Investicijų projektas turi būti atnaujintas ir pateiktas ne vėliau kaip per 2 mėn. nuo </w:t>
      </w:r>
      <w:r w:rsidRPr="00686267">
        <w:rPr>
          <w:sz w:val="23"/>
          <w:szCs w:val="23"/>
          <w:lang w:val="lt-LT" w:eastAsia="lt-LT"/>
        </w:rPr>
        <w:t xml:space="preserve">Paslaugų teikimo </w:t>
      </w:r>
      <w:r w:rsidRPr="00686267">
        <w:rPr>
          <w:sz w:val="23"/>
          <w:szCs w:val="23"/>
          <w:lang w:val="lt-LT"/>
        </w:rPr>
        <w:t xml:space="preserve">sutarties įsigaliojimo dienos. Investicijų projekto atnaujinimo paslaugos terminas gali būti pratęstas 1 (vieną) kartą ne ilgesniam kaip 1 (vieno) mėn. laikotarpiui tik dėl tokių nenumatytų aplinkybių, kurių atsiradimo Paslaugų teikėjas, veikdamas kaip rūpestingas ir apdairus asmuo, objektyviai negalėjo numatyti iki šio pirkimo pasiūlymo pateikimo arba pirkimo sutarties sudarymo ir kurių nei Paslaugų teikėjas, nei Perkančioji organizacija negali kontroliuoti. Tokiomis aplinkybėmis, be kito ko, laikoma: teisės aktų, turinčių įtakos pirkimo sutarties vykdymui pakeitimas, trečiųjų šalių veiksmai derinant dokumentus, dėl kurių užsitęsė pirkimo sutarties vykdymas (informacijos iš trečiųjų šalių gavimas, su partneryste susijusių klausimų sprendimas, </w:t>
      </w:r>
      <w:proofErr w:type="spellStart"/>
      <w:r w:rsidRPr="00686267">
        <w:rPr>
          <w:sz w:val="23"/>
          <w:szCs w:val="23"/>
          <w:lang w:val="lt-LT"/>
        </w:rPr>
        <w:t>integracijų</w:t>
      </w:r>
      <w:proofErr w:type="spellEnd"/>
      <w:r w:rsidRPr="00686267">
        <w:rPr>
          <w:sz w:val="23"/>
          <w:szCs w:val="23"/>
          <w:lang w:val="lt-LT"/>
        </w:rPr>
        <w:t xml:space="preserve"> su kitomis informacinėmis sistemomis ir registrais derinimas ar kt.). </w:t>
      </w:r>
    </w:p>
    <w:p w:rsidR="000E73AD" w:rsidRPr="00686267" w:rsidRDefault="000E73AD" w:rsidP="000E73AD">
      <w:pPr>
        <w:numPr>
          <w:ilvl w:val="0"/>
          <w:numId w:val="1"/>
        </w:numPr>
        <w:tabs>
          <w:tab w:val="left" w:pos="426"/>
          <w:tab w:val="left" w:pos="993"/>
          <w:tab w:val="left" w:pos="1134"/>
          <w:tab w:val="left" w:pos="1560"/>
        </w:tabs>
        <w:ind w:left="0" w:firstLine="0"/>
        <w:jc w:val="both"/>
        <w:rPr>
          <w:sz w:val="23"/>
          <w:szCs w:val="23"/>
          <w:lang w:val="lt-LT"/>
        </w:rPr>
      </w:pPr>
      <w:r w:rsidRPr="00686267">
        <w:rPr>
          <w:sz w:val="23"/>
          <w:szCs w:val="23"/>
          <w:lang w:val="lt-LT"/>
        </w:rPr>
        <w:t>Teikdamas paslaugas, Paslaugų teikėjas turės glaudžiai bendradarbiauti ir nuolat konsultuotis su Perkančiąja organizacija bei jos ir kitų susijusių institucijų ekspertais, koreguoti rengiamą dokumentą pagal pateiktas pastabas.</w:t>
      </w:r>
    </w:p>
    <w:p w:rsidR="000E73AD" w:rsidRPr="00686267" w:rsidRDefault="000E73AD" w:rsidP="000E73AD">
      <w:pPr>
        <w:numPr>
          <w:ilvl w:val="0"/>
          <w:numId w:val="1"/>
        </w:numPr>
        <w:tabs>
          <w:tab w:val="left" w:pos="426"/>
          <w:tab w:val="left" w:pos="993"/>
          <w:tab w:val="left" w:pos="1134"/>
          <w:tab w:val="left" w:pos="1560"/>
        </w:tabs>
        <w:ind w:left="0" w:firstLine="0"/>
        <w:jc w:val="both"/>
        <w:rPr>
          <w:sz w:val="23"/>
          <w:szCs w:val="23"/>
          <w:lang w:val="lt-LT"/>
        </w:rPr>
      </w:pPr>
      <w:r w:rsidRPr="00686267">
        <w:rPr>
          <w:sz w:val="23"/>
          <w:szCs w:val="23"/>
          <w:lang w:val="lt-LT"/>
        </w:rPr>
        <w:t>Paslaugos rezultatas – atnaujintas investicijų projektas – rengiamas ir pateikiamas skaitmeninėje laikmenoje (.</w:t>
      </w:r>
      <w:proofErr w:type="spellStart"/>
      <w:r w:rsidRPr="00686267">
        <w:rPr>
          <w:sz w:val="23"/>
          <w:szCs w:val="23"/>
          <w:lang w:val="lt-LT"/>
        </w:rPr>
        <w:t>pdf</w:t>
      </w:r>
      <w:proofErr w:type="spellEnd"/>
      <w:r w:rsidRPr="00686267">
        <w:rPr>
          <w:sz w:val="23"/>
          <w:szCs w:val="23"/>
          <w:lang w:val="lt-LT"/>
        </w:rPr>
        <w:t xml:space="preserve"> ir .</w:t>
      </w:r>
      <w:proofErr w:type="spellStart"/>
      <w:r w:rsidRPr="00686267">
        <w:rPr>
          <w:sz w:val="23"/>
          <w:szCs w:val="23"/>
          <w:lang w:val="lt-LT"/>
        </w:rPr>
        <w:t>docx</w:t>
      </w:r>
      <w:proofErr w:type="spellEnd"/>
      <w:r w:rsidRPr="00686267">
        <w:rPr>
          <w:sz w:val="23"/>
          <w:szCs w:val="23"/>
          <w:lang w:val="lt-LT"/>
        </w:rPr>
        <w:t xml:space="preserve"> formatu) lietuvių kalba, tekstas turi atitikti lietuvių kalbos taisyklingumo reikalavimus. </w:t>
      </w:r>
    </w:p>
    <w:p w:rsidR="000E73AD" w:rsidRPr="00686267" w:rsidRDefault="000E73AD" w:rsidP="000E73AD">
      <w:pPr>
        <w:numPr>
          <w:ilvl w:val="0"/>
          <w:numId w:val="1"/>
        </w:numPr>
        <w:tabs>
          <w:tab w:val="left" w:pos="426"/>
          <w:tab w:val="left" w:pos="993"/>
          <w:tab w:val="left" w:pos="1134"/>
          <w:tab w:val="left" w:pos="1560"/>
        </w:tabs>
        <w:ind w:left="0" w:firstLine="0"/>
        <w:jc w:val="both"/>
        <w:rPr>
          <w:sz w:val="23"/>
          <w:szCs w:val="23"/>
          <w:lang w:val="lt-LT"/>
        </w:rPr>
      </w:pPr>
      <w:r w:rsidRPr="00686267">
        <w:rPr>
          <w:sz w:val="23"/>
          <w:szCs w:val="23"/>
          <w:lang w:val="lt-LT"/>
        </w:rPr>
        <w:t>Paslaugų teikėjas turi dalyvauti atnaujinto investicijų projekto derinime su institucijomis.</w:t>
      </w:r>
    </w:p>
    <w:p w:rsidR="000E73AD" w:rsidRPr="00686267" w:rsidRDefault="000E73AD" w:rsidP="000E73AD">
      <w:pPr>
        <w:numPr>
          <w:ilvl w:val="0"/>
          <w:numId w:val="1"/>
        </w:numPr>
        <w:tabs>
          <w:tab w:val="left" w:pos="426"/>
          <w:tab w:val="left" w:pos="993"/>
          <w:tab w:val="left" w:pos="1134"/>
          <w:tab w:val="left" w:pos="1560"/>
        </w:tabs>
        <w:ind w:left="0" w:firstLine="0"/>
        <w:jc w:val="both"/>
        <w:rPr>
          <w:sz w:val="23"/>
          <w:szCs w:val="23"/>
          <w:lang w:val="lt-LT"/>
        </w:rPr>
      </w:pPr>
      <w:r w:rsidRPr="00686267">
        <w:rPr>
          <w:sz w:val="23"/>
          <w:szCs w:val="23"/>
          <w:lang w:val="lt-LT" w:eastAsia="lt-LT"/>
        </w:rPr>
        <w:t>Paslaugų teikimo s</w:t>
      </w:r>
      <w:r w:rsidRPr="00686267">
        <w:rPr>
          <w:sz w:val="23"/>
          <w:szCs w:val="23"/>
          <w:lang w:val="lt-LT"/>
        </w:rPr>
        <w:t>utarties galiojimo laikotarpiu Perkančioji organizacija gali kviesti Paslaugų teikėją dalyvauti susitikimuose, teikti konsultacijas (nemokamai), kad būtų aptariami atskiri dokumento rengimo etapai, rezultatai ir išvados.</w:t>
      </w:r>
    </w:p>
    <w:p w:rsidR="000E73AD" w:rsidRPr="00686267" w:rsidRDefault="000E73AD" w:rsidP="000E73AD">
      <w:pPr>
        <w:widowControl w:val="0"/>
        <w:tabs>
          <w:tab w:val="left" w:pos="6096"/>
        </w:tabs>
        <w:autoSpaceDE w:val="0"/>
        <w:autoSpaceDN w:val="0"/>
        <w:adjustRightInd w:val="0"/>
        <w:jc w:val="center"/>
        <w:rPr>
          <w:b/>
          <w:sz w:val="23"/>
          <w:szCs w:val="23"/>
          <w:lang w:val="lt-LT"/>
        </w:rPr>
      </w:pPr>
    </w:p>
    <w:p w:rsidR="000E73AD" w:rsidRPr="00686267" w:rsidRDefault="000E73AD" w:rsidP="000E73AD">
      <w:pPr>
        <w:pStyle w:val="Porat"/>
        <w:tabs>
          <w:tab w:val="clear" w:pos="4819"/>
          <w:tab w:val="clear" w:pos="9638"/>
          <w:tab w:val="left" w:pos="1276"/>
          <w:tab w:val="center" w:pos="3544"/>
          <w:tab w:val="left" w:pos="6096"/>
          <w:tab w:val="right" w:pos="8640"/>
        </w:tabs>
        <w:ind w:left="1260"/>
        <w:jc w:val="center"/>
        <w:rPr>
          <w:rFonts w:cs="Times New Roman"/>
          <w:b/>
          <w:sz w:val="23"/>
          <w:szCs w:val="23"/>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0E73AD" w:rsidRPr="00686267" w:rsidTr="00A212E3">
        <w:trPr>
          <w:trHeight w:val="2601"/>
        </w:trPr>
        <w:tc>
          <w:tcPr>
            <w:tcW w:w="5162" w:type="dxa"/>
            <w:shd w:val="clear" w:color="auto" w:fill="auto"/>
          </w:tcPr>
          <w:p w:rsidR="000E73AD" w:rsidRPr="00686267" w:rsidRDefault="000E73AD" w:rsidP="00A212E3">
            <w:pPr>
              <w:tabs>
                <w:tab w:val="left" w:pos="6096"/>
              </w:tabs>
              <w:ind w:left="420" w:hanging="420"/>
              <w:contextualSpacing/>
              <w:jc w:val="both"/>
              <w:rPr>
                <w:rFonts w:eastAsiaTheme="minorHAnsi"/>
                <w:b/>
                <w:sz w:val="23"/>
                <w:szCs w:val="23"/>
                <w:lang w:val="lt-LT" w:bidi="en-US"/>
              </w:rPr>
            </w:pPr>
            <w:r w:rsidRPr="00686267">
              <w:rPr>
                <w:rFonts w:eastAsiaTheme="minorHAnsi"/>
                <w:b/>
                <w:sz w:val="23"/>
                <w:szCs w:val="23"/>
                <w:lang w:val="lt-LT" w:bidi="en-US"/>
              </w:rPr>
              <w:t>KLIENTAS</w:t>
            </w:r>
          </w:p>
          <w:p w:rsidR="000E73AD" w:rsidRPr="00686267" w:rsidRDefault="000E73AD" w:rsidP="00A212E3">
            <w:pPr>
              <w:tabs>
                <w:tab w:val="left" w:pos="6096"/>
              </w:tabs>
              <w:ind w:left="420" w:hanging="420"/>
              <w:contextualSpacing/>
              <w:jc w:val="both"/>
              <w:rPr>
                <w:rFonts w:eastAsiaTheme="minorHAnsi"/>
                <w:b/>
                <w:sz w:val="23"/>
                <w:szCs w:val="23"/>
                <w:lang w:val="lt-LT" w:bidi="en-US"/>
              </w:rPr>
            </w:pPr>
          </w:p>
          <w:p w:rsidR="000E73AD" w:rsidRPr="00686267" w:rsidRDefault="000E73AD" w:rsidP="00A212E3">
            <w:pPr>
              <w:tabs>
                <w:tab w:val="left" w:pos="6096"/>
              </w:tabs>
              <w:rPr>
                <w:b/>
                <w:bCs/>
                <w:sz w:val="23"/>
                <w:szCs w:val="23"/>
                <w:lang w:val="lt-LT"/>
              </w:rPr>
            </w:pPr>
            <w:r w:rsidRPr="00686267">
              <w:rPr>
                <w:b/>
                <w:bCs/>
                <w:sz w:val="23"/>
                <w:szCs w:val="23"/>
                <w:lang w:val="lt-LT"/>
              </w:rPr>
              <w:t>Migracijos departamentas prie Lietuvos Respublikos vidaus reikalų ministerijos</w:t>
            </w:r>
          </w:p>
          <w:p w:rsidR="000E73AD" w:rsidRPr="00686267" w:rsidRDefault="000E73AD" w:rsidP="00A212E3">
            <w:pPr>
              <w:tabs>
                <w:tab w:val="left" w:pos="6096"/>
              </w:tabs>
              <w:ind w:left="420" w:hanging="386"/>
              <w:contextualSpacing/>
              <w:jc w:val="both"/>
              <w:rPr>
                <w:rFonts w:eastAsiaTheme="minorHAnsi"/>
                <w:sz w:val="23"/>
                <w:szCs w:val="23"/>
                <w:lang w:val="lt-LT" w:bidi="en-US"/>
              </w:rPr>
            </w:pPr>
          </w:p>
          <w:p w:rsidR="000E73AD" w:rsidRPr="00686267" w:rsidRDefault="000E73AD" w:rsidP="00A212E3">
            <w:pPr>
              <w:tabs>
                <w:tab w:val="left" w:pos="6096"/>
              </w:tabs>
              <w:rPr>
                <w:sz w:val="23"/>
                <w:szCs w:val="23"/>
                <w:lang w:val="lt-LT"/>
              </w:rPr>
            </w:pPr>
          </w:p>
          <w:p w:rsidR="000E73AD" w:rsidRPr="00686267" w:rsidRDefault="000E73AD" w:rsidP="00A212E3">
            <w:pPr>
              <w:tabs>
                <w:tab w:val="left" w:pos="6096"/>
              </w:tabs>
              <w:rPr>
                <w:sz w:val="23"/>
                <w:szCs w:val="23"/>
                <w:lang w:val="lt-LT"/>
              </w:rPr>
            </w:pPr>
            <w:r w:rsidRPr="00686267">
              <w:rPr>
                <w:sz w:val="23"/>
                <w:szCs w:val="23"/>
                <w:lang w:val="lt-LT"/>
              </w:rPr>
              <w:t>Direktorė</w:t>
            </w:r>
          </w:p>
          <w:p w:rsidR="000E73AD" w:rsidRPr="00686267" w:rsidRDefault="000E73AD" w:rsidP="00A212E3">
            <w:pPr>
              <w:tabs>
                <w:tab w:val="left" w:pos="6096"/>
              </w:tabs>
              <w:rPr>
                <w:sz w:val="23"/>
                <w:szCs w:val="23"/>
                <w:lang w:val="lt-LT"/>
              </w:rPr>
            </w:pPr>
            <w:r w:rsidRPr="00686267">
              <w:rPr>
                <w:sz w:val="23"/>
                <w:szCs w:val="23"/>
                <w:lang w:val="lt-LT"/>
              </w:rPr>
              <w:t xml:space="preserve">                                           </w:t>
            </w:r>
          </w:p>
          <w:p w:rsidR="000E73AD" w:rsidRPr="00686267" w:rsidRDefault="000E73AD" w:rsidP="00A212E3">
            <w:pPr>
              <w:tabs>
                <w:tab w:val="left" w:pos="6096"/>
              </w:tabs>
              <w:contextualSpacing/>
              <w:jc w:val="center"/>
              <w:rPr>
                <w:sz w:val="23"/>
                <w:szCs w:val="23"/>
                <w:lang w:val="lt-LT"/>
              </w:rPr>
            </w:pPr>
            <w:r w:rsidRPr="00686267">
              <w:rPr>
                <w:sz w:val="23"/>
                <w:szCs w:val="23"/>
                <w:lang w:val="lt-LT"/>
              </w:rPr>
              <w:t xml:space="preserve">                                        A. V.</w:t>
            </w:r>
          </w:p>
          <w:p w:rsidR="000E73AD" w:rsidRPr="00686267" w:rsidRDefault="000E73AD" w:rsidP="00A212E3">
            <w:pPr>
              <w:tabs>
                <w:tab w:val="left" w:pos="6096"/>
              </w:tabs>
              <w:rPr>
                <w:color w:val="1F497D"/>
                <w:sz w:val="23"/>
                <w:szCs w:val="23"/>
                <w:lang w:val="lt-LT"/>
              </w:rPr>
            </w:pPr>
            <w:r w:rsidRPr="00686267">
              <w:rPr>
                <w:sz w:val="23"/>
                <w:szCs w:val="23"/>
                <w:lang w:val="lt-LT"/>
              </w:rPr>
              <w:t xml:space="preserve">Evelina </w:t>
            </w:r>
            <w:proofErr w:type="spellStart"/>
            <w:r w:rsidRPr="00686267">
              <w:rPr>
                <w:sz w:val="23"/>
                <w:szCs w:val="23"/>
                <w:lang w:val="lt-LT"/>
              </w:rPr>
              <w:t>Gudzinskaitė</w:t>
            </w:r>
            <w:proofErr w:type="spellEnd"/>
            <w:r w:rsidRPr="00686267">
              <w:rPr>
                <w:b/>
                <w:bCs/>
                <w:sz w:val="23"/>
                <w:szCs w:val="23"/>
                <w:lang w:val="lt-LT"/>
              </w:rPr>
              <w:t xml:space="preserve">  </w:t>
            </w:r>
          </w:p>
          <w:p w:rsidR="000E73AD" w:rsidRPr="00686267" w:rsidRDefault="000E73AD" w:rsidP="00A212E3">
            <w:pPr>
              <w:tabs>
                <w:tab w:val="left" w:pos="6096"/>
              </w:tabs>
              <w:ind w:left="420" w:hanging="386"/>
              <w:contextualSpacing/>
              <w:jc w:val="both"/>
              <w:rPr>
                <w:rFonts w:eastAsiaTheme="minorHAnsi"/>
                <w:b/>
                <w:sz w:val="23"/>
                <w:szCs w:val="23"/>
                <w:lang w:val="lt-LT" w:bidi="en-US"/>
              </w:rPr>
            </w:pPr>
          </w:p>
        </w:tc>
        <w:tc>
          <w:tcPr>
            <w:tcW w:w="4873" w:type="dxa"/>
            <w:shd w:val="clear" w:color="auto" w:fill="auto"/>
          </w:tcPr>
          <w:p w:rsidR="000E73AD" w:rsidRPr="00686267" w:rsidRDefault="000E73AD" w:rsidP="00A212E3">
            <w:pPr>
              <w:tabs>
                <w:tab w:val="left" w:pos="6096"/>
              </w:tabs>
              <w:ind w:left="420" w:hanging="420"/>
              <w:contextualSpacing/>
              <w:jc w:val="both"/>
              <w:rPr>
                <w:rFonts w:eastAsiaTheme="minorHAnsi"/>
                <w:b/>
                <w:sz w:val="23"/>
                <w:szCs w:val="23"/>
                <w:lang w:val="lt-LT" w:bidi="en-US"/>
              </w:rPr>
            </w:pPr>
            <w:r w:rsidRPr="00686267">
              <w:rPr>
                <w:rFonts w:eastAsiaTheme="minorHAnsi"/>
                <w:b/>
                <w:sz w:val="23"/>
                <w:szCs w:val="23"/>
                <w:lang w:val="lt-LT" w:bidi="en-US"/>
              </w:rPr>
              <w:t>PASLAUGŲ TEIKĖJAS</w:t>
            </w:r>
          </w:p>
          <w:p w:rsidR="000E73AD" w:rsidRPr="00686267" w:rsidRDefault="000E73AD" w:rsidP="00A212E3">
            <w:pPr>
              <w:pStyle w:val="Antrat1"/>
              <w:tabs>
                <w:tab w:val="left" w:pos="6096"/>
                <w:tab w:val="left" w:pos="9360"/>
              </w:tabs>
              <w:rPr>
                <w:sz w:val="23"/>
                <w:szCs w:val="23"/>
              </w:rPr>
            </w:pPr>
          </w:p>
          <w:p w:rsidR="000E73AD" w:rsidRPr="00686267" w:rsidRDefault="000E73AD" w:rsidP="00A212E3">
            <w:pPr>
              <w:pStyle w:val="Antrat1"/>
              <w:tabs>
                <w:tab w:val="left" w:pos="6096"/>
                <w:tab w:val="left" w:pos="9360"/>
              </w:tabs>
              <w:rPr>
                <w:b w:val="0"/>
                <w:sz w:val="23"/>
                <w:szCs w:val="23"/>
              </w:rPr>
            </w:pPr>
            <w:r w:rsidRPr="00686267">
              <w:rPr>
                <w:sz w:val="23"/>
                <w:szCs w:val="23"/>
              </w:rPr>
              <w:t>Šarūnas Cikanavičius</w:t>
            </w:r>
          </w:p>
          <w:p w:rsidR="000E73AD" w:rsidRPr="00686267" w:rsidRDefault="000E73AD" w:rsidP="00A212E3">
            <w:pPr>
              <w:keepNext/>
              <w:tabs>
                <w:tab w:val="left" w:pos="83"/>
                <w:tab w:val="left" w:pos="6096"/>
                <w:tab w:val="left" w:pos="9360"/>
              </w:tabs>
              <w:outlineLvl w:val="0"/>
              <w:rPr>
                <w:b/>
                <w:bCs/>
                <w:sz w:val="23"/>
                <w:szCs w:val="23"/>
                <w:lang w:val="lt-LT"/>
              </w:rPr>
            </w:pPr>
          </w:p>
          <w:p w:rsidR="000E73AD" w:rsidRPr="00686267" w:rsidRDefault="000E73AD" w:rsidP="00A212E3">
            <w:pPr>
              <w:keepNext/>
              <w:tabs>
                <w:tab w:val="left" w:pos="83"/>
                <w:tab w:val="left" w:pos="6096"/>
                <w:tab w:val="left" w:pos="9360"/>
              </w:tabs>
              <w:outlineLvl w:val="0"/>
              <w:rPr>
                <w:b/>
                <w:bCs/>
                <w:sz w:val="23"/>
                <w:szCs w:val="23"/>
                <w:lang w:val="lt-LT"/>
              </w:rPr>
            </w:pPr>
          </w:p>
          <w:p w:rsidR="000E73AD" w:rsidRPr="00686267" w:rsidRDefault="000E73AD" w:rsidP="00A212E3">
            <w:pPr>
              <w:tabs>
                <w:tab w:val="left" w:pos="6096"/>
              </w:tabs>
              <w:ind w:left="420"/>
              <w:contextualSpacing/>
              <w:jc w:val="both"/>
              <w:rPr>
                <w:b/>
                <w:bCs/>
                <w:sz w:val="23"/>
                <w:szCs w:val="23"/>
                <w:lang w:val="lt-LT"/>
              </w:rPr>
            </w:pPr>
          </w:p>
          <w:p w:rsidR="000E73AD" w:rsidRPr="00686267" w:rsidRDefault="000E73AD" w:rsidP="00A212E3">
            <w:pPr>
              <w:tabs>
                <w:tab w:val="left" w:pos="6096"/>
              </w:tabs>
              <w:ind w:left="720"/>
              <w:contextualSpacing/>
              <w:jc w:val="center"/>
              <w:rPr>
                <w:color w:val="000000"/>
                <w:sz w:val="23"/>
                <w:szCs w:val="23"/>
                <w:lang w:val="lt-LT"/>
              </w:rPr>
            </w:pPr>
          </w:p>
          <w:p w:rsidR="000E73AD" w:rsidRPr="00686267" w:rsidRDefault="000E73AD" w:rsidP="00A212E3">
            <w:pPr>
              <w:tabs>
                <w:tab w:val="left" w:pos="6096"/>
              </w:tabs>
              <w:ind w:left="720"/>
              <w:contextualSpacing/>
              <w:jc w:val="center"/>
              <w:rPr>
                <w:color w:val="000000"/>
                <w:sz w:val="23"/>
                <w:szCs w:val="23"/>
                <w:lang w:val="lt-LT"/>
              </w:rPr>
            </w:pPr>
            <w:r w:rsidRPr="00686267">
              <w:rPr>
                <w:color w:val="000000"/>
                <w:sz w:val="23"/>
                <w:szCs w:val="23"/>
                <w:lang w:val="lt-LT"/>
              </w:rPr>
              <w:t xml:space="preserve">                         </w:t>
            </w:r>
          </w:p>
          <w:p w:rsidR="000E73AD" w:rsidRPr="00686267" w:rsidRDefault="000E73AD" w:rsidP="00A212E3">
            <w:pPr>
              <w:tabs>
                <w:tab w:val="left" w:pos="6096"/>
              </w:tabs>
              <w:ind w:left="720"/>
              <w:contextualSpacing/>
              <w:jc w:val="center"/>
              <w:rPr>
                <w:color w:val="000000"/>
                <w:sz w:val="23"/>
                <w:szCs w:val="23"/>
                <w:lang w:val="lt-LT"/>
              </w:rPr>
            </w:pPr>
            <w:r w:rsidRPr="00686267">
              <w:rPr>
                <w:color w:val="000000"/>
                <w:sz w:val="23"/>
                <w:szCs w:val="23"/>
                <w:lang w:val="lt-LT"/>
              </w:rPr>
              <w:t xml:space="preserve">      A. V.</w:t>
            </w:r>
          </w:p>
          <w:p w:rsidR="000E73AD" w:rsidRPr="00686267" w:rsidRDefault="000E73AD" w:rsidP="00A212E3">
            <w:pPr>
              <w:tabs>
                <w:tab w:val="left" w:pos="6096"/>
              </w:tabs>
              <w:ind w:left="83" w:hanging="83"/>
              <w:contextualSpacing/>
              <w:jc w:val="both"/>
              <w:rPr>
                <w:rFonts w:eastAsiaTheme="minorHAnsi"/>
                <w:sz w:val="23"/>
                <w:szCs w:val="23"/>
                <w:lang w:val="lt-LT" w:bidi="en-US"/>
              </w:rPr>
            </w:pPr>
            <w:r w:rsidRPr="00686267">
              <w:rPr>
                <w:sz w:val="23"/>
                <w:szCs w:val="23"/>
                <w:lang w:val="lt-LT"/>
              </w:rPr>
              <w:t>Šarūnas Cikanavičius</w:t>
            </w:r>
          </w:p>
        </w:tc>
      </w:tr>
    </w:tbl>
    <w:p w:rsidR="000E73AD" w:rsidRPr="00686267" w:rsidRDefault="000E73AD" w:rsidP="000E73AD">
      <w:pPr>
        <w:pStyle w:val="Porat"/>
        <w:tabs>
          <w:tab w:val="clear" w:pos="4819"/>
          <w:tab w:val="clear" w:pos="9638"/>
          <w:tab w:val="left" w:pos="1276"/>
          <w:tab w:val="center" w:pos="3544"/>
          <w:tab w:val="left" w:pos="6096"/>
          <w:tab w:val="right" w:pos="8640"/>
        </w:tabs>
        <w:ind w:left="1260"/>
        <w:jc w:val="center"/>
        <w:rPr>
          <w:rFonts w:cs="Times New Roman"/>
          <w:b/>
          <w:sz w:val="23"/>
          <w:szCs w:val="23"/>
        </w:rPr>
      </w:pPr>
    </w:p>
    <w:p w:rsidR="000E73AD" w:rsidRPr="00686267" w:rsidRDefault="000E73AD" w:rsidP="000E73AD">
      <w:pPr>
        <w:pStyle w:val="Porat"/>
        <w:tabs>
          <w:tab w:val="clear" w:pos="4819"/>
          <w:tab w:val="clear" w:pos="9638"/>
          <w:tab w:val="left" w:pos="1276"/>
          <w:tab w:val="center" w:pos="3544"/>
          <w:tab w:val="left" w:pos="6096"/>
          <w:tab w:val="right" w:pos="8640"/>
        </w:tabs>
        <w:ind w:left="1260"/>
        <w:jc w:val="center"/>
        <w:rPr>
          <w:rFonts w:cs="Times New Roman"/>
          <w:b/>
          <w:sz w:val="23"/>
          <w:szCs w:val="23"/>
        </w:rPr>
      </w:pPr>
    </w:p>
    <w:p w:rsidR="004F353E" w:rsidRDefault="004F353E"/>
    <w:sectPr w:rsidR="004F353E" w:rsidSect="00686267">
      <w:headerReference w:type="even" r:id="rId8"/>
      <w:headerReference w:type="default" r:id="rId9"/>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EE" w:rsidRDefault="007665EE" w:rsidP="000E73AD">
      <w:r>
        <w:separator/>
      </w:r>
    </w:p>
  </w:endnote>
  <w:endnote w:type="continuationSeparator" w:id="0">
    <w:p w:rsidR="007665EE" w:rsidRDefault="007665EE" w:rsidP="000E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EE" w:rsidRDefault="007665EE" w:rsidP="000E73AD">
      <w:r>
        <w:separator/>
      </w:r>
    </w:p>
  </w:footnote>
  <w:footnote w:type="continuationSeparator" w:id="0">
    <w:p w:rsidR="007665EE" w:rsidRDefault="007665EE" w:rsidP="000E73AD">
      <w:r>
        <w:continuationSeparator/>
      </w:r>
    </w:p>
  </w:footnote>
  <w:footnote w:id="1">
    <w:p w:rsidR="000E73AD" w:rsidRDefault="000E73AD" w:rsidP="000E73AD">
      <w:pPr>
        <w:pStyle w:val="Puslapioinaostekstas"/>
      </w:pPr>
      <w:r>
        <w:rPr>
          <w:rStyle w:val="Puslapioinaosnuoroda"/>
        </w:rPr>
        <w:footnoteRef/>
      </w:r>
      <w:r>
        <w:t xml:space="preserve"> Aktuali Metodikos versija pateikiama adresu </w:t>
      </w:r>
      <w:hyperlink r:id="rId1" w:history="1">
        <w:r>
          <w:rPr>
            <w:rStyle w:val="Hipersaitas"/>
          </w:rPr>
          <w:t>https://ppplietuva.lt/lt/leidiniai/investiciju-projektu-kuriems-siekiama-gauti-finansavima-is-europos-sajungos-strukturines-paramos-ir-ar-valstybes-biudzeto-lesu-rengimo-metodika</w:t>
        </w:r>
      </w:hyperlink>
    </w:p>
  </w:footnote>
  <w:footnote w:id="2">
    <w:p w:rsidR="000E73AD" w:rsidRDefault="000E73AD" w:rsidP="000E73AD">
      <w:pPr>
        <w:pStyle w:val="Puslapioinaostekstas"/>
      </w:pPr>
      <w:r>
        <w:rPr>
          <w:rStyle w:val="Puslapioinaosnuoroda"/>
        </w:rPr>
        <w:footnoteRef/>
      </w:r>
      <w:r>
        <w:t xml:space="preserve"> </w:t>
      </w:r>
      <w:r>
        <w:t>Esant nenumatytoms aplinkybėms ir pasikeitus finansavimo priemonei Paslaugų teikėjas turės įgyvendinti investicijų</w:t>
      </w:r>
    </w:p>
    <w:p w:rsidR="000E73AD" w:rsidRDefault="000E73AD" w:rsidP="000E73AD">
      <w:pPr>
        <w:pStyle w:val="Puslapioinaostekstas"/>
      </w:pPr>
      <w:r>
        <w:t>projekto rengimą atsižvelgdamas į pokyčius.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7665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7665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7665EE">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0E73AD">
      <w:rPr>
        <w:rStyle w:val="Puslapionumeris"/>
        <w:noProof/>
        <w:szCs w:val="24"/>
      </w:rPr>
      <w:t>2</w:t>
    </w:r>
    <w:r w:rsidRPr="00E61E79">
      <w:rPr>
        <w:rStyle w:val="Puslapionumeris"/>
        <w:szCs w:val="24"/>
      </w:rPr>
      <w:fldChar w:fldCharType="end"/>
    </w:r>
  </w:p>
  <w:p w:rsidR="00A35CD8" w:rsidRDefault="007665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B7A"/>
    <w:multiLevelType w:val="multilevel"/>
    <w:tmpl w:val="75861A64"/>
    <w:lvl w:ilvl="0">
      <w:start w:val="1"/>
      <w:numFmt w:val="decimal"/>
      <w:pStyle w:val="TEKSTAS"/>
      <w:lvlText w:val="%1."/>
      <w:lvlJc w:val="left"/>
      <w:pPr>
        <w:ind w:left="360" w:hanging="360"/>
      </w:pPr>
      <w:rPr>
        <w:rFonts w:ascii="Times New Roman" w:eastAsia="Times New Roman" w:hAnsi="Times New Roman" w:cs="Times New Roman" w:hint="default"/>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AD"/>
    <w:rsid w:val="000E73AD"/>
    <w:rsid w:val="004F353E"/>
    <w:rsid w:val="00766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52E48-8B23-4379-A557-1EC9F84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73AD"/>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E73AD"/>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E73AD"/>
    <w:rPr>
      <w:rFonts w:ascii="Times New Roman" w:eastAsia="Times New Roman" w:hAnsi="Times New Roman" w:cs="Times New Roman"/>
      <w:b/>
      <w:bCs/>
      <w:sz w:val="24"/>
      <w:szCs w:val="24"/>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0E73AD"/>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0E73AD"/>
    <w:rPr>
      <w:rFonts w:ascii="Times New Roman" w:eastAsia="Times New Roman" w:hAnsi="Times New Roman" w:cs="Times New Roman"/>
      <w:sz w:val="28"/>
      <w:szCs w:val="20"/>
    </w:rPr>
  </w:style>
  <w:style w:type="character" w:styleId="Puslapionumeris">
    <w:name w:val="page number"/>
    <w:basedOn w:val="Numatytasispastraiposriftas"/>
    <w:uiPriority w:val="99"/>
    <w:rsid w:val="000E73AD"/>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E73A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E73AD"/>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0E73AD"/>
    <w:rPr>
      <w:rFonts w:ascii="Times New Roman" w:hAnsi="Times New Roman"/>
      <w:sz w:val="24"/>
    </w:rPr>
  </w:style>
  <w:style w:type="paragraph" w:styleId="Porat">
    <w:name w:val="footer"/>
    <w:basedOn w:val="prastasis"/>
    <w:link w:val="PoratDiagrama"/>
    <w:uiPriority w:val="99"/>
    <w:unhideWhenUsed/>
    <w:rsid w:val="000E73AD"/>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0E73AD"/>
    <w:rPr>
      <w:rFonts w:ascii="Times New Roman" w:eastAsia="Times New Roman" w:hAnsi="Times New Roman" w:cs="Times New Roman"/>
      <w:sz w:val="24"/>
      <w:szCs w:val="24"/>
      <w:lang w:val="en-GB"/>
    </w:rPr>
  </w:style>
  <w:style w:type="paragraph" w:customStyle="1" w:styleId="TEKSTAS">
    <w:name w:val="TEKSTAS"/>
    <w:basedOn w:val="prastasis"/>
    <w:qFormat/>
    <w:rsid w:val="000E73AD"/>
    <w:pPr>
      <w:numPr>
        <w:numId w:val="1"/>
      </w:numPr>
      <w:tabs>
        <w:tab w:val="left" w:pos="993"/>
        <w:tab w:val="left" w:pos="1134"/>
      </w:tabs>
      <w:jc w:val="both"/>
    </w:pPr>
    <w:rPr>
      <w:lang w:val="lt-LT"/>
    </w:rPr>
  </w:style>
  <w:style w:type="character" w:styleId="Hipersaitas">
    <w:name w:val="Hyperlink"/>
    <w:aliases w:val="Alna"/>
    <w:rsid w:val="000E73AD"/>
    <w:rPr>
      <w:color w:val="0000FF"/>
      <w:u w:val="single"/>
    </w:rPr>
  </w:style>
  <w:style w:type="paragraph" w:styleId="Puslapioinaostekstas">
    <w:name w:val="footnote text"/>
    <w:basedOn w:val="prastasis"/>
    <w:link w:val="PuslapioinaostekstasDiagrama"/>
    <w:semiHidden/>
    <w:rsid w:val="000E73AD"/>
    <w:pPr>
      <w:tabs>
        <w:tab w:val="left" w:pos="360"/>
      </w:tabs>
      <w:suppressAutoHyphens/>
      <w:overflowPunct w:val="0"/>
      <w:autoSpaceDE w:val="0"/>
      <w:autoSpaceDN w:val="0"/>
      <w:adjustRightInd w:val="0"/>
      <w:ind w:left="360" w:hanging="360"/>
      <w:textAlignment w:val="baseline"/>
    </w:pPr>
    <w:rPr>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0E73AD"/>
    <w:rPr>
      <w:rFonts w:ascii="Times New Roman" w:eastAsia="Times New Roman" w:hAnsi="Times New Roman" w:cs="Times New Roman"/>
      <w:sz w:val="20"/>
      <w:szCs w:val="20"/>
      <w:lang w:eastAsia="lt-LT"/>
    </w:rPr>
  </w:style>
  <w:style w:type="character" w:styleId="Puslapioinaosnuoroda">
    <w:name w:val="footnote reference"/>
    <w:rsid w:val="000E7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igracija.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pplietuva.lt/lt/leidiniai/investiciju-projektu-kuriems-siekiama-gauti-finansavima-is-europos-sajungos-strukturines-paramos-ir-ar-valstybes-biudzeto-lesu-rengimo-metod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4664</Words>
  <Characters>2660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2022-04-13T11:20:00Z</dcterms:created>
  <dcterms:modified xsi:type="dcterms:W3CDTF">2022-04-13T11:21:00Z</dcterms:modified>
</cp:coreProperties>
</file>