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End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1C454F7B"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257F3B" w:rsidRPr="00257F3B">
            <w:rPr>
              <w:rStyle w:val="1PAVADINIMAS"/>
            </w:rPr>
            <w:t>Pasvalys</w:t>
          </w:r>
          <w:r w:rsidRPr="00304FEE">
            <w:rPr>
              <w:rStyle w:val="1PAVADINIMAS"/>
            </w:rPr>
            <w:t>)</w:t>
          </w:r>
        </w:p>
      </w:sdtContent>
    </w:sdt>
    <w:sdt>
      <w:sdtPr>
        <w:rPr>
          <w:szCs w:val="24"/>
          <w:lang w:val="en-US" w:eastAsia="ar-SA"/>
        </w:rPr>
        <w:id w:val="2088648691"/>
        <w:placeholder>
          <w:docPart w:val="DefaultPlaceholder_-1854013440"/>
        </w:placeholder>
      </w:sdtPr>
      <w:sdtEnd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End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1E21E620"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A661BB"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EndPr/>
        <w:sdtContent>
          <w:r w:rsidR="00A661BB"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74FCA87F" w:rsidR="0049471A" w:rsidRPr="00BD2EF3" w:rsidRDefault="003C238D"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End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A661BB"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EndPr/>
        <w:sdtContent>
          <w:r w:rsidR="00A661BB"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4885F021"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257F3B" w:rsidRPr="00257F3B">
            <w:rPr>
              <w:rStyle w:val="1TEKSTAS"/>
            </w:rPr>
            <w:t>80 000,00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EndPr/>
        <w:sdtContent>
          <w:r w:rsidR="00257F3B">
            <w:t>aštuoniasdešimt</w:t>
          </w:r>
          <w:r w:rsidR="00304FEE" w:rsidRPr="00304FEE">
            <w:t xml:space="preserve">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257F3B">
            <w:rPr>
              <w:rStyle w:val="1TEKSTAS"/>
            </w:rPr>
            <w:t>16 800,00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EndPr/>
        <w:sdtContent>
          <w:r w:rsidR="00257F3B">
            <w:t>šešiolika</w:t>
          </w:r>
          <w:r w:rsidR="00304FEE" w:rsidRPr="00304FEE">
            <w:t xml:space="preserve"> tūkstanči</w:t>
          </w:r>
          <w:r w:rsidR="00257F3B">
            <w:t>ų</w:t>
          </w:r>
          <w:r w:rsidR="00304FEE" w:rsidRPr="00304FEE">
            <w:t xml:space="preserve"> </w:t>
          </w:r>
          <w:r w:rsidR="00257F3B">
            <w:t>aštuoni</w:t>
          </w:r>
          <w:r w:rsidR="00304FEE" w:rsidRPr="00304FEE">
            <w:t xml:space="preserve"> šimta</w:t>
          </w:r>
          <w:r w:rsidR="00257F3B">
            <w:t>i</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257F3B">
            <w:rPr>
              <w:rStyle w:val="1TEKSTAS"/>
            </w:rPr>
            <w:t>96 800,00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EndPr/>
        <w:sdtContent>
          <w:r w:rsidR="00257F3B">
            <w:t>devyniasdešimt šeši</w:t>
          </w:r>
          <w:r w:rsidR="00304FEE" w:rsidRPr="00304FEE">
            <w:t xml:space="preserve"> tūkstanči</w:t>
          </w:r>
          <w:r w:rsidR="004C242A">
            <w:t>ai</w:t>
          </w:r>
          <w:r w:rsidR="00304FEE" w:rsidRPr="00304FEE">
            <w:t xml:space="preserve"> </w:t>
          </w:r>
          <w:r w:rsidR="00257F3B">
            <w:t>aštuoni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 xml:space="preserve">esant produkto temperatūrai </w:t>
      </w:r>
      <w:r w:rsidRPr="00256E7A">
        <w:rPr>
          <w:bCs/>
          <w:noProof/>
        </w:rPr>
        <w:lastRenderedPageBreak/>
        <w:t>+15°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EndPr>
          <w:rPr>
            <w:rStyle w:val="1TEKSTAS"/>
          </w:rPr>
        </w:sdtEnd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EndPr>
          <w:rPr>
            <w:rStyle w:val="1TEKSTAS"/>
          </w:rPr>
        </w:sdtEndPr>
        <w:sdtContent>
          <w:sdt>
            <w:sdtPr>
              <w:alias w:val="vertė žodžiais"/>
              <w:tag w:val="vertė žodžiais"/>
              <w:id w:val="-2018150962"/>
              <w:placeholder>
                <w:docPart w:val="8023074F70B94C14B9662C345D52014A"/>
              </w:placeholder>
            </w:sdtPr>
            <w:sdtEnd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EndPr>
          <w:rPr>
            <w:rStyle w:val="1TEKSTAS"/>
          </w:rPr>
        </w:sdtEnd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End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End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A3B6B85"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EndPr/>
        <w:sdtContent>
          <w:r w:rsidR="00257F3B">
            <w:rPr>
              <w:noProof/>
              <w:bdr w:val="none" w:sz="0" w:space="0" w:color="auto" w:frame="1"/>
            </w:rPr>
            <w:t>nuo Sutarties sudarymo momento</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80F7BAB"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A661BB"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A661BB" w:rsidRPr="00C21ACC">
            <w:rPr>
              <w:rStyle w:val="Vietosrezervavimoenklotekstas"/>
            </w:rPr>
            <w:t>Click or tap here to enter text.</w:t>
          </w:r>
        </w:sdtContent>
      </w:sdt>
      <w:r w:rsidRPr="00F774CB">
        <w:t>;</w:t>
      </w:r>
    </w:p>
    <w:p w14:paraId="5DD65133" w14:textId="051ED963"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A661BB"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A661BB" w:rsidRPr="00C21ACC">
            <w:rPr>
              <w:rStyle w:val="Vietosrezervavimoenklotekstas"/>
            </w:rPr>
            <w:t>Click or tap here to enter text.</w:t>
          </w:r>
        </w:sdtContent>
      </w:sdt>
      <w:r w:rsidRPr="00F774CB">
        <w:t>;</w:t>
      </w:r>
    </w:p>
    <w:p w14:paraId="7EECA4B6" w14:textId="6B8BB231"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A661BB"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A661BB"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EndPr>
        <w:rPr>
          <w:rStyle w:val="1TEKSTAS"/>
        </w:rPr>
      </w:sdtEndPr>
      <w:sdtContent>
        <w:sdt>
          <w:sdtPr>
            <w:rPr>
              <w:rStyle w:val="1TEKSTAS"/>
            </w:rPr>
            <w:alias w:val="Priedų sąrašas"/>
            <w:tag w:val="Priedų sąrašas"/>
            <w:id w:val="-1891261400"/>
            <w:placeholder>
              <w:docPart w:val="FE2BF226E65A4FF39A37E5156D03E071"/>
            </w:placeholder>
          </w:sdtPr>
          <w:sdtEndPr>
            <w:rPr>
              <w:rStyle w:val="1TEKSTAS"/>
            </w:rPr>
          </w:sdtEndPr>
          <w:sdtContent>
            <w:sdt>
              <w:sdtPr>
                <w:rPr>
                  <w:rStyle w:val="1TEKSTAS"/>
                </w:rPr>
                <w:alias w:val="Priedų sąrašas"/>
                <w:tag w:val="Priedų sąrašas"/>
                <w:id w:val="629364549"/>
                <w:placeholder>
                  <w:docPart w:val="2C44EB91E1274F19BEBCFEF3B2C06E7E"/>
                </w:placeholder>
              </w:sdtPr>
              <w:sdtEndPr>
                <w:rPr>
                  <w:rStyle w:val="1TEKSTAS"/>
                </w:rPr>
              </w:sdtEndPr>
              <w:sdtContent>
                <w:sdt>
                  <w:sdtPr>
                    <w:rPr>
                      <w:rStyle w:val="1TEKSTAS"/>
                    </w:rPr>
                    <w:alias w:val="Priedų sąrašas"/>
                    <w:tag w:val="Priedų sąrašas"/>
                    <w:id w:val="-280879121"/>
                    <w:placeholder>
                      <w:docPart w:val="EDD607D28AFB4B5C9CC7628DD2E1B408"/>
                    </w:placeholder>
                  </w:sdtPr>
                  <w:sdtEndPr>
                    <w:rPr>
                      <w:rStyle w:val="1TEKSTAS"/>
                    </w:rPr>
                  </w:sdtEndPr>
                  <w:sdtContent>
                    <w:sdt>
                      <w:sdtPr>
                        <w:rPr>
                          <w:rStyle w:val="1TEKSTAS"/>
                        </w:rPr>
                        <w:alias w:val="Priedų sąrašas"/>
                        <w:tag w:val="Priedų sąrašas"/>
                        <w:id w:val="715787122"/>
                        <w:placeholder>
                          <w:docPart w:val="6CD0319597C14417840E80BDFE039042"/>
                        </w:placeholder>
                      </w:sdtPr>
                      <w:sdtEndPr>
                        <w:rPr>
                          <w:rStyle w:val="1TEKSTAS"/>
                        </w:rPr>
                      </w:sdtEnd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589DD467" w:rsidR="002C003D" w:rsidRPr="002C003D" w:rsidRDefault="002C003D" w:rsidP="002C003D">
                <w:pPr>
                  <w:spacing w:after="0"/>
                  <w:rPr>
                    <w:noProof/>
                  </w:rPr>
                </w:pPr>
              </w:p>
            </w:tc>
            <w:tc>
              <w:tcPr>
                <w:tcW w:w="2710" w:type="pct"/>
              </w:tcPr>
              <w:p w14:paraId="2EE55894" w14:textId="53AAC03D"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6D32682E" w:rsidR="002C003D" w:rsidRPr="002C003D" w:rsidRDefault="002C003D" w:rsidP="002C003D">
                <w:pPr>
                  <w:spacing w:after="0"/>
                  <w:rPr>
                    <w:noProof/>
                  </w:rPr>
                </w:pPr>
              </w:p>
            </w:tc>
            <w:tc>
              <w:tcPr>
                <w:tcW w:w="2710" w:type="pct"/>
              </w:tcPr>
              <w:p w14:paraId="034AC2B7" w14:textId="39EA5101"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6E69F81A" w:rsidR="002C003D" w:rsidRPr="002C003D" w:rsidRDefault="002C003D" w:rsidP="002C003D">
                <w:pPr>
                  <w:spacing w:after="0"/>
                  <w:rPr>
                    <w:noProof/>
                  </w:rPr>
                </w:pPr>
              </w:p>
            </w:tc>
            <w:tc>
              <w:tcPr>
                <w:tcW w:w="2710" w:type="pct"/>
              </w:tcPr>
              <w:p w14:paraId="58D553AB" w14:textId="41D39E3A"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631D6E78" w:rsidR="002C003D" w:rsidRPr="002C003D" w:rsidRDefault="002C003D" w:rsidP="002C003D">
                <w:pPr>
                  <w:spacing w:after="0"/>
                  <w:rPr>
                    <w:noProof/>
                  </w:rPr>
                </w:pPr>
              </w:p>
            </w:tc>
            <w:tc>
              <w:tcPr>
                <w:tcW w:w="2710" w:type="pct"/>
              </w:tcPr>
              <w:p w14:paraId="46A55D68" w14:textId="725FDFE6"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B23CB6E"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D2F7" w14:textId="77777777" w:rsidR="003C238D" w:rsidRDefault="003C238D" w:rsidP="00F40B85">
      <w:pPr>
        <w:spacing w:after="0" w:line="240" w:lineRule="auto"/>
      </w:pPr>
      <w:r>
        <w:separator/>
      </w:r>
    </w:p>
  </w:endnote>
  <w:endnote w:type="continuationSeparator" w:id="0">
    <w:p w14:paraId="46694142" w14:textId="77777777" w:rsidR="003C238D" w:rsidRDefault="003C238D"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F4BE" w14:textId="77777777" w:rsidR="003C238D" w:rsidRDefault="003C238D" w:rsidP="00F40B85">
      <w:pPr>
        <w:spacing w:after="0" w:line="240" w:lineRule="auto"/>
      </w:pPr>
      <w:r>
        <w:separator/>
      </w:r>
    </w:p>
  </w:footnote>
  <w:footnote w:type="continuationSeparator" w:id="0">
    <w:p w14:paraId="5DA88D11" w14:textId="77777777" w:rsidR="003C238D" w:rsidRDefault="003C238D"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57F3B"/>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238D"/>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46C8A"/>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1BB"/>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697"/>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C6195"/>
    <w:rsid w:val="008E040E"/>
    <w:rsid w:val="009343FE"/>
    <w:rsid w:val="00952958"/>
    <w:rsid w:val="00970097"/>
    <w:rsid w:val="0098085D"/>
    <w:rsid w:val="0098308A"/>
    <w:rsid w:val="0099128A"/>
    <w:rsid w:val="00991690"/>
    <w:rsid w:val="0099284B"/>
    <w:rsid w:val="00993FF0"/>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85128"/>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18485</Words>
  <Characters>10538</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2022-06-13T12:30:00Z</dcterms:created>
  <dcterms:modified xsi:type="dcterms:W3CDTF">2022-07-01T11:55:00Z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