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23C9" w14:textId="77777777" w:rsidR="00BC7A9C" w:rsidRDefault="00BC7A9C" w:rsidP="00FF288A">
      <w:pPr>
        <w:spacing w:after="0" w:line="240" w:lineRule="auto"/>
        <w:jc w:val="center"/>
        <w:rPr>
          <w:rFonts w:ascii="Times New Roman" w:eastAsia="Times New Roman" w:hAnsi="Times New Roman" w:cs="Times New Roman"/>
          <w:b/>
          <w:sz w:val="24"/>
          <w:szCs w:val="20"/>
        </w:rPr>
      </w:pPr>
    </w:p>
    <w:p w14:paraId="07519CDB" w14:textId="77777777" w:rsidR="00BC7A9C" w:rsidRDefault="00BC7A9C" w:rsidP="00FF288A">
      <w:pPr>
        <w:spacing w:after="0" w:line="240" w:lineRule="auto"/>
        <w:jc w:val="center"/>
        <w:rPr>
          <w:rFonts w:ascii="Times New Roman" w:eastAsia="Times New Roman" w:hAnsi="Times New Roman" w:cs="Times New Roman"/>
          <w:b/>
          <w:sz w:val="24"/>
          <w:szCs w:val="20"/>
        </w:rPr>
      </w:pPr>
    </w:p>
    <w:p w14:paraId="58190FF1" w14:textId="790860EC" w:rsidR="00130351" w:rsidRPr="00130351" w:rsidRDefault="00130351" w:rsidP="008B1BCE">
      <w:pPr>
        <w:tabs>
          <w:tab w:val="left" w:pos="142"/>
        </w:tabs>
        <w:spacing w:after="0" w:line="240" w:lineRule="auto"/>
        <w:jc w:val="center"/>
        <w:rPr>
          <w:rFonts w:ascii="Times New Roman" w:eastAsia="Times New Roman" w:hAnsi="Times New Roman" w:cs="Times New Roman"/>
          <w:b/>
          <w:sz w:val="24"/>
          <w:szCs w:val="24"/>
        </w:rPr>
      </w:pPr>
      <w:r w:rsidRPr="00130351">
        <w:rPr>
          <w:rFonts w:ascii="Times New Roman" w:eastAsia="Times New Roman" w:hAnsi="Times New Roman" w:cs="Times New Roman"/>
          <w:b/>
          <w:sz w:val="24"/>
          <w:szCs w:val="24"/>
        </w:rPr>
        <w:t>SUSITARIMAS DĖL 20</w:t>
      </w:r>
      <w:r w:rsidR="008B1BCE">
        <w:rPr>
          <w:rFonts w:ascii="Times New Roman" w:eastAsia="Times New Roman" w:hAnsi="Times New Roman" w:cs="Times New Roman"/>
          <w:b/>
          <w:sz w:val="24"/>
          <w:szCs w:val="24"/>
        </w:rPr>
        <w:t>22</w:t>
      </w:r>
      <w:r w:rsidRPr="00130351">
        <w:rPr>
          <w:rFonts w:ascii="Times New Roman" w:eastAsia="Times New Roman" w:hAnsi="Times New Roman" w:cs="Times New Roman"/>
          <w:b/>
          <w:sz w:val="24"/>
          <w:szCs w:val="24"/>
        </w:rPr>
        <w:t xml:space="preserve"> M. </w:t>
      </w:r>
      <w:r w:rsidR="00B66A98">
        <w:rPr>
          <w:rFonts w:ascii="Times New Roman" w:eastAsia="Times New Roman" w:hAnsi="Times New Roman" w:cs="Times New Roman"/>
          <w:b/>
          <w:sz w:val="24"/>
          <w:szCs w:val="24"/>
        </w:rPr>
        <w:t>BIRŽELIO</w:t>
      </w:r>
      <w:r w:rsidRPr="00130351">
        <w:rPr>
          <w:rFonts w:ascii="Times New Roman" w:eastAsia="Times New Roman" w:hAnsi="Times New Roman" w:cs="Times New Roman"/>
          <w:b/>
          <w:sz w:val="24"/>
          <w:szCs w:val="24"/>
        </w:rPr>
        <w:t xml:space="preserve"> </w:t>
      </w:r>
      <w:r w:rsidR="00B66A98">
        <w:rPr>
          <w:rFonts w:ascii="Times New Roman" w:eastAsia="Times New Roman" w:hAnsi="Times New Roman" w:cs="Times New Roman"/>
          <w:b/>
          <w:sz w:val="24"/>
          <w:szCs w:val="24"/>
        </w:rPr>
        <w:t>6</w:t>
      </w:r>
      <w:r w:rsidRPr="00130351">
        <w:rPr>
          <w:rFonts w:ascii="Times New Roman" w:eastAsia="Times New Roman" w:hAnsi="Times New Roman" w:cs="Times New Roman"/>
          <w:b/>
          <w:sz w:val="24"/>
          <w:szCs w:val="24"/>
        </w:rPr>
        <w:t xml:space="preserve"> D. </w:t>
      </w:r>
      <w:r w:rsidR="00B66A98" w:rsidRPr="00B66A98">
        <w:rPr>
          <w:rFonts w:ascii="Times New Roman" w:eastAsia="Times New Roman" w:hAnsi="Times New Roman" w:cs="Times New Roman"/>
          <w:b/>
          <w:sz w:val="24"/>
          <w:szCs w:val="24"/>
        </w:rPr>
        <w:t xml:space="preserve">ASMENYBĖS BRUOŽŲ IR PROFESINIO KRYPTINGUMO RYŠIO NUSTATYMO ĮRANKIO SUKŪRIMO IR ĮDIEGIMO PASLAUGŲ VIEŠOJO PIRKIMO-PARDAVIMO </w:t>
      </w:r>
      <w:r w:rsidRPr="00130351">
        <w:rPr>
          <w:rFonts w:ascii="Times New Roman" w:eastAsia="Times New Roman" w:hAnsi="Times New Roman" w:cs="Times New Roman"/>
          <w:b/>
          <w:sz w:val="24"/>
          <w:szCs w:val="24"/>
        </w:rPr>
        <w:t>SUTARTIES Nr. US</w:t>
      </w:r>
      <w:r w:rsidR="00A47C9A">
        <w:rPr>
          <w:rFonts w:ascii="Times New Roman" w:eastAsia="Times New Roman" w:hAnsi="Times New Roman" w:cs="Times New Roman"/>
          <w:b/>
          <w:sz w:val="24"/>
          <w:szCs w:val="24"/>
        </w:rPr>
        <w:t>22-114</w:t>
      </w:r>
      <w:r w:rsidRPr="00130351">
        <w:rPr>
          <w:rFonts w:ascii="Times New Roman" w:eastAsia="Times New Roman" w:hAnsi="Times New Roman" w:cs="Times New Roman"/>
          <w:b/>
          <w:sz w:val="24"/>
          <w:szCs w:val="24"/>
        </w:rPr>
        <w:t xml:space="preserve"> PAKEITIMO</w:t>
      </w:r>
    </w:p>
    <w:p w14:paraId="54857C86" w14:textId="77777777" w:rsidR="00130351" w:rsidRPr="00130351" w:rsidRDefault="00130351" w:rsidP="00130351">
      <w:pPr>
        <w:tabs>
          <w:tab w:val="left" w:pos="142"/>
        </w:tabs>
        <w:spacing w:after="0" w:line="240" w:lineRule="auto"/>
        <w:jc w:val="center"/>
        <w:rPr>
          <w:rFonts w:ascii="Times New Roman" w:eastAsia="Times New Roman" w:hAnsi="Times New Roman" w:cs="Times New Roman"/>
          <w:b/>
          <w:sz w:val="24"/>
          <w:szCs w:val="24"/>
        </w:rPr>
      </w:pPr>
    </w:p>
    <w:p w14:paraId="2006F0B5" w14:textId="5B626890" w:rsidR="00130351" w:rsidRPr="00130351" w:rsidRDefault="00130351" w:rsidP="00130351">
      <w:pPr>
        <w:tabs>
          <w:tab w:val="left" w:pos="142"/>
        </w:tabs>
        <w:spacing w:after="0" w:line="240" w:lineRule="auto"/>
        <w:jc w:val="center"/>
        <w:rPr>
          <w:rFonts w:ascii="Times New Roman" w:eastAsia="Times New Roman" w:hAnsi="Times New Roman" w:cs="Times New Roman"/>
          <w:sz w:val="24"/>
          <w:szCs w:val="24"/>
        </w:rPr>
      </w:pPr>
      <w:r w:rsidRPr="00130351">
        <w:rPr>
          <w:rFonts w:ascii="Times New Roman" w:eastAsia="Times New Roman" w:hAnsi="Times New Roman" w:cs="Times New Roman"/>
          <w:sz w:val="24"/>
          <w:szCs w:val="24"/>
        </w:rPr>
        <w:t>20</w:t>
      </w:r>
      <w:r w:rsidR="00A47C9A">
        <w:rPr>
          <w:rFonts w:ascii="Times New Roman" w:eastAsia="Times New Roman" w:hAnsi="Times New Roman" w:cs="Times New Roman"/>
          <w:sz w:val="24"/>
          <w:szCs w:val="24"/>
        </w:rPr>
        <w:t>22</w:t>
      </w:r>
      <w:r w:rsidRPr="00130351">
        <w:rPr>
          <w:rFonts w:ascii="Times New Roman" w:eastAsia="Times New Roman" w:hAnsi="Times New Roman" w:cs="Times New Roman"/>
          <w:sz w:val="24"/>
          <w:szCs w:val="24"/>
        </w:rPr>
        <w:t xml:space="preserve"> m. </w:t>
      </w:r>
      <w:r w:rsidR="00A47C9A">
        <w:rPr>
          <w:rFonts w:ascii="Times New Roman" w:eastAsia="Times New Roman" w:hAnsi="Times New Roman" w:cs="Times New Roman"/>
          <w:sz w:val="24"/>
          <w:szCs w:val="24"/>
        </w:rPr>
        <w:t>birželio</w:t>
      </w:r>
      <w:r w:rsidRPr="00130351">
        <w:rPr>
          <w:rFonts w:ascii="Times New Roman" w:eastAsia="Times New Roman" w:hAnsi="Times New Roman" w:cs="Times New Roman"/>
          <w:sz w:val="24"/>
          <w:szCs w:val="24"/>
        </w:rPr>
        <w:t xml:space="preserve"> </w:t>
      </w:r>
      <w:r w:rsidR="00136DD4">
        <w:rPr>
          <w:rFonts w:ascii="Times New Roman" w:eastAsia="Times New Roman" w:hAnsi="Times New Roman" w:cs="Times New Roman"/>
          <w:sz w:val="24"/>
          <w:szCs w:val="24"/>
        </w:rPr>
        <w:t xml:space="preserve">  </w:t>
      </w:r>
      <w:r w:rsidRPr="00130351">
        <w:rPr>
          <w:rFonts w:ascii="Times New Roman" w:eastAsia="Times New Roman" w:hAnsi="Times New Roman" w:cs="Times New Roman"/>
          <w:sz w:val="24"/>
          <w:szCs w:val="24"/>
        </w:rPr>
        <w:t xml:space="preserve"> d. Nr. </w:t>
      </w:r>
    </w:p>
    <w:p w14:paraId="454D02EE" w14:textId="26B658B0" w:rsidR="00130351" w:rsidRPr="00130351" w:rsidRDefault="00A47C9A" w:rsidP="00130351">
      <w:pPr>
        <w:tabs>
          <w:tab w:val="left" w:pos="14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367640A0" w14:textId="77777777" w:rsidR="00130351" w:rsidRPr="00130351" w:rsidRDefault="00130351" w:rsidP="00130351">
      <w:pPr>
        <w:tabs>
          <w:tab w:val="left" w:pos="142"/>
        </w:tabs>
        <w:spacing w:after="0" w:line="240" w:lineRule="auto"/>
        <w:jc w:val="both"/>
        <w:rPr>
          <w:rFonts w:ascii="Times New Roman" w:eastAsia="Times New Roman" w:hAnsi="Times New Roman" w:cs="Times New Roman"/>
          <w:sz w:val="24"/>
          <w:szCs w:val="24"/>
        </w:rPr>
      </w:pPr>
    </w:p>
    <w:p w14:paraId="7199FDA2" w14:textId="1A984E72" w:rsidR="00130351" w:rsidRPr="00130351" w:rsidRDefault="00130351" w:rsidP="00130351">
      <w:pPr>
        <w:tabs>
          <w:tab w:val="left" w:pos="142"/>
        </w:tabs>
        <w:spacing w:after="0" w:line="240" w:lineRule="auto"/>
        <w:ind w:firstLine="720"/>
        <w:jc w:val="both"/>
        <w:rPr>
          <w:rFonts w:ascii="Times New Roman" w:eastAsia="Calibri" w:hAnsi="Times New Roman" w:cs="Times New Roman"/>
          <w:sz w:val="24"/>
          <w:szCs w:val="24"/>
        </w:rPr>
      </w:pPr>
      <w:r w:rsidRPr="00130351">
        <w:rPr>
          <w:rFonts w:ascii="Times New Roman" w:eastAsia="Calibri" w:hAnsi="Times New Roman" w:cs="Times New Roman"/>
          <w:b/>
          <w:sz w:val="24"/>
          <w:szCs w:val="24"/>
        </w:rPr>
        <w:t>Užimtumo tarnyba prie Lietuvos Respublikos socialinės apsaugos ir darbo ministerijos</w:t>
      </w:r>
      <w:r w:rsidRPr="00130351">
        <w:rPr>
          <w:rFonts w:ascii="Times New Roman" w:eastAsia="Calibri" w:hAnsi="Times New Roman" w:cs="Times New Roman"/>
          <w:sz w:val="24"/>
          <w:szCs w:val="24"/>
        </w:rPr>
        <w:t xml:space="preserve"> (toliau – </w:t>
      </w:r>
      <w:r w:rsidRPr="00130351">
        <w:rPr>
          <w:rFonts w:ascii="Times New Roman" w:eastAsia="Calibri" w:hAnsi="Times New Roman" w:cs="Times New Roman"/>
          <w:b/>
          <w:sz w:val="24"/>
          <w:szCs w:val="24"/>
        </w:rPr>
        <w:t>Paslaugų pirkėjas</w:t>
      </w:r>
      <w:r w:rsidRPr="00130351">
        <w:rPr>
          <w:rFonts w:ascii="Times New Roman" w:eastAsia="Calibri" w:hAnsi="Times New Roman" w:cs="Times New Roman"/>
          <w:sz w:val="24"/>
          <w:szCs w:val="24"/>
        </w:rPr>
        <w:t xml:space="preserve">), </w:t>
      </w:r>
      <w:r w:rsidR="0066538E" w:rsidRPr="0066538E">
        <w:rPr>
          <w:rFonts w:ascii="Times New Roman" w:eastAsia="Calibri" w:hAnsi="Times New Roman" w:cs="Times New Roman"/>
          <w:sz w:val="24"/>
          <w:szCs w:val="24"/>
        </w:rPr>
        <w:t>atstovaujama kanclerio Arūno Marmos, veikiančio pagal Dokumentų pasirašymo ir derinimo tvarkos aprašo, patvirtinto Užimtumo tarnybos prie Lietuvos Respublikos socialinės apsaugos ir darbo ministerijos (toliau – Užimtumo tarnyba) direktoriaus 2018 m. spalio 1 d. įsakymu Nr. V-471 „Dėl Dokumentų pasirašymo ir derinimo tvarkos aprašo patvirtinimo“ (Užimtumo tarnybos direktoriaus 2022 m. kovo 1 d. įsakymo Nr. V-63 redakcija), 8.5.2 papunkčiu suteiktus įgaliojimus ir jungtinės veiklos pagrindu veikiantys UAB „Thinking organisations“ ir HR Diagnostic AG (toliau – Paslaugų teikėjas), atstovaujami pagal 2022 m. kovo 14 d. Jungtinės veiklos sutarties 4.2 papunktį veikiančio atsakingo partnerio UAB „Thinking organisations“, kuris yra atstovaujamas direktorės Giedrės Lečickienės, veikiančios pagal bendrovės įstatus</w:t>
      </w:r>
      <w:r w:rsidRPr="00130351">
        <w:rPr>
          <w:rFonts w:ascii="Times New Roman" w:eastAsia="Calibri" w:hAnsi="Times New Roman" w:cs="Times New Roman"/>
          <w:sz w:val="24"/>
          <w:szCs w:val="24"/>
        </w:rPr>
        <w:t>, toliau kartu vadinamos Šalimis, o kiekviena atskirai – Šalimi, sudarė Susitarimą dėl 20</w:t>
      </w:r>
      <w:r w:rsidR="0066538E">
        <w:rPr>
          <w:rFonts w:ascii="Times New Roman" w:eastAsia="Calibri" w:hAnsi="Times New Roman" w:cs="Times New Roman"/>
          <w:sz w:val="24"/>
          <w:szCs w:val="24"/>
        </w:rPr>
        <w:t>22</w:t>
      </w:r>
      <w:r w:rsidRPr="00130351">
        <w:rPr>
          <w:rFonts w:ascii="Times New Roman" w:eastAsia="Calibri" w:hAnsi="Times New Roman" w:cs="Times New Roman"/>
          <w:sz w:val="24"/>
          <w:szCs w:val="24"/>
        </w:rPr>
        <w:t xml:space="preserve"> m. </w:t>
      </w:r>
      <w:r w:rsidR="0066538E">
        <w:rPr>
          <w:rFonts w:ascii="Times New Roman" w:eastAsia="Calibri" w:hAnsi="Times New Roman" w:cs="Times New Roman"/>
          <w:sz w:val="24"/>
          <w:szCs w:val="24"/>
        </w:rPr>
        <w:t>birželio</w:t>
      </w:r>
      <w:r w:rsidRPr="00130351">
        <w:rPr>
          <w:rFonts w:ascii="Times New Roman" w:eastAsia="Calibri" w:hAnsi="Times New Roman" w:cs="Times New Roman"/>
          <w:sz w:val="24"/>
          <w:szCs w:val="24"/>
        </w:rPr>
        <w:t xml:space="preserve"> </w:t>
      </w:r>
      <w:r w:rsidR="0066538E">
        <w:rPr>
          <w:rFonts w:ascii="Times New Roman" w:eastAsia="Calibri" w:hAnsi="Times New Roman" w:cs="Times New Roman"/>
          <w:sz w:val="24"/>
          <w:szCs w:val="24"/>
        </w:rPr>
        <w:t>6</w:t>
      </w:r>
      <w:r w:rsidRPr="00130351">
        <w:rPr>
          <w:rFonts w:ascii="Times New Roman" w:eastAsia="Calibri" w:hAnsi="Times New Roman" w:cs="Times New Roman"/>
          <w:sz w:val="24"/>
          <w:szCs w:val="24"/>
        </w:rPr>
        <w:t xml:space="preserve"> d. </w:t>
      </w:r>
      <w:r w:rsidR="00800568" w:rsidRPr="00800568">
        <w:rPr>
          <w:rFonts w:ascii="Times New Roman" w:eastAsia="Calibri" w:hAnsi="Times New Roman" w:cs="Times New Roman"/>
          <w:sz w:val="24"/>
          <w:szCs w:val="24"/>
        </w:rPr>
        <w:t xml:space="preserve">Asmenybės bruožų ir profesinio kryptingumo ryšio nustatymo įrankio sukūrimo ir įdiegimo paslaugų viešojo pirkimo-pardavimo </w:t>
      </w:r>
      <w:r w:rsidRPr="00130351">
        <w:rPr>
          <w:rFonts w:ascii="Times New Roman" w:eastAsia="Calibri" w:hAnsi="Times New Roman" w:cs="Times New Roman"/>
          <w:sz w:val="24"/>
          <w:szCs w:val="24"/>
        </w:rPr>
        <w:t>sutarties Nr. US</w:t>
      </w:r>
      <w:r w:rsidR="00891453">
        <w:rPr>
          <w:rFonts w:ascii="Times New Roman" w:eastAsia="Calibri" w:hAnsi="Times New Roman" w:cs="Times New Roman"/>
          <w:sz w:val="24"/>
          <w:szCs w:val="24"/>
        </w:rPr>
        <w:t>22-114</w:t>
      </w:r>
      <w:r w:rsidR="00613CDB">
        <w:rPr>
          <w:rFonts w:ascii="Times New Roman" w:eastAsia="Calibri" w:hAnsi="Times New Roman" w:cs="Times New Roman"/>
          <w:sz w:val="24"/>
          <w:szCs w:val="24"/>
        </w:rPr>
        <w:t xml:space="preserve"> </w:t>
      </w:r>
      <w:r w:rsidRPr="00130351">
        <w:rPr>
          <w:rFonts w:ascii="Times New Roman" w:eastAsia="Calibri" w:hAnsi="Times New Roman" w:cs="Times New Roman"/>
          <w:sz w:val="24"/>
          <w:szCs w:val="24"/>
        </w:rPr>
        <w:t xml:space="preserve">(toliau – Sutartis) </w:t>
      </w:r>
      <w:r w:rsidRPr="00130351">
        <w:rPr>
          <w:rFonts w:ascii="Times New Roman" w:eastAsia="Times New Roman" w:hAnsi="Times New Roman" w:cs="Times New Roman"/>
          <w:sz w:val="24"/>
          <w:szCs w:val="24"/>
        </w:rPr>
        <w:t>pakeitimo</w:t>
      </w:r>
      <w:r w:rsidRPr="00130351">
        <w:rPr>
          <w:rFonts w:ascii="Times New Roman" w:eastAsia="Calibri" w:hAnsi="Times New Roman" w:cs="Times New Roman"/>
          <w:sz w:val="24"/>
          <w:szCs w:val="24"/>
        </w:rPr>
        <w:t xml:space="preserve"> (toliau – Susitarimas) vadovaudamosios Sutarties </w:t>
      </w:r>
      <w:r w:rsidR="001079F1">
        <w:rPr>
          <w:rFonts w:ascii="Times New Roman" w:eastAsia="Calibri" w:hAnsi="Times New Roman" w:cs="Times New Roman"/>
          <w:sz w:val="24"/>
          <w:szCs w:val="24"/>
        </w:rPr>
        <w:t>7.3.</w:t>
      </w:r>
      <w:r w:rsidRPr="00130351">
        <w:rPr>
          <w:rFonts w:ascii="Times New Roman" w:eastAsia="Calibri" w:hAnsi="Times New Roman" w:cs="Times New Roman"/>
          <w:sz w:val="24"/>
          <w:szCs w:val="24"/>
        </w:rPr>
        <w:t xml:space="preserve"> </w:t>
      </w:r>
      <w:r w:rsidR="00100AC2">
        <w:rPr>
          <w:rFonts w:ascii="Times New Roman" w:eastAsia="Calibri" w:hAnsi="Times New Roman" w:cs="Times New Roman"/>
          <w:sz w:val="24"/>
          <w:szCs w:val="24"/>
        </w:rPr>
        <w:t xml:space="preserve">punktu </w:t>
      </w:r>
      <w:r w:rsidRPr="00130351">
        <w:rPr>
          <w:rFonts w:ascii="Times New Roman" w:eastAsia="Calibri" w:hAnsi="Times New Roman" w:cs="Times New Roman"/>
          <w:sz w:val="24"/>
          <w:szCs w:val="24"/>
        </w:rPr>
        <w:t>ir</w:t>
      </w:r>
      <w:r w:rsidR="006C7E13">
        <w:rPr>
          <w:rFonts w:ascii="Times New Roman" w:eastAsia="Calibri" w:hAnsi="Times New Roman" w:cs="Times New Roman"/>
          <w:sz w:val="24"/>
          <w:szCs w:val="24"/>
        </w:rPr>
        <w:t xml:space="preserve"> Sutarties 1 priedo 6.2. punktu</w:t>
      </w:r>
      <w:r w:rsidRPr="00130351">
        <w:rPr>
          <w:rFonts w:ascii="Times New Roman" w:eastAsia="Calibri" w:hAnsi="Times New Roman" w:cs="Times New Roman"/>
          <w:sz w:val="24"/>
          <w:szCs w:val="24"/>
        </w:rPr>
        <w:t xml:space="preserve"> susitarė dėl šių sąlygų:</w:t>
      </w:r>
    </w:p>
    <w:p w14:paraId="70D56B3E" w14:textId="3419CB04" w:rsidR="00BC7A9C" w:rsidRPr="00130351" w:rsidRDefault="00130351" w:rsidP="00130351">
      <w:pPr>
        <w:spacing w:after="0" w:line="240" w:lineRule="auto"/>
        <w:ind w:firstLine="709"/>
        <w:jc w:val="both"/>
        <w:rPr>
          <w:rFonts w:ascii="Times New Roman" w:eastAsia="Calibri" w:hAnsi="Times New Roman" w:cs="Times New Roman"/>
          <w:sz w:val="24"/>
          <w:szCs w:val="24"/>
        </w:rPr>
      </w:pPr>
      <w:r w:rsidRPr="00130351">
        <w:rPr>
          <w:rFonts w:ascii="Times New Roman" w:eastAsia="Calibri" w:hAnsi="Times New Roman" w:cs="Times New Roman"/>
          <w:sz w:val="24"/>
          <w:szCs w:val="24"/>
        </w:rPr>
        <w:t xml:space="preserve">1. Šalys susitaria pakeisti Sutarties </w:t>
      </w:r>
      <w:r w:rsidR="008B1BCE">
        <w:rPr>
          <w:rFonts w:ascii="Times New Roman" w:eastAsia="Calibri" w:hAnsi="Times New Roman" w:cs="Times New Roman"/>
          <w:sz w:val="24"/>
          <w:szCs w:val="24"/>
        </w:rPr>
        <w:t>3</w:t>
      </w:r>
      <w:r w:rsidRPr="00130351">
        <w:rPr>
          <w:rFonts w:ascii="Times New Roman" w:eastAsia="Calibri" w:hAnsi="Times New Roman" w:cs="Times New Roman"/>
          <w:sz w:val="24"/>
          <w:szCs w:val="24"/>
        </w:rPr>
        <w:t xml:space="preserve"> priedą ir išdėstyti jį taip:</w:t>
      </w:r>
      <w:r w:rsidR="0066538E">
        <w:rPr>
          <w:rFonts w:ascii="Times New Roman" w:eastAsia="Calibri" w:hAnsi="Times New Roman" w:cs="Times New Roman"/>
          <w:sz w:val="24"/>
          <w:szCs w:val="24"/>
        </w:rPr>
        <w:t xml:space="preserve"> </w:t>
      </w:r>
    </w:p>
    <w:p w14:paraId="3CD94163" w14:textId="77777777" w:rsidR="00BC7A9C" w:rsidRDefault="00BC7A9C" w:rsidP="00FF288A">
      <w:pPr>
        <w:spacing w:after="0" w:line="240" w:lineRule="auto"/>
        <w:jc w:val="center"/>
        <w:rPr>
          <w:rFonts w:ascii="Times New Roman" w:eastAsia="Times New Roman" w:hAnsi="Times New Roman" w:cs="Times New Roman"/>
          <w:b/>
          <w:sz w:val="24"/>
          <w:szCs w:val="20"/>
        </w:rPr>
      </w:pPr>
    </w:p>
    <w:p w14:paraId="37CB8EC8" w14:textId="77777777" w:rsidR="00BC7A9C" w:rsidRDefault="00BC7A9C" w:rsidP="00FF288A">
      <w:pPr>
        <w:spacing w:after="0" w:line="240" w:lineRule="auto"/>
        <w:jc w:val="center"/>
        <w:rPr>
          <w:rFonts w:ascii="Times New Roman" w:eastAsia="Times New Roman" w:hAnsi="Times New Roman" w:cs="Times New Roman"/>
          <w:b/>
          <w:sz w:val="24"/>
          <w:szCs w:val="20"/>
        </w:rPr>
      </w:pPr>
    </w:p>
    <w:p w14:paraId="69FFC1B5" w14:textId="77777777" w:rsidR="00BC7A9C" w:rsidRPr="0035039A" w:rsidRDefault="00BC7A9C" w:rsidP="00BC7A9C">
      <w:pPr>
        <w:spacing w:after="0" w:line="240" w:lineRule="auto"/>
        <w:ind w:left="5812" w:right="-1" w:firstLine="720"/>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35039A">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22</w:t>
      </w:r>
      <w:r w:rsidRPr="0035039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06</w:t>
      </w:r>
      <w:r w:rsidRPr="0035039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06</w:t>
      </w:r>
      <w:r w:rsidRPr="0035039A">
        <w:rPr>
          <w:rFonts w:ascii="Times New Roman" w:eastAsia="Times New Roman" w:hAnsi="Times New Roman" w:cs="Times New Roman"/>
          <w:sz w:val="24"/>
          <w:szCs w:val="24"/>
          <w:lang w:eastAsia="lt-LT"/>
        </w:rPr>
        <w:t xml:space="preserve"> Asmenybės bruožų ir profesinio kryptingumo ryšio nustatymo įrankio sukūrimo ir įdiegimo paslaugų viešojo pirkimo-pardavimo sutarties Nr. </w:t>
      </w:r>
      <w:r>
        <w:rPr>
          <w:rFonts w:ascii="Times New Roman" w:eastAsia="Times New Roman" w:hAnsi="Times New Roman" w:cs="Times New Roman"/>
          <w:sz w:val="24"/>
          <w:szCs w:val="24"/>
          <w:lang w:eastAsia="lt-LT"/>
        </w:rPr>
        <w:t>US22-114</w:t>
      </w:r>
    </w:p>
    <w:p w14:paraId="5A6385C3" w14:textId="10F982A0" w:rsidR="00BC7A9C" w:rsidRPr="00130351" w:rsidRDefault="00BC7A9C" w:rsidP="00130351">
      <w:pPr>
        <w:autoSpaceDE w:val="0"/>
        <w:autoSpaceDN w:val="0"/>
        <w:adjustRightInd w:val="0"/>
        <w:spacing w:after="0" w:line="240" w:lineRule="auto"/>
        <w:ind w:left="5245" w:firstLine="567"/>
        <w:rPr>
          <w:rFonts w:ascii="Times New Roman" w:eastAsia="Times New Roman" w:hAnsi="Times New Roman" w:cs="Times New Roman"/>
          <w:sz w:val="24"/>
          <w:szCs w:val="20"/>
        </w:rPr>
      </w:pPr>
      <w:r w:rsidRPr="0035039A">
        <w:rPr>
          <w:rFonts w:ascii="Times New Roman" w:eastAsia="Times New Roman" w:hAnsi="Times New Roman" w:cs="Times New Roman"/>
          <w:sz w:val="24"/>
          <w:szCs w:val="20"/>
        </w:rPr>
        <w:t>3 priedas</w:t>
      </w:r>
    </w:p>
    <w:p w14:paraId="639565B6" w14:textId="77777777" w:rsidR="00BC7A9C" w:rsidRDefault="00BC7A9C" w:rsidP="00FF288A">
      <w:pPr>
        <w:spacing w:after="0" w:line="240" w:lineRule="auto"/>
        <w:jc w:val="center"/>
        <w:rPr>
          <w:rFonts w:ascii="Times New Roman" w:eastAsia="Times New Roman" w:hAnsi="Times New Roman" w:cs="Times New Roman"/>
          <w:b/>
          <w:sz w:val="24"/>
          <w:szCs w:val="20"/>
        </w:rPr>
      </w:pPr>
    </w:p>
    <w:p w14:paraId="41D624D7" w14:textId="370F5DFC" w:rsidR="00FF288A" w:rsidRPr="00FF288A" w:rsidRDefault="00FF288A" w:rsidP="00FF288A">
      <w:pPr>
        <w:spacing w:after="0" w:line="240" w:lineRule="auto"/>
        <w:jc w:val="center"/>
        <w:rPr>
          <w:rFonts w:ascii="Times New Roman" w:eastAsia="Times New Roman" w:hAnsi="Times New Roman" w:cs="Times New Roman"/>
          <w:b/>
          <w:sz w:val="24"/>
          <w:szCs w:val="20"/>
        </w:rPr>
      </w:pPr>
      <w:r w:rsidRPr="00FF288A">
        <w:rPr>
          <w:rFonts w:ascii="Times New Roman" w:eastAsia="Times New Roman" w:hAnsi="Times New Roman" w:cs="Times New Roman"/>
          <w:b/>
          <w:sz w:val="24"/>
          <w:szCs w:val="20"/>
        </w:rPr>
        <w:t>PASLAUGŲ TEIKIMO GRAFIKAS</w:t>
      </w:r>
    </w:p>
    <w:p w14:paraId="4F502079" w14:textId="77777777" w:rsidR="00FF288A" w:rsidRPr="00FF288A" w:rsidRDefault="00FF288A" w:rsidP="00FF288A">
      <w:pPr>
        <w:spacing w:after="0" w:line="240" w:lineRule="auto"/>
        <w:jc w:val="center"/>
        <w:rPr>
          <w:rFonts w:ascii="Times New Roman" w:eastAsia="Times New Roman" w:hAnsi="Times New Roman" w:cs="Times New Roman"/>
          <w:b/>
          <w:sz w:val="24"/>
          <w:szCs w:val="20"/>
        </w:rPr>
      </w:pPr>
    </w:p>
    <w:tbl>
      <w:tblPr>
        <w:tblStyle w:val="Lentelstinklelis"/>
        <w:tblW w:w="0" w:type="auto"/>
        <w:tblLook w:val="04A0" w:firstRow="1" w:lastRow="0" w:firstColumn="1" w:lastColumn="0" w:noHBand="0" w:noVBand="1"/>
      </w:tblPr>
      <w:tblGrid>
        <w:gridCol w:w="576"/>
        <w:gridCol w:w="4034"/>
        <w:gridCol w:w="1918"/>
        <w:gridCol w:w="1550"/>
        <w:gridCol w:w="1550"/>
      </w:tblGrid>
      <w:tr w:rsidR="00640493" w:rsidRPr="00FF288A" w14:paraId="236A3D55" w14:textId="4F1C1120" w:rsidTr="00CF30FC">
        <w:trPr>
          <w:trHeight w:val="414"/>
        </w:trPr>
        <w:tc>
          <w:tcPr>
            <w:tcW w:w="4710" w:type="dxa"/>
            <w:gridSpan w:val="2"/>
            <w:shd w:val="clear" w:color="auto" w:fill="BDD6EE"/>
          </w:tcPr>
          <w:p w14:paraId="4FFAB007" w14:textId="6B93C916" w:rsidR="00640493" w:rsidRPr="00F86128" w:rsidRDefault="00822CF7" w:rsidP="00640493">
            <w:pPr>
              <w:autoSpaceDE w:val="0"/>
              <w:autoSpaceDN w:val="0"/>
              <w:adjustRightInd w:val="0"/>
              <w:rPr>
                <w:rFonts w:ascii="Times New Roman" w:eastAsia="Times New Roman" w:hAnsi="Times New Roman"/>
                <w:b/>
                <w:bCs/>
                <w:sz w:val="24"/>
              </w:rPr>
            </w:pPr>
            <w:r>
              <w:rPr>
                <w:rFonts w:ascii="Times New Roman" w:eastAsia="Times New Roman" w:hAnsi="Times New Roman"/>
                <w:b/>
                <w:bCs/>
                <w:iCs/>
                <w:sz w:val="24"/>
              </w:rPr>
              <w:t xml:space="preserve">1. </w:t>
            </w:r>
            <w:r w:rsidR="00640493" w:rsidRPr="00F86128">
              <w:rPr>
                <w:rFonts w:ascii="Times New Roman" w:eastAsia="Times New Roman" w:hAnsi="Times New Roman"/>
                <w:b/>
                <w:bCs/>
                <w:iCs/>
                <w:sz w:val="24"/>
              </w:rPr>
              <w:t>Metodikos sukūrimas, adaptavimas ir darbuotojų mokymai.</w:t>
            </w:r>
          </w:p>
          <w:p w14:paraId="5F3FCFDD" w14:textId="77777777" w:rsidR="00640493" w:rsidRPr="00FF288A" w:rsidRDefault="00640493" w:rsidP="00640493">
            <w:pPr>
              <w:autoSpaceDE w:val="0"/>
              <w:autoSpaceDN w:val="0"/>
              <w:adjustRightInd w:val="0"/>
              <w:rPr>
                <w:rFonts w:ascii="Times New Roman" w:eastAsia="Times New Roman" w:hAnsi="Times New Roman"/>
                <w:iCs/>
                <w:sz w:val="24"/>
              </w:rPr>
            </w:pPr>
          </w:p>
        </w:tc>
        <w:tc>
          <w:tcPr>
            <w:tcW w:w="1977" w:type="dxa"/>
            <w:shd w:val="clear" w:color="auto" w:fill="BDD6EE"/>
          </w:tcPr>
          <w:p w14:paraId="2E162A87" w14:textId="4C733C09" w:rsidR="00640493" w:rsidRPr="00FF288A" w:rsidRDefault="00640493" w:rsidP="00640493">
            <w:pPr>
              <w:autoSpaceDE w:val="0"/>
              <w:autoSpaceDN w:val="0"/>
              <w:adjustRightInd w:val="0"/>
              <w:rPr>
                <w:rFonts w:ascii="Times New Roman" w:eastAsia="Times New Roman" w:hAnsi="Times New Roman"/>
                <w:iCs/>
                <w:sz w:val="24"/>
              </w:rPr>
            </w:pPr>
          </w:p>
        </w:tc>
        <w:tc>
          <w:tcPr>
            <w:tcW w:w="1550" w:type="dxa"/>
            <w:shd w:val="clear" w:color="auto" w:fill="BDD6EE"/>
          </w:tcPr>
          <w:p w14:paraId="02C9CAAD" w14:textId="5D8EEA39" w:rsidR="00640493" w:rsidRPr="00FF288A" w:rsidRDefault="00640493" w:rsidP="00640493">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Paslaugų įgyvendinimo terminas</w:t>
            </w:r>
          </w:p>
        </w:tc>
        <w:tc>
          <w:tcPr>
            <w:tcW w:w="1391" w:type="dxa"/>
            <w:shd w:val="clear" w:color="auto" w:fill="BDD6EE"/>
          </w:tcPr>
          <w:p w14:paraId="1270FE5B" w14:textId="34DB5F43" w:rsidR="00640493" w:rsidRPr="004B7A93" w:rsidRDefault="005B5863" w:rsidP="00640493">
            <w:pPr>
              <w:autoSpaceDE w:val="0"/>
              <w:autoSpaceDN w:val="0"/>
              <w:adjustRightInd w:val="0"/>
              <w:rPr>
                <w:rFonts w:ascii="Times New Roman" w:eastAsia="Times New Roman" w:hAnsi="Times New Roman"/>
                <w:iCs/>
                <w:sz w:val="24"/>
              </w:rPr>
            </w:pPr>
            <w:r w:rsidRPr="000D2767">
              <w:rPr>
                <w:rFonts w:ascii="Times New Roman" w:eastAsia="Times New Roman" w:hAnsi="Times New Roman"/>
                <w:iCs/>
                <w:sz w:val="24"/>
              </w:rPr>
              <w:t>P</w:t>
            </w:r>
            <w:r w:rsidR="00CF30FC" w:rsidRPr="000D2767">
              <w:rPr>
                <w:rFonts w:ascii="Times New Roman" w:eastAsia="Times New Roman" w:hAnsi="Times New Roman"/>
                <w:iCs/>
                <w:sz w:val="24"/>
              </w:rPr>
              <w:t>aslaugų</w:t>
            </w:r>
            <w:r w:rsidR="00CF30FC" w:rsidRPr="004B7A93">
              <w:rPr>
                <w:rStyle w:val="normaltextrun"/>
                <w:b/>
                <w:bCs/>
                <w:color w:val="FFFFFF"/>
                <w:shd w:val="clear" w:color="auto" w:fill="538DD5"/>
              </w:rPr>
              <w:t xml:space="preserve"> </w:t>
            </w:r>
            <w:r w:rsidR="00CF30FC" w:rsidRPr="000D2767">
              <w:rPr>
                <w:rFonts w:ascii="Times New Roman" w:eastAsia="Times New Roman" w:hAnsi="Times New Roman"/>
                <w:iCs/>
                <w:sz w:val="24"/>
              </w:rPr>
              <w:t>įgyvendinimo proc.</w:t>
            </w:r>
            <w:r w:rsidR="00D25497" w:rsidRPr="004B7A93">
              <w:rPr>
                <w:rStyle w:val="normaltextrun"/>
                <w:b/>
                <w:bCs/>
                <w:color w:val="FFFFFF"/>
                <w:shd w:val="clear" w:color="auto" w:fill="538DD5"/>
              </w:rPr>
              <w:t xml:space="preserve"> </w:t>
            </w:r>
          </w:p>
        </w:tc>
      </w:tr>
      <w:tr w:rsidR="007072A2" w:rsidRPr="00FF288A" w14:paraId="7C1B4A73" w14:textId="29081A62" w:rsidTr="00CF30FC">
        <w:trPr>
          <w:trHeight w:val="414"/>
        </w:trPr>
        <w:tc>
          <w:tcPr>
            <w:tcW w:w="576" w:type="dxa"/>
            <w:shd w:val="clear" w:color="auto" w:fill="BDD6EE"/>
          </w:tcPr>
          <w:p w14:paraId="3DBFB9E0" w14:textId="77777777" w:rsidR="007072A2" w:rsidRPr="00FF288A" w:rsidRDefault="007072A2" w:rsidP="00640493">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1.1.</w:t>
            </w:r>
          </w:p>
        </w:tc>
        <w:tc>
          <w:tcPr>
            <w:tcW w:w="6111" w:type="dxa"/>
            <w:gridSpan w:val="2"/>
            <w:shd w:val="clear" w:color="auto" w:fill="BDD6EE"/>
          </w:tcPr>
          <w:p w14:paraId="6AC0A8DE" w14:textId="03C7162F" w:rsidR="007072A2" w:rsidRPr="00FF288A" w:rsidRDefault="007072A2" w:rsidP="00640493">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Parengta Užimtumo tarnybos turimų duomenų analizės ataskaita (1 vnt.);</w:t>
            </w:r>
          </w:p>
        </w:tc>
        <w:tc>
          <w:tcPr>
            <w:tcW w:w="1550" w:type="dxa"/>
            <w:vMerge w:val="restart"/>
          </w:tcPr>
          <w:p w14:paraId="36E8DF58" w14:textId="6147302A" w:rsidR="00980A1A" w:rsidRPr="00476FAF" w:rsidRDefault="00D95C38" w:rsidP="00640493">
            <w:pPr>
              <w:autoSpaceDE w:val="0"/>
              <w:autoSpaceDN w:val="0"/>
              <w:adjustRightInd w:val="0"/>
              <w:rPr>
                <w:rFonts w:ascii="Times New Roman" w:eastAsia="Times New Roman" w:hAnsi="Times New Roman"/>
                <w:i/>
                <w:sz w:val="24"/>
              </w:rPr>
            </w:pPr>
            <w:r w:rsidRPr="00D95C38">
              <w:rPr>
                <w:rFonts w:ascii="Times New Roman" w:eastAsia="Times New Roman" w:hAnsi="Times New Roman"/>
                <w:iCs/>
                <w:sz w:val="24"/>
              </w:rPr>
              <w:t>Įvykdyta (daromas jau esamo įrankio rinkoje pritaikymas)</w:t>
            </w:r>
          </w:p>
        </w:tc>
        <w:tc>
          <w:tcPr>
            <w:tcW w:w="1391" w:type="dxa"/>
            <w:vMerge w:val="restart"/>
          </w:tcPr>
          <w:p w14:paraId="1ECD0039" w14:textId="64ADDB92" w:rsidR="007072A2" w:rsidRPr="004B7A93" w:rsidRDefault="008810F5" w:rsidP="00640493">
            <w:pPr>
              <w:autoSpaceDE w:val="0"/>
              <w:autoSpaceDN w:val="0"/>
              <w:adjustRightInd w:val="0"/>
              <w:rPr>
                <w:rFonts w:ascii="Times New Roman" w:eastAsia="Times New Roman" w:hAnsi="Times New Roman"/>
                <w:iCs/>
                <w:sz w:val="24"/>
              </w:rPr>
            </w:pPr>
            <w:r w:rsidRPr="004B7A93">
              <w:rPr>
                <w:rFonts w:ascii="Times New Roman" w:eastAsia="Times New Roman" w:hAnsi="Times New Roman"/>
                <w:iCs/>
                <w:sz w:val="24"/>
              </w:rPr>
              <w:t>10 %</w:t>
            </w:r>
          </w:p>
        </w:tc>
      </w:tr>
      <w:tr w:rsidR="007072A2" w:rsidRPr="00FF288A" w14:paraId="3ED999B0" w14:textId="3AB89194" w:rsidTr="00CF30FC">
        <w:trPr>
          <w:trHeight w:val="405"/>
        </w:trPr>
        <w:tc>
          <w:tcPr>
            <w:tcW w:w="6687" w:type="dxa"/>
            <w:gridSpan w:val="3"/>
          </w:tcPr>
          <w:p w14:paraId="3E041D02" w14:textId="77777777" w:rsidR="007072A2" w:rsidRPr="00FF288A" w:rsidRDefault="007072A2" w:rsidP="00640493">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Išanalizuoti ir įvertinti Užimtumo tarnybos informacinėje sistemoje prieinamus duomenis ir jų apdorojimo poreikį rengiant asmenybės bruožų ir profesinio kryptingumo ryšio nustatymo metodiką.</w:t>
            </w:r>
          </w:p>
        </w:tc>
        <w:tc>
          <w:tcPr>
            <w:tcW w:w="1550" w:type="dxa"/>
            <w:vMerge/>
          </w:tcPr>
          <w:p w14:paraId="55B5B6B4" w14:textId="77777777" w:rsidR="007072A2" w:rsidRPr="00FF288A" w:rsidRDefault="007072A2" w:rsidP="00640493">
            <w:pPr>
              <w:autoSpaceDE w:val="0"/>
              <w:autoSpaceDN w:val="0"/>
              <w:adjustRightInd w:val="0"/>
              <w:jc w:val="both"/>
              <w:rPr>
                <w:rFonts w:ascii="Times New Roman" w:eastAsia="Times New Roman" w:hAnsi="Times New Roman"/>
                <w:iCs/>
                <w:sz w:val="24"/>
              </w:rPr>
            </w:pPr>
          </w:p>
        </w:tc>
        <w:tc>
          <w:tcPr>
            <w:tcW w:w="1391" w:type="dxa"/>
            <w:vMerge/>
          </w:tcPr>
          <w:p w14:paraId="372EEC5C" w14:textId="77777777" w:rsidR="007072A2" w:rsidRPr="004B7A93" w:rsidRDefault="007072A2" w:rsidP="00640493">
            <w:pPr>
              <w:autoSpaceDE w:val="0"/>
              <w:autoSpaceDN w:val="0"/>
              <w:adjustRightInd w:val="0"/>
              <w:jc w:val="both"/>
              <w:rPr>
                <w:rFonts w:ascii="Times New Roman" w:eastAsia="Times New Roman" w:hAnsi="Times New Roman"/>
                <w:iCs/>
                <w:sz w:val="24"/>
              </w:rPr>
            </w:pPr>
          </w:p>
        </w:tc>
      </w:tr>
      <w:tr w:rsidR="007072A2" w:rsidRPr="00FF288A" w14:paraId="6F3BAAA5" w14:textId="57CEAC92" w:rsidTr="00CF30FC">
        <w:trPr>
          <w:trHeight w:val="1036"/>
        </w:trPr>
        <w:tc>
          <w:tcPr>
            <w:tcW w:w="6687" w:type="dxa"/>
            <w:gridSpan w:val="3"/>
          </w:tcPr>
          <w:p w14:paraId="3CE9C51C" w14:textId="77777777" w:rsidR="007072A2" w:rsidRPr="00FF288A" w:rsidRDefault="007072A2" w:rsidP="00640493">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Pradžioje privalo būti atlikta giluminė Užimtumo tarnybos veiklos analizė. Tai išsami visų dokumentų ir procesų praktinė analizė su Focus grupėmis, kuriose dalyvautų tiek Užimtumo tarnybos darbuotojai, tiek tiekėjo ekspertai. Šio etapo tikslas – tiksliai identifikuoti proceso tuos elementus, kurie galėtų būti efektyvesni, kokybiškesnis ir generuoti geresnius rezultatus, atsižvelgiant į Užimtumo tarnybos tikslus ir viziją.</w:t>
            </w:r>
          </w:p>
        </w:tc>
        <w:tc>
          <w:tcPr>
            <w:tcW w:w="1550" w:type="dxa"/>
            <w:vMerge/>
          </w:tcPr>
          <w:p w14:paraId="2EBF4DF5" w14:textId="77777777" w:rsidR="007072A2" w:rsidRPr="00FF288A" w:rsidRDefault="007072A2" w:rsidP="00640493">
            <w:pPr>
              <w:autoSpaceDE w:val="0"/>
              <w:autoSpaceDN w:val="0"/>
              <w:adjustRightInd w:val="0"/>
              <w:jc w:val="both"/>
              <w:rPr>
                <w:rFonts w:ascii="Times New Roman" w:eastAsia="Times New Roman" w:hAnsi="Times New Roman"/>
                <w:iCs/>
                <w:sz w:val="24"/>
              </w:rPr>
            </w:pPr>
          </w:p>
        </w:tc>
        <w:tc>
          <w:tcPr>
            <w:tcW w:w="1391" w:type="dxa"/>
            <w:vMerge/>
          </w:tcPr>
          <w:p w14:paraId="7C1E7F93" w14:textId="77777777" w:rsidR="007072A2" w:rsidRPr="004B7A93" w:rsidRDefault="007072A2" w:rsidP="00640493">
            <w:pPr>
              <w:autoSpaceDE w:val="0"/>
              <w:autoSpaceDN w:val="0"/>
              <w:adjustRightInd w:val="0"/>
              <w:jc w:val="both"/>
              <w:rPr>
                <w:rFonts w:ascii="Times New Roman" w:eastAsia="Times New Roman" w:hAnsi="Times New Roman"/>
                <w:iCs/>
                <w:sz w:val="24"/>
              </w:rPr>
            </w:pPr>
          </w:p>
        </w:tc>
      </w:tr>
      <w:tr w:rsidR="007072A2" w:rsidRPr="00FF288A" w14:paraId="0C64D04F" w14:textId="17AAA0EA" w:rsidTr="008E1FC0">
        <w:trPr>
          <w:trHeight w:val="414"/>
        </w:trPr>
        <w:tc>
          <w:tcPr>
            <w:tcW w:w="576" w:type="dxa"/>
            <w:shd w:val="clear" w:color="auto" w:fill="BDD6EE"/>
          </w:tcPr>
          <w:p w14:paraId="5F0E7639" w14:textId="77777777" w:rsidR="007072A2" w:rsidRPr="00FF288A" w:rsidRDefault="007072A2" w:rsidP="00CF30FC">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1.2.</w:t>
            </w:r>
          </w:p>
        </w:tc>
        <w:tc>
          <w:tcPr>
            <w:tcW w:w="6111" w:type="dxa"/>
            <w:gridSpan w:val="2"/>
            <w:shd w:val="clear" w:color="auto" w:fill="BDD6EE"/>
          </w:tcPr>
          <w:p w14:paraId="7ABBA98F" w14:textId="21C75AE1" w:rsidR="007072A2" w:rsidRPr="00FF288A" w:rsidRDefault="007072A2" w:rsidP="00CF30FC">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Parengta asmenybės bruožų ir profesinio kryptingumo ryšio nustatymo metodika (1 vnt.)</w:t>
            </w:r>
          </w:p>
        </w:tc>
        <w:tc>
          <w:tcPr>
            <w:tcW w:w="1550" w:type="dxa"/>
            <w:vMerge w:val="restart"/>
          </w:tcPr>
          <w:p w14:paraId="07EBE862" w14:textId="2E496297" w:rsidR="00796BD7" w:rsidRPr="009471E1" w:rsidRDefault="00D95C38" w:rsidP="00CF30FC">
            <w:pPr>
              <w:autoSpaceDE w:val="0"/>
              <w:autoSpaceDN w:val="0"/>
              <w:adjustRightInd w:val="0"/>
              <w:rPr>
                <w:rFonts w:ascii="Times New Roman" w:eastAsia="Times New Roman" w:hAnsi="Times New Roman"/>
                <w:i/>
                <w:sz w:val="24"/>
              </w:rPr>
            </w:pPr>
            <w:r>
              <w:rPr>
                <w:rFonts w:ascii="Times New Roman" w:eastAsia="Times New Roman" w:hAnsi="Times New Roman"/>
                <w:iCs/>
                <w:sz w:val="24"/>
              </w:rPr>
              <w:t>Iki 2022-09-01</w:t>
            </w:r>
          </w:p>
        </w:tc>
        <w:tc>
          <w:tcPr>
            <w:tcW w:w="1391" w:type="dxa"/>
            <w:vMerge w:val="restart"/>
          </w:tcPr>
          <w:p w14:paraId="003EB3FF" w14:textId="2E4E56D0" w:rsidR="007072A2" w:rsidRPr="004B7A93" w:rsidRDefault="00A406B4" w:rsidP="00CF30FC">
            <w:pPr>
              <w:autoSpaceDE w:val="0"/>
              <w:autoSpaceDN w:val="0"/>
              <w:adjustRightInd w:val="0"/>
              <w:rPr>
                <w:rFonts w:ascii="Times New Roman" w:eastAsia="Times New Roman" w:hAnsi="Times New Roman"/>
                <w:iCs/>
                <w:sz w:val="24"/>
              </w:rPr>
            </w:pPr>
            <w:r w:rsidRPr="004B7A93">
              <w:rPr>
                <w:rFonts w:ascii="Times New Roman" w:eastAsia="Times New Roman" w:hAnsi="Times New Roman"/>
                <w:iCs/>
                <w:sz w:val="24"/>
              </w:rPr>
              <w:t>40 %</w:t>
            </w:r>
          </w:p>
        </w:tc>
      </w:tr>
      <w:tr w:rsidR="007072A2" w:rsidRPr="00FF288A" w14:paraId="6F8A4985" w14:textId="4703897E" w:rsidTr="00CF30FC">
        <w:trPr>
          <w:trHeight w:val="622"/>
        </w:trPr>
        <w:tc>
          <w:tcPr>
            <w:tcW w:w="6687" w:type="dxa"/>
            <w:gridSpan w:val="3"/>
          </w:tcPr>
          <w:p w14:paraId="129815D5"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lastRenderedPageBreak/>
              <w:t>Parengti asmenybės bruožų ir profesinio kryptingumo ryšio nustatymo detalią metodiką, kurios pagrindu būtų sukurtas asmenybės bruožų ir profesinio kryptingumo ryšio nustatymo  įrankis Užimtumo tarnybos specialistams.</w:t>
            </w:r>
          </w:p>
        </w:tc>
        <w:tc>
          <w:tcPr>
            <w:tcW w:w="1550" w:type="dxa"/>
            <w:vMerge/>
          </w:tcPr>
          <w:p w14:paraId="6DBE8BA0"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41FF65B2"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4C6105C3" w14:textId="355C8F02" w:rsidTr="00CF30FC">
        <w:trPr>
          <w:trHeight w:val="1514"/>
        </w:trPr>
        <w:tc>
          <w:tcPr>
            <w:tcW w:w="6687" w:type="dxa"/>
            <w:gridSpan w:val="3"/>
          </w:tcPr>
          <w:p w14:paraId="2733558D"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Parengtą asmenybės bruožų ir profesinio kryptingumo ryšio nustatymo metodiką sudaro penkios dalys:</w:t>
            </w:r>
          </w:p>
          <w:p w14:paraId="7765BACA" w14:textId="77777777" w:rsidR="007072A2" w:rsidRPr="00FF288A" w:rsidRDefault="007072A2" w:rsidP="00CF30FC">
            <w:pPr>
              <w:numPr>
                <w:ilvl w:val="0"/>
                <w:numId w:val="2"/>
              </w:numPr>
              <w:autoSpaceDE w:val="0"/>
              <w:autoSpaceDN w:val="0"/>
              <w:adjustRightInd w:val="0"/>
              <w:contextualSpacing/>
              <w:rPr>
                <w:rFonts w:ascii="Times New Roman" w:eastAsia="Times New Roman" w:hAnsi="Times New Roman"/>
                <w:iCs/>
                <w:sz w:val="24"/>
              </w:rPr>
            </w:pPr>
            <w:r w:rsidRPr="00FF288A">
              <w:rPr>
                <w:rFonts w:ascii="Times New Roman" w:eastAsia="Times New Roman" w:hAnsi="Times New Roman"/>
                <w:iCs/>
                <w:sz w:val="24"/>
              </w:rPr>
              <w:t xml:space="preserve">asmenybės savybių įvertinimas;  </w:t>
            </w:r>
          </w:p>
          <w:p w14:paraId="14BBDCE8" w14:textId="77777777" w:rsidR="007072A2" w:rsidRPr="00FF288A" w:rsidRDefault="007072A2" w:rsidP="00CF30FC">
            <w:pPr>
              <w:numPr>
                <w:ilvl w:val="0"/>
                <w:numId w:val="2"/>
              </w:numPr>
              <w:autoSpaceDE w:val="0"/>
              <w:autoSpaceDN w:val="0"/>
              <w:adjustRightInd w:val="0"/>
              <w:contextualSpacing/>
              <w:rPr>
                <w:rFonts w:ascii="Times New Roman" w:eastAsia="Times New Roman" w:hAnsi="Times New Roman"/>
                <w:iCs/>
                <w:sz w:val="24"/>
              </w:rPr>
            </w:pPr>
            <w:r w:rsidRPr="00FF288A">
              <w:rPr>
                <w:rFonts w:ascii="Times New Roman" w:eastAsia="Times New Roman" w:hAnsi="Times New Roman"/>
                <w:iCs/>
                <w:sz w:val="24"/>
              </w:rPr>
              <w:t>profesijai reikalingų gebėjimų įvertinimas;</w:t>
            </w:r>
          </w:p>
          <w:p w14:paraId="06167E23" w14:textId="77777777" w:rsidR="007072A2" w:rsidRPr="00FF288A" w:rsidRDefault="007072A2" w:rsidP="00CF30FC">
            <w:pPr>
              <w:numPr>
                <w:ilvl w:val="0"/>
                <w:numId w:val="2"/>
              </w:numPr>
              <w:autoSpaceDE w:val="0"/>
              <w:autoSpaceDN w:val="0"/>
              <w:adjustRightInd w:val="0"/>
              <w:contextualSpacing/>
              <w:rPr>
                <w:rFonts w:ascii="Times New Roman" w:eastAsia="Times New Roman" w:hAnsi="Times New Roman"/>
                <w:iCs/>
                <w:sz w:val="24"/>
              </w:rPr>
            </w:pPr>
            <w:r w:rsidRPr="00FF288A">
              <w:rPr>
                <w:rFonts w:ascii="Times New Roman" w:eastAsia="Times New Roman" w:hAnsi="Times New Roman"/>
                <w:iCs/>
                <w:sz w:val="24"/>
              </w:rPr>
              <w:t>individualių profesinių interesų įvertinimas;</w:t>
            </w:r>
          </w:p>
          <w:p w14:paraId="27F1ADA1" w14:textId="77777777" w:rsidR="007072A2" w:rsidRPr="00FF288A" w:rsidRDefault="007072A2" w:rsidP="00CF30FC">
            <w:pPr>
              <w:numPr>
                <w:ilvl w:val="0"/>
                <w:numId w:val="2"/>
              </w:numPr>
              <w:autoSpaceDE w:val="0"/>
              <w:autoSpaceDN w:val="0"/>
              <w:adjustRightInd w:val="0"/>
              <w:contextualSpacing/>
              <w:rPr>
                <w:rFonts w:ascii="Times New Roman" w:eastAsia="Times New Roman" w:hAnsi="Times New Roman"/>
                <w:iCs/>
                <w:sz w:val="24"/>
              </w:rPr>
            </w:pPr>
            <w:r w:rsidRPr="00FF288A">
              <w:rPr>
                <w:rFonts w:ascii="Times New Roman" w:eastAsia="Times New Roman" w:hAnsi="Times New Roman"/>
                <w:iCs/>
                <w:sz w:val="24"/>
              </w:rPr>
              <w:t>motyvacijos įvertinimas;</w:t>
            </w:r>
          </w:p>
          <w:p w14:paraId="7D9EB3B4" w14:textId="77777777" w:rsidR="007072A2" w:rsidRPr="00FF288A" w:rsidRDefault="007072A2" w:rsidP="00CF30FC">
            <w:pPr>
              <w:numPr>
                <w:ilvl w:val="0"/>
                <w:numId w:val="2"/>
              </w:numPr>
              <w:autoSpaceDE w:val="0"/>
              <w:autoSpaceDN w:val="0"/>
              <w:adjustRightInd w:val="0"/>
              <w:contextualSpacing/>
              <w:rPr>
                <w:rFonts w:ascii="Times New Roman" w:eastAsia="Times New Roman" w:hAnsi="Times New Roman"/>
                <w:iCs/>
                <w:sz w:val="24"/>
              </w:rPr>
            </w:pPr>
            <w:r w:rsidRPr="00FF288A">
              <w:rPr>
                <w:rFonts w:ascii="Times New Roman" w:eastAsia="Times New Roman" w:hAnsi="Times New Roman"/>
                <w:iCs/>
                <w:sz w:val="24"/>
              </w:rPr>
              <w:t>vertybių nustatymas.</w:t>
            </w:r>
          </w:p>
        </w:tc>
        <w:tc>
          <w:tcPr>
            <w:tcW w:w="1550" w:type="dxa"/>
            <w:vMerge/>
          </w:tcPr>
          <w:p w14:paraId="3AE70DCD"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4D0955A7"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0DD0C6AD" w14:textId="34457038" w:rsidTr="00CF30FC">
        <w:trPr>
          <w:trHeight w:val="622"/>
        </w:trPr>
        <w:tc>
          <w:tcPr>
            <w:tcW w:w="6687" w:type="dxa"/>
            <w:gridSpan w:val="3"/>
          </w:tcPr>
          <w:p w14:paraId="4126EFF8"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Metodikoje turi būti aiškiai išdėstyti sutarties 1 priedo 3.1.2.2. papunktyje išvardintų dalių algoritmai, pateikti jų detalūs aprašymai. Pastarieji turi būti pakankami asmenybės bruožų ir profesinio kryptingumo ryšio nustatymo įrankio IT sprendimo sukūrimui.</w:t>
            </w:r>
          </w:p>
        </w:tc>
        <w:tc>
          <w:tcPr>
            <w:tcW w:w="1550" w:type="dxa"/>
            <w:vMerge/>
          </w:tcPr>
          <w:p w14:paraId="66EEF3CD"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780BE90B"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6B1CFF40" w14:textId="01B8C4D3" w:rsidTr="00CF30FC">
        <w:trPr>
          <w:trHeight w:val="622"/>
        </w:trPr>
        <w:tc>
          <w:tcPr>
            <w:tcW w:w="6687" w:type="dxa"/>
            <w:gridSpan w:val="3"/>
          </w:tcPr>
          <w:p w14:paraId="1D629C90"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Tiek rengiant metodiką, tiek  IT įrankio kūrimo ir diegimo proceso metu turi būti glaudus bendradarbiavimas tarp paslaugos teikėjų, kurie kurs metodiką ir programuos įrankį sukurtos metodikos pagrindu.</w:t>
            </w:r>
          </w:p>
        </w:tc>
        <w:tc>
          <w:tcPr>
            <w:tcW w:w="1550" w:type="dxa"/>
            <w:vMerge/>
          </w:tcPr>
          <w:p w14:paraId="28637472"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0A771030"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6BB4BDF5" w14:textId="335687FE" w:rsidTr="00A348A8">
        <w:trPr>
          <w:trHeight w:val="405"/>
        </w:trPr>
        <w:tc>
          <w:tcPr>
            <w:tcW w:w="576" w:type="dxa"/>
            <w:shd w:val="clear" w:color="auto" w:fill="BDD6EE"/>
          </w:tcPr>
          <w:p w14:paraId="52792A44" w14:textId="77777777" w:rsidR="007072A2" w:rsidRPr="00FF288A" w:rsidRDefault="007072A2" w:rsidP="00CF30FC">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1.3.</w:t>
            </w:r>
          </w:p>
        </w:tc>
        <w:tc>
          <w:tcPr>
            <w:tcW w:w="6111" w:type="dxa"/>
            <w:gridSpan w:val="2"/>
            <w:shd w:val="clear" w:color="auto" w:fill="BDD6EE"/>
          </w:tcPr>
          <w:p w14:paraId="6C509D70" w14:textId="4B5AED95" w:rsidR="007072A2" w:rsidRPr="00FF288A" w:rsidRDefault="007072A2" w:rsidP="00CF30FC">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Įvykdyti mokymai darbuotojams (2 vnt.)</w:t>
            </w:r>
          </w:p>
        </w:tc>
        <w:tc>
          <w:tcPr>
            <w:tcW w:w="1550" w:type="dxa"/>
            <w:vMerge w:val="restart"/>
          </w:tcPr>
          <w:p w14:paraId="68700171" w14:textId="63690F6D" w:rsidR="007072A2" w:rsidRDefault="00D95C38" w:rsidP="00CF30FC">
            <w:pPr>
              <w:autoSpaceDE w:val="0"/>
              <w:autoSpaceDN w:val="0"/>
              <w:adjustRightInd w:val="0"/>
              <w:rPr>
                <w:rFonts w:ascii="Times New Roman" w:eastAsia="Times New Roman" w:hAnsi="Times New Roman"/>
                <w:iCs/>
                <w:sz w:val="24"/>
              </w:rPr>
            </w:pPr>
            <w:r>
              <w:rPr>
                <w:rFonts w:ascii="Times New Roman" w:eastAsia="Times New Roman" w:hAnsi="Times New Roman"/>
                <w:iCs/>
                <w:sz w:val="24"/>
              </w:rPr>
              <w:t>Iki 2022-09-01</w:t>
            </w:r>
          </w:p>
          <w:p w14:paraId="19ABDE0A" w14:textId="0650FA2A" w:rsidR="002F64DC" w:rsidRPr="00A14E01" w:rsidRDefault="002F64DC" w:rsidP="00CF30FC">
            <w:pPr>
              <w:autoSpaceDE w:val="0"/>
              <w:autoSpaceDN w:val="0"/>
              <w:adjustRightInd w:val="0"/>
              <w:rPr>
                <w:rFonts w:ascii="Times New Roman" w:eastAsia="Times New Roman" w:hAnsi="Times New Roman"/>
                <w:i/>
                <w:sz w:val="24"/>
              </w:rPr>
            </w:pPr>
          </w:p>
        </w:tc>
        <w:tc>
          <w:tcPr>
            <w:tcW w:w="1391" w:type="dxa"/>
            <w:vMerge w:val="restart"/>
          </w:tcPr>
          <w:p w14:paraId="7171D309" w14:textId="4FB26E42" w:rsidR="007072A2" w:rsidRPr="004B7A93" w:rsidRDefault="00A905CA" w:rsidP="00CF30FC">
            <w:pPr>
              <w:autoSpaceDE w:val="0"/>
              <w:autoSpaceDN w:val="0"/>
              <w:adjustRightInd w:val="0"/>
              <w:rPr>
                <w:rFonts w:ascii="Times New Roman" w:eastAsia="Times New Roman" w:hAnsi="Times New Roman"/>
                <w:iCs/>
                <w:sz w:val="24"/>
              </w:rPr>
            </w:pPr>
            <w:r w:rsidRPr="004B7A93">
              <w:rPr>
                <w:rFonts w:ascii="Times New Roman" w:eastAsia="Times New Roman" w:hAnsi="Times New Roman"/>
                <w:iCs/>
                <w:sz w:val="24"/>
              </w:rPr>
              <w:t>15%</w:t>
            </w:r>
          </w:p>
        </w:tc>
      </w:tr>
      <w:tr w:rsidR="007072A2" w:rsidRPr="00FF288A" w14:paraId="5DB785EB" w14:textId="35F5D898" w:rsidTr="00CF30FC">
        <w:trPr>
          <w:trHeight w:val="622"/>
        </w:trPr>
        <w:tc>
          <w:tcPr>
            <w:tcW w:w="6687" w:type="dxa"/>
            <w:gridSpan w:val="3"/>
          </w:tcPr>
          <w:p w14:paraId="0FE84BFB"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Organizuoti mokymus Užimtumo tarnybos darbuotojams, kad projektui pasibaigus jie gebėtų savarankiškai naudoti parengtą asmenybės bruožų ir profesinio kryptingumo ryšio nustatymo įrankį ir kokybiškai periodiškai jį atnaujinti.</w:t>
            </w:r>
          </w:p>
        </w:tc>
        <w:tc>
          <w:tcPr>
            <w:tcW w:w="1550" w:type="dxa"/>
            <w:vMerge/>
          </w:tcPr>
          <w:p w14:paraId="3383178F"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472BA8B5"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6C5957C7" w14:textId="7A3FF990" w:rsidTr="00CF30FC">
        <w:trPr>
          <w:trHeight w:val="414"/>
        </w:trPr>
        <w:tc>
          <w:tcPr>
            <w:tcW w:w="6687" w:type="dxa"/>
            <w:gridSpan w:val="3"/>
          </w:tcPr>
          <w:p w14:paraId="649968E0"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Apmokyti nuo 60 iki 100 darbuotojų naudotis asmenybės bruožų ir profesinio kryptingumo ryšio nustatymo įrankiu. Mokymų trukmė – ne trumpiau kaip 20 akademinės val.</w:t>
            </w:r>
          </w:p>
        </w:tc>
        <w:tc>
          <w:tcPr>
            <w:tcW w:w="1550" w:type="dxa"/>
            <w:vMerge/>
          </w:tcPr>
          <w:p w14:paraId="0355F1C4"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1328A7C6"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41F038DA" w14:textId="1B541FE6" w:rsidTr="00CF30FC">
        <w:trPr>
          <w:trHeight w:val="622"/>
        </w:trPr>
        <w:tc>
          <w:tcPr>
            <w:tcW w:w="6687" w:type="dxa"/>
            <w:gridSpan w:val="3"/>
          </w:tcPr>
          <w:p w14:paraId="3A89578B"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Mokymai vyks Užimtumo tarnybos patalpose. Mokymų dalyvių grupes formuoja bei mokymų dalyvių keliones į ir iš mokymų, maitinimą ir apgyvendinimą organizuoja bei išlaidas padengia Užimtumo tarnyba.</w:t>
            </w:r>
          </w:p>
        </w:tc>
        <w:tc>
          <w:tcPr>
            <w:tcW w:w="1550" w:type="dxa"/>
            <w:vMerge/>
          </w:tcPr>
          <w:p w14:paraId="0558899C"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30A3CAFD"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22499F74" w14:textId="1E00F306" w:rsidTr="00CF30FC">
        <w:trPr>
          <w:trHeight w:val="622"/>
        </w:trPr>
        <w:tc>
          <w:tcPr>
            <w:tcW w:w="6687" w:type="dxa"/>
            <w:gridSpan w:val="3"/>
          </w:tcPr>
          <w:p w14:paraId="37C1D65E"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Apmokyti nuo 2-5 Užimtumo tarnybos darbuotojus, kurie gebės prižiūrėti įrankį, apmokys naujus darbuotojus juo naudotis, galės analizuoti turimus duomenis, jie turės būti įrankio naudojimo ir taikymo ekspertais. Mokymų trukmė – ne trumpiau kaip 40 akademinės val.</w:t>
            </w:r>
          </w:p>
        </w:tc>
        <w:tc>
          <w:tcPr>
            <w:tcW w:w="1550" w:type="dxa"/>
            <w:vMerge/>
          </w:tcPr>
          <w:p w14:paraId="2577DFFC"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02D87FDF"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5688B2BB" w14:textId="5FEED489" w:rsidTr="00CF30FC">
        <w:trPr>
          <w:trHeight w:val="622"/>
        </w:trPr>
        <w:tc>
          <w:tcPr>
            <w:tcW w:w="6687" w:type="dxa"/>
            <w:gridSpan w:val="3"/>
          </w:tcPr>
          <w:p w14:paraId="7D76EDAB"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Mokymai vyks Užimtumo tarnybos patalpose. Mokymų dalyvių grupes formuoja bei mokymų dalyvių keliones į ir iš mokymų, maitinimą ir apgyvendinimą organizuoja bei išlaidas padengia Užimtumo tarnyba.</w:t>
            </w:r>
          </w:p>
        </w:tc>
        <w:tc>
          <w:tcPr>
            <w:tcW w:w="1550" w:type="dxa"/>
            <w:vMerge/>
          </w:tcPr>
          <w:p w14:paraId="685C6EAC"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3D0EB3B2"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33BBCF89" w14:textId="442AD2C8" w:rsidTr="00CF30FC">
        <w:trPr>
          <w:trHeight w:val="405"/>
        </w:trPr>
        <w:tc>
          <w:tcPr>
            <w:tcW w:w="6687" w:type="dxa"/>
            <w:gridSpan w:val="3"/>
          </w:tcPr>
          <w:p w14:paraId="553D8247"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Po mokymų 1 m. laiko skiriama konsultacijoms suteikti. Kiekvienas specialistas, dirbantis su metodika turi gauti ne mažiau kaip 2 val. konsultacijų.</w:t>
            </w:r>
          </w:p>
        </w:tc>
        <w:tc>
          <w:tcPr>
            <w:tcW w:w="1550" w:type="dxa"/>
            <w:vMerge/>
          </w:tcPr>
          <w:p w14:paraId="39E515FA"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2488F110"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1B23C6AB" w14:textId="098E7A48" w:rsidTr="00BD0B38">
        <w:trPr>
          <w:trHeight w:val="622"/>
        </w:trPr>
        <w:tc>
          <w:tcPr>
            <w:tcW w:w="576" w:type="dxa"/>
            <w:shd w:val="clear" w:color="auto" w:fill="BDD6EE"/>
          </w:tcPr>
          <w:p w14:paraId="47158A45" w14:textId="77777777" w:rsidR="007072A2" w:rsidRPr="00FF288A" w:rsidRDefault="007072A2" w:rsidP="00CF30FC">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1.4.</w:t>
            </w:r>
          </w:p>
        </w:tc>
        <w:tc>
          <w:tcPr>
            <w:tcW w:w="6111" w:type="dxa"/>
            <w:gridSpan w:val="2"/>
            <w:shd w:val="clear" w:color="auto" w:fill="BDD6EE"/>
          </w:tcPr>
          <w:p w14:paraId="0EEC5273" w14:textId="1E707067" w:rsidR="007072A2" w:rsidRPr="00FF288A" w:rsidRDefault="007072A2" w:rsidP="00CF30FC">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Teikti konsultacijas Užimtumo tarnybos darbuotojams, asmenybės bruožų ir profesinio kryptingumo ryšio nustatymo įrankio diegimo metu iki įrankio pilno įdiegimo</w:t>
            </w:r>
          </w:p>
        </w:tc>
        <w:tc>
          <w:tcPr>
            <w:tcW w:w="1550" w:type="dxa"/>
            <w:vMerge w:val="restart"/>
          </w:tcPr>
          <w:p w14:paraId="39F5DDB8" w14:textId="5D4EBB15" w:rsidR="00B15D23" w:rsidRPr="00042C70" w:rsidRDefault="003F3B1B" w:rsidP="00CF30FC">
            <w:pPr>
              <w:autoSpaceDE w:val="0"/>
              <w:autoSpaceDN w:val="0"/>
              <w:adjustRightInd w:val="0"/>
              <w:rPr>
                <w:rFonts w:ascii="Times New Roman" w:eastAsia="Times New Roman" w:hAnsi="Times New Roman"/>
                <w:i/>
                <w:sz w:val="24"/>
              </w:rPr>
            </w:pPr>
            <w:r w:rsidRPr="003F3B1B">
              <w:rPr>
                <w:rFonts w:ascii="Times New Roman" w:eastAsia="Times New Roman" w:hAnsi="Times New Roman"/>
                <w:iCs/>
                <w:sz w:val="24"/>
              </w:rPr>
              <w:t>Iki 2022-09-01</w:t>
            </w:r>
          </w:p>
        </w:tc>
        <w:tc>
          <w:tcPr>
            <w:tcW w:w="1391" w:type="dxa"/>
            <w:vMerge w:val="restart"/>
          </w:tcPr>
          <w:p w14:paraId="2847B336" w14:textId="41FDD2D9" w:rsidR="007072A2" w:rsidRPr="004B7A93" w:rsidRDefault="00A905CA" w:rsidP="00CF30FC">
            <w:pPr>
              <w:autoSpaceDE w:val="0"/>
              <w:autoSpaceDN w:val="0"/>
              <w:adjustRightInd w:val="0"/>
              <w:rPr>
                <w:rFonts w:ascii="Times New Roman" w:eastAsia="Times New Roman" w:hAnsi="Times New Roman"/>
                <w:iCs/>
                <w:sz w:val="24"/>
              </w:rPr>
            </w:pPr>
            <w:r w:rsidRPr="004B7A93">
              <w:rPr>
                <w:rFonts w:ascii="Times New Roman" w:eastAsia="Times New Roman" w:hAnsi="Times New Roman"/>
                <w:iCs/>
                <w:sz w:val="24"/>
              </w:rPr>
              <w:t>20 %</w:t>
            </w:r>
          </w:p>
        </w:tc>
      </w:tr>
      <w:tr w:rsidR="007072A2" w:rsidRPr="00FF288A" w14:paraId="1C610857" w14:textId="2BEB2954" w:rsidTr="00CF30FC">
        <w:trPr>
          <w:trHeight w:val="414"/>
        </w:trPr>
        <w:tc>
          <w:tcPr>
            <w:tcW w:w="6687" w:type="dxa"/>
            <w:gridSpan w:val="3"/>
          </w:tcPr>
          <w:p w14:paraId="46894D23"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Teikti konsultacijas Užimtumo tarnybos darbuotojams, asmenybės bruožų ir profesinio kryptingumo ryšio nustatymo įrankio diegimo metu iki įrankio pilno įdiegimo.</w:t>
            </w:r>
          </w:p>
        </w:tc>
        <w:tc>
          <w:tcPr>
            <w:tcW w:w="1550" w:type="dxa"/>
            <w:vMerge/>
          </w:tcPr>
          <w:p w14:paraId="779D4864"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67EF0C1A"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2B1E4AD1" w14:textId="69937A0B" w:rsidTr="00CF30FC">
        <w:trPr>
          <w:trHeight w:val="414"/>
        </w:trPr>
        <w:tc>
          <w:tcPr>
            <w:tcW w:w="6687" w:type="dxa"/>
            <w:gridSpan w:val="3"/>
          </w:tcPr>
          <w:p w14:paraId="5189B62A"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Konsultacijos turi būti teikiamos pagal Paslaugų gavėjo poreikį, Paslaugų teikėjo nurodytu el. paštu arba atvykstant į Paslaugų teikimo vietą, iš anksto su Paslaugų gavėju suderintu laiku.</w:t>
            </w:r>
          </w:p>
        </w:tc>
        <w:tc>
          <w:tcPr>
            <w:tcW w:w="1550" w:type="dxa"/>
            <w:vMerge/>
          </w:tcPr>
          <w:p w14:paraId="59BDE7B7"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656F2AA6"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731C4B3D" w14:textId="08EF6029" w:rsidTr="00CF30FC">
        <w:trPr>
          <w:trHeight w:val="414"/>
        </w:trPr>
        <w:tc>
          <w:tcPr>
            <w:tcW w:w="6687" w:type="dxa"/>
            <w:gridSpan w:val="3"/>
          </w:tcPr>
          <w:p w14:paraId="4428FA6F"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lastRenderedPageBreak/>
              <w:t>Paslaugų teikėjas į Paslaugų gavėjo pateiktus klausimus el. paštu ar konsultacijų Paslaugų teikimo vietoje metu turi atsakyti raštu ne vėliau kaip per 2 darbo dienas.</w:t>
            </w:r>
          </w:p>
        </w:tc>
        <w:tc>
          <w:tcPr>
            <w:tcW w:w="1550" w:type="dxa"/>
            <w:vMerge/>
          </w:tcPr>
          <w:p w14:paraId="6248B0CD"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19B39340"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7E41087A" w14:textId="25CC14FD" w:rsidTr="00280126">
        <w:trPr>
          <w:trHeight w:val="1244"/>
        </w:trPr>
        <w:tc>
          <w:tcPr>
            <w:tcW w:w="576" w:type="dxa"/>
            <w:shd w:val="clear" w:color="auto" w:fill="BDD6EE"/>
          </w:tcPr>
          <w:p w14:paraId="1F7F57FA" w14:textId="77777777" w:rsidR="007072A2" w:rsidRPr="00FF288A" w:rsidRDefault="007072A2" w:rsidP="00CF30FC">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1.5.</w:t>
            </w:r>
          </w:p>
        </w:tc>
        <w:tc>
          <w:tcPr>
            <w:tcW w:w="6111" w:type="dxa"/>
            <w:gridSpan w:val="2"/>
            <w:shd w:val="clear" w:color="auto" w:fill="BDD6EE"/>
          </w:tcPr>
          <w:p w14:paraId="46A85E49" w14:textId="77777777" w:rsidR="007072A2" w:rsidRPr="00FF288A" w:rsidRDefault="007072A2" w:rsidP="00CF30FC">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Ištestuotas ir parengtas taikymui asmenybės bruožų ir profesinio kryptingumo ryšio nustatymo įrankis (1 vnt.);</w:t>
            </w:r>
          </w:p>
          <w:p w14:paraId="33E89FA3" w14:textId="765F2606" w:rsidR="007072A2" w:rsidRPr="00FF288A" w:rsidRDefault="007072A2" w:rsidP="00CF30FC">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Parengta detali ataskaita ir naudotojų instrukcijos, apimančios asmenybės bruožų ir profesinio kryptingumo ryšio nustatymo įrankio sukūrimą, valdymą, periodinį atnaujinimą bei tolesnės plėtros galimybes (1 vnt.);</w:t>
            </w:r>
          </w:p>
        </w:tc>
        <w:tc>
          <w:tcPr>
            <w:tcW w:w="1550" w:type="dxa"/>
            <w:vMerge w:val="restart"/>
          </w:tcPr>
          <w:p w14:paraId="214E0368" w14:textId="78B9230B" w:rsidR="00DE0920" w:rsidRPr="00372867" w:rsidRDefault="003F3B1B" w:rsidP="00CF30FC">
            <w:pPr>
              <w:autoSpaceDE w:val="0"/>
              <w:autoSpaceDN w:val="0"/>
              <w:adjustRightInd w:val="0"/>
              <w:rPr>
                <w:rFonts w:ascii="Times New Roman" w:eastAsia="Times New Roman" w:hAnsi="Times New Roman"/>
                <w:i/>
                <w:sz w:val="24"/>
              </w:rPr>
            </w:pPr>
            <w:r w:rsidRPr="003F3B1B">
              <w:rPr>
                <w:rFonts w:ascii="Times New Roman" w:eastAsia="Times New Roman" w:hAnsi="Times New Roman"/>
                <w:iCs/>
                <w:sz w:val="24"/>
              </w:rPr>
              <w:t>Iki 2022-09-01</w:t>
            </w:r>
          </w:p>
        </w:tc>
        <w:tc>
          <w:tcPr>
            <w:tcW w:w="1391" w:type="dxa"/>
            <w:vMerge w:val="restart"/>
          </w:tcPr>
          <w:p w14:paraId="48E569EC" w14:textId="725C2ACC" w:rsidR="007072A2" w:rsidRPr="004B7A93" w:rsidRDefault="004B7A93" w:rsidP="00CF30FC">
            <w:pPr>
              <w:autoSpaceDE w:val="0"/>
              <w:autoSpaceDN w:val="0"/>
              <w:adjustRightInd w:val="0"/>
              <w:rPr>
                <w:rFonts w:ascii="Times New Roman" w:eastAsia="Times New Roman" w:hAnsi="Times New Roman"/>
                <w:iCs/>
                <w:sz w:val="24"/>
              </w:rPr>
            </w:pPr>
            <w:r w:rsidRPr="004B7A93">
              <w:rPr>
                <w:rFonts w:ascii="Times New Roman" w:eastAsia="Times New Roman" w:hAnsi="Times New Roman"/>
                <w:iCs/>
                <w:sz w:val="24"/>
              </w:rPr>
              <w:t>15%</w:t>
            </w:r>
          </w:p>
        </w:tc>
      </w:tr>
      <w:tr w:rsidR="007072A2" w:rsidRPr="00FF288A" w14:paraId="35FD183D" w14:textId="0DB6170D" w:rsidTr="00CF30FC">
        <w:trPr>
          <w:trHeight w:val="198"/>
        </w:trPr>
        <w:tc>
          <w:tcPr>
            <w:tcW w:w="6687" w:type="dxa"/>
            <w:gridSpan w:val="3"/>
          </w:tcPr>
          <w:p w14:paraId="1FEF2F7A"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Ištestuoti ir parengti taikymui asmenybės bruožų ir profesinio kryptingumo ryšio nustatymo įrankį;</w:t>
            </w:r>
          </w:p>
        </w:tc>
        <w:tc>
          <w:tcPr>
            <w:tcW w:w="1550" w:type="dxa"/>
            <w:vMerge/>
          </w:tcPr>
          <w:p w14:paraId="1D9EF92F"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76CA4109"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5A4DE545" w14:textId="0B4B8999" w:rsidTr="00CF30FC">
        <w:trPr>
          <w:trHeight w:val="622"/>
        </w:trPr>
        <w:tc>
          <w:tcPr>
            <w:tcW w:w="6687" w:type="dxa"/>
            <w:gridSpan w:val="3"/>
          </w:tcPr>
          <w:p w14:paraId="4997A97C"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Parengti detalią ataskaitą ir naudotojų instrukcijas, apimančias ištestuotą ir parengtą taikymui asmenybės bruožų ir profesinio kryptingumo ryšio nustatymo įrankio sukūrimą, valdymą, periodinį atnaujinimą bei tolesnės plėtros galimybes;</w:t>
            </w:r>
          </w:p>
        </w:tc>
        <w:tc>
          <w:tcPr>
            <w:tcW w:w="1550" w:type="dxa"/>
            <w:vMerge/>
          </w:tcPr>
          <w:p w14:paraId="6BEA6202"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19BEE61B"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61C4AD7F" w14:textId="55343C04" w:rsidTr="007A0987">
        <w:trPr>
          <w:trHeight w:val="622"/>
        </w:trPr>
        <w:tc>
          <w:tcPr>
            <w:tcW w:w="576" w:type="dxa"/>
            <w:shd w:val="clear" w:color="auto" w:fill="BDD6EE"/>
          </w:tcPr>
          <w:p w14:paraId="79615F21" w14:textId="77777777" w:rsidR="007072A2" w:rsidRPr="00FF288A" w:rsidRDefault="007072A2" w:rsidP="00CF30FC">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1.6.</w:t>
            </w:r>
          </w:p>
        </w:tc>
        <w:tc>
          <w:tcPr>
            <w:tcW w:w="6111" w:type="dxa"/>
            <w:gridSpan w:val="2"/>
            <w:shd w:val="clear" w:color="auto" w:fill="BDD6EE"/>
          </w:tcPr>
          <w:p w14:paraId="2C7D6627" w14:textId="2CAB0022" w:rsidR="007072A2" w:rsidRPr="00FF288A" w:rsidRDefault="007072A2" w:rsidP="00CF30FC">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Suteiktos nemokamos konsultacijos Užimtumo tarnybos darbuotojams asmenybės bruožų ir profesinio kryptingumo ryšio nustatymo įrankio  atnaujinimo ir kitais klausimais (1 vnt.)</w:t>
            </w:r>
          </w:p>
        </w:tc>
        <w:tc>
          <w:tcPr>
            <w:tcW w:w="1550" w:type="dxa"/>
            <w:vMerge w:val="restart"/>
          </w:tcPr>
          <w:p w14:paraId="4FEF57F1" w14:textId="1A542150" w:rsidR="007B595A" w:rsidRPr="00FF288A" w:rsidRDefault="003F3B1B" w:rsidP="00CF30FC">
            <w:pPr>
              <w:autoSpaceDE w:val="0"/>
              <w:autoSpaceDN w:val="0"/>
              <w:adjustRightInd w:val="0"/>
              <w:rPr>
                <w:rFonts w:ascii="Times New Roman" w:eastAsia="Times New Roman" w:hAnsi="Times New Roman"/>
                <w:iCs/>
                <w:sz w:val="24"/>
              </w:rPr>
            </w:pPr>
            <w:r w:rsidRPr="003F3B1B">
              <w:rPr>
                <w:rFonts w:ascii="Times New Roman" w:eastAsia="Times New Roman" w:hAnsi="Times New Roman"/>
                <w:iCs/>
                <w:sz w:val="24"/>
              </w:rPr>
              <w:t>Iki 202</w:t>
            </w:r>
            <w:r>
              <w:rPr>
                <w:rFonts w:ascii="Times New Roman" w:eastAsia="Times New Roman" w:hAnsi="Times New Roman"/>
                <w:iCs/>
                <w:sz w:val="24"/>
              </w:rPr>
              <w:t>3</w:t>
            </w:r>
            <w:r w:rsidRPr="003F3B1B">
              <w:rPr>
                <w:rFonts w:ascii="Times New Roman" w:eastAsia="Times New Roman" w:hAnsi="Times New Roman"/>
                <w:iCs/>
                <w:sz w:val="24"/>
              </w:rPr>
              <w:t>-09-01</w:t>
            </w:r>
          </w:p>
        </w:tc>
        <w:tc>
          <w:tcPr>
            <w:tcW w:w="1391" w:type="dxa"/>
            <w:vMerge w:val="restart"/>
          </w:tcPr>
          <w:p w14:paraId="2C0DA75F" w14:textId="41F0DB52" w:rsidR="007072A2" w:rsidRPr="004B7A93" w:rsidRDefault="004B7A93" w:rsidP="00CF30FC">
            <w:pPr>
              <w:autoSpaceDE w:val="0"/>
              <w:autoSpaceDN w:val="0"/>
              <w:adjustRightInd w:val="0"/>
              <w:rPr>
                <w:rFonts w:ascii="Times New Roman" w:eastAsia="Times New Roman" w:hAnsi="Times New Roman"/>
                <w:iCs/>
                <w:sz w:val="24"/>
              </w:rPr>
            </w:pPr>
            <w:r w:rsidRPr="004B7A93">
              <w:rPr>
                <w:rFonts w:ascii="Times New Roman" w:eastAsia="Times New Roman" w:hAnsi="Times New Roman"/>
                <w:iCs/>
                <w:sz w:val="24"/>
              </w:rPr>
              <w:t>Nemokamai</w:t>
            </w:r>
          </w:p>
        </w:tc>
      </w:tr>
      <w:tr w:rsidR="007072A2" w:rsidRPr="00FF288A" w14:paraId="409E9D73" w14:textId="40B2F054" w:rsidTr="00CF30FC">
        <w:trPr>
          <w:trHeight w:val="829"/>
        </w:trPr>
        <w:tc>
          <w:tcPr>
            <w:tcW w:w="6687" w:type="dxa"/>
            <w:gridSpan w:val="3"/>
          </w:tcPr>
          <w:p w14:paraId="5140DE57"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Paslaugų teikėjas, ne mažiau kaip 10 kartų per 12 mėn. po Įdiegimo paslaugų pirkimo ir asmenybės bruožų ir profesinio kryptingumo ryšio nustatymo įrankio įdiegimo pabaigos, turi suteikti nemokamas konsultacijas Paslaugų gavėjui asmenybės bruožų ir profesinio kryptingumo ryšio nustatymo įrankio atnaujinimo klausimais;</w:t>
            </w:r>
          </w:p>
        </w:tc>
        <w:tc>
          <w:tcPr>
            <w:tcW w:w="1550" w:type="dxa"/>
            <w:vMerge/>
          </w:tcPr>
          <w:p w14:paraId="2BBA9DA9"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313F1963"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67461230" w14:textId="3C778CB5" w:rsidTr="00CF30FC">
        <w:trPr>
          <w:trHeight w:val="414"/>
        </w:trPr>
        <w:tc>
          <w:tcPr>
            <w:tcW w:w="6687" w:type="dxa"/>
            <w:gridSpan w:val="3"/>
          </w:tcPr>
          <w:p w14:paraId="200B298F"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Paslaugų teikėjas konsultacijas turi teikti iš anksto su Paslaugų gavėju suderintu laiku, atvykstant į Paslaugų teikimo vietą;</w:t>
            </w:r>
          </w:p>
        </w:tc>
        <w:tc>
          <w:tcPr>
            <w:tcW w:w="1550" w:type="dxa"/>
            <w:vMerge/>
          </w:tcPr>
          <w:p w14:paraId="515DD4B1"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17B57B72"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2C10024B" w14:textId="3E55BF5D" w:rsidTr="00CF30FC">
        <w:trPr>
          <w:trHeight w:val="414"/>
        </w:trPr>
        <w:tc>
          <w:tcPr>
            <w:tcW w:w="6687" w:type="dxa"/>
            <w:gridSpan w:val="3"/>
          </w:tcPr>
          <w:p w14:paraId="0634A0F8"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Paslaugų teikėjas į Paslaugų gavėjo konsultacijų metu pateiktus klausimus turi atsakyti raštu ne vėliau kaip per 7 darbo dienas;</w:t>
            </w:r>
          </w:p>
        </w:tc>
        <w:tc>
          <w:tcPr>
            <w:tcW w:w="1550" w:type="dxa"/>
            <w:vMerge/>
          </w:tcPr>
          <w:p w14:paraId="7A9B2FD8"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2E87623D"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r w:rsidR="007072A2" w:rsidRPr="00FF288A" w14:paraId="69D97D9E" w14:textId="1742B415" w:rsidTr="00CF30FC">
        <w:trPr>
          <w:trHeight w:val="613"/>
        </w:trPr>
        <w:tc>
          <w:tcPr>
            <w:tcW w:w="6687" w:type="dxa"/>
            <w:gridSpan w:val="3"/>
          </w:tcPr>
          <w:p w14:paraId="7D34B38F" w14:textId="77777777" w:rsidR="007072A2" w:rsidRPr="00FF288A" w:rsidRDefault="007072A2" w:rsidP="00CF30FC">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Esant poreikiui, po raštu pateiktų Paslaugų teikėjo atsakymų, gali būti organizuojamos papildomos konsultacijos Paslaugų teikėjo nurodytu telefonu, elektroniniu paštu ar atvykstant į Paslaugų teikimo vietą, kol bus galutinai išspręsti visi konsultacijų metu Paslaugų gavėjo pateikti klausimai.</w:t>
            </w:r>
          </w:p>
        </w:tc>
        <w:tc>
          <w:tcPr>
            <w:tcW w:w="1550" w:type="dxa"/>
            <w:vMerge/>
          </w:tcPr>
          <w:p w14:paraId="7503524E" w14:textId="77777777" w:rsidR="007072A2" w:rsidRPr="00FF288A" w:rsidRDefault="007072A2" w:rsidP="00CF30FC">
            <w:pPr>
              <w:autoSpaceDE w:val="0"/>
              <w:autoSpaceDN w:val="0"/>
              <w:adjustRightInd w:val="0"/>
              <w:jc w:val="both"/>
              <w:rPr>
                <w:rFonts w:ascii="Times New Roman" w:eastAsia="Times New Roman" w:hAnsi="Times New Roman"/>
                <w:iCs/>
                <w:sz w:val="24"/>
              </w:rPr>
            </w:pPr>
          </w:p>
        </w:tc>
        <w:tc>
          <w:tcPr>
            <w:tcW w:w="1391" w:type="dxa"/>
            <w:vMerge/>
          </w:tcPr>
          <w:p w14:paraId="1B7981E2" w14:textId="77777777" w:rsidR="007072A2" w:rsidRPr="004B7A93" w:rsidRDefault="007072A2" w:rsidP="00CF30FC">
            <w:pPr>
              <w:autoSpaceDE w:val="0"/>
              <w:autoSpaceDN w:val="0"/>
              <w:adjustRightInd w:val="0"/>
              <w:jc w:val="both"/>
              <w:rPr>
                <w:rFonts w:ascii="Times New Roman" w:eastAsia="Times New Roman" w:hAnsi="Times New Roman"/>
                <w:iCs/>
                <w:sz w:val="24"/>
              </w:rPr>
            </w:pPr>
          </w:p>
        </w:tc>
      </w:tr>
    </w:tbl>
    <w:p w14:paraId="42FBEAFE" w14:textId="77777777" w:rsidR="00FF288A" w:rsidRPr="00FF288A" w:rsidRDefault="00FF288A" w:rsidP="00FF288A">
      <w:pPr>
        <w:autoSpaceDE w:val="0"/>
        <w:autoSpaceDN w:val="0"/>
        <w:adjustRightInd w:val="0"/>
        <w:spacing w:after="0" w:line="240" w:lineRule="auto"/>
        <w:ind w:left="5245"/>
        <w:rPr>
          <w:rFonts w:ascii="Times New Roman" w:eastAsia="Times New Roman" w:hAnsi="Times New Roman" w:cs="Times New Roman"/>
          <w:sz w:val="24"/>
          <w:szCs w:val="20"/>
        </w:rPr>
      </w:pPr>
    </w:p>
    <w:tbl>
      <w:tblPr>
        <w:tblStyle w:val="Lentelstinklelis"/>
        <w:tblW w:w="0" w:type="auto"/>
        <w:tblLook w:val="04A0" w:firstRow="1" w:lastRow="0" w:firstColumn="1" w:lastColumn="0" w:noHBand="0" w:noVBand="1"/>
      </w:tblPr>
      <w:tblGrid>
        <w:gridCol w:w="576"/>
        <w:gridCol w:w="4295"/>
        <w:gridCol w:w="1783"/>
        <w:gridCol w:w="1424"/>
        <w:gridCol w:w="1550"/>
      </w:tblGrid>
      <w:tr w:rsidR="00223A44" w:rsidRPr="00FF288A" w14:paraId="1E29A9DF" w14:textId="77777777" w:rsidTr="003E365A">
        <w:trPr>
          <w:trHeight w:val="414"/>
        </w:trPr>
        <w:tc>
          <w:tcPr>
            <w:tcW w:w="4871" w:type="dxa"/>
            <w:gridSpan w:val="2"/>
            <w:shd w:val="clear" w:color="auto" w:fill="BDD6EE"/>
          </w:tcPr>
          <w:p w14:paraId="000AAF39" w14:textId="2B9E3621" w:rsidR="00223A44" w:rsidRPr="00FF288A" w:rsidRDefault="00223A44" w:rsidP="001C61AD">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 xml:space="preserve">2. </w:t>
            </w:r>
            <w:r w:rsidRPr="00CF0595">
              <w:rPr>
                <w:rFonts w:ascii="Times New Roman" w:eastAsia="Times New Roman" w:hAnsi="Times New Roman"/>
                <w:b/>
                <w:bCs/>
                <w:iCs/>
                <w:sz w:val="24"/>
              </w:rPr>
              <w:t>Metodikos diegimas į IT priemonėmis veikiantį įrankį</w:t>
            </w:r>
          </w:p>
        </w:tc>
        <w:tc>
          <w:tcPr>
            <w:tcW w:w="1783" w:type="dxa"/>
            <w:shd w:val="clear" w:color="auto" w:fill="BDD6EE"/>
          </w:tcPr>
          <w:p w14:paraId="34F0CE30" w14:textId="77777777" w:rsidR="00223A44" w:rsidRPr="00FF288A" w:rsidRDefault="00223A44" w:rsidP="001C61AD">
            <w:pPr>
              <w:autoSpaceDE w:val="0"/>
              <w:autoSpaceDN w:val="0"/>
              <w:adjustRightInd w:val="0"/>
              <w:rPr>
                <w:rFonts w:ascii="Times New Roman" w:eastAsia="Times New Roman" w:hAnsi="Times New Roman"/>
                <w:iCs/>
                <w:sz w:val="24"/>
              </w:rPr>
            </w:pPr>
          </w:p>
        </w:tc>
        <w:tc>
          <w:tcPr>
            <w:tcW w:w="1424" w:type="dxa"/>
            <w:shd w:val="clear" w:color="auto" w:fill="BDD6EE"/>
          </w:tcPr>
          <w:p w14:paraId="1522CEEC" w14:textId="77777777" w:rsidR="00223A44" w:rsidRPr="00FF288A" w:rsidRDefault="00223A44" w:rsidP="001C61AD">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Paslaugų teikimo terminas</w:t>
            </w:r>
          </w:p>
        </w:tc>
        <w:tc>
          <w:tcPr>
            <w:tcW w:w="1550" w:type="dxa"/>
            <w:shd w:val="clear" w:color="auto" w:fill="BDD6EE"/>
          </w:tcPr>
          <w:p w14:paraId="7368FFC9" w14:textId="77777777" w:rsidR="00223A44" w:rsidRPr="00FF288A" w:rsidRDefault="00223A44" w:rsidP="001C61AD">
            <w:pPr>
              <w:autoSpaceDE w:val="0"/>
              <w:autoSpaceDN w:val="0"/>
              <w:adjustRightInd w:val="0"/>
              <w:rPr>
                <w:rFonts w:ascii="Times New Roman" w:eastAsia="Times New Roman" w:hAnsi="Times New Roman"/>
                <w:iCs/>
                <w:sz w:val="24"/>
              </w:rPr>
            </w:pPr>
            <w:r w:rsidRPr="00BF5369">
              <w:rPr>
                <w:rFonts w:ascii="Times New Roman" w:eastAsia="Times New Roman" w:hAnsi="Times New Roman"/>
                <w:iCs/>
                <w:sz w:val="24"/>
              </w:rPr>
              <w:t xml:space="preserve">Paslaugų etapų įgyvendinimo proc. </w:t>
            </w:r>
          </w:p>
        </w:tc>
      </w:tr>
      <w:tr w:rsidR="00223A44" w:rsidRPr="00FF288A" w14:paraId="13D35DEC" w14:textId="77777777" w:rsidTr="003E365A">
        <w:trPr>
          <w:trHeight w:val="622"/>
        </w:trPr>
        <w:tc>
          <w:tcPr>
            <w:tcW w:w="576" w:type="dxa"/>
            <w:shd w:val="clear" w:color="auto" w:fill="BDD6EE"/>
          </w:tcPr>
          <w:p w14:paraId="3F66A08F" w14:textId="77777777" w:rsidR="00223A44" w:rsidRPr="00FF288A" w:rsidRDefault="00223A44" w:rsidP="001C61AD">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2.1.</w:t>
            </w:r>
          </w:p>
        </w:tc>
        <w:tc>
          <w:tcPr>
            <w:tcW w:w="6078" w:type="dxa"/>
            <w:gridSpan w:val="2"/>
            <w:shd w:val="clear" w:color="auto" w:fill="BDD6EE"/>
          </w:tcPr>
          <w:p w14:paraId="5F2A71E7" w14:textId="77777777" w:rsidR="00223A44" w:rsidRPr="00FF288A" w:rsidRDefault="00223A44" w:rsidP="001C61AD">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Perengtas  visas asmenybės bruožų ir profesinio kryptingumo ryšio nustatymo metodikos  dalis apimantis  IT priemonėmis veikiantis įrankis (1 vnt.)</w:t>
            </w:r>
          </w:p>
        </w:tc>
        <w:tc>
          <w:tcPr>
            <w:tcW w:w="1424" w:type="dxa"/>
            <w:vMerge w:val="restart"/>
          </w:tcPr>
          <w:p w14:paraId="7A609098" w14:textId="54EE3DC3" w:rsidR="00B16BFA" w:rsidRPr="00B16BFA" w:rsidRDefault="003F3B1B" w:rsidP="001C61AD">
            <w:pPr>
              <w:autoSpaceDE w:val="0"/>
              <w:autoSpaceDN w:val="0"/>
              <w:adjustRightInd w:val="0"/>
              <w:rPr>
                <w:rFonts w:ascii="Times New Roman" w:eastAsia="Times New Roman" w:hAnsi="Times New Roman"/>
                <w:i/>
                <w:sz w:val="24"/>
              </w:rPr>
            </w:pPr>
            <w:r w:rsidRPr="003F3B1B">
              <w:rPr>
                <w:rFonts w:ascii="Times New Roman" w:eastAsia="Times New Roman" w:hAnsi="Times New Roman"/>
                <w:iCs/>
                <w:sz w:val="24"/>
              </w:rPr>
              <w:t>Iki 2022-09-01</w:t>
            </w:r>
          </w:p>
        </w:tc>
        <w:tc>
          <w:tcPr>
            <w:tcW w:w="1550" w:type="dxa"/>
            <w:vMerge w:val="restart"/>
          </w:tcPr>
          <w:p w14:paraId="659803B7" w14:textId="77777777" w:rsidR="00223A44" w:rsidRPr="005F2CB9" w:rsidRDefault="00223A44" w:rsidP="001C61AD">
            <w:pPr>
              <w:autoSpaceDE w:val="0"/>
              <w:autoSpaceDN w:val="0"/>
              <w:adjustRightInd w:val="0"/>
              <w:rPr>
                <w:rFonts w:ascii="Times New Roman" w:eastAsia="Times New Roman" w:hAnsi="Times New Roman"/>
                <w:iCs/>
                <w:sz w:val="24"/>
              </w:rPr>
            </w:pPr>
            <w:r w:rsidRPr="005F2CB9">
              <w:rPr>
                <w:rFonts w:ascii="Times New Roman" w:eastAsia="Times New Roman" w:hAnsi="Times New Roman"/>
                <w:iCs/>
                <w:sz w:val="24"/>
              </w:rPr>
              <w:t>50 %</w:t>
            </w:r>
          </w:p>
        </w:tc>
      </w:tr>
      <w:tr w:rsidR="00223A44" w:rsidRPr="00FF288A" w14:paraId="5F21B33F" w14:textId="77777777" w:rsidTr="003E365A">
        <w:trPr>
          <w:trHeight w:val="414"/>
        </w:trPr>
        <w:tc>
          <w:tcPr>
            <w:tcW w:w="6654" w:type="dxa"/>
            <w:gridSpan w:val="3"/>
          </w:tcPr>
          <w:p w14:paraId="2EC6E36D" w14:textId="77777777" w:rsidR="00223A44" w:rsidRPr="00FF288A" w:rsidRDefault="00223A44" w:rsidP="001C61AD">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 xml:space="preserve">Visos asmenybės bruožų ir profesinio kryptingumo ryšio nustatymo metodikos  dalys turi būti suprogramuotos į IT priemonėmis veikiantį įrankį, kuris sugeneruotų vieną išsamią ataskaitą nurodančią kurią/ias iš Tarptautinio standartinio profesijų klasifikatoriaus ISCO-08 nacionalinės versijos profesinių sričių atitinka kandidatas. </w:t>
            </w:r>
          </w:p>
          <w:p w14:paraId="1F0FAB62" w14:textId="77777777" w:rsidR="00223A44" w:rsidRPr="00FF288A" w:rsidRDefault="00223A44" w:rsidP="001C61AD">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Įrankis turi pateikti :</w:t>
            </w:r>
          </w:p>
          <w:p w14:paraId="372E9FD3" w14:textId="77777777" w:rsidR="00223A44" w:rsidRPr="00FF288A" w:rsidRDefault="00223A44" w:rsidP="001C61AD">
            <w:pPr>
              <w:numPr>
                <w:ilvl w:val="0"/>
                <w:numId w:val="1"/>
              </w:numPr>
              <w:autoSpaceDE w:val="0"/>
              <w:autoSpaceDN w:val="0"/>
              <w:adjustRightInd w:val="0"/>
              <w:contextualSpacing/>
              <w:jc w:val="both"/>
              <w:rPr>
                <w:rFonts w:ascii="Times New Roman" w:eastAsia="Times New Roman" w:hAnsi="Times New Roman"/>
                <w:iCs/>
                <w:sz w:val="24"/>
              </w:rPr>
            </w:pPr>
            <w:r w:rsidRPr="00FF288A">
              <w:rPr>
                <w:rFonts w:ascii="Times New Roman" w:eastAsia="Times New Roman" w:hAnsi="Times New Roman"/>
                <w:iCs/>
                <w:sz w:val="24"/>
              </w:rPr>
              <w:t>detalias išplėstines ataskaitas apie kandidato asmenybės bruožus, vertybes, psichologinį tipą, komandinį vaidmenį, pasirinktus gebėjimus bei interesus (ši ataskaita generuojama Užimtumo tarnybos darbuotojui);</w:t>
            </w:r>
          </w:p>
          <w:p w14:paraId="12B63799" w14:textId="77777777" w:rsidR="00223A44" w:rsidRPr="00FF288A" w:rsidRDefault="00223A44" w:rsidP="001C61AD">
            <w:pPr>
              <w:numPr>
                <w:ilvl w:val="0"/>
                <w:numId w:val="1"/>
              </w:numPr>
              <w:autoSpaceDE w:val="0"/>
              <w:autoSpaceDN w:val="0"/>
              <w:adjustRightInd w:val="0"/>
              <w:contextualSpacing/>
              <w:jc w:val="both"/>
              <w:rPr>
                <w:rFonts w:ascii="Times New Roman" w:eastAsia="Times New Roman" w:hAnsi="Times New Roman"/>
                <w:iCs/>
                <w:sz w:val="24"/>
              </w:rPr>
            </w:pPr>
            <w:r w:rsidRPr="00FF288A">
              <w:rPr>
                <w:rFonts w:ascii="Times New Roman" w:eastAsia="Times New Roman" w:hAnsi="Times New Roman"/>
                <w:iCs/>
                <w:sz w:val="24"/>
              </w:rPr>
              <w:lastRenderedPageBreak/>
              <w:t>ataskaitą nurodančią kurią/ias iš Tarptautinio standartinio profesijų klasifikatoriaus ISCO-08 nacionalinės versijos profesinių sričių atitinka kandidatas (ši ataskaita generuojama Užimtumo tarnybos darbuotojui);</w:t>
            </w:r>
          </w:p>
          <w:p w14:paraId="737FA92B" w14:textId="77777777" w:rsidR="00223A44" w:rsidRPr="00FF288A" w:rsidRDefault="00223A44" w:rsidP="001C61AD">
            <w:pPr>
              <w:numPr>
                <w:ilvl w:val="0"/>
                <w:numId w:val="1"/>
              </w:numPr>
              <w:autoSpaceDE w:val="0"/>
              <w:autoSpaceDN w:val="0"/>
              <w:adjustRightInd w:val="0"/>
              <w:contextualSpacing/>
              <w:jc w:val="both"/>
              <w:rPr>
                <w:rFonts w:ascii="Times New Roman" w:eastAsia="Times New Roman" w:hAnsi="Times New Roman"/>
                <w:iCs/>
                <w:sz w:val="24"/>
              </w:rPr>
            </w:pPr>
            <w:r w:rsidRPr="00FF288A">
              <w:rPr>
                <w:rFonts w:ascii="Times New Roman" w:eastAsia="Times New Roman" w:hAnsi="Times New Roman"/>
                <w:iCs/>
                <w:sz w:val="24"/>
              </w:rPr>
              <w:t>trumpą ataskaitą Užimtumo tarnybos klientui, kuris atliko testą, kuriame nurodomas apibendrintas kliento paveikslas;</w:t>
            </w:r>
          </w:p>
        </w:tc>
        <w:tc>
          <w:tcPr>
            <w:tcW w:w="1424" w:type="dxa"/>
            <w:vMerge/>
          </w:tcPr>
          <w:p w14:paraId="0389C67E"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c>
          <w:tcPr>
            <w:tcW w:w="1550" w:type="dxa"/>
            <w:vMerge/>
          </w:tcPr>
          <w:p w14:paraId="57908A97"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r>
      <w:tr w:rsidR="00223A44" w:rsidRPr="00FF288A" w14:paraId="3B2E1416" w14:textId="77777777" w:rsidTr="003E365A">
        <w:trPr>
          <w:trHeight w:val="622"/>
        </w:trPr>
        <w:tc>
          <w:tcPr>
            <w:tcW w:w="6654" w:type="dxa"/>
            <w:gridSpan w:val="3"/>
          </w:tcPr>
          <w:p w14:paraId="2AE66369" w14:textId="77777777" w:rsidR="00223A44" w:rsidRPr="00FF288A" w:rsidRDefault="00223A44" w:rsidP="001C61AD">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Prie įrankio Užimtumo tarnybos klientas gali prisijungti per jam Užimtumo tarnybos darbuotojo sukurtą ir išsiųstą unikalią nuorodą. Atlikus testą visi duomenys turi matytis Užimtumo tarnybos darbuotojo paskyroje, kuris siuntė nuorodą klientui.</w:t>
            </w:r>
          </w:p>
        </w:tc>
        <w:tc>
          <w:tcPr>
            <w:tcW w:w="1424" w:type="dxa"/>
            <w:vMerge/>
          </w:tcPr>
          <w:p w14:paraId="63807FB8"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c>
          <w:tcPr>
            <w:tcW w:w="1550" w:type="dxa"/>
            <w:vMerge/>
          </w:tcPr>
          <w:p w14:paraId="53B0A81C"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r>
      <w:tr w:rsidR="00223A44" w:rsidRPr="00FF288A" w14:paraId="4B867142" w14:textId="77777777" w:rsidTr="003E365A">
        <w:trPr>
          <w:trHeight w:val="613"/>
        </w:trPr>
        <w:tc>
          <w:tcPr>
            <w:tcW w:w="6654" w:type="dxa"/>
            <w:gridSpan w:val="3"/>
          </w:tcPr>
          <w:p w14:paraId="71C568A1" w14:textId="77777777" w:rsidR="00223A44" w:rsidRPr="00FF288A" w:rsidRDefault="00223A44" w:rsidP="001C61AD">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Užimtumo tarnybos darbuotojo paskyroje turi būti privalomi tokie laukai: Atliktų testų suvestinės, Formuoti testo nuoroda, Ataskaitos. Kiti laukai yra įtraukiame bendru sutarimu tarp paslaugos teikėjo ir Užimtumo tarnybos;</w:t>
            </w:r>
          </w:p>
        </w:tc>
        <w:tc>
          <w:tcPr>
            <w:tcW w:w="1424" w:type="dxa"/>
            <w:vMerge/>
          </w:tcPr>
          <w:p w14:paraId="3D4BE41F"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c>
          <w:tcPr>
            <w:tcW w:w="1550" w:type="dxa"/>
            <w:vMerge/>
          </w:tcPr>
          <w:p w14:paraId="237B4803"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r>
      <w:tr w:rsidR="00223A44" w:rsidRPr="00FF288A" w14:paraId="021C4DED" w14:textId="77777777" w:rsidTr="003E365A">
        <w:trPr>
          <w:trHeight w:val="622"/>
        </w:trPr>
        <w:tc>
          <w:tcPr>
            <w:tcW w:w="6654" w:type="dxa"/>
            <w:gridSpan w:val="3"/>
          </w:tcPr>
          <w:p w14:paraId="7FB3C677" w14:textId="77777777" w:rsidR="00223A44" w:rsidRPr="00FF288A" w:rsidRDefault="00223A44" w:rsidP="001C61AD">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Asmens vertinimo įrankis privalo būti sudarytas iš dalių – modulių, kuriuos turi būti įmanoma naudoti ir atskirai ir kartu, tai reiškia, kad užpildžius visas dalis turi būti gaunamas vienas bendras rezultatas, o pildant kiekvieną dalį atskirai – tik tos dalies rezultatas.</w:t>
            </w:r>
          </w:p>
        </w:tc>
        <w:tc>
          <w:tcPr>
            <w:tcW w:w="1424" w:type="dxa"/>
            <w:vMerge/>
          </w:tcPr>
          <w:p w14:paraId="2ED1CD1A"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c>
          <w:tcPr>
            <w:tcW w:w="1550" w:type="dxa"/>
            <w:vMerge/>
          </w:tcPr>
          <w:p w14:paraId="41B61A50"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r>
      <w:tr w:rsidR="00223A44" w:rsidRPr="00FF288A" w14:paraId="32AB9A4F" w14:textId="77777777" w:rsidTr="003E365A">
        <w:trPr>
          <w:trHeight w:val="414"/>
        </w:trPr>
        <w:tc>
          <w:tcPr>
            <w:tcW w:w="6654" w:type="dxa"/>
            <w:gridSpan w:val="3"/>
          </w:tcPr>
          <w:p w14:paraId="12E62EEE" w14:textId="77777777" w:rsidR="00223A44" w:rsidRPr="00FF288A" w:rsidRDefault="00223A44" w:rsidP="001C61AD">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Viso įrankio kūrimo ir diegimo proceso metu turi būti glaudus bendradarbiavimas tarp paslaugos teikėjų, kurie kurs metodiką ir programuos įrankį.</w:t>
            </w:r>
          </w:p>
        </w:tc>
        <w:tc>
          <w:tcPr>
            <w:tcW w:w="1424" w:type="dxa"/>
            <w:vMerge/>
          </w:tcPr>
          <w:p w14:paraId="23A30BEC"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c>
          <w:tcPr>
            <w:tcW w:w="1550" w:type="dxa"/>
            <w:vMerge/>
          </w:tcPr>
          <w:p w14:paraId="410D34B3"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r>
      <w:tr w:rsidR="00223A44" w:rsidRPr="00FF288A" w14:paraId="2A165281" w14:textId="77777777" w:rsidTr="003E365A">
        <w:trPr>
          <w:trHeight w:val="622"/>
        </w:trPr>
        <w:tc>
          <w:tcPr>
            <w:tcW w:w="576" w:type="dxa"/>
            <w:shd w:val="clear" w:color="auto" w:fill="BDD6EE"/>
          </w:tcPr>
          <w:p w14:paraId="7C4B9606" w14:textId="77777777" w:rsidR="00223A44" w:rsidRPr="00FF288A" w:rsidRDefault="00223A44" w:rsidP="001C61AD">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2.2.</w:t>
            </w:r>
          </w:p>
        </w:tc>
        <w:tc>
          <w:tcPr>
            <w:tcW w:w="6078" w:type="dxa"/>
            <w:gridSpan w:val="2"/>
            <w:shd w:val="clear" w:color="auto" w:fill="BDD6EE"/>
          </w:tcPr>
          <w:p w14:paraId="7AC74F66" w14:textId="77777777" w:rsidR="00223A44" w:rsidRPr="00FF288A" w:rsidRDefault="00223A44" w:rsidP="001C61AD">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Parengta IT sprendimo – asmenybės bruožų ir profesinio kryptingumo ryšio nustatymo įrankio dokumentacija (1 vnt.)</w:t>
            </w:r>
          </w:p>
        </w:tc>
        <w:tc>
          <w:tcPr>
            <w:tcW w:w="1424" w:type="dxa"/>
            <w:vMerge w:val="restart"/>
          </w:tcPr>
          <w:p w14:paraId="4B3DF98F" w14:textId="1EB68667" w:rsidR="00B16BFA" w:rsidRPr="00B16BFA" w:rsidRDefault="003F3B1B" w:rsidP="001C61AD">
            <w:pPr>
              <w:autoSpaceDE w:val="0"/>
              <w:autoSpaceDN w:val="0"/>
              <w:adjustRightInd w:val="0"/>
              <w:rPr>
                <w:rFonts w:ascii="Times New Roman" w:eastAsia="Times New Roman" w:hAnsi="Times New Roman"/>
                <w:i/>
                <w:sz w:val="24"/>
              </w:rPr>
            </w:pPr>
            <w:r w:rsidRPr="003F3B1B">
              <w:rPr>
                <w:rFonts w:ascii="Times New Roman" w:eastAsia="Times New Roman" w:hAnsi="Times New Roman"/>
                <w:iCs/>
                <w:sz w:val="24"/>
              </w:rPr>
              <w:t>Iki 2022-09-01</w:t>
            </w:r>
          </w:p>
        </w:tc>
        <w:tc>
          <w:tcPr>
            <w:tcW w:w="1550" w:type="dxa"/>
            <w:vMerge w:val="restart"/>
          </w:tcPr>
          <w:p w14:paraId="239BC662" w14:textId="77777777" w:rsidR="00223A44" w:rsidRPr="00FF288A" w:rsidRDefault="00223A44" w:rsidP="001C61AD">
            <w:pPr>
              <w:autoSpaceDE w:val="0"/>
              <w:autoSpaceDN w:val="0"/>
              <w:adjustRightInd w:val="0"/>
              <w:rPr>
                <w:rFonts w:ascii="Times New Roman" w:eastAsia="Times New Roman" w:hAnsi="Times New Roman"/>
                <w:iCs/>
                <w:sz w:val="24"/>
              </w:rPr>
            </w:pPr>
            <w:r>
              <w:rPr>
                <w:rFonts w:ascii="Times New Roman" w:eastAsia="Times New Roman" w:hAnsi="Times New Roman"/>
                <w:iCs/>
                <w:sz w:val="24"/>
              </w:rPr>
              <w:t>50 %</w:t>
            </w:r>
          </w:p>
        </w:tc>
      </w:tr>
      <w:tr w:rsidR="00223A44" w:rsidRPr="00FF288A" w14:paraId="04403142" w14:textId="77777777" w:rsidTr="003E365A">
        <w:trPr>
          <w:trHeight w:val="1244"/>
        </w:trPr>
        <w:tc>
          <w:tcPr>
            <w:tcW w:w="6654" w:type="dxa"/>
            <w:gridSpan w:val="3"/>
          </w:tcPr>
          <w:p w14:paraId="3567DB7B" w14:textId="77777777" w:rsidR="00223A44" w:rsidRPr="00FF288A" w:rsidRDefault="00223A44" w:rsidP="001C61AD">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Paslaugų teikėjas po galutinio Paslaugų etapo kartu su Paslaugų teikimo vykdymo ataskaita turi pateikti šią IT sprendimo – asmenybės bruožų ir profesinio kryptingumo ryšio nustatymo įrankio – dokumentaciją:</w:t>
            </w:r>
          </w:p>
          <w:p w14:paraId="6C5BD57F" w14:textId="77777777" w:rsidR="00223A44" w:rsidRPr="00FF288A" w:rsidRDefault="00223A44" w:rsidP="001C61AD">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w:t>
            </w:r>
            <w:r w:rsidRPr="00FF288A">
              <w:rPr>
                <w:rFonts w:ascii="Times New Roman" w:eastAsia="Times New Roman" w:hAnsi="Times New Roman"/>
                <w:iCs/>
                <w:sz w:val="24"/>
              </w:rPr>
              <w:tab/>
              <w:t>detalią specifikacija,</w:t>
            </w:r>
          </w:p>
          <w:p w14:paraId="1A1A64D9" w14:textId="77777777" w:rsidR="00223A44" w:rsidRPr="00FF288A" w:rsidRDefault="00223A44" w:rsidP="001C61AD">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w:t>
            </w:r>
            <w:r w:rsidRPr="00FF288A">
              <w:rPr>
                <w:rFonts w:ascii="Times New Roman" w:eastAsia="Times New Roman" w:hAnsi="Times New Roman"/>
                <w:iCs/>
                <w:sz w:val="24"/>
              </w:rPr>
              <w:tab/>
              <w:t>administratoriaus vadovą,</w:t>
            </w:r>
          </w:p>
          <w:p w14:paraId="019B881E" w14:textId="77777777" w:rsidR="00223A44" w:rsidRPr="00FF288A" w:rsidRDefault="00223A44" w:rsidP="001C61AD">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w:t>
            </w:r>
            <w:r w:rsidRPr="00FF288A">
              <w:rPr>
                <w:rFonts w:ascii="Times New Roman" w:eastAsia="Times New Roman" w:hAnsi="Times New Roman"/>
                <w:iCs/>
                <w:sz w:val="24"/>
              </w:rPr>
              <w:tab/>
              <w:t>vartotojo vadovą.</w:t>
            </w:r>
          </w:p>
        </w:tc>
        <w:tc>
          <w:tcPr>
            <w:tcW w:w="1424" w:type="dxa"/>
            <w:vMerge/>
          </w:tcPr>
          <w:p w14:paraId="46C18B9D"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c>
          <w:tcPr>
            <w:tcW w:w="1550" w:type="dxa"/>
            <w:vMerge/>
          </w:tcPr>
          <w:p w14:paraId="0A15E007"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r>
      <w:tr w:rsidR="00223A44" w:rsidRPr="00FF288A" w14:paraId="7883621D" w14:textId="77777777" w:rsidTr="003E365A">
        <w:trPr>
          <w:trHeight w:val="622"/>
        </w:trPr>
        <w:tc>
          <w:tcPr>
            <w:tcW w:w="576" w:type="dxa"/>
            <w:shd w:val="clear" w:color="auto" w:fill="BDD6EE"/>
          </w:tcPr>
          <w:p w14:paraId="2DAE53BF" w14:textId="77777777" w:rsidR="00223A44" w:rsidRPr="00FF288A" w:rsidRDefault="00223A44" w:rsidP="001C61AD">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2.3.</w:t>
            </w:r>
          </w:p>
        </w:tc>
        <w:tc>
          <w:tcPr>
            <w:tcW w:w="6078" w:type="dxa"/>
            <w:gridSpan w:val="2"/>
            <w:shd w:val="clear" w:color="auto" w:fill="BDD6EE"/>
          </w:tcPr>
          <w:p w14:paraId="13CF84A8" w14:textId="77777777" w:rsidR="00223A44" w:rsidRPr="00FF288A" w:rsidRDefault="00223A44" w:rsidP="001C61AD">
            <w:pPr>
              <w:autoSpaceDE w:val="0"/>
              <w:autoSpaceDN w:val="0"/>
              <w:adjustRightInd w:val="0"/>
              <w:rPr>
                <w:rFonts w:ascii="Times New Roman" w:eastAsia="Times New Roman" w:hAnsi="Times New Roman"/>
                <w:iCs/>
                <w:sz w:val="24"/>
              </w:rPr>
            </w:pPr>
            <w:r w:rsidRPr="00FF288A">
              <w:rPr>
                <w:rFonts w:ascii="Times New Roman" w:eastAsia="Times New Roman" w:hAnsi="Times New Roman"/>
                <w:iCs/>
                <w:sz w:val="24"/>
              </w:rPr>
              <w:t>Suteiktos nemokamos konsultacijos Užimtumo tarnybos darbuotojams asmenybės bruožų ir profesinio kryptingumo ryšio nustatymo įrankio  techninio aptarnavimo klausimais (1 vnt.)</w:t>
            </w:r>
          </w:p>
        </w:tc>
        <w:tc>
          <w:tcPr>
            <w:tcW w:w="1424" w:type="dxa"/>
            <w:vMerge w:val="restart"/>
          </w:tcPr>
          <w:p w14:paraId="1B20D256" w14:textId="1EF4B697" w:rsidR="001F1101" w:rsidRPr="00FF288A" w:rsidRDefault="003F3B1B" w:rsidP="001C61AD">
            <w:pPr>
              <w:autoSpaceDE w:val="0"/>
              <w:autoSpaceDN w:val="0"/>
              <w:adjustRightInd w:val="0"/>
              <w:rPr>
                <w:rFonts w:ascii="Times New Roman" w:eastAsia="Times New Roman" w:hAnsi="Times New Roman"/>
                <w:iCs/>
                <w:sz w:val="24"/>
              </w:rPr>
            </w:pPr>
            <w:r w:rsidRPr="003F3B1B">
              <w:rPr>
                <w:rFonts w:ascii="Times New Roman" w:eastAsia="Times New Roman" w:hAnsi="Times New Roman"/>
                <w:iCs/>
                <w:sz w:val="24"/>
              </w:rPr>
              <w:t>Iki 202</w:t>
            </w:r>
            <w:r>
              <w:rPr>
                <w:rFonts w:ascii="Times New Roman" w:eastAsia="Times New Roman" w:hAnsi="Times New Roman"/>
                <w:iCs/>
                <w:sz w:val="24"/>
              </w:rPr>
              <w:t>3</w:t>
            </w:r>
            <w:r w:rsidRPr="003F3B1B">
              <w:rPr>
                <w:rFonts w:ascii="Times New Roman" w:eastAsia="Times New Roman" w:hAnsi="Times New Roman"/>
                <w:iCs/>
                <w:sz w:val="24"/>
              </w:rPr>
              <w:t>-09-01</w:t>
            </w:r>
          </w:p>
        </w:tc>
        <w:tc>
          <w:tcPr>
            <w:tcW w:w="1550" w:type="dxa"/>
            <w:vMerge w:val="restart"/>
          </w:tcPr>
          <w:p w14:paraId="5531F4A6" w14:textId="77777777" w:rsidR="00223A44" w:rsidRPr="00FF288A" w:rsidRDefault="00223A44" w:rsidP="001C61AD">
            <w:pPr>
              <w:autoSpaceDE w:val="0"/>
              <w:autoSpaceDN w:val="0"/>
              <w:adjustRightInd w:val="0"/>
              <w:rPr>
                <w:rFonts w:ascii="Times New Roman" w:eastAsia="Times New Roman" w:hAnsi="Times New Roman"/>
                <w:iCs/>
                <w:sz w:val="24"/>
              </w:rPr>
            </w:pPr>
            <w:r>
              <w:rPr>
                <w:rFonts w:ascii="Times New Roman" w:eastAsia="Times New Roman" w:hAnsi="Times New Roman"/>
                <w:iCs/>
                <w:sz w:val="24"/>
              </w:rPr>
              <w:t>Nemokamai</w:t>
            </w:r>
          </w:p>
        </w:tc>
      </w:tr>
      <w:tr w:rsidR="00223A44" w:rsidRPr="00FF288A" w14:paraId="7B280E59" w14:textId="77777777" w:rsidTr="003E365A">
        <w:trPr>
          <w:trHeight w:val="820"/>
        </w:trPr>
        <w:tc>
          <w:tcPr>
            <w:tcW w:w="6654" w:type="dxa"/>
            <w:gridSpan w:val="3"/>
          </w:tcPr>
          <w:p w14:paraId="6357DC42" w14:textId="77777777" w:rsidR="00223A44" w:rsidRPr="00FF288A" w:rsidRDefault="00223A44" w:rsidP="001C61AD">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Paslaugų teikėjas, ne mažiau kaip 10 kartų per 12 mėn. po Įdiegimo paslaugų pirkimo ir asmenybės bruožų ir profesinio kryptingumo ryšio nustatymo įrankio įdiegimo pabaigos, turi suteikti nemokamas konsultacijas Paslaugų gavėjui asmenybės bruožų ir profesinio kryptingumo ryšio nustatymo įrankio techninio aptarnavimo  klausimais;</w:t>
            </w:r>
          </w:p>
        </w:tc>
        <w:tc>
          <w:tcPr>
            <w:tcW w:w="1424" w:type="dxa"/>
            <w:vMerge/>
          </w:tcPr>
          <w:p w14:paraId="3CA9B535"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c>
          <w:tcPr>
            <w:tcW w:w="1550" w:type="dxa"/>
            <w:vMerge/>
          </w:tcPr>
          <w:p w14:paraId="559974F0"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r>
      <w:tr w:rsidR="00223A44" w:rsidRPr="00FF288A" w14:paraId="4C458522" w14:textId="77777777" w:rsidTr="003E365A">
        <w:trPr>
          <w:trHeight w:val="414"/>
        </w:trPr>
        <w:tc>
          <w:tcPr>
            <w:tcW w:w="6654" w:type="dxa"/>
            <w:gridSpan w:val="3"/>
          </w:tcPr>
          <w:p w14:paraId="4ABB7381" w14:textId="77777777" w:rsidR="00223A44" w:rsidRPr="00FF288A" w:rsidRDefault="00223A44" w:rsidP="001C61AD">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Paslaugų teikėjas konsultacijas turi teikti iš anksto su Paslaugų gavėju suderintu laiku, atvykstant į Paslaugų teikimo vietą;</w:t>
            </w:r>
          </w:p>
        </w:tc>
        <w:tc>
          <w:tcPr>
            <w:tcW w:w="1424" w:type="dxa"/>
            <w:vMerge/>
          </w:tcPr>
          <w:p w14:paraId="144AE96B"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c>
          <w:tcPr>
            <w:tcW w:w="1550" w:type="dxa"/>
            <w:vMerge/>
          </w:tcPr>
          <w:p w14:paraId="18E96146"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r>
      <w:tr w:rsidR="00223A44" w:rsidRPr="00FF288A" w14:paraId="4C002D7E" w14:textId="77777777" w:rsidTr="003E365A">
        <w:trPr>
          <w:trHeight w:val="414"/>
        </w:trPr>
        <w:tc>
          <w:tcPr>
            <w:tcW w:w="6654" w:type="dxa"/>
            <w:gridSpan w:val="3"/>
          </w:tcPr>
          <w:p w14:paraId="221146DD" w14:textId="77777777" w:rsidR="00223A44" w:rsidRPr="00FF288A" w:rsidRDefault="00223A44" w:rsidP="001C61AD">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Paslaugų teikėjas į Paslaugų gavėjo konsultacijų metu pateiktus klausimus turi atsakyti raštu ne vėliau kaip per 7 darbo dienas;</w:t>
            </w:r>
          </w:p>
        </w:tc>
        <w:tc>
          <w:tcPr>
            <w:tcW w:w="1424" w:type="dxa"/>
            <w:vMerge/>
          </w:tcPr>
          <w:p w14:paraId="0BD85A24"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c>
          <w:tcPr>
            <w:tcW w:w="1550" w:type="dxa"/>
            <w:vMerge/>
          </w:tcPr>
          <w:p w14:paraId="0606BFFE"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r>
      <w:tr w:rsidR="00223A44" w:rsidRPr="00FF288A" w14:paraId="4896E8A8" w14:textId="77777777" w:rsidTr="003E365A">
        <w:trPr>
          <w:trHeight w:val="622"/>
        </w:trPr>
        <w:tc>
          <w:tcPr>
            <w:tcW w:w="6654" w:type="dxa"/>
            <w:gridSpan w:val="3"/>
          </w:tcPr>
          <w:p w14:paraId="3DDE19C8" w14:textId="77777777" w:rsidR="00223A44" w:rsidRPr="00FF288A" w:rsidRDefault="00223A44" w:rsidP="001C61AD">
            <w:pPr>
              <w:autoSpaceDE w:val="0"/>
              <w:autoSpaceDN w:val="0"/>
              <w:adjustRightInd w:val="0"/>
              <w:jc w:val="both"/>
              <w:rPr>
                <w:rFonts w:ascii="Times New Roman" w:eastAsia="Times New Roman" w:hAnsi="Times New Roman"/>
                <w:iCs/>
                <w:sz w:val="24"/>
              </w:rPr>
            </w:pPr>
            <w:r w:rsidRPr="00FF288A">
              <w:rPr>
                <w:rFonts w:ascii="Times New Roman" w:eastAsia="Times New Roman" w:hAnsi="Times New Roman"/>
                <w:iCs/>
                <w:sz w:val="24"/>
              </w:rPr>
              <w:t>Esant poreikiui, po raštu pateiktų Paslaugų teikėjo atsakymų, gali būti organizuojamos papildomos konsultacijos Paslaugų teikėjo nurodytu telefonu, elektroniniu paštu ar atvykstant į Paslaugų teikimo vietą, kol bus galutinai išspręsti visi konsultacijų metu Paslaugų gavėjo pateikti klausimai.</w:t>
            </w:r>
          </w:p>
        </w:tc>
        <w:tc>
          <w:tcPr>
            <w:tcW w:w="1424" w:type="dxa"/>
            <w:vMerge/>
          </w:tcPr>
          <w:p w14:paraId="0C8FF3C9"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c>
          <w:tcPr>
            <w:tcW w:w="1550" w:type="dxa"/>
            <w:vMerge/>
          </w:tcPr>
          <w:p w14:paraId="09882F9A" w14:textId="77777777" w:rsidR="00223A44" w:rsidRPr="00FF288A" w:rsidRDefault="00223A44" w:rsidP="001C61AD">
            <w:pPr>
              <w:autoSpaceDE w:val="0"/>
              <w:autoSpaceDN w:val="0"/>
              <w:adjustRightInd w:val="0"/>
              <w:jc w:val="both"/>
              <w:rPr>
                <w:rFonts w:ascii="Times New Roman" w:eastAsia="Times New Roman" w:hAnsi="Times New Roman"/>
                <w:iCs/>
                <w:sz w:val="24"/>
              </w:rPr>
            </w:pPr>
          </w:p>
        </w:tc>
      </w:tr>
    </w:tbl>
    <w:p w14:paraId="6089BD54" w14:textId="66D405F0" w:rsidR="003E365A" w:rsidRDefault="003E365A" w:rsidP="003E365A">
      <w:pPr>
        <w:spacing w:after="0" w:line="240" w:lineRule="auto"/>
        <w:jc w:val="center"/>
        <w:rPr>
          <w:rFonts w:ascii="Times New Roman" w:eastAsia="Times New Roman" w:hAnsi="Times New Roman" w:cs="Times New Roman"/>
          <w:b/>
          <w:sz w:val="24"/>
          <w:szCs w:val="24"/>
          <w:lang w:eastAsia="lt-LT"/>
        </w:rPr>
      </w:pPr>
    </w:p>
    <w:p w14:paraId="4F6A838E" w14:textId="77777777" w:rsidR="005313AA" w:rsidRPr="005313AA" w:rsidRDefault="005313AA" w:rsidP="005313AA">
      <w:pPr>
        <w:tabs>
          <w:tab w:val="left" w:pos="142"/>
        </w:tabs>
        <w:spacing w:after="0" w:line="240" w:lineRule="auto"/>
        <w:jc w:val="center"/>
        <w:rPr>
          <w:rFonts w:ascii="Times New Roman" w:eastAsia="Times New Roman" w:hAnsi="Times New Roman" w:cs="Times New Roman"/>
          <w:sz w:val="24"/>
          <w:szCs w:val="24"/>
        </w:rPr>
      </w:pPr>
      <w:r w:rsidRPr="005313AA">
        <w:rPr>
          <w:rFonts w:ascii="Times New Roman" w:eastAsia="Times New Roman" w:hAnsi="Times New Roman" w:cs="Times New Roman"/>
          <w:sz w:val="24"/>
          <w:szCs w:val="24"/>
        </w:rPr>
        <w:t>____________________“</w:t>
      </w:r>
    </w:p>
    <w:p w14:paraId="4445B4AE" w14:textId="77777777" w:rsidR="005313AA" w:rsidRPr="005313AA" w:rsidRDefault="005313AA" w:rsidP="005313AA">
      <w:pPr>
        <w:spacing w:after="0" w:line="240" w:lineRule="auto"/>
        <w:ind w:firstLine="567"/>
        <w:rPr>
          <w:rFonts w:ascii="Times New Roman" w:eastAsia="Times New Roman" w:hAnsi="Times New Roman" w:cs="Times New Roman"/>
          <w:sz w:val="24"/>
          <w:szCs w:val="24"/>
        </w:rPr>
      </w:pPr>
    </w:p>
    <w:p w14:paraId="413145BC" w14:textId="77777777" w:rsidR="005313AA" w:rsidRPr="005313AA" w:rsidRDefault="005313AA" w:rsidP="005313AA">
      <w:pPr>
        <w:spacing w:after="0" w:line="240" w:lineRule="auto"/>
        <w:ind w:right="-563" w:firstLine="567"/>
        <w:rPr>
          <w:rFonts w:ascii="Times New Roman" w:eastAsia="Calibri" w:hAnsi="Times New Roman" w:cs="Times New Roman"/>
          <w:sz w:val="24"/>
          <w:szCs w:val="24"/>
        </w:rPr>
      </w:pPr>
      <w:r w:rsidRPr="005313AA">
        <w:rPr>
          <w:rFonts w:ascii="Times New Roman" w:eastAsia="Times New Roman" w:hAnsi="Times New Roman" w:cs="Times New Roman"/>
          <w:sz w:val="24"/>
          <w:szCs w:val="24"/>
        </w:rPr>
        <w:t xml:space="preserve">2. </w:t>
      </w:r>
      <w:r w:rsidRPr="005313AA">
        <w:rPr>
          <w:rFonts w:ascii="Times New Roman" w:eastAsia="Calibri" w:hAnsi="Times New Roman" w:cs="Times New Roman"/>
          <w:sz w:val="24"/>
          <w:szCs w:val="24"/>
        </w:rPr>
        <w:t>Kitos Sutarties sąlygos nekeičiamos.</w:t>
      </w:r>
    </w:p>
    <w:p w14:paraId="1A4D24ED" w14:textId="77777777" w:rsidR="005313AA" w:rsidRPr="005313AA" w:rsidRDefault="005313AA" w:rsidP="005313AA">
      <w:pPr>
        <w:spacing w:after="0" w:line="240" w:lineRule="auto"/>
        <w:ind w:right="49" w:firstLine="567"/>
        <w:jc w:val="both"/>
        <w:rPr>
          <w:rFonts w:ascii="Times New Roman" w:eastAsia="Calibri" w:hAnsi="Times New Roman" w:cs="Times New Roman"/>
          <w:sz w:val="24"/>
          <w:szCs w:val="24"/>
        </w:rPr>
      </w:pPr>
      <w:r w:rsidRPr="005313AA">
        <w:rPr>
          <w:rFonts w:ascii="Times New Roman" w:eastAsia="Calibri" w:hAnsi="Times New Roman" w:cs="Times New Roman"/>
          <w:sz w:val="24"/>
          <w:szCs w:val="24"/>
        </w:rPr>
        <w:lastRenderedPageBreak/>
        <w:t>3. Susitarimas sudarytas dviem vienodą juridinę galią turinčiais egzemplioriais, po vieną kiekvienai Šaliai.</w:t>
      </w:r>
    </w:p>
    <w:p w14:paraId="1C8E5398" w14:textId="77777777" w:rsidR="005313AA" w:rsidRPr="005313AA" w:rsidRDefault="005313AA" w:rsidP="005313AA">
      <w:pPr>
        <w:spacing w:after="0" w:line="240" w:lineRule="auto"/>
        <w:ind w:right="49" w:firstLine="567"/>
        <w:jc w:val="both"/>
        <w:rPr>
          <w:rFonts w:ascii="Times New Roman" w:eastAsia="Calibri" w:hAnsi="Times New Roman" w:cs="Times New Roman"/>
          <w:sz w:val="24"/>
          <w:szCs w:val="24"/>
        </w:rPr>
      </w:pPr>
      <w:r w:rsidRPr="005313AA">
        <w:rPr>
          <w:rFonts w:ascii="Times New Roman" w:eastAsia="Calibri" w:hAnsi="Times New Roman" w:cs="Times New Roman"/>
          <w:sz w:val="24"/>
          <w:szCs w:val="24"/>
        </w:rPr>
        <w:t>4. Susitarimas įsigalioja nuo jo pasirašymo dienos ir yra neatskiriama Sutarties dalis.</w:t>
      </w:r>
    </w:p>
    <w:p w14:paraId="587B286F" w14:textId="77777777" w:rsidR="005313AA" w:rsidRPr="003E365A" w:rsidRDefault="005313AA" w:rsidP="00BE4190">
      <w:pPr>
        <w:spacing w:after="0" w:line="240" w:lineRule="auto"/>
        <w:rPr>
          <w:rFonts w:ascii="Times New Roman" w:eastAsia="Times New Roman" w:hAnsi="Times New Roman" w:cs="Times New Roman"/>
          <w:b/>
          <w:sz w:val="24"/>
          <w:szCs w:val="24"/>
          <w:lang w:eastAsia="lt-LT"/>
        </w:rPr>
      </w:pPr>
    </w:p>
    <w:tbl>
      <w:tblPr>
        <w:tblW w:w="9493" w:type="dxa"/>
        <w:tblLook w:val="0000" w:firstRow="0" w:lastRow="0" w:firstColumn="0" w:lastColumn="0" w:noHBand="0" w:noVBand="0"/>
      </w:tblPr>
      <w:tblGrid>
        <w:gridCol w:w="4978"/>
        <w:gridCol w:w="4515"/>
      </w:tblGrid>
      <w:tr w:rsidR="003E365A" w:rsidRPr="003E365A" w14:paraId="40B467C5" w14:textId="77777777" w:rsidTr="00473436">
        <w:trPr>
          <w:trHeight w:val="224"/>
        </w:trPr>
        <w:tc>
          <w:tcPr>
            <w:tcW w:w="4978" w:type="dxa"/>
          </w:tcPr>
          <w:p w14:paraId="1F312772" w14:textId="798F0A9F" w:rsidR="003E365A" w:rsidRPr="003E365A" w:rsidRDefault="003E365A" w:rsidP="003E365A">
            <w:pPr>
              <w:spacing w:after="0" w:line="240" w:lineRule="auto"/>
              <w:jc w:val="both"/>
              <w:rPr>
                <w:rFonts w:ascii="Times New Roman" w:eastAsia="Times New Roman" w:hAnsi="Times New Roman" w:cs="Times New Roman"/>
                <w:b/>
                <w:sz w:val="24"/>
                <w:szCs w:val="24"/>
              </w:rPr>
            </w:pPr>
            <w:r w:rsidRPr="003E365A">
              <w:rPr>
                <w:rFonts w:ascii="Times New Roman" w:eastAsia="Times New Roman" w:hAnsi="Times New Roman" w:cs="Times New Roman"/>
                <w:b/>
                <w:sz w:val="24"/>
                <w:szCs w:val="24"/>
              </w:rPr>
              <w:t>PASLAUGŲ PIRKĖJAS</w:t>
            </w:r>
            <w:r w:rsidRPr="003E365A">
              <w:rPr>
                <w:rFonts w:ascii="Times New Roman" w:eastAsia="Times New Roman" w:hAnsi="Times New Roman" w:cs="Times New Roman"/>
                <w:b/>
                <w:sz w:val="24"/>
                <w:szCs w:val="24"/>
              </w:rPr>
              <w:tab/>
            </w:r>
          </w:p>
        </w:tc>
        <w:tc>
          <w:tcPr>
            <w:tcW w:w="4515" w:type="dxa"/>
          </w:tcPr>
          <w:p w14:paraId="3BC2F16B" w14:textId="5C104B39" w:rsidR="003E365A" w:rsidRPr="003E365A" w:rsidRDefault="003E365A" w:rsidP="003E365A">
            <w:pPr>
              <w:spacing w:after="0" w:line="240" w:lineRule="auto"/>
              <w:jc w:val="both"/>
              <w:rPr>
                <w:rFonts w:ascii="Times New Roman" w:eastAsia="Times New Roman" w:hAnsi="Times New Roman" w:cs="Times New Roman"/>
                <w:b/>
                <w:color w:val="000000"/>
                <w:sz w:val="24"/>
                <w:szCs w:val="20"/>
              </w:rPr>
            </w:pPr>
            <w:r w:rsidRPr="003E365A">
              <w:rPr>
                <w:rFonts w:ascii="Times New Roman" w:eastAsia="Times New Roman" w:hAnsi="Times New Roman" w:cs="Times New Roman"/>
                <w:b/>
                <w:color w:val="000000"/>
                <w:sz w:val="24"/>
                <w:szCs w:val="24"/>
              </w:rPr>
              <w:t>PASLAUGŲ TEIKĖJAS</w:t>
            </w:r>
          </w:p>
        </w:tc>
      </w:tr>
      <w:tr w:rsidR="003E365A" w:rsidRPr="003E365A" w14:paraId="2FBC8F2C" w14:textId="77777777" w:rsidTr="00473436">
        <w:trPr>
          <w:trHeight w:val="224"/>
        </w:trPr>
        <w:tc>
          <w:tcPr>
            <w:tcW w:w="4978" w:type="dxa"/>
          </w:tcPr>
          <w:p w14:paraId="63FDB87F" w14:textId="77777777" w:rsidR="003E365A" w:rsidRPr="003E365A" w:rsidRDefault="003E365A" w:rsidP="003E365A">
            <w:pPr>
              <w:spacing w:after="0" w:line="240" w:lineRule="auto"/>
              <w:jc w:val="both"/>
              <w:rPr>
                <w:rFonts w:ascii="Times New Roman" w:eastAsia="Times New Roman" w:hAnsi="Times New Roman" w:cs="Times New Roman"/>
                <w:b/>
                <w:sz w:val="24"/>
                <w:szCs w:val="24"/>
              </w:rPr>
            </w:pPr>
            <w:r w:rsidRPr="003E365A">
              <w:rPr>
                <w:rFonts w:ascii="Times New Roman" w:eastAsia="Times New Roman" w:hAnsi="Times New Roman" w:cs="Times New Roman"/>
                <w:b/>
                <w:sz w:val="24"/>
                <w:szCs w:val="24"/>
              </w:rPr>
              <w:t>Užimtumo tarnyba prie Socialinės apsaugos ir darbo ministerijos</w:t>
            </w:r>
          </w:p>
        </w:tc>
        <w:tc>
          <w:tcPr>
            <w:tcW w:w="4515" w:type="dxa"/>
          </w:tcPr>
          <w:p w14:paraId="179BC85D" w14:textId="77777777" w:rsidR="003E365A" w:rsidRPr="003E365A" w:rsidRDefault="003E365A" w:rsidP="003E365A">
            <w:pPr>
              <w:spacing w:after="0" w:line="240" w:lineRule="auto"/>
              <w:jc w:val="both"/>
              <w:rPr>
                <w:rFonts w:ascii="Times New Roman" w:eastAsia="Times New Roman" w:hAnsi="Times New Roman" w:cs="Times New Roman"/>
                <w:b/>
                <w:sz w:val="24"/>
                <w:szCs w:val="20"/>
              </w:rPr>
            </w:pPr>
            <w:r w:rsidRPr="003E365A">
              <w:rPr>
                <w:rFonts w:ascii="Times New Roman" w:eastAsia="Times New Roman" w:hAnsi="Times New Roman" w:cs="Times New Roman"/>
                <w:b/>
                <w:sz w:val="24"/>
                <w:szCs w:val="20"/>
              </w:rPr>
              <w:t>Jungtinės veiklos pagrindu veikiantys UAB „Thinking organisations“ ir HR Diagnostics AG, atstovaujami atsakingo partnerio UAB „Thinking organisations“</w:t>
            </w:r>
          </w:p>
          <w:p w14:paraId="4E6264A9" w14:textId="77777777" w:rsidR="003E365A" w:rsidRPr="003E365A" w:rsidRDefault="003E365A" w:rsidP="003E365A">
            <w:pPr>
              <w:spacing w:after="0" w:line="240" w:lineRule="auto"/>
              <w:jc w:val="both"/>
              <w:rPr>
                <w:rFonts w:ascii="Times New Roman" w:eastAsia="Times New Roman" w:hAnsi="Times New Roman" w:cs="Times New Roman"/>
                <w:b/>
                <w:sz w:val="24"/>
                <w:szCs w:val="24"/>
              </w:rPr>
            </w:pPr>
          </w:p>
        </w:tc>
      </w:tr>
      <w:tr w:rsidR="003E365A" w:rsidRPr="003E365A" w14:paraId="27984F30" w14:textId="77777777" w:rsidTr="00473436">
        <w:trPr>
          <w:trHeight w:val="109"/>
        </w:trPr>
        <w:tc>
          <w:tcPr>
            <w:tcW w:w="4978" w:type="dxa"/>
          </w:tcPr>
          <w:p w14:paraId="6FCD5469"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lang w:eastAsia="lt-LT"/>
              </w:rPr>
              <w:t>Adresas: Geležinio Vilko g. 3A, LT-03131 Vilnius</w:t>
            </w:r>
          </w:p>
          <w:p w14:paraId="332C40A6"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p>
        </w:tc>
        <w:tc>
          <w:tcPr>
            <w:tcW w:w="4515" w:type="dxa"/>
          </w:tcPr>
          <w:p w14:paraId="43B8E790" w14:textId="3CFCE223" w:rsidR="003E365A" w:rsidRPr="003E365A" w:rsidRDefault="000E3753" w:rsidP="003E365A">
            <w:pPr>
              <w:spacing w:after="0" w:line="240" w:lineRule="auto"/>
              <w:jc w:val="both"/>
              <w:rPr>
                <w:rFonts w:ascii="Times New Roman" w:eastAsia="Times New Roman" w:hAnsi="Times New Roman" w:cs="Times New Roman"/>
                <w:sz w:val="24"/>
                <w:szCs w:val="24"/>
              </w:rPr>
            </w:pPr>
            <w:r w:rsidRPr="000E3753">
              <w:rPr>
                <w:rFonts w:ascii="Times New Roman" w:eastAsia="Times New Roman" w:hAnsi="Times New Roman" w:cs="Times New Roman"/>
                <w:sz w:val="24"/>
                <w:szCs w:val="20"/>
              </w:rPr>
              <w:t>Videniškių g. 1-8, LT-09300</w:t>
            </w:r>
            <w:r w:rsidR="003E365A" w:rsidRPr="003E365A">
              <w:rPr>
                <w:rFonts w:ascii="Times New Roman" w:eastAsia="Times New Roman" w:hAnsi="Times New Roman" w:cs="Times New Roman"/>
                <w:sz w:val="24"/>
                <w:szCs w:val="20"/>
              </w:rPr>
              <w:t>,Vilnius/Silke Greiner, Bucęhhlaltung Kőnigstraβe 20, 70173 Stutgartas, Vokietija</w:t>
            </w:r>
          </w:p>
        </w:tc>
      </w:tr>
      <w:tr w:rsidR="003E365A" w:rsidRPr="003E365A" w14:paraId="3A4CC665" w14:textId="77777777" w:rsidTr="00473436">
        <w:trPr>
          <w:trHeight w:val="109"/>
        </w:trPr>
        <w:tc>
          <w:tcPr>
            <w:tcW w:w="4978" w:type="dxa"/>
          </w:tcPr>
          <w:p w14:paraId="1922B00B"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lang w:eastAsia="lt-LT"/>
              </w:rPr>
              <w:t xml:space="preserve">Įstaigos kodas </w:t>
            </w:r>
            <w:r w:rsidRPr="003E365A">
              <w:rPr>
                <w:rFonts w:ascii="Times New Roman" w:eastAsia="Arial" w:hAnsi="Times New Roman" w:cs="Times New Roman"/>
                <w:color w:val="0C0C0C"/>
                <w:sz w:val="24"/>
                <w:szCs w:val="24"/>
                <w:lang w:eastAsia="lt-LT"/>
              </w:rPr>
              <w:t>190766619</w:t>
            </w:r>
          </w:p>
        </w:tc>
        <w:tc>
          <w:tcPr>
            <w:tcW w:w="4515" w:type="dxa"/>
          </w:tcPr>
          <w:p w14:paraId="62C85409"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lang w:eastAsia="lt-LT"/>
              </w:rPr>
              <w:t>Juridinio asmens</w:t>
            </w:r>
            <w:r w:rsidRPr="003E365A">
              <w:rPr>
                <w:rFonts w:ascii="Times New Roman" w:eastAsia="Times New Roman" w:hAnsi="Times New Roman" w:cs="Times New Roman"/>
                <w:sz w:val="24"/>
                <w:szCs w:val="24"/>
              </w:rPr>
              <w:t xml:space="preserve"> kodas 303342072 </w:t>
            </w:r>
          </w:p>
        </w:tc>
      </w:tr>
      <w:tr w:rsidR="003E365A" w:rsidRPr="003E365A" w14:paraId="6F5F5AD6" w14:textId="77777777" w:rsidTr="00473436">
        <w:trPr>
          <w:trHeight w:val="115"/>
        </w:trPr>
        <w:tc>
          <w:tcPr>
            <w:tcW w:w="4978" w:type="dxa"/>
          </w:tcPr>
          <w:p w14:paraId="2E63E476"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rPr>
              <w:t>Kontaktiniai duomenys:</w:t>
            </w:r>
          </w:p>
          <w:p w14:paraId="49405F8E"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rPr>
              <w:t>Tel.: (8 5 ) 236 0770</w:t>
            </w:r>
          </w:p>
          <w:p w14:paraId="459E9883"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rPr>
              <w:t>Faks.: (8 5) 236 0788</w:t>
            </w:r>
          </w:p>
        </w:tc>
        <w:tc>
          <w:tcPr>
            <w:tcW w:w="4515" w:type="dxa"/>
          </w:tcPr>
          <w:p w14:paraId="704DAFD4"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rPr>
              <w:t>Tel. 8 687 17664</w:t>
            </w:r>
          </w:p>
        </w:tc>
      </w:tr>
      <w:tr w:rsidR="003E365A" w:rsidRPr="003E365A" w14:paraId="261C5F72" w14:textId="77777777" w:rsidTr="00473436">
        <w:trPr>
          <w:trHeight w:val="109"/>
        </w:trPr>
        <w:tc>
          <w:tcPr>
            <w:tcW w:w="4978" w:type="dxa"/>
          </w:tcPr>
          <w:p w14:paraId="382CC9A4"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lang w:eastAsia="lt-LT"/>
              </w:rPr>
              <w:t xml:space="preserve">Elektroninio pašto adresas: </w:t>
            </w:r>
            <w:hyperlink r:id="rId5" w:history="1">
              <w:r w:rsidRPr="003E365A">
                <w:rPr>
                  <w:rFonts w:ascii="Times New Roman" w:eastAsia="Times New Roman" w:hAnsi="Times New Roman" w:cs="Times New Roman"/>
                  <w:color w:val="0000FF"/>
                  <w:sz w:val="24"/>
                  <w:szCs w:val="24"/>
                  <w:u w:val="single"/>
                  <w:lang w:eastAsia="lt-LT"/>
                </w:rPr>
                <w:t>info@uzt.lt</w:t>
              </w:r>
            </w:hyperlink>
          </w:p>
        </w:tc>
        <w:tc>
          <w:tcPr>
            <w:tcW w:w="4515" w:type="dxa"/>
          </w:tcPr>
          <w:p w14:paraId="294062D5"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rPr>
              <w:t xml:space="preserve">El. p. </w:t>
            </w:r>
            <w:hyperlink r:id="rId6" w:history="1">
              <w:r w:rsidRPr="003E365A">
                <w:rPr>
                  <w:rFonts w:ascii="Times New Roman" w:eastAsia="Times New Roman" w:hAnsi="Times New Roman" w:cs="Times New Roman"/>
                  <w:color w:val="0000FF"/>
                  <w:sz w:val="24"/>
                  <w:szCs w:val="24"/>
                  <w:u w:val="single"/>
                </w:rPr>
                <w:t>giedre</w:t>
              </w:r>
              <w:r w:rsidRPr="003E365A">
                <w:rPr>
                  <w:rFonts w:ascii="Times New Roman" w:eastAsia="Times New Roman" w:hAnsi="Times New Roman" w:cs="Times New Roman"/>
                  <w:color w:val="0000FF"/>
                  <w:sz w:val="24"/>
                  <w:szCs w:val="24"/>
                  <w:u w:val="single"/>
                  <w:lang w:val="en-US"/>
                </w:rPr>
                <w:t>@unlolctest.lt</w:t>
              </w:r>
            </w:hyperlink>
            <w:r w:rsidRPr="003E365A">
              <w:rPr>
                <w:rFonts w:ascii="Times New Roman" w:eastAsia="Times New Roman" w:hAnsi="Times New Roman" w:cs="Times New Roman"/>
                <w:color w:val="0000FF"/>
                <w:sz w:val="24"/>
                <w:szCs w:val="24"/>
                <w:u w:val="single"/>
                <w:lang w:val="en-US"/>
              </w:rPr>
              <w:t xml:space="preserve"> </w:t>
            </w:r>
            <w:r w:rsidRPr="003E365A">
              <w:rPr>
                <w:rFonts w:ascii="Times New Roman" w:eastAsia="Times New Roman" w:hAnsi="Times New Roman" w:cs="Times New Roman"/>
                <w:sz w:val="24"/>
                <w:szCs w:val="24"/>
                <w:lang w:val="en-US"/>
              </w:rPr>
              <w:t xml:space="preserve"> </w:t>
            </w:r>
          </w:p>
        </w:tc>
      </w:tr>
      <w:tr w:rsidR="003E365A" w:rsidRPr="003E365A" w14:paraId="7EB01985" w14:textId="77777777" w:rsidTr="00473436">
        <w:trPr>
          <w:trHeight w:val="115"/>
        </w:trPr>
        <w:tc>
          <w:tcPr>
            <w:tcW w:w="4978" w:type="dxa"/>
          </w:tcPr>
          <w:p w14:paraId="298658A1"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rPr>
              <w:t>LT87 7044 0600 0800 5979</w:t>
            </w:r>
          </w:p>
          <w:p w14:paraId="2202E584"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rPr>
              <w:t>AB SEB bankas, banko kodas 70440</w:t>
            </w:r>
          </w:p>
        </w:tc>
        <w:tc>
          <w:tcPr>
            <w:tcW w:w="4515" w:type="dxa"/>
          </w:tcPr>
          <w:p w14:paraId="642BC84D"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4"/>
              </w:rPr>
              <w:t>Sąskaitos Nr.: LT047300010139491901</w:t>
            </w:r>
          </w:p>
        </w:tc>
      </w:tr>
      <w:tr w:rsidR="003E365A" w:rsidRPr="003E365A" w14:paraId="30D82BA4" w14:textId="77777777" w:rsidTr="00473436">
        <w:trPr>
          <w:trHeight w:val="109"/>
        </w:trPr>
        <w:tc>
          <w:tcPr>
            <w:tcW w:w="4978" w:type="dxa"/>
          </w:tcPr>
          <w:p w14:paraId="44D00491"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p>
        </w:tc>
        <w:tc>
          <w:tcPr>
            <w:tcW w:w="4515" w:type="dxa"/>
          </w:tcPr>
          <w:p w14:paraId="7B4C1540" w14:textId="77777777" w:rsidR="003E365A" w:rsidRPr="003E365A" w:rsidRDefault="003E365A" w:rsidP="003E365A">
            <w:pPr>
              <w:spacing w:after="0" w:line="240" w:lineRule="auto"/>
              <w:jc w:val="both"/>
              <w:rPr>
                <w:rFonts w:ascii="Times New Roman" w:eastAsia="Times New Roman" w:hAnsi="Times New Roman" w:cs="Times New Roman"/>
                <w:sz w:val="24"/>
                <w:szCs w:val="24"/>
              </w:rPr>
            </w:pPr>
            <w:r w:rsidRPr="003E365A">
              <w:rPr>
                <w:rFonts w:ascii="Times New Roman" w:eastAsia="Times New Roman" w:hAnsi="Times New Roman" w:cs="Times New Roman"/>
                <w:sz w:val="24"/>
                <w:szCs w:val="20"/>
              </w:rPr>
              <w:t>Bankas: AB Swedbank</w:t>
            </w:r>
          </w:p>
        </w:tc>
      </w:tr>
      <w:tr w:rsidR="003E365A" w:rsidRPr="003E365A" w14:paraId="37DE5A32" w14:textId="77777777" w:rsidTr="00473436">
        <w:trPr>
          <w:trHeight w:val="339"/>
        </w:trPr>
        <w:tc>
          <w:tcPr>
            <w:tcW w:w="4978" w:type="dxa"/>
          </w:tcPr>
          <w:p w14:paraId="62020413" w14:textId="2AC44301" w:rsidR="00BC7A9C" w:rsidRDefault="00BC7A9C" w:rsidP="003E365A">
            <w:pPr>
              <w:spacing w:after="0" w:line="240" w:lineRule="auto"/>
              <w:ind w:right="432"/>
              <w:rPr>
                <w:rFonts w:ascii="Times New Roman" w:eastAsia="Times New Roman" w:hAnsi="Times New Roman" w:cs="Times New Roman"/>
                <w:b/>
                <w:sz w:val="24"/>
                <w:szCs w:val="24"/>
              </w:rPr>
            </w:pPr>
            <w:r w:rsidRPr="003E365A">
              <w:rPr>
                <w:rFonts w:ascii="Times New Roman" w:eastAsia="Times New Roman" w:hAnsi="Times New Roman" w:cs="Times New Roman"/>
                <w:b/>
                <w:bCs/>
                <w:sz w:val="24"/>
                <w:szCs w:val="24"/>
              </w:rPr>
              <w:t>Kancleris</w:t>
            </w:r>
          </w:p>
          <w:p w14:paraId="3AA6F50B" w14:textId="4DA8DBB8" w:rsidR="003E365A" w:rsidRPr="003E365A" w:rsidRDefault="003E365A" w:rsidP="003E365A">
            <w:pPr>
              <w:spacing w:after="0" w:line="240" w:lineRule="auto"/>
              <w:ind w:right="432"/>
              <w:rPr>
                <w:rFonts w:ascii="Times New Roman" w:eastAsia="Times New Roman" w:hAnsi="Times New Roman" w:cs="Times New Roman"/>
                <w:b/>
                <w:sz w:val="24"/>
                <w:szCs w:val="24"/>
              </w:rPr>
            </w:pPr>
            <w:r w:rsidRPr="003E365A">
              <w:rPr>
                <w:rFonts w:ascii="Times New Roman" w:eastAsia="Times New Roman" w:hAnsi="Times New Roman" w:cs="Times New Roman"/>
                <w:b/>
                <w:sz w:val="24"/>
                <w:szCs w:val="24"/>
              </w:rPr>
              <w:t>Arūnas Marma</w:t>
            </w:r>
          </w:p>
          <w:p w14:paraId="296E9B98" w14:textId="77777777" w:rsidR="003E365A" w:rsidRPr="003E365A" w:rsidRDefault="003E365A" w:rsidP="003E365A">
            <w:pPr>
              <w:spacing w:after="0" w:line="240" w:lineRule="auto"/>
              <w:ind w:right="432"/>
              <w:rPr>
                <w:rFonts w:ascii="Times New Roman" w:eastAsia="Times New Roman" w:hAnsi="Times New Roman" w:cs="Times New Roman"/>
                <w:b/>
                <w:sz w:val="24"/>
                <w:szCs w:val="24"/>
              </w:rPr>
            </w:pPr>
            <w:r w:rsidRPr="003E365A">
              <w:rPr>
                <w:rFonts w:ascii="Times New Roman" w:eastAsia="Times New Roman" w:hAnsi="Times New Roman" w:cs="Times New Roman"/>
                <w:b/>
                <w:sz w:val="24"/>
                <w:szCs w:val="24"/>
              </w:rPr>
              <w:t>A.V.</w:t>
            </w:r>
          </w:p>
        </w:tc>
        <w:tc>
          <w:tcPr>
            <w:tcW w:w="4515" w:type="dxa"/>
          </w:tcPr>
          <w:p w14:paraId="1353CC2C" w14:textId="77777777" w:rsidR="003E365A" w:rsidRPr="003E365A" w:rsidRDefault="003E365A" w:rsidP="003E365A">
            <w:pPr>
              <w:spacing w:after="0" w:line="240" w:lineRule="auto"/>
              <w:jc w:val="both"/>
              <w:rPr>
                <w:rFonts w:ascii="Times New Roman" w:eastAsia="Times New Roman" w:hAnsi="Times New Roman" w:cs="Times New Roman"/>
                <w:b/>
                <w:sz w:val="24"/>
                <w:szCs w:val="20"/>
              </w:rPr>
            </w:pPr>
            <w:r w:rsidRPr="003E365A">
              <w:rPr>
                <w:rFonts w:ascii="Times New Roman" w:eastAsia="Times New Roman" w:hAnsi="Times New Roman" w:cs="Times New Roman"/>
                <w:b/>
                <w:sz w:val="24"/>
                <w:szCs w:val="20"/>
              </w:rPr>
              <w:t xml:space="preserve">Direktorė </w:t>
            </w:r>
          </w:p>
          <w:p w14:paraId="10CC5F12" w14:textId="77777777" w:rsidR="003E365A" w:rsidRPr="003E365A" w:rsidRDefault="003E365A" w:rsidP="003E365A">
            <w:pPr>
              <w:spacing w:after="0" w:line="240" w:lineRule="auto"/>
              <w:jc w:val="both"/>
              <w:rPr>
                <w:rFonts w:ascii="Times New Roman" w:eastAsia="Times New Roman" w:hAnsi="Times New Roman" w:cs="Times New Roman"/>
                <w:b/>
                <w:sz w:val="24"/>
                <w:szCs w:val="20"/>
              </w:rPr>
            </w:pPr>
            <w:r w:rsidRPr="003E365A">
              <w:rPr>
                <w:rFonts w:ascii="Times New Roman" w:eastAsia="Times New Roman" w:hAnsi="Times New Roman" w:cs="Times New Roman"/>
                <w:b/>
                <w:sz w:val="24"/>
                <w:szCs w:val="20"/>
              </w:rPr>
              <w:t>Giedrė Lečickienė</w:t>
            </w:r>
          </w:p>
          <w:p w14:paraId="2EEF92C5" w14:textId="77777777" w:rsidR="003E365A" w:rsidRPr="003E365A" w:rsidRDefault="003E365A" w:rsidP="003E365A">
            <w:pPr>
              <w:spacing w:after="0" w:line="240" w:lineRule="auto"/>
              <w:jc w:val="both"/>
              <w:rPr>
                <w:rFonts w:ascii="Times New Roman" w:eastAsia="Times New Roman" w:hAnsi="Times New Roman" w:cs="Times New Roman"/>
                <w:b/>
                <w:sz w:val="24"/>
                <w:szCs w:val="24"/>
              </w:rPr>
            </w:pPr>
            <w:r w:rsidRPr="003E365A">
              <w:rPr>
                <w:rFonts w:ascii="Times New Roman" w:eastAsia="Times New Roman" w:hAnsi="Times New Roman" w:cs="Times New Roman"/>
                <w:b/>
                <w:sz w:val="24"/>
                <w:szCs w:val="20"/>
              </w:rPr>
              <w:t xml:space="preserve">A.V. </w:t>
            </w:r>
          </w:p>
        </w:tc>
      </w:tr>
    </w:tbl>
    <w:p w14:paraId="72EF2719" w14:textId="77777777" w:rsidR="007273FA" w:rsidRPr="007273FA" w:rsidRDefault="007273FA" w:rsidP="007273FA">
      <w:pPr>
        <w:spacing w:after="0" w:line="240" w:lineRule="auto"/>
        <w:rPr>
          <w:rFonts w:ascii="Times New Roman" w:eastAsia="Times New Roman" w:hAnsi="Times New Roman" w:cs="Times New Roman"/>
          <w:b/>
          <w:sz w:val="24"/>
          <w:szCs w:val="24"/>
          <w:lang w:eastAsia="lt-LT"/>
        </w:rPr>
      </w:pPr>
    </w:p>
    <w:sectPr w:rsidR="007273FA" w:rsidRPr="007273FA" w:rsidSect="00FD6FA1">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094"/>
    <w:multiLevelType w:val="hybridMultilevel"/>
    <w:tmpl w:val="499E8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A5055"/>
    <w:multiLevelType w:val="hybridMultilevel"/>
    <w:tmpl w:val="25D00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8A"/>
    <w:rsid w:val="00042A45"/>
    <w:rsid w:val="00042C70"/>
    <w:rsid w:val="000D2767"/>
    <w:rsid w:val="000E3753"/>
    <w:rsid w:val="00100AC2"/>
    <w:rsid w:val="001079F1"/>
    <w:rsid w:val="00130351"/>
    <w:rsid w:val="00136DD4"/>
    <w:rsid w:val="001F1101"/>
    <w:rsid w:val="002044E0"/>
    <w:rsid w:val="00223A44"/>
    <w:rsid w:val="002F64DC"/>
    <w:rsid w:val="00315FDB"/>
    <w:rsid w:val="0035039A"/>
    <w:rsid w:val="00372867"/>
    <w:rsid w:val="003B18A5"/>
    <w:rsid w:val="003E365A"/>
    <w:rsid w:val="003F3B1B"/>
    <w:rsid w:val="00411CAF"/>
    <w:rsid w:val="00476FAF"/>
    <w:rsid w:val="004B6477"/>
    <w:rsid w:val="004B7A93"/>
    <w:rsid w:val="005313AA"/>
    <w:rsid w:val="005B5863"/>
    <w:rsid w:val="005D6891"/>
    <w:rsid w:val="005F7B25"/>
    <w:rsid w:val="00613CDB"/>
    <w:rsid w:val="00640493"/>
    <w:rsid w:val="0066538E"/>
    <w:rsid w:val="006C7E13"/>
    <w:rsid w:val="006F3275"/>
    <w:rsid w:val="007072A2"/>
    <w:rsid w:val="0071230F"/>
    <w:rsid w:val="007273FA"/>
    <w:rsid w:val="00796BD7"/>
    <w:rsid w:val="007B4446"/>
    <w:rsid w:val="007B595A"/>
    <w:rsid w:val="007B6921"/>
    <w:rsid w:val="00800568"/>
    <w:rsid w:val="00822CF7"/>
    <w:rsid w:val="008357D6"/>
    <w:rsid w:val="008810F5"/>
    <w:rsid w:val="00891453"/>
    <w:rsid w:val="008B1BCE"/>
    <w:rsid w:val="009471E1"/>
    <w:rsid w:val="00980A1A"/>
    <w:rsid w:val="00A14E01"/>
    <w:rsid w:val="00A20B07"/>
    <w:rsid w:val="00A406B4"/>
    <w:rsid w:val="00A47C9A"/>
    <w:rsid w:val="00A81662"/>
    <w:rsid w:val="00A905CA"/>
    <w:rsid w:val="00B15D23"/>
    <w:rsid w:val="00B16BFA"/>
    <w:rsid w:val="00B66A98"/>
    <w:rsid w:val="00B71CCB"/>
    <w:rsid w:val="00B853BD"/>
    <w:rsid w:val="00BC7A9C"/>
    <w:rsid w:val="00BE4190"/>
    <w:rsid w:val="00C010A5"/>
    <w:rsid w:val="00C26A7F"/>
    <w:rsid w:val="00C614FA"/>
    <w:rsid w:val="00C74DC2"/>
    <w:rsid w:val="00CF0595"/>
    <w:rsid w:val="00CF30FC"/>
    <w:rsid w:val="00D1325F"/>
    <w:rsid w:val="00D25497"/>
    <w:rsid w:val="00D95C38"/>
    <w:rsid w:val="00DE0920"/>
    <w:rsid w:val="00E5590A"/>
    <w:rsid w:val="00E66AED"/>
    <w:rsid w:val="00F019C0"/>
    <w:rsid w:val="00F4472C"/>
    <w:rsid w:val="00F86128"/>
    <w:rsid w:val="00FC1BC1"/>
    <w:rsid w:val="00FD6FA1"/>
    <w:rsid w:val="00FF28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7266"/>
  <w15:chartTrackingRefBased/>
  <w15:docId w15:val="{F0B38CB1-A59A-4F8C-A897-441DC4A6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F288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F30FC"/>
  </w:style>
  <w:style w:type="character" w:customStyle="1" w:styleId="eop">
    <w:name w:val="eop"/>
    <w:basedOn w:val="Numatytasispastraiposriftas"/>
    <w:rsid w:val="00CF3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edre@unlolctest.lt" TargetMode="External"/><Relationship Id="rId5" Type="http://schemas.openxmlformats.org/officeDocument/2006/relationships/hyperlink" Target="mailto:info@uz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7848</Words>
  <Characters>4474</Characters>
  <Application>Microsoft Office Word</Application>
  <DocSecurity>0</DocSecurity>
  <Lines>37</Lines>
  <Paragraphs>24</Paragraphs>
  <ScaleCrop>false</ScaleCrop>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Mackevič</dc:creator>
  <cp:keywords/>
  <dc:description/>
  <cp:lastModifiedBy>Edita Mackevič</cp:lastModifiedBy>
  <cp:revision>31</cp:revision>
  <dcterms:created xsi:type="dcterms:W3CDTF">2022-06-10T05:40:00Z</dcterms:created>
  <dcterms:modified xsi:type="dcterms:W3CDTF">2022-06-20T09:06:00Z</dcterms:modified>
</cp:coreProperties>
</file>