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03DDB" w14:textId="77777777" w:rsidR="00071A09" w:rsidRDefault="00071A09" w:rsidP="00071A09">
      <w:pPr>
        <w:jc w:val="center"/>
        <w:rPr>
          <w:lang w:eastAsia="en-US"/>
        </w:rPr>
      </w:pPr>
      <w:bookmarkStart w:id="0" w:name="_GoBack"/>
      <w:bookmarkEnd w:id="0"/>
      <w:r>
        <w:rPr>
          <w:lang w:eastAsia="en-US"/>
        </w:rPr>
        <w:t xml:space="preserve">    </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04E03DDC" w14:textId="77777777" w:rsidR="00071A09" w:rsidRDefault="00071A09" w:rsidP="00071A09">
      <w:pPr>
        <w:jc w:val="center"/>
        <w:rPr>
          <w:b/>
        </w:rPr>
      </w:pPr>
    </w:p>
    <w:p w14:paraId="04E03DDD" w14:textId="77777777" w:rsidR="00071A09" w:rsidRPr="00EA73AC" w:rsidRDefault="00071A09" w:rsidP="00071A09">
      <w:pPr>
        <w:jc w:val="center"/>
        <w:rPr>
          <w:b/>
        </w:rPr>
      </w:pPr>
      <w:r>
        <w:rPr>
          <w:b/>
        </w:rPr>
        <w:t xml:space="preserve"> </w:t>
      </w:r>
      <w:r w:rsidRPr="00EA73AC">
        <w:rPr>
          <w:b/>
        </w:rPr>
        <w:t xml:space="preserve">PREKIŲ </w:t>
      </w:r>
      <w:r>
        <w:rPr>
          <w:b/>
        </w:rPr>
        <w:t xml:space="preserve">VIEŠOJO </w:t>
      </w:r>
      <w:r w:rsidRPr="00EA73AC">
        <w:rPr>
          <w:b/>
        </w:rPr>
        <w:t>PIRKIMO-PARDAVIMO SUTARTIS</w:t>
      </w:r>
    </w:p>
    <w:p w14:paraId="04E03DDE" w14:textId="77777777" w:rsidR="00071A09" w:rsidRPr="00EA73AC" w:rsidRDefault="00071A09" w:rsidP="00071A09">
      <w:pPr>
        <w:jc w:val="center"/>
        <w:rPr>
          <w:b/>
        </w:rPr>
      </w:pPr>
    </w:p>
    <w:p w14:paraId="04E03DDF" w14:textId="77777777" w:rsidR="00071A09" w:rsidRPr="00E040E8" w:rsidRDefault="00071A09" w:rsidP="00071A09">
      <w:pPr>
        <w:ind w:left="2880" w:firstLine="720"/>
      </w:pPr>
      <w:r>
        <w:t xml:space="preserve">     </w:t>
      </w:r>
      <w:r w:rsidRPr="00E040E8">
        <w:t>20</w:t>
      </w:r>
      <w:r>
        <w:t>22 m.                   Nr.</w:t>
      </w:r>
    </w:p>
    <w:p w14:paraId="04E03DE0" w14:textId="77777777" w:rsidR="00071A09" w:rsidRDefault="00071A09" w:rsidP="00071A09">
      <w:pPr>
        <w:jc w:val="center"/>
      </w:pPr>
      <w:r w:rsidRPr="00715932">
        <w:t>Vilnius</w:t>
      </w:r>
    </w:p>
    <w:p w14:paraId="04E03DE1" w14:textId="77777777" w:rsidR="00071A09" w:rsidRDefault="00071A09" w:rsidP="00071A09">
      <w:pPr>
        <w:jc w:val="center"/>
      </w:pPr>
    </w:p>
    <w:p w14:paraId="04E03DE2" w14:textId="77777777" w:rsidR="00071A09" w:rsidRPr="00EA73AC" w:rsidRDefault="00071A09" w:rsidP="00071A09">
      <w:pPr>
        <w:jc w:val="center"/>
        <w:rPr>
          <w:b/>
        </w:rPr>
      </w:pPr>
      <w:r>
        <w:rPr>
          <w:b/>
        </w:rPr>
        <w:t xml:space="preserve">I. </w:t>
      </w:r>
      <w:r w:rsidRPr="00EA73AC">
        <w:rPr>
          <w:b/>
        </w:rPr>
        <w:t>SPECIALIOJI DALIS</w:t>
      </w:r>
    </w:p>
    <w:p w14:paraId="04E03DE3" w14:textId="77777777" w:rsidR="00071A09" w:rsidRDefault="00071A09" w:rsidP="00071A09">
      <w:pPr>
        <w:jc w:val="both"/>
        <w:rPr>
          <w:b/>
        </w:rPr>
      </w:pPr>
      <w:r w:rsidRPr="00985926">
        <w:rPr>
          <w:b/>
        </w:rPr>
        <w:t xml:space="preserve">            </w:t>
      </w:r>
    </w:p>
    <w:p w14:paraId="04E03DE4" w14:textId="77777777" w:rsidR="00071A09" w:rsidRPr="00222B2D" w:rsidRDefault="00071A09" w:rsidP="00071A09">
      <w:pPr>
        <w:ind w:left="-142" w:firstLine="568"/>
        <w:jc w:val="both"/>
      </w:pPr>
      <w:r w:rsidRPr="00985926">
        <w:rPr>
          <w:b/>
        </w:rPr>
        <w:t xml:space="preserve">  </w:t>
      </w:r>
      <w:r>
        <w:rPr>
          <w:b/>
          <w:color w:val="000000"/>
        </w:rPr>
        <w:t xml:space="preserve">Informacinių technologijų </w:t>
      </w:r>
      <w:r w:rsidRPr="001D505B">
        <w:rPr>
          <w:b/>
          <w:color w:val="000000"/>
        </w:rPr>
        <w:t xml:space="preserve">tarnyba prie </w:t>
      </w:r>
      <w:r>
        <w:rPr>
          <w:b/>
          <w:color w:val="000000"/>
        </w:rPr>
        <w:t>K</w:t>
      </w:r>
      <w:r w:rsidRPr="001D505B">
        <w:rPr>
          <w:b/>
          <w:color w:val="000000"/>
        </w:rPr>
        <w:t>rašto apsaugos ministerijos</w:t>
      </w:r>
      <w:r w:rsidRPr="001D505B">
        <w:rPr>
          <w:color w:val="000000"/>
        </w:rPr>
        <w:t>, juridinio asmens kodas 191823126, Šilo g. 5a</w:t>
      </w:r>
      <w:r w:rsidRPr="005A2230">
        <w:rPr>
          <w:color w:val="000000"/>
        </w:rPr>
        <w:t>, LT-10322 Vilnius</w:t>
      </w:r>
      <w:r w:rsidRPr="005A2230">
        <w:t xml:space="preserve">, atstovaujama, </w:t>
      </w:r>
      <w:r w:rsidRPr="005A2230">
        <w:rPr>
          <w:color w:val="000000"/>
        </w:rPr>
        <w:t xml:space="preserve">direktoriaus plk. ltn. Sauliaus Juškevičiaus, veikiančio pagal tarnybos nuostatus </w:t>
      </w:r>
      <w:r w:rsidRPr="005A2230">
        <w:t>(</w:t>
      </w:r>
      <w:r w:rsidRPr="00222B2D">
        <w:t xml:space="preserve">toliau – </w:t>
      </w:r>
      <w:r w:rsidRPr="00222B2D">
        <w:rPr>
          <w:b/>
        </w:rPr>
        <w:t>Pirkėjas</w:t>
      </w:r>
      <w:r w:rsidRPr="00222B2D">
        <w:t xml:space="preserve">), </w:t>
      </w:r>
      <w:r w:rsidRPr="00222B2D">
        <w:rPr>
          <w:color w:val="000000"/>
        </w:rPr>
        <w:t xml:space="preserve">ir </w:t>
      </w:r>
      <w:r w:rsidRPr="00C45924">
        <w:rPr>
          <w:b/>
          <w:color w:val="000000"/>
          <w:bdr w:val="nil"/>
          <w:lang w:eastAsia="en-US"/>
        </w:rPr>
        <w:t>UAB „Fortevento“</w:t>
      </w:r>
      <w:r w:rsidRPr="00222B2D">
        <w:rPr>
          <w:color w:val="000000"/>
        </w:rPr>
        <w:t xml:space="preserve">, atstovaujama </w:t>
      </w:r>
      <w:r>
        <w:rPr>
          <w:color w:val="000000"/>
        </w:rPr>
        <w:t>generalinio direktoriaus Aurelijaus Šaltenio</w:t>
      </w:r>
      <w:r w:rsidRPr="00222B2D">
        <w:rPr>
          <w:color w:val="000000"/>
        </w:rPr>
        <w:t xml:space="preserve">, veikiančio </w:t>
      </w:r>
      <w:r w:rsidRPr="005A2230">
        <w:rPr>
          <w:color w:val="000000"/>
        </w:rPr>
        <w:t>pagal įmonės įstatus</w:t>
      </w:r>
      <w:r w:rsidRPr="00222B2D">
        <w:rPr>
          <w:color w:val="000000"/>
        </w:rPr>
        <w:t xml:space="preserve"> (toliau – </w:t>
      </w:r>
      <w:r w:rsidRPr="003672A1">
        <w:rPr>
          <w:b/>
          <w:color w:val="000000"/>
        </w:rPr>
        <w:t>Pardavėjas</w:t>
      </w:r>
      <w:r w:rsidRPr="00222B2D">
        <w:rPr>
          <w:color w:val="000000"/>
        </w:rPr>
        <w:t xml:space="preserve">), </w:t>
      </w:r>
      <w:r>
        <w:rPr>
          <w:color w:val="000000"/>
        </w:rPr>
        <w:t>to</w:t>
      </w:r>
      <w:r w:rsidRPr="00222B2D">
        <w:t>liau kartu šioje prekių viešojo pirkimo-pardavimo sutartyje vadinami „Šalimis“, o kiekvienas atskirai – „Šalimi“, vadovaudamosi Lietuvos Respublikos viešųjų pirkimų įstatymu sudarė šią prekių pirkimo-pardavimo sutartį, toliau vadinamą „Sutartimi“, ir susitarė dėl toliau išvardintų sąlygų.</w:t>
      </w:r>
    </w:p>
    <w:p w14:paraId="04E03DE5" w14:textId="77777777" w:rsidR="00071A09" w:rsidRPr="001D505B" w:rsidRDefault="00071A09" w:rsidP="00071A0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071A09" w14:paraId="04E03DE9" w14:textId="77777777" w:rsidTr="004A3A2E">
        <w:trPr>
          <w:trHeight w:val="702"/>
        </w:trPr>
        <w:tc>
          <w:tcPr>
            <w:tcW w:w="10150" w:type="dxa"/>
            <w:tcBorders>
              <w:top w:val="single" w:sz="4" w:space="0" w:color="auto"/>
              <w:left w:val="single" w:sz="4" w:space="0" w:color="auto"/>
              <w:bottom w:val="single" w:sz="4" w:space="0" w:color="auto"/>
              <w:right w:val="single" w:sz="4" w:space="0" w:color="auto"/>
            </w:tcBorders>
          </w:tcPr>
          <w:p w14:paraId="04E03DE6" w14:textId="77777777" w:rsidR="00071A09" w:rsidRPr="007C2BC2" w:rsidRDefault="00071A09" w:rsidP="004A3A2E">
            <w:pPr>
              <w:jc w:val="both"/>
              <w:rPr>
                <w:b/>
              </w:rPr>
            </w:pPr>
            <w:r w:rsidRPr="007C2BC2">
              <w:rPr>
                <w:b/>
              </w:rPr>
              <w:t>1. Sutarties objektas.</w:t>
            </w:r>
          </w:p>
          <w:p w14:paraId="04E03DE7" w14:textId="77777777" w:rsidR="00071A09" w:rsidRPr="007C2BC2" w:rsidRDefault="00071A09" w:rsidP="004A3A2E">
            <w:pPr>
              <w:jc w:val="both"/>
            </w:pPr>
            <w:r w:rsidRPr="007C2BC2">
              <w:t xml:space="preserve">1.1. </w:t>
            </w:r>
            <w:r w:rsidRPr="007C2BC2">
              <w:rPr>
                <w:b/>
              </w:rPr>
              <w:t>Pardavėjas</w:t>
            </w:r>
            <w:r w:rsidRPr="007C2BC2">
              <w:t xml:space="preserve"> įsipareigoja perduoti nuomai bei suteikti programinės įrangos licencijų kodus (toliau – prekės), atitinkančius Sutarties 2 priede „Programinės įrangos nuomos techninė specifikacija“ (toliau - 2 priedas) pateiktas technines specifikacijas, Sutarties 1 priede „Prekių kiekiai ir įkainiai“ (toliau – 1 priedas) nurodytais kiekiais ir įkainiais.</w:t>
            </w:r>
          </w:p>
          <w:p w14:paraId="04E03DE8" w14:textId="77777777" w:rsidR="00071A09" w:rsidRPr="007C2BC2" w:rsidRDefault="00071A09" w:rsidP="004A3A2E">
            <w:pPr>
              <w:jc w:val="both"/>
            </w:pPr>
            <w:r w:rsidRPr="007C2BC2">
              <w:t xml:space="preserve">1.2. </w:t>
            </w:r>
            <w:r w:rsidRPr="007C2BC2">
              <w:rPr>
                <w:b/>
              </w:rPr>
              <w:t>Pirkėjas</w:t>
            </w:r>
            <w:r w:rsidRPr="007C2BC2">
              <w:t xml:space="preserve"> įsipareigoja priimti Sutarties 2  priede pateiktas  Sutarties reikalavimus atitinkančias prekes ir už jas sumokėti Sutartyje nustatyta tvarka.</w:t>
            </w:r>
            <w:r w:rsidRPr="007C2BC2" w:rsidDel="00F7777C">
              <w:t xml:space="preserve">  </w:t>
            </w:r>
          </w:p>
        </w:tc>
      </w:tr>
      <w:tr w:rsidR="00071A09" w14:paraId="04E03DF0" w14:textId="77777777" w:rsidTr="004A3A2E">
        <w:trPr>
          <w:trHeight w:val="4860"/>
        </w:trPr>
        <w:tc>
          <w:tcPr>
            <w:tcW w:w="10150" w:type="dxa"/>
            <w:tcBorders>
              <w:top w:val="single" w:sz="4" w:space="0" w:color="auto"/>
              <w:left w:val="single" w:sz="4" w:space="0" w:color="auto"/>
              <w:bottom w:val="single" w:sz="4" w:space="0" w:color="auto"/>
              <w:right w:val="single" w:sz="4" w:space="0" w:color="auto"/>
            </w:tcBorders>
          </w:tcPr>
          <w:p w14:paraId="04E03DEA" w14:textId="77777777" w:rsidR="00071A09" w:rsidRPr="007C2BC2" w:rsidRDefault="00071A09" w:rsidP="004A3A2E">
            <w:pPr>
              <w:rPr>
                <w:b/>
              </w:rPr>
            </w:pPr>
            <w:r w:rsidRPr="007C2BC2">
              <w:rPr>
                <w:b/>
              </w:rPr>
              <w:t>2. Sutarties kaina/vertė/prekių įkainiai/kainodaros taisyklės:</w:t>
            </w:r>
          </w:p>
          <w:p w14:paraId="04E03DEB" w14:textId="77777777" w:rsidR="00071A09" w:rsidRPr="007C2BC2" w:rsidRDefault="00071A09" w:rsidP="004A3A2E">
            <w:pPr>
              <w:jc w:val="both"/>
            </w:pPr>
            <w:r w:rsidRPr="007C2BC2">
              <w:t xml:space="preserve">2.1. </w:t>
            </w:r>
            <w:r w:rsidRPr="007C2BC2">
              <w:rPr>
                <w:b/>
              </w:rPr>
              <w:t>Minimali Sutarties kaina</w:t>
            </w:r>
            <w:r w:rsidRPr="007C2BC2">
              <w:t xml:space="preserve"> – </w:t>
            </w:r>
            <w:r w:rsidRPr="007C2BC2">
              <w:rPr>
                <w:b/>
              </w:rPr>
              <w:t>31762,50 Eur</w:t>
            </w:r>
            <w:r w:rsidRPr="007C2BC2">
              <w:t xml:space="preserve"> (trisdešimt vienas tūkstantis septyni šimtai šešiasdešimt du eurai 50 ct) (įskaitant pridėtinės vertės mokestį (toliau – PVM)). Minimalią Sutarties kainą sudaro Sutarties 1 priede nustatytų minimalių perkamų prekių kiekių bendra kaina su PVM.</w:t>
            </w:r>
          </w:p>
          <w:p w14:paraId="04E03DEC" w14:textId="77777777" w:rsidR="00071A09" w:rsidRPr="007C2BC2" w:rsidRDefault="00071A09" w:rsidP="004A3A2E">
            <w:pPr>
              <w:jc w:val="both"/>
              <w:rPr>
                <w:b/>
              </w:rPr>
            </w:pPr>
            <w:r w:rsidRPr="007C2BC2">
              <w:t xml:space="preserve">2.2. </w:t>
            </w:r>
            <w:r w:rsidRPr="007C2BC2">
              <w:rPr>
                <w:b/>
              </w:rPr>
              <w:t>Maksimali Sutarties kaina – 45375,00 Eur</w:t>
            </w:r>
            <w:r w:rsidRPr="007C2BC2">
              <w:t xml:space="preserve"> (keturiasdešimt penki tūkstančiai trys šimtai septyniasdešimt penki eurai 0 ct) įskaitant PVM. Sutarties kaina detalizuota Sutarties 1 priede.</w:t>
            </w:r>
          </w:p>
          <w:p w14:paraId="04E03DED" w14:textId="77777777" w:rsidR="00071A09" w:rsidRPr="007C2BC2" w:rsidRDefault="00071A09" w:rsidP="004A3A2E">
            <w:pPr>
              <w:jc w:val="both"/>
            </w:pPr>
            <w:r w:rsidRPr="007C2BC2">
              <w:t>2.3. Sutarties kaina nurodyta su PVM bei su visais kitais mokesčiais (</w:t>
            </w:r>
            <w:r w:rsidRPr="007C2BC2">
              <w:rPr>
                <w:i/>
              </w:rPr>
              <w:t xml:space="preserve">įskaitant gamintojo </w:t>
            </w:r>
            <w:r w:rsidRPr="007C2BC2">
              <w:rPr>
                <w:bCs/>
                <w:i/>
              </w:rPr>
              <w:t>licencijų</w:t>
            </w:r>
            <w:r w:rsidRPr="007C2BC2">
              <w:rPr>
                <w:i/>
              </w:rPr>
              <w:t xml:space="preserve"> aktyvavimo mokestį, jeigu taikomas</w:t>
            </w:r>
            <w:r w:rsidRPr="007C2BC2">
              <w:t xml:space="preserve">) bei visomis </w:t>
            </w:r>
            <w:r w:rsidRPr="007C2BC2">
              <w:rPr>
                <w:b/>
              </w:rPr>
              <w:t>Pardavėjo</w:t>
            </w:r>
            <w:r w:rsidRPr="007C2BC2">
              <w:t xml:space="preserve"> išlaidomis, kurios susijusios su prekių pardavimu ir pristatymu bei galinčios turėti įtakos </w:t>
            </w:r>
            <w:r>
              <w:t>p</w:t>
            </w:r>
            <w:r w:rsidRPr="007C2BC2">
              <w:t xml:space="preserve">rekių kainai ar galinčios atsirasti vykdant šią Sutartį. Sudarydamas šią Sutartį, </w:t>
            </w:r>
            <w:r w:rsidRPr="007C2BC2">
              <w:rPr>
                <w:b/>
              </w:rPr>
              <w:t>Pardavėjas</w:t>
            </w:r>
            <w:r w:rsidRPr="007C2BC2">
              <w:t xml:space="preserve"> įvertina visą </w:t>
            </w:r>
            <w:r>
              <w:t>p</w:t>
            </w:r>
            <w:r w:rsidRPr="007C2BC2">
              <w:t>rekių apimtį bei prisiima riziką dėl išlaidų dydžių svyravimo.</w:t>
            </w:r>
          </w:p>
          <w:p w14:paraId="04E03DEE" w14:textId="77777777" w:rsidR="00071A09" w:rsidRPr="007C2BC2" w:rsidRDefault="00071A09" w:rsidP="004A3A2E">
            <w:pPr>
              <w:jc w:val="both"/>
            </w:pPr>
            <w:r w:rsidRPr="007C2BC2">
              <w:t xml:space="preserve">2.4. Sutarčiai taikoma fiksuoto įkainio su peržiūra kainodara. Peržiūros atvejis numatytas Sutarties bendrosios dalies 2.2 punkte. </w:t>
            </w:r>
          </w:p>
          <w:p w14:paraId="04E03DEF" w14:textId="77777777" w:rsidR="00071A09" w:rsidRPr="007C2BC2" w:rsidRDefault="00071A09" w:rsidP="004A3A2E">
            <w:pPr>
              <w:jc w:val="both"/>
            </w:pPr>
            <w:r w:rsidRPr="007C2BC2">
              <w:t xml:space="preserve">2.5. </w:t>
            </w:r>
            <w:r w:rsidRPr="007C2BC2">
              <w:rPr>
                <w:b/>
              </w:rPr>
              <w:t xml:space="preserve">Pirkėjas </w:t>
            </w:r>
            <w:r w:rsidRPr="007C2BC2">
              <w:t>neįsipareigoja nupirkti prekių už Sutarties specialiosios dalies 2.2 punkte nurodytą maksimalią Sutarties kainą. Pirkėjui nupirkus prekių už minimalią Sutarties kainą, Sutarties 1 priede nurodytų prekių likę kiekiai Sutarties galiojimo laikotarpiu bus perkami tik pagal Pirkėjo poreikį teikiant prekių užsakymus ir neviršijant maksimalios Sutarties kainos.</w:t>
            </w:r>
          </w:p>
        </w:tc>
      </w:tr>
      <w:tr w:rsidR="00071A09" w14:paraId="04E03DF5" w14:textId="77777777" w:rsidTr="004A3A2E">
        <w:trPr>
          <w:trHeight w:val="386"/>
        </w:trPr>
        <w:tc>
          <w:tcPr>
            <w:tcW w:w="10150" w:type="dxa"/>
            <w:tcBorders>
              <w:top w:val="single" w:sz="4" w:space="0" w:color="auto"/>
              <w:left w:val="single" w:sz="4" w:space="0" w:color="auto"/>
              <w:bottom w:val="single" w:sz="4" w:space="0" w:color="auto"/>
              <w:right w:val="single" w:sz="4" w:space="0" w:color="auto"/>
            </w:tcBorders>
          </w:tcPr>
          <w:p w14:paraId="04E03DF1" w14:textId="77777777" w:rsidR="00071A09" w:rsidRDefault="00071A09" w:rsidP="004A3A2E">
            <w:pPr>
              <w:rPr>
                <w:b/>
              </w:rPr>
            </w:pPr>
            <w:r w:rsidRPr="00EB4422">
              <w:rPr>
                <w:b/>
              </w:rPr>
              <w:t>3. Prekių pristatymo vieta, terminas ir sąlygos</w:t>
            </w:r>
            <w:r>
              <w:rPr>
                <w:b/>
              </w:rPr>
              <w:t>:</w:t>
            </w:r>
          </w:p>
          <w:p w14:paraId="04E03DF2" w14:textId="77777777" w:rsidR="00071A09" w:rsidRPr="00C02502" w:rsidRDefault="00071A09" w:rsidP="004A3A2E">
            <w:pPr>
              <w:jc w:val="both"/>
              <w:rPr>
                <w:color w:val="000000"/>
                <w:lang w:eastAsia="en-US"/>
              </w:rPr>
            </w:pPr>
            <w:r>
              <w:rPr>
                <w:color w:val="000000"/>
                <w:lang w:eastAsia="en-US"/>
              </w:rPr>
              <w:t>3.1. M</w:t>
            </w:r>
            <w:r w:rsidRPr="00766F0E">
              <w:rPr>
                <w:color w:val="000000"/>
                <w:lang w:eastAsia="en-US"/>
              </w:rPr>
              <w:t>inimal</w:t>
            </w:r>
            <w:r>
              <w:rPr>
                <w:color w:val="000000"/>
                <w:lang w:eastAsia="en-US"/>
              </w:rPr>
              <w:t>us</w:t>
            </w:r>
            <w:r w:rsidRPr="00766F0E">
              <w:rPr>
                <w:color w:val="000000"/>
                <w:lang w:eastAsia="en-US"/>
              </w:rPr>
              <w:t xml:space="preserve"> </w:t>
            </w:r>
            <w:r>
              <w:rPr>
                <w:color w:val="000000"/>
                <w:lang w:eastAsia="en-US"/>
              </w:rPr>
              <w:t>programinės įrangos kiekis nurodytas</w:t>
            </w:r>
            <w:r w:rsidRPr="00766F0E">
              <w:rPr>
                <w:color w:val="000000"/>
                <w:lang w:eastAsia="en-US"/>
              </w:rPr>
              <w:t xml:space="preserve"> Sutarties 1 priede </w:t>
            </w:r>
            <w:r>
              <w:rPr>
                <w:color w:val="000000"/>
                <w:lang w:eastAsia="en-US"/>
              </w:rPr>
              <w:t xml:space="preserve">turi </w:t>
            </w:r>
            <w:r w:rsidRPr="00C02502">
              <w:rPr>
                <w:color w:val="000000"/>
                <w:lang w:eastAsia="en-US"/>
              </w:rPr>
              <w:t xml:space="preserve">būti </w:t>
            </w:r>
            <w:r>
              <w:rPr>
                <w:color w:val="000000"/>
                <w:lang w:eastAsia="en-US"/>
              </w:rPr>
              <w:t>aktyvuotas nuotoliniu būdu</w:t>
            </w:r>
            <w:r w:rsidRPr="00C02502">
              <w:rPr>
                <w:color w:val="000000"/>
                <w:lang w:eastAsia="en-US"/>
              </w:rPr>
              <w:t xml:space="preserve"> per </w:t>
            </w:r>
            <w:r>
              <w:rPr>
                <w:color w:val="000000"/>
                <w:lang w:eastAsia="en-US"/>
              </w:rPr>
              <w:t>30 (trisdešimt)</w:t>
            </w:r>
            <w:r w:rsidRPr="00C02502">
              <w:rPr>
                <w:color w:val="000000"/>
                <w:lang w:eastAsia="en-US"/>
              </w:rPr>
              <w:t xml:space="preserve"> </w:t>
            </w:r>
            <w:r>
              <w:rPr>
                <w:color w:val="000000"/>
                <w:lang w:eastAsia="en-US"/>
              </w:rPr>
              <w:t>dienų</w:t>
            </w:r>
            <w:r w:rsidRPr="00C02502">
              <w:rPr>
                <w:color w:val="000000"/>
                <w:lang w:eastAsia="en-US"/>
              </w:rPr>
              <w:t xml:space="preserve"> nuo </w:t>
            </w:r>
            <w:r>
              <w:rPr>
                <w:color w:val="000000"/>
                <w:lang w:eastAsia="en-US"/>
              </w:rPr>
              <w:t>S</w:t>
            </w:r>
            <w:r w:rsidRPr="00C02502">
              <w:rPr>
                <w:color w:val="000000"/>
                <w:lang w:eastAsia="en-US"/>
              </w:rPr>
              <w:t>utarties įsigaliojimo dienos.</w:t>
            </w:r>
          </w:p>
          <w:p w14:paraId="04E03DF3" w14:textId="77777777" w:rsidR="00071A09" w:rsidRDefault="00071A09" w:rsidP="004A3A2E">
            <w:pPr>
              <w:ind w:left="34"/>
              <w:jc w:val="both"/>
              <w:rPr>
                <w:lang w:eastAsia="en-US"/>
              </w:rPr>
            </w:pPr>
            <w:r>
              <w:rPr>
                <w:lang w:eastAsia="en-US"/>
              </w:rPr>
              <w:t>3.2. Prekės</w:t>
            </w:r>
            <w:r w:rsidRPr="00C02502">
              <w:rPr>
                <w:lang w:eastAsia="en-US"/>
              </w:rPr>
              <w:t xml:space="preserve"> pristatymo sąlygos – </w:t>
            </w:r>
            <w:r>
              <w:rPr>
                <w:lang w:eastAsia="en-US"/>
              </w:rPr>
              <w:t xml:space="preserve">patvirtinimą, kad </w:t>
            </w:r>
            <w:r>
              <w:rPr>
                <w:color w:val="000000"/>
                <w:lang w:eastAsia="en-US"/>
              </w:rPr>
              <w:t xml:space="preserve">programinė įranga </w:t>
            </w:r>
            <w:r>
              <w:rPr>
                <w:lang w:eastAsia="en-US"/>
              </w:rPr>
              <w:t xml:space="preserve">aktyvuota, </w:t>
            </w:r>
            <w:r w:rsidRPr="00A872A7">
              <w:rPr>
                <w:b/>
                <w:lang w:eastAsia="en-US"/>
              </w:rPr>
              <w:t>Pardavėjas</w:t>
            </w:r>
            <w:r>
              <w:rPr>
                <w:lang w:eastAsia="en-US"/>
              </w:rPr>
              <w:t xml:space="preserve"> privalo atsiųsti</w:t>
            </w:r>
            <w:r w:rsidRPr="00C02502">
              <w:rPr>
                <w:lang w:eastAsia="en-US"/>
              </w:rPr>
              <w:t xml:space="preserve"> </w:t>
            </w:r>
            <w:r w:rsidRPr="00A872A7">
              <w:rPr>
                <w:b/>
                <w:lang w:eastAsia="en-US"/>
              </w:rPr>
              <w:t>Pirkėjui</w:t>
            </w:r>
            <w:r w:rsidRPr="00C02502">
              <w:rPr>
                <w:lang w:eastAsia="en-US"/>
              </w:rPr>
              <w:t xml:space="preserve"> adresu</w:t>
            </w:r>
            <w:r>
              <w:rPr>
                <w:lang w:eastAsia="en-US"/>
              </w:rPr>
              <w:t xml:space="preserve">: </w:t>
            </w:r>
            <w:r w:rsidRPr="00FA22B6">
              <w:t>ITT.Licences@kam.lt</w:t>
            </w:r>
            <w:r w:rsidRPr="00C02502">
              <w:rPr>
                <w:lang w:eastAsia="en-US"/>
              </w:rPr>
              <w:t>.</w:t>
            </w:r>
            <w:r>
              <w:rPr>
                <w:lang w:eastAsia="en-US"/>
              </w:rPr>
              <w:t xml:space="preserve"> </w:t>
            </w:r>
            <w:r w:rsidRPr="007376B3">
              <w:rPr>
                <w:lang w:eastAsia="en-US"/>
              </w:rPr>
              <w:t>Programinės įrangos aktyvavimo faktas taip pat turi matytis gamintojo portale</w:t>
            </w:r>
            <w:r>
              <w:rPr>
                <w:lang w:eastAsia="en-US"/>
              </w:rPr>
              <w:t>.</w:t>
            </w:r>
          </w:p>
          <w:p w14:paraId="04E03DF4" w14:textId="77777777" w:rsidR="00071A09" w:rsidRPr="0046350E" w:rsidRDefault="00071A09" w:rsidP="004A3A2E">
            <w:pPr>
              <w:ind w:left="34"/>
              <w:jc w:val="both"/>
            </w:pPr>
            <w:r>
              <w:rPr>
                <w:szCs w:val="20"/>
                <w:lang w:eastAsia="en-US"/>
              </w:rPr>
              <w:t>3.3</w:t>
            </w:r>
            <w:r w:rsidRPr="00AD6CAD">
              <w:rPr>
                <w:szCs w:val="20"/>
                <w:lang w:eastAsia="en-US"/>
              </w:rPr>
              <w:t xml:space="preserve">. </w:t>
            </w:r>
            <w:r w:rsidRPr="00AD6CAD">
              <w:rPr>
                <w:b/>
              </w:rPr>
              <w:t>Pardavėjas</w:t>
            </w:r>
            <w:r w:rsidRPr="00AD6CAD">
              <w:t xml:space="preserve"> privalo užtikrinti, kad Sutarties sudarymo ir vykdymo metu neatsirastų aplinkybių nurodytų Viešųjų pirkimų įstatymo 45 straipsnio 2</w:t>
            </w:r>
            <w:r w:rsidRPr="00AD6CAD">
              <w:rPr>
                <w:vertAlign w:val="superscript"/>
              </w:rPr>
              <w:t>1</w:t>
            </w:r>
            <w:r w:rsidRPr="00AD6CAD">
              <w:t xml:space="preserve"> dalyje. </w:t>
            </w:r>
            <w:r w:rsidRPr="00AD6CAD">
              <w:rPr>
                <w:b/>
              </w:rPr>
              <w:t>Pirkėjas</w:t>
            </w:r>
            <w:r w:rsidRPr="00AD6CAD">
              <w:t xml:space="preserve"> turi teisę bet kuriuo metu pareikalauti </w:t>
            </w:r>
            <w:r w:rsidRPr="00AD6CAD">
              <w:rPr>
                <w:b/>
              </w:rPr>
              <w:t>Pardavėjo</w:t>
            </w:r>
            <w:r w:rsidRPr="00AD6CAD">
              <w:t>, pateikti pagrindžiančius dokumentus nurodytus Viešųjų pirkimų įstatymo 51 straipsnio 12 dalyje, kad nėra sąlygų, numatytų Viešųjų pirkimų įstatymo 45 straipsnio 2</w:t>
            </w:r>
            <w:r w:rsidRPr="00AD6CAD">
              <w:rPr>
                <w:vertAlign w:val="superscript"/>
              </w:rPr>
              <w:t>1</w:t>
            </w:r>
            <w:r w:rsidRPr="00AD6CAD">
              <w:t xml:space="preserve"> dalyje. </w:t>
            </w:r>
            <w:r w:rsidRPr="00AD6CAD">
              <w:rPr>
                <w:b/>
              </w:rPr>
              <w:lastRenderedPageBreak/>
              <w:t>Pardavėjas</w:t>
            </w:r>
            <w:r w:rsidRPr="00AD6CAD">
              <w:t xml:space="preserve"> privalo pateikti </w:t>
            </w:r>
            <w:r w:rsidRPr="00AD6CAD">
              <w:rPr>
                <w:b/>
              </w:rPr>
              <w:t>Pirkėjo</w:t>
            </w:r>
            <w:r w:rsidRPr="00AD6CAD">
              <w:t xml:space="preserve"> prašomus dokumentus ne vėliau kaip per 10 darbo dien</w:t>
            </w:r>
            <w:r>
              <w:t>ų</w:t>
            </w:r>
            <w:r w:rsidRPr="00AD6CAD">
              <w:t xml:space="preserve"> nuo prašymo gavimo dienos.</w:t>
            </w:r>
          </w:p>
        </w:tc>
      </w:tr>
      <w:tr w:rsidR="00071A09" w14:paraId="04E03DFA" w14:textId="77777777" w:rsidTr="004A3A2E">
        <w:trPr>
          <w:trHeight w:val="555"/>
        </w:trPr>
        <w:tc>
          <w:tcPr>
            <w:tcW w:w="10150" w:type="dxa"/>
            <w:tcBorders>
              <w:top w:val="single" w:sz="4" w:space="0" w:color="auto"/>
              <w:left w:val="single" w:sz="4" w:space="0" w:color="auto"/>
              <w:bottom w:val="single" w:sz="4" w:space="0" w:color="auto"/>
              <w:right w:val="single" w:sz="4" w:space="0" w:color="auto"/>
            </w:tcBorders>
            <w:hideMark/>
          </w:tcPr>
          <w:p w14:paraId="04E03DF6" w14:textId="77777777" w:rsidR="00071A09" w:rsidRDefault="00071A09" w:rsidP="004A3A2E">
            <w:pPr>
              <w:jc w:val="both"/>
              <w:rPr>
                <w:b/>
              </w:rPr>
            </w:pPr>
            <w:r w:rsidRPr="00EB4422">
              <w:rPr>
                <w:b/>
              </w:rPr>
              <w:lastRenderedPageBreak/>
              <w:t>4. Apmokėjimo tvarka</w:t>
            </w:r>
            <w:r>
              <w:rPr>
                <w:b/>
              </w:rPr>
              <w:t>.</w:t>
            </w:r>
          </w:p>
          <w:p w14:paraId="04E03DF7" w14:textId="77777777" w:rsidR="00071A09" w:rsidRDefault="00071A09" w:rsidP="004A3A2E">
            <w:pPr>
              <w:jc w:val="both"/>
            </w:pPr>
            <w:r w:rsidRPr="007929E7">
              <w:t xml:space="preserve">4.1. </w:t>
            </w:r>
            <w:r w:rsidRPr="007929E7">
              <w:rPr>
                <w:b/>
              </w:rPr>
              <w:t xml:space="preserve">Pirkėjas </w:t>
            </w:r>
            <w:r w:rsidRPr="007929E7">
              <w:t xml:space="preserve">su </w:t>
            </w:r>
            <w:r w:rsidRPr="007929E7">
              <w:rPr>
                <w:b/>
              </w:rPr>
              <w:t xml:space="preserve">Pardavėju </w:t>
            </w:r>
            <w:r w:rsidRPr="007929E7">
              <w:t>atsiskaito Sutarties bendrosios dalies 4.1 punkte nustatyta tvarka.</w:t>
            </w:r>
          </w:p>
          <w:p w14:paraId="04E03DF8" w14:textId="77777777" w:rsidR="00071A09" w:rsidRPr="005E58A1" w:rsidRDefault="00071A09" w:rsidP="004A3A2E">
            <w:pPr>
              <w:jc w:val="both"/>
            </w:pPr>
            <w:r w:rsidRPr="00B53D1B">
              <w:t>4.2. Avanso mokėjimas nenumatytas.</w:t>
            </w:r>
          </w:p>
          <w:p w14:paraId="04E03DF9" w14:textId="77777777" w:rsidR="00071A09" w:rsidRPr="00EB4422" w:rsidRDefault="00071A09" w:rsidP="004A3A2E">
            <w:pPr>
              <w:jc w:val="both"/>
              <w:rPr>
                <w:b/>
              </w:rPr>
            </w:pPr>
            <w:r w:rsidRPr="005E58A1">
              <w:t xml:space="preserve">4.3. </w:t>
            </w:r>
            <w:r w:rsidRPr="00153FBC">
              <w:t>Vykdant sutartį, pridėtinės vertės mokesčio sąskaitos faktūros, turi būti teikiamos naudojantis informacinės sistemos „E. sąskaita“ priemonėmis nurodant Pirkėją, Sutarties numerį ir datą.  Jeigu Pardavėjas nepateikia sąskaitos informacinės sistemos „E. sąskaita“ priemonėmis, mokėjimas neatliekamas.</w:t>
            </w:r>
          </w:p>
        </w:tc>
      </w:tr>
      <w:tr w:rsidR="00071A09" w14:paraId="04E03E02" w14:textId="77777777" w:rsidTr="004A3A2E">
        <w:trPr>
          <w:trHeight w:val="702"/>
        </w:trPr>
        <w:tc>
          <w:tcPr>
            <w:tcW w:w="10150" w:type="dxa"/>
            <w:tcBorders>
              <w:top w:val="single" w:sz="4" w:space="0" w:color="auto"/>
              <w:left w:val="single" w:sz="4" w:space="0" w:color="auto"/>
              <w:bottom w:val="single" w:sz="4" w:space="0" w:color="auto"/>
              <w:right w:val="single" w:sz="4" w:space="0" w:color="auto"/>
            </w:tcBorders>
          </w:tcPr>
          <w:p w14:paraId="04E03DFB" w14:textId="77777777" w:rsidR="00071A09" w:rsidRDefault="00071A09" w:rsidP="004A3A2E">
            <w:pPr>
              <w:jc w:val="both"/>
              <w:rPr>
                <w:b/>
              </w:rPr>
            </w:pPr>
            <w:r>
              <w:rPr>
                <w:b/>
              </w:rPr>
              <w:t>5.Pirkėjo teisė vienašališkai nutraukti Sutartį</w:t>
            </w:r>
            <w:r>
              <w:t xml:space="preserve"> </w:t>
            </w:r>
          </w:p>
          <w:p w14:paraId="04E03DFC" w14:textId="77777777" w:rsidR="00071A09" w:rsidRPr="00105074" w:rsidRDefault="00071A09" w:rsidP="004A3A2E">
            <w:pPr>
              <w:ind w:right="30"/>
              <w:jc w:val="both"/>
              <w:rPr>
                <w:szCs w:val="22"/>
              </w:rPr>
            </w:pPr>
            <w:r w:rsidRPr="00105074">
              <w:rPr>
                <w:szCs w:val="22"/>
              </w:rP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14:paraId="04E03DFD" w14:textId="77777777" w:rsidR="00071A09" w:rsidRPr="00105074" w:rsidRDefault="00071A09" w:rsidP="004A3A2E">
            <w:pPr>
              <w:ind w:right="30"/>
              <w:jc w:val="both"/>
              <w:rPr>
                <w:szCs w:val="22"/>
              </w:rPr>
            </w:pPr>
            <w:r w:rsidRPr="00105074">
              <w:rPr>
                <w:szCs w:val="22"/>
              </w:rPr>
              <w:t xml:space="preserve">5.1.1. </w:t>
            </w:r>
            <w:r w:rsidRPr="009E023B">
              <w:rPr>
                <w:b/>
                <w:szCs w:val="22"/>
              </w:rPr>
              <w:t>Pardavėjui</w:t>
            </w:r>
            <w:r w:rsidRPr="00105074">
              <w:rPr>
                <w:szCs w:val="22"/>
              </w:rPr>
              <w:t xml:space="preserve"> vėluojant </w:t>
            </w:r>
            <w:r>
              <w:rPr>
                <w:szCs w:val="22"/>
              </w:rPr>
              <w:t xml:space="preserve">pristatyti prekes daugiau kaip </w:t>
            </w:r>
            <w:r>
              <w:t xml:space="preserve">15 (penkiolika) </w:t>
            </w:r>
            <w:r>
              <w:rPr>
                <w:szCs w:val="22"/>
              </w:rPr>
              <w:t>dienų</w:t>
            </w:r>
            <w:r w:rsidRPr="00105074">
              <w:rPr>
                <w:szCs w:val="22"/>
              </w:rPr>
              <w:t xml:space="preserve"> nuo Sut</w:t>
            </w:r>
            <w:r>
              <w:rPr>
                <w:szCs w:val="22"/>
              </w:rPr>
              <w:t xml:space="preserve">arties Specialiosios dalies </w:t>
            </w:r>
            <w:r w:rsidRPr="00671D0B">
              <w:rPr>
                <w:szCs w:val="22"/>
              </w:rPr>
              <w:t>3.</w:t>
            </w:r>
            <w:r>
              <w:rPr>
                <w:szCs w:val="22"/>
              </w:rPr>
              <w:t>1</w:t>
            </w:r>
            <w:r w:rsidRPr="00671D0B">
              <w:rPr>
                <w:szCs w:val="22"/>
              </w:rPr>
              <w:t xml:space="preserve"> </w:t>
            </w:r>
            <w:r>
              <w:rPr>
                <w:szCs w:val="22"/>
              </w:rPr>
              <w:t>punkte</w:t>
            </w:r>
            <w:r w:rsidRPr="00671D0B">
              <w:rPr>
                <w:szCs w:val="22"/>
              </w:rPr>
              <w:t xml:space="preserve"> nustatyto termino; </w:t>
            </w:r>
          </w:p>
          <w:p w14:paraId="04E03DFE" w14:textId="77777777" w:rsidR="00071A09" w:rsidRPr="00237C88" w:rsidRDefault="00071A09" w:rsidP="004A3A2E">
            <w:pPr>
              <w:jc w:val="both"/>
            </w:pPr>
            <w:r w:rsidRPr="00237C88">
              <w:t>5.1.</w:t>
            </w:r>
            <w:r>
              <w:t>2</w:t>
            </w:r>
            <w:r w:rsidRPr="00237C88">
              <w:t xml:space="preserve">. </w:t>
            </w:r>
            <w:r w:rsidRPr="00237C88">
              <w:rPr>
                <w:b/>
              </w:rPr>
              <w:t>Pardavėjas</w:t>
            </w:r>
            <w:r w:rsidRPr="00237C88">
              <w:t xml:space="preserve"> per </w:t>
            </w:r>
            <w:r w:rsidRPr="00237C88">
              <w:rPr>
                <w:b/>
              </w:rPr>
              <w:t>Pirkėjo</w:t>
            </w:r>
            <w:r w:rsidRPr="00237C88">
              <w:t xml:space="preserve"> nustatytą terminą </w:t>
            </w:r>
            <w:r w:rsidRPr="00237C88">
              <w:rPr>
                <w:b/>
              </w:rPr>
              <w:t>Pirkėjui</w:t>
            </w:r>
            <w:r w:rsidRPr="00237C88">
              <w:t xml:space="preserve"> nepateikia Sutarties specialiosios dalies 3.7 punkte nurodytų dokumentų.</w:t>
            </w:r>
          </w:p>
          <w:p w14:paraId="04E03DFF" w14:textId="77777777" w:rsidR="00071A09" w:rsidRDefault="00071A09" w:rsidP="004A3A2E">
            <w:pPr>
              <w:jc w:val="both"/>
            </w:pPr>
            <w:r w:rsidRPr="00237C88">
              <w:t>5.1.</w:t>
            </w:r>
            <w:r>
              <w:t>3</w:t>
            </w:r>
            <w:r w:rsidRPr="00237C88">
              <w:t>. Paaiškėja, kad yra aplinkybė, atitinkanti bent vieną iš Viešųjų pirkimo įstatymo 45 straipsnio 2</w:t>
            </w:r>
            <w:r w:rsidRPr="00237C88">
              <w:rPr>
                <w:vertAlign w:val="superscript"/>
              </w:rPr>
              <w:t>1</w:t>
            </w:r>
            <w:r w:rsidRPr="00237C88">
              <w:t xml:space="preserve"> dalyje išvardintų sąlygų.</w:t>
            </w:r>
          </w:p>
          <w:p w14:paraId="04E03E00" w14:textId="77777777" w:rsidR="00071A09" w:rsidRDefault="00071A09" w:rsidP="004A3A2E">
            <w:pPr>
              <w:jc w:val="both"/>
            </w:pPr>
            <w:r w:rsidRPr="006F5947">
              <w:t>5.1.4. kitais vienašalio Sutarties nutraukimo atvejais numatytais Sutarties Bendrosios dalies 9.2 punkte.</w:t>
            </w:r>
          </w:p>
          <w:p w14:paraId="04E03E01" w14:textId="77777777" w:rsidR="00071A09" w:rsidRDefault="00071A09" w:rsidP="004A3A2E">
            <w:pPr>
              <w:jc w:val="both"/>
              <w:rPr>
                <w:b/>
              </w:rPr>
            </w:pPr>
          </w:p>
        </w:tc>
      </w:tr>
      <w:tr w:rsidR="00071A09" w14:paraId="04E03E05" w14:textId="77777777" w:rsidTr="004A3A2E">
        <w:trPr>
          <w:trHeight w:val="442"/>
        </w:trPr>
        <w:tc>
          <w:tcPr>
            <w:tcW w:w="10150" w:type="dxa"/>
            <w:tcBorders>
              <w:top w:val="single" w:sz="4" w:space="0" w:color="auto"/>
              <w:left w:val="single" w:sz="4" w:space="0" w:color="auto"/>
              <w:bottom w:val="single" w:sz="4" w:space="0" w:color="auto"/>
              <w:right w:val="single" w:sz="4" w:space="0" w:color="auto"/>
            </w:tcBorders>
            <w:hideMark/>
          </w:tcPr>
          <w:p w14:paraId="04E03E03" w14:textId="77777777" w:rsidR="00071A09" w:rsidRPr="00EB4422" w:rsidRDefault="00071A09" w:rsidP="004A3A2E">
            <w:pPr>
              <w:rPr>
                <w:b/>
              </w:rPr>
            </w:pPr>
            <w:r w:rsidRPr="00EB4422">
              <w:rPr>
                <w:b/>
              </w:rPr>
              <w:t xml:space="preserve">6. Prekių kokybė </w:t>
            </w:r>
          </w:p>
          <w:p w14:paraId="04E03E04" w14:textId="77777777" w:rsidR="00071A09" w:rsidRPr="00175AD8" w:rsidRDefault="00071A09" w:rsidP="004A3A2E">
            <w:pPr>
              <w:jc w:val="both"/>
              <w:rPr>
                <w:b/>
                <w:color w:val="FF0000"/>
              </w:rPr>
            </w:pPr>
            <w:r w:rsidRPr="00EB4422">
              <w:t xml:space="preserve">Prekių kokybė privalo atitikti Sutartyje ir jos prieduose </w:t>
            </w:r>
            <w:r w:rsidRPr="00C33D3A">
              <w:t xml:space="preserve">nustatytus </w:t>
            </w:r>
            <w:r w:rsidRPr="00EB4422">
              <w:t>reikalavimus.</w:t>
            </w:r>
          </w:p>
        </w:tc>
      </w:tr>
      <w:tr w:rsidR="00071A09" w14:paraId="04E03E0C" w14:textId="77777777" w:rsidTr="004A3A2E">
        <w:trPr>
          <w:trHeight w:val="1125"/>
        </w:trPr>
        <w:tc>
          <w:tcPr>
            <w:tcW w:w="10150" w:type="dxa"/>
            <w:tcBorders>
              <w:top w:val="single" w:sz="4" w:space="0" w:color="auto"/>
              <w:left w:val="single" w:sz="4" w:space="0" w:color="auto"/>
              <w:bottom w:val="single" w:sz="4" w:space="0" w:color="auto"/>
              <w:right w:val="single" w:sz="4" w:space="0" w:color="auto"/>
            </w:tcBorders>
          </w:tcPr>
          <w:p w14:paraId="04E03E06" w14:textId="77777777" w:rsidR="00071A09" w:rsidRDefault="00071A09" w:rsidP="004A3A2E">
            <w:pPr>
              <w:jc w:val="both"/>
              <w:rPr>
                <w:b/>
              </w:rPr>
            </w:pPr>
            <w:r>
              <w:rPr>
                <w:b/>
              </w:rPr>
              <w:t>7. Garantiniai įsipareigojimai</w:t>
            </w:r>
          </w:p>
          <w:p w14:paraId="04E03E07" w14:textId="77777777" w:rsidR="00071A09" w:rsidRPr="007A0EB5" w:rsidRDefault="00071A09" w:rsidP="004A3A2E">
            <w:pPr>
              <w:tabs>
                <w:tab w:val="left" w:pos="394"/>
                <w:tab w:val="left" w:pos="536"/>
              </w:tabs>
              <w:jc w:val="both"/>
            </w:pPr>
            <w:r w:rsidRPr="007A0EB5">
              <w:t xml:space="preserve">7.1. </w:t>
            </w:r>
            <w:r w:rsidRPr="007A0EB5">
              <w:rPr>
                <w:b/>
              </w:rPr>
              <w:t>Pardavėjo</w:t>
            </w:r>
            <w:r w:rsidRPr="007A0EB5">
              <w:t xml:space="preserve"> pristatytų prekių kokybės garantijos/tinkamumo naudoti terminas nustatytas Sutarties 2 priede.</w:t>
            </w:r>
          </w:p>
          <w:p w14:paraId="04E03E08" w14:textId="77777777" w:rsidR="00071A09" w:rsidRDefault="00071A09" w:rsidP="004A3A2E">
            <w:pPr>
              <w:tabs>
                <w:tab w:val="left" w:pos="282"/>
              </w:tabs>
              <w:jc w:val="both"/>
            </w:pPr>
            <w:r w:rsidRPr="00EB4422">
              <w:t>7.2.</w:t>
            </w:r>
            <w:r>
              <w:t xml:space="preserve"> </w:t>
            </w:r>
            <w:r w:rsidRPr="0008050E">
              <w:t>Sutarties bendrosios dalies 6.3 punkte nurodytas terminas -</w:t>
            </w:r>
            <w:r>
              <w:t xml:space="preserve"> 3 (trys) darbo dienos nuo pranešimo raštu (el. paštu) apie prekių trūkumus gavimo.</w:t>
            </w:r>
          </w:p>
          <w:p w14:paraId="04E03E09" w14:textId="77777777" w:rsidR="00071A09" w:rsidRDefault="00071A09" w:rsidP="004A3A2E">
            <w:pPr>
              <w:tabs>
                <w:tab w:val="left" w:pos="282"/>
              </w:tabs>
              <w:jc w:val="both"/>
            </w:pPr>
            <w:r>
              <w:t xml:space="preserve">7.3. Nepavykus pašalinti prekių trūkumų per Sutarties specialiosios dalies 7.2 punkte nurodytą laikotarpį, </w:t>
            </w:r>
            <w:r w:rsidRPr="00CB7227">
              <w:rPr>
                <w:b/>
              </w:rPr>
              <w:t>Pardavėjas</w:t>
            </w:r>
            <w:r>
              <w:t xml:space="preserve"> privalo ne vėliau, kaip per 5 (penkias) darbo dienas  nuo</w:t>
            </w:r>
            <w:r w:rsidRPr="00085403">
              <w:t xml:space="preserve"> raštiško </w:t>
            </w:r>
            <w:r w:rsidRPr="003C6B76">
              <w:rPr>
                <w:b/>
              </w:rPr>
              <w:t>Pirkėjo</w:t>
            </w:r>
            <w:r w:rsidRPr="00085403">
              <w:t xml:space="preserve"> pranešimo apie prekių trūkumus </w:t>
            </w:r>
            <w:r>
              <w:t>prekes su trūkumais savo sąskaita pakeisti naujomis, atitinkančiomis šioje Sutartyje ir jos 2 priede nustatytus reikalavimus.</w:t>
            </w:r>
          </w:p>
          <w:p w14:paraId="04E03E0A" w14:textId="77777777" w:rsidR="00071A09" w:rsidRPr="0046350E" w:rsidRDefault="00071A09" w:rsidP="004A3A2E">
            <w:pPr>
              <w:tabs>
                <w:tab w:val="left" w:pos="282"/>
              </w:tabs>
              <w:jc w:val="both"/>
              <w:rPr>
                <w:lang w:val="en-US"/>
              </w:rPr>
            </w:pPr>
            <w:r>
              <w:t>7</w:t>
            </w:r>
            <w:r w:rsidRPr="00507317">
              <w:t>.</w:t>
            </w:r>
            <w:r>
              <w:t>4</w:t>
            </w:r>
            <w:r w:rsidRPr="0046350E">
              <w:t>.</w:t>
            </w:r>
            <w:r w:rsidRPr="0046350E">
              <w:rPr>
                <w:b/>
              </w:rPr>
              <w:t xml:space="preserve"> Pardavėjas</w:t>
            </w:r>
            <w:r w:rsidRPr="0046350E">
              <w:t xml:space="preserve"> skiria savo atstovą, atsakingą už tiekiamų prekių kokybę: Auksė Bačiulytė, </w:t>
            </w:r>
            <w:r>
              <w:t>T</w:t>
            </w:r>
            <w:r w:rsidRPr="0046350E">
              <w:t xml:space="preserve">el. 867037384, el.p. aukse.baciulyte@fortevento.lt.   </w:t>
            </w:r>
          </w:p>
          <w:p w14:paraId="04E03E0B" w14:textId="77777777" w:rsidR="00071A09" w:rsidRPr="00490956" w:rsidRDefault="00071A09" w:rsidP="004A3A2E">
            <w:pPr>
              <w:jc w:val="both"/>
              <w:rPr>
                <w:i/>
              </w:rPr>
            </w:pPr>
            <w:r w:rsidRPr="00EF5D88">
              <w:t>7.</w:t>
            </w:r>
            <w:r>
              <w:t>5</w:t>
            </w:r>
            <w:r w:rsidRPr="00EF5D88">
              <w:t>.</w:t>
            </w:r>
            <w:r w:rsidRPr="00EF5D88">
              <w:rPr>
                <w:b/>
              </w:rPr>
              <w:t xml:space="preserve"> </w:t>
            </w:r>
            <w:r w:rsidRPr="00BB54D1">
              <w:rPr>
                <w:b/>
              </w:rPr>
              <w:t>Pirkėjas</w:t>
            </w:r>
            <w:r w:rsidRPr="009D0B6E">
              <w:t xml:space="preserve"> Sutarties vykdymui skiria atsakingą asmenį:</w:t>
            </w:r>
            <w:r w:rsidRPr="009D0B6E">
              <w:rPr>
                <w:color w:val="000000"/>
              </w:rPr>
              <w:t xml:space="preserve"> </w:t>
            </w:r>
            <w:r w:rsidRPr="0046350E">
              <w:rPr>
                <w:color w:val="000000"/>
              </w:rPr>
              <w:t>Viktoras Jucas</w:t>
            </w:r>
            <w:r>
              <w:rPr>
                <w:color w:val="000000"/>
              </w:rPr>
              <w:t xml:space="preserve">, ITT prie KAM </w:t>
            </w:r>
            <w:r w:rsidRPr="0046350E">
              <w:rPr>
                <w:color w:val="000000"/>
              </w:rPr>
              <w:t>Informa</w:t>
            </w:r>
            <w:r>
              <w:rPr>
                <w:color w:val="000000"/>
              </w:rPr>
              <w:t xml:space="preserve">cinių technologijų departamento </w:t>
            </w:r>
            <w:r w:rsidRPr="0046350E">
              <w:rPr>
                <w:color w:val="000000"/>
              </w:rPr>
              <w:t>Informacinių sistemų administravimo skyri</w:t>
            </w:r>
            <w:r>
              <w:rPr>
                <w:color w:val="000000"/>
              </w:rPr>
              <w:t>a</w:t>
            </w:r>
            <w:r w:rsidRPr="0046350E">
              <w:rPr>
                <w:color w:val="000000"/>
              </w:rPr>
              <w:t>us</w:t>
            </w:r>
            <w:r>
              <w:t xml:space="preserve"> </w:t>
            </w:r>
            <w:r w:rsidRPr="0046350E">
              <w:rPr>
                <w:color w:val="000000"/>
              </w:rPr>
              <w:t>vedėjas</w:t>
            </w:r>
            <w:r>
              <w:rPr>
                <w:color w:val="000000"/>
              </w:rPr>
              <w:t>, T</w:t>
            </w:r>
            <w:r w:rsidRPr="0046350E">
              <w:rPr>
                <w:color w:val="000000"/>
              </w:rPr>
              <w:t xml:space="preserve">el. </w:t>
            </w:r>
            <w:r>
              <w:rPr>
                <w:color w:val="000000"/>
              </w:rPr>
              <w:t>+370694 03128</w:t>
            </w:r>
            <w:r w:rsidRPr="0046350E">
              <w:rPr>
                <w:color w:val="000000"/>
              </w:rPr>
              <w:t>, el.p. viktoras.jucas@kam.lt.</w:t>
            </w:r>
          </w:p>
        </w:tc>
      </w:tr>
      <w:tr w:rsidR="00071A09" w14:paraId="04E03E0F" w14:textId="77777777" w:rsidTr="004A3A2E">
        <w:trPr>
          <w:trHeight w:val="862"/>
        </w:trPr>
        <w:tc>
          <w:tcPr>
            <w:tcW w:w="10150" w:type="dxa"/>
            <w:tcBorders>
              <w:top w:val="single" w:sz="4" w:space="0" w:color="auto"/>
              <w:left w:val="single" w:sz="4" w:space="0" w:color="auto"/>
              <w:bottom w:val="single" w:sz="4" w:space="0" w:color="auto"/>
              <w:right w:val="single" w:sz="4" w:space="0" w:color="auto"/>
            </w:tcBorders>
            <w:hideMark/>
          </w:tcPr>
          <w:p w14:paraId="04E03E0D" w14:textId="77777777" w:rsidR="00071A09" w:rsidRDefault="00071A09" w:rsidP="004A3A2E">
            <w:pPr>
              <w:contextualSpacing/>
              <w:jc w:val="both"/>
              <w:rPr>
                <w:i/>
              </w:rPr>
            </w:pPr>
            <w:r>
              <w:rPr>
                <w:b/>
              </w:rPr>
              <w:t xml:space="preserve">8. Papildomas prievolių įvykdymo užtikrinimas </w:t>
            </w:r>
          </w:p>
          <w:p w14:paraId="04E03E0E" w14:textId="77777777" w:rsidR="00071A09" w:rsidRPr="005A2230" w:rsidRDefault="00071A09" w:rsidP="004A3A2E">
            <w:pPr>
              <w:contextualSpacing/>
              <w:jc w:val="both"/>
            </w:pPr>
            <w:r w:rsidRPr="005A2230">
              <w:rPr>
                <w:rFonts w:eastAsia="Calibri"/>
                <w:lang w:eastAsia="en-US"/>
              </w:rPr>
              <w:t>Sutarties įvykdymui užtikrinti draudimo bendrovės laidavimo rašto arba banko garantijos nebus reikalaujama.</w:t>
            </w:r>
          </w:p>
        </w:tc>
      </w:tr>
      <w:tr w:rsidR="00071A09" w14:paraId="04E03E1D" w14:textId="77777777" w:rsidTr="004A3A2E">
        <w:trPr>
          <w:trHeight w:val="1241"/>
        </w:trPr>
        <w:tc>
          <w:tcPr>
            <w:tcW w:w="10150" w:type="dxa"/>
            <w:tcBorders>
              <w:top w:val="single" w:sz="4" w:space="0" w:color="auto"/>
              <w:left w:val="single" w:sz="4" w:space="0" w:color="auto"/>
              <w:bottom w:val="single" w:sz="4" w:space="0" w:color="auto"/>
              <w:right w:val="single" w:sz="4" w:space="0" w:color="auto"/>
            </w:tcBorders>
          </w:tcPr>
          <w:p w14:paraId="04E03E10" w14:textId="77777777" w:rsidR="00071A09" w:rsidRPr="0047583B" w:rsidRDefault="00071A09" w:rsidP="004A3A2E">
            <w:pPr>
              <w:jc w:val="both"/>
              <w:rPr>
                <w:b/>
              </w:rPr>
            </w:pPr>
            <w:r w:rsidRPr="0047583B">
              <w:rPr>
                <w:b/>
              </w:rPr>
              <w:t>9. Kitos sąlygos</w:t>
            </w:r>
          </w:p>
          <w:p w14:paraId="04E03E11" w14:textId="77777777" w:rsidR="00071A09" w:rsidRPr="0047583B" w:rsidRDefault="00071A09" w:rsidP="004A3A2E">
            <w:pPr>
              <w:jc w:val="both"/>
            </w:pPr>
            <w:r w:rsidRPr="0047583B">
              <w:t>9.1. Sutarties bendrosios dalies 11.1 punkte nurodytų Šalių iš anksto sutartų minimalių nuostolių dydis yra – 0,05 % dydžio nuo nepristatytų prekių kainos be PVM už kiekvieną uždelstą dieną.</w:t>
            </w:r>
          </w:p>
          <w:p w14:paraId="04E03E12" w14:textId="77777777" w:rsidR="00071A09" w:rsidRPr="0047583B" w:rsidRDefault="00071A09" w:rsidP="004A3A2E">
            <w:pPr>
              <w:jc w:val="both"/>
            </w:pPr>
            <w:r w:rsidRPr="0047583B">
              <w:t>9.2. Sutarties bendrosios dalies 11.2 punkte nurodytų Šalių iš anksto sutartų minimalių nuostolių dydis yra –0,05 % dydžio nuo prekių, kurioms yra nesuteiktos pakaitinės prekės , kainos be PVM už kiekvieną uždelstą dieną.</w:t>
            </w:r>
          </w:p>
          <w:p w14:paraId="04E03E13" w14:textId="77777777" w:rsidR="00071A09" w:rsidRPr="0047583B" w:rsidRDefault="00071A09" w:rsidP="004A3A2E">
            <w:pPr>
              <w:jc w:val="both"/>
            </w:pPr>
            <w:r w:rsidRPr="0047583B">
              <w:t>9.3. Sutarties bendrosios dalies 11.3 punkte nurodytų Šalių iš anksto sutartų minimalių nuostolių dydis yra – 0,05 % dydžio  nuo prekių, kurių trūkumai nepašalinti, ar prekių, kurios yra nepakeistos, kainos be PVM už kiekvieną uždelstą dieną.</w:t>
            </w:r>
          </w:p>
          <w:p w14:paraId="04E03E14" w14:textId="77777777" w:rsidR="00071A09" w:rsidRDefault="00071A09" w:rsidP="004A3A2E">
            <w:pPr>
              <w:jc w:val="both"/>
            </w:pPr>
            <w:r w:rsidRPr="0047583B">
              <w:t xml:space="preserve">9.4. </w:t>
            </w:r>
            <w:r w:rsidRPr="00FE57DC">
              <w:t>Sutarties bendrosios dalies 11.4 punkte nurodytų Šalių iš anksto sutartų minimalių nuostolių dydis yra 7 (septyni) % nuo maksimalios Sutarties kainos be PVM.</w:t>
            </w:r>
            <w:r w:rsidRPr="0047583B">
              <w:t>9.5. Nenugalimos jėgos aplinkybių trukmė – 14 (keturiolika) dienų, taikant Sutarties bendrosios dalies 9.1.2 punkto sąlygas.</w:t>
            </w:r>
          </w:p>
          <w:p w14:paraId="04E03E15" w14:textId="77777777" w:rsidR="00071A09" w:rsidRPr="007C2BC2" w:rsidRDefault="00071A09" w:rsidP="004A3A2E">
            <w:pPr>
              <w:jc w:val="both"/>
            </w:pPr>
            <w:r>
              <w:rPr>
                <w:bCs/>
              </w:rPr>
              <w:lastRenderedPageBreak/>
              <w:t>9.5</w:t>
            </w:r>
            <w:r w:rsidRPr="00237C88">
              <w:rPr>
                <w:bCs/>
              </w:rPr>
              <w:t xml:space="preserve">. Sutartį nutraukus Specialiosios dalies 5.1.3 </w:t>
            </w:r>
            <w:r w:rsidRPr="007C2BC2">
              <w:rPr>
                <w:bCs/>
              </w:rPr>
              <w:t xml:space="preserve">ir 5.1.4 punktuose nurodytais atvejais Šalių iš anksto sutartų minimalių nuostolių dydis yra 3937,50 (trys tūkstančiai devyni šimtai trisdešimt septyni eurai 50 ct) Eur </w:t>
            </w:r>
            <w:r w:rsidRPr="007C2BC2">
              <w:rPr>
                <w:bCs/>
                <w:i/>
              </w:rPr>
              <w:t>(15 (penkiolika) procentų nuo Sutarties specialiosios dalies 2.1 punkte nurodytos minimalios sutarties vertės be PVM).</w:t>
            </w:r>
          </w:p>
          <w:p w14:paraId="04E03E16" w14:textId="77777777" w:rsidR="00071A09" w:rsidRPr="007C2BC2" w:rsidRDefault="00071A09" w:rsidP="004A3A2E">
            <w:pPr>
              <w:jc w:val="both"/>
              <w:rPr>
                <w:i/>
                <w:iCs/>
                <w:sz w:val="22"/>
                <w:szCs w:val="22"/>
                <w:lang w:val="en-US" w:eastAsia="en-US"/>
              </w:rPr>
            </w:pPr>
            <w:r w:rsidRPr="007C2BC2">
              <w:t xml:space="preserve">9.6. </w:t>
            </w:r>
            <w:r w:rsidRPr="007C2BC2">
              <w:rPr>
                <w:b/>
                <w:bCs/>
              </w:rPr>
              <w:t>Pardavėjas</w:t>
            </w:r>
            <w:r w:rsidRPr="007C2BC2">
              <w:t xml:space="preserve"> šiai Sutarčiai vykdyti subtiekėjo (-ų) nepasitelks</w:t>
            </w:r>
            <w:r w:rsidRPr="007C2BC2">
              <w:rPr>
                <w:i/>
                <w:iCs/>
              </w:rPr>
              <w:t>.</w:t>
            </w:r>
          </w:p>
          <w:p w14:paraId="04E03E17" w14:textId="77777777" w:rsidR="00071A09" w:rsidRPr="007C2BC2" w:rsidRDefault="00071A09" w:rsidP="004A3A2E">
            <w:pPr>
              <w:jc w:val="both"/>
            </w:pPr>
            <w:r w:rsidRPr="007C2BC2">
              <w:t>9.7. Pardavėjas privalo nedelsiant informuoti perkančiąją organizaciją, jeigu Sutarties vykdymo metu pasikeistų Pardavėjo ir su juo susijusių subjektų duomenys ir informacija, kuri buvo pateikta Pirkėjui pasiūlymo pateikimo momentu.</w:t>
            </w:r>
          </w:p>
          <w:p w14:paraId="04E03E18" w14:textId="77777777" w:rsidR="00071A09" w:rsidRPr="007C2BC2" w:rsidRDefault="00071A09" w:rsidP="004A3A2E">
            <w:pPr>
              <w:jc w:val="both"/>
            </w:pPr>
            <w:r w:rsidRPr="007C2BC2">
              <w:t>9.8. Nustatyto subtiekėjo pakeitimas kitu subtiekėju įforminamas raštu.</w:t>
            </w:r>
          </w:p>
          <w:p w14:paraId="04E03E19" w14:textId="77777777" w:rsidR="00071A09" w:rsidRPr="0047583B" w:rsidRDefault="00071A09" w:rsidP="004A3A2E">
            <w:pPr>
              <w:jc w:val="both"/>
            </w:pPr>
            <w:r w:rsidRPr="0047583B">
              <w:t>9.</w:t>
            </w:r>
            <w:r>
              <w:t>9</w:t>
            </w:r>
            <w:r w:rsidRPr="0047583B">
              <w:t>. Sutarties priedai:</w:t>
            </w:r>
          </w:p>
          <w:p w14:paraId="04E03E1A" w14:textId="77777777" w:rsidR="00071A09" w:rsidRPr="0047583B" w:rsidRDefault="00071A09" w:rsidP="004A3A2E">
            <w:pPr>
              <w:shd w:val="clear" w:color="auto" w:fill="FFFFFF"/>
              <w:jc w:val="both"/>
            </w:pPr>
            <w:r w:rsidRPr="0047583B">
              <w:t>9.</w:t>
            </w:r>
            <w:r>
              <w:t>9</w:t>
            </w:r>
            <w:r w:rsidRPr="0047583B">
              <w:t xml:space="preserve">.1. 1 priedas „Prekių kiekiai ir kaina“, </w:t>
            </w:r>
            <w:r>
              <w:t>1 lapas</w:t>
            </w:r>
            <w:r w:rsidRPr="0047583B">
              <w:t>;</w:t>
            </w:r>
          </w:p>
          <w:p w14:paraId="04E03E1B" w14:textId="77777777" w:rsidR="00071A09" w:rsidRPr="0047583B" w:rsidRDefault="00071A09" w:rsidP="004A3A2E">
            <w:pPr>
              <w:pStyle w:val="ListParagraph"/>
              <w:spacing w:after="0" w:line="240" w:lineRule="auto"/>
              <w:ind w:left="0"/>
              <w:jc w:val="both"/>
            </w:pPr>
            <w:r>
              <w:t>9.9</w:t>
            </w:r>
            <w:r w:rsidRPr="0047583B">
              <w:t>.2. 2 priedas „Programinės įrangos nuomos</w:t>
            </w:r>
            <w:r>
              <w:t xml:space="preserve"> </w:t>
            </w:r>
            <w:r w:rsidRPr="0047583B">
              <w:rPr>
                <w:bCs/>
              </w:rPr>
              <w:t>techninė spec</w:t>
            </w:r>
            <w:r w:rsidRPr="0047583B">
              <w:t xml:space="preserve">ifikacija“, </w:t>
            </w:r>
            <w:r>
              <w:t>2</w:t>
            </w:r>
            <w:r w:rsidRPr="0047583B">
              <w:t xml:space="preserve"> lap</w:t>
            </w:r>
            <w:r>
              <w:t>ai</w:t>
            </w:r>
            <w:r w:rsidRPr="0047583B">
              <w:t>.</w:t>
            </w:r>
          </w:p>
          <w:p w14:paraId="04E03E1C" w14:textId="77777777" w:rsidR="00071A09" w:rsidRPr="0047583B" w:rsidRDefault="00071A09" w:rsidP="004A3A2E">
            <w:pPr>
              <w:pStyle w:val="ListParagraph"/>
              <w:spacing w:after="0" w:line="240" w:lineRule="auto"/>
              <w:ind w:left="0"/>
              <w:jc w:val="both"/>
            </w:pPr>
            <w:r w:rsidRPr="0047583B">
              <w:t>9.1</w:t>
            </w:r>
            <w:r>
              <w:t>0</w:t>
            </w:r>
            <w:r w:rsidRPr="0047583B">
              <w:t>. Asmuo, atsakingas už Sutarties ir jos pakeitimų paskelbimą –</w:t>
            </w:r>
            <w:r>
              <w:t xml:space="preserve"> </w:t>
            </w:r>
            <w:r w:rsidRPr="0046350E">
              <w:t xml:space="preserve">vyriausioji specialistė </w:t>
            </w:r>
            <w:r>
              <w:t>Ieva Bučinskaitė,</w:t>
            </w:r>
            <w:r w:rsidRPr="0046350E">
              <w:t xml:space="preserve"> tel. Nr. +370 706 82 254, el.paštas: ieva.bucinskaite@kam.lt.</w:t>
            </w:r>
          </w:p>
        </w:tc>
      </w:tr>
      <w:tr w:rsidR="00071A09" w14:paraId="04E03E22" w14:textId="77777777" w:rsidTr="004A3A2E">
        <w:trPr>
          <w:trHeight w:val="1337"/>
        </w:trPr>
        <w:tc>
          <w:tcPr>
            <w:tcW w:w="10150" w:type="dxa"/>
            <w:tcBorders>
              <w:top w:val="single" w:sz="4" w:space="0" w:color="auto"/>
              <w:left w:val="single" w:sz="4" w:space="0" w:color="auto"/>
              <w:bottom w:val="single" w:sz="4" w:space="0" w:color="auto"/>
              <w:right w:val="single" w:sz="4" w:space="0" w:color="auto"/>
            </w:tcBorders>
          </w:tcPr>
          <w:p w14:paraId="04E03E1E" w14:textId="77777777" w:rsidR="00071A09" w:rsidRPr="00EB4422" w:rsidRDefault="00071A09" w:rsidP="004A3A2E">
            <w:pPr>
              <w:jc w:val="both"/>
              <w:rPr>
                <w:b/>
              </w:rPr>
            </w:pPr>
            <w:r>
              <w:rPr>
                <w:b/>
              </w:rPr>
              <w:lastRenderedPageBreak/>
              <w:t xml:space="preserve">10. Sutarties galiojimas </w:t>
            </w:r>
          </w:p>
          <w:p w14:paraId="04E03E1F" w14:textId="77777777" w:rsidR="00071A09" w:rsidRDefault="00071A09" w:rsidP="004A3A2E">
            <w:pPr>
              <w:jc w:val="both"/>
            </w:pPr>
            <w:r>
              <w:rPr>
                <w:bCs/>
              </w:rPr>
              <w:t xml:space="preserve">10.1. </w:t>
            </w:r>
            <w:r w:rsidRPr="00011398">
              <w:t xml:space="preserve">Sutarties įsigaliojimo pradžia: </w:t>
            </w:r>
            <w:r w:rsidRPr="00010D70">
              <w:t xml:space="preserve">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p>
          <w:p w14:paraId="04E03E20" w14:textId="77777777" w:rsidR="00071A09" w:rsidRDefault="00071A09" w:rsidP="004A3A2E">
            <w:pPr>
              <w:jc w:val="both"/>
              <w:rPr>
                <w:bCs/>
              </w:rPr>
            </w:pPr>
            <w:r w:rsidRPr="00336AA6">
              <w:rPr>
                <w:bCs/>
              </w:rPr>
              <w:t>10.</w:t>
            </w:r>
            <w:r>
              <w:rPr>
                <w:bCs/>
              </w:rPr>
              <w:t>2</w:t>
            </w:r>
            <w:r w:rsidRPr="00336AA6">
              <w:rPr>
                <w:bCs/>
              </w:rPr>
              <w:t xml:space="preserve">. </w:t>
            </w:r>
            <w:r w:rsidRPr="00C45713">
              <w:rPr>
                <w:bCs/>
              </w:rPr>
              <w:t>Sutartis galioja 12 (dvylika) mėnesių nuo Sutarties įsigaliojimo dienos arba kol bus pasiekta maksimali Sutarties kaina, priklausomai nuo to, kas įvyksta anksčiau, o finansinių ir garantinių įsipareigojimų atžvilgiu – iki visiško sut</w:t>
            </w:r>
            <w:r>
              <w:rPr>
                <w:bCs/>
              </w:rPr>
              <w:t xml:space="preserve">artinių įsipareigojimų įvykdymo. Numatytas programinės įrangos licencijų galiojimas </w:t>
            </w:r>
            <w:r w:rsidRPr="00712ADB">
              <w:rPr>
                <w:bCs/>
              </w:rPr>
              <w:t xml:space="preserve">12 (dvylika) mėnesių nuo </w:t>
            </w:r>
            <w:r>
              <w:rPr>
                <w:bCs/>
              </w:rPr>
              <w:t>prekių priėmimo-perdavimo akto pasirašymo dienos.</w:t>
            </w:r>
          </w:p>
          <w:p w14:paraId="04E03E21" w14:textId="77777777" w:rsidR="00071A09" w:rsidRPr="00EB4422" w:rsidRDefault="00071A09" w:rsidP="004A3A2E">
            <w:pPr>
              <w:jc w:val="both"/>
            </w:pPr>
            <w:r w:rsidRPr="00336AA6">
              <w:rPr>
                <w:bCs/>
              </w:rPr>
              <w:t>10.</w:t>
            </w:r>
            <w:r>
              <w:rPr>
                <w:bCs/>
              </w:rPr>
              <w:t>3</w:t>
            </w:r>
            <w:r w:rsidRPr="00336AA6">
              <w:rPr>
                <w:bCs/>
              </w:rPr>
              <w:t>. Sutartis gali būti pr</w:t>
            </w:r>
            <w:r>
              <w:rPr>
                <w:bCs/>
              </w:rPr>
              <w:t>atęsta 2 (du) kartus 12 mėnesių.</w:t>
            </w:r>
          </w:p>
        </w:tc>
      </w:tr>
      <w:tr w:rsidR="00071A09" w14:paraId="04E03E2A" w14:textId="77777777" w:rsidTr="004A3A2E">
        <w:trPr>
          <w:trHeight w:val="680"/>
        </w:trPr>
        <w:tc>
          <w:tcPr>
            <w:tcW w:w="10150" w:type="dxa"/>
            <w:tcBorders>
              <w:top w:val="single" w:sz="4" w:space="0" w:color="auto"/>
              <w:left w:val="single" w:sz="4" w:space="0" w:color="auto"/>
              <w:bottom w:val="single" w:sz="4" w:space="0" w:color="auto"/>
              <w:right w:val="single" w:sz="4" w:space="0" w:color="auto"/>
            </w:tcBorders>
          </w:tcPr>
          <w:p w14:paraId="04E03E23" w14:textId="77777777" w:rsidR="00071A09" w:rsidRPr="0046350E" w:rsidRDefault="00071A09" w:rsidP="004A3A2E">
            <w:pPr>
              <w:rPr>
                <w:b/>
              </w:rPr>
            </w:pPr>
            <w:r w:rsidRPr="0046350E">
              <w:rPr>
                <w:b/>
              </w:rPr>
              <w:t>11. Pirkėjo rekvizitai</w:t>
            </w:r>
          </w:p>
          <w:p w14:paraId="04E03E24" w14:textId="77777777" w:rsidR="00071A09" w:rsidRPr="0046350E" w:rsidRDefault="00071A09" w:rsidP="004A3A2E">
            <w:pPr>
              <w:rPr>
                <w:b/>
              </w:rPr>
            </w:pPr>
            <w:r w:rsidRPr="0046350E">
              <w:rPr>
                <w:b/>
              </w:rPr>
              <w:t>Informacinių technologijų tarnyba prie Krašto apsaugos ministerijos</w:t>
            </w:r>
          </w:p>
          <w:p w14:paraId="04E03E25" w14:textId="77777777" w:rsidR="00071A09" w:rsidRPr="0046350E" w:rsidRDefault="00071A09" w:rsidP="004A3A2E">
            <w:pPr>
              <w:rPr>
                <w:szCs w:val="20"/>
                <w:lang w:eastAsia="en-US"/>
              </w:rPr>
            </w:pPr>
            <w:r w:rsidRPr="0046350E">
              <w:rPr>
                <w:szCs w:val="20"/>
                <w:lang w:eastAsia="en-US"/>
              </w:rPr>
              <w:t xml:space="preserve">Kodas  191823126.   </w:t>
            </w:r>
          </w:p>
          <w:p w14:paraId="04E03E26" w14:textId="77777777" w:rsidR="00071A09" w:rsidRPr="0046350E" w:rsidRDefault="00071A09" w:rsidP="004A3A2E">
            <w:pPr>
              <w:rPr>
                <w:szCs w:val="20"/>
                <w:lang w:eastAsia="en-US"/>
              </w:rPr>
            </w:pPr>
            <w:r w:rsidRPr="0046350E">
              <w:rPr>
                <w:szCs w:val="20"/>
                <w:lang w:eastAsia="en-US"/>
              </w:rPr>
              <w:t>Šilo g. 5A, LT-10322 Vilnius.</w:t>
            </w:r>
          </w:p>
          <w:p w14:paraId="04E03E27" w14:textId="77777777" w:rsidR="00071A09" w:rsidRPr="0046350E" w:rsidRDefault="00071A09" w:rsidP="004A3A2E">
            <w:pPr>
              <w:rPr>
                <w:szCs w:val="20"/>
                <w:lang w:eastAsia="en-US"/>
              </w:rPr>
            </w:pPr>
            <w:r w:rsidRPr="0046350E">
              <w:rPr>
                <w:szCs w:val="20"/>
                <w:lang w:eastAsia="en-US"/>
              </w:rPr>
              <w:t xml:space="preserve">Tel. +370 5 273 5752 </w:t>
            </w:r>
          </w:p>
          <w:p w14:paraId="04E03E28" w14:textId="77777777" w:rsidR="00071A09" w:rsidRPr="0046350E" w:rsidRDefault="00071A09" w:rsidP="004A3A2E">
            <w:pPr>
              <w:rPr>
                <w:szCs w:val="20"/>
                <w:lang w:eastAsia="en-US"/>
              </w:rPr>
            </w:pPr>
            <w:r w:rsidRPr="0046350E">
              <w:rPr>
                <w:szCs w:val="20"/>
                <w:lang w:eastAsia="en-US"/>
              </w:rPr>
              <w:t xml:space="preserve">A. s.  LT88 7044 0600 0638 4800. </w:t>
            </w:r>
          </w:p>
          <w:p w14:paraId="04E03E29" w14:textId="77777777" w:rsidR="00071A09" w:rsidRPr="0046350E" w:rsidRDefault="00071A09" w:rsidP="004A3A2E">
            <w:pPr>
              <w:rPr>
                <w:b/>
              </w:rPr>
            </w:pPr>
            <w:r w:rsidRPr="0046350E">
              <w:rPr>
                <w:szCs w:val="20"/>
                <w:lang w:eastAsia="en-US"/>
              </w:rPr>
              <w:t>AB  SEB bankas.</w:t>
            </w:r>
          </w:p>
        </w:tc>
      </w:tr>
      <w:tr w:rsidR="00071A09" w14:paraId="04E03E32" w14:textId="77777777" w:rsidTr="004A3A2E">
        <w:trPr>
          <w:trHeight w:val="1958"/>
        </w:trPr>
        <w:tc>
          <w:tcPr>
            <w:tcW w:w="10150" w:type="dxa"/>
            <w:tcBorders>
              <w:top w:val="single" w:sz="4" w:space="0" w:color="auto"/>
              <w:left w:val="single" w:sz="4" w:space="0" w:color="auto"/>
              <w:bottom w:val="single" w:sz="4" w:space="0" w:color="auto"/>
              <w:right w:val="single" w:sz="4" w:space="0" w:color="auto"/>
            </w:tcBorders>
          </w:tcPr>
          <w:p w14:paraId="04E03E2B" w14:textId="77777777" w:rsidR="00071A09" w:rsidRPr="0046350E" w:rsidRDefault="00071A09" w:rsidP="004A3A2E">
            <w:pPr>
              <w:rPr>
                <w:b/>
              </w:rPr>
            </w:pPr>
            <w:r w:rsidRPr="0046350E">
              <w:rPr>
                <w:b/>
              </w:rPr>
              <w:t>12. Pardavėjo rekvizitai</w:t>
            </w:r>
          </w:p>
          <w:p w14:paraId="04E03E2C" w14:textId="77777777" w:rsidR="00071A09" w:rsidRPr="0046350E" w:rsidRDefault="00071A09" w:rsidP="004A3A2E">
            <w:pPr>
              <w:rPr>
                <w:b/>
              </w:rPr>
            </w:pPr>
            <w:r w:rsidRPr="0046350E">
              <w:rPr>
                <w:b/>
              </w:rPr>
              <w:t>UAB ,,Fortevento“</w:t>
            </w:r>
          </w:p>
          <w:p w14:paraId="04E03E2D" w14:textId="77777777" w:rsidR="00071A09" w:rsidRPr="0046350E" w:rsidRDefault="00071A09" w:rsidP="004A3A2E">
            <w:r w:rsidRPr="0046350E">
              <w:t>Lvivo g. 105A, 08104 Vilnius</w:t>
            </w:r>
          </w:p>
          <w:p w14:paraId="04E03E2E" w14:textId="77777777" w:rsidR="00071A09" w:rsidRPr="0046350E" w:rsidRDefault="00071A09" w:rsidP="004A3A2E">
            <w:r w:rsidRPr="0046350E">
              <w:t>Įmonės kodas 302327313</w:t>
            </w:r>
          </w:p>
          <w:p w14:paraId="04E03E2F" w14:textId="77777777" w:rsidR="00071A09" w:rsidRPr="0046350E" w:rsidRDefault="00071A09" w:rsidP="004A3A2E">
            <w:r w:rsidRPr="0046350E">
              <w:t>PVM mok. kodas LT100004630711</w:t>
            </w:r>
          </w:p>
          <w:p w14:paraId="04E03E30" w14:textId="77777777" w:rsidR="00071A09" w:rsidRPr="0046350E" w:rsidRDefault="00071A09" w:rsidP="004A3A2E">
            <w:r w:rsidRPr="0046350E">
              <w:rPr>
                <w:szCs w:val="20"/>
                <w:lang w:eastAsia="en-US"/>
              </w:rPr>
              <w:t>A. s.</w:t>
            </w:r>
            <w:r w:rsidRPr="0046350E">
              <w:t xml:space="preserve"> LT177044060006867877</w:t>
            </w:r>
          </w:p>
          <w:p w14:paraId="04E03E31" w14:textId="77777777" w:rsidR="00071A09" w:rsidRPr="0046350E" w:rsidRDefault="00071A09" w:rsidP="004A3A2E">
            <w:pPr>
              <w:rPr>
                <w:rFonts w:eastAsia="Calibri"/>
                <w:bCs/>
                <w:sz w:val="22"/>
                <w:szCs w:val="22"/>
                <w:lang w:eastAsia="en-US"/>
              </w:rPr>
            </w:pPr>
            <w:r w:rsidRPr="0046350E">
              <w:t>AB SEB bankas, b.k. 70440</w:t>
            </w:r>
            <w:r w:rsidRPr="0046350E">
              <w:tab/>
            </w:r>
            <w:r w:rsidRPr="0046350E">
              <w:rPr>
                <w:bCs/>
              </w:rPr>
              <w:tab/>
            </w:r>
            <w:r w:rsidRPr="0046350E">
              <w:rPr>
                <w:bCs/>
              </w:rPr>
              <w:tab/>
            </w:r>
            <w:r w:rsidRPr="0046350E">
              <w:rPr>
                <w:bCs/>
              </w:rPr>
              <w:tab/>
            </w:r>
            <w:r w:rsidRPr="0046350E">
              <w:rPr>
                <w:bCs/>
              </w:rPr>
              <w:tab/>
            </w:r>
            <w:r w:rsidRPr="0046350E">
              <w:rPr>
                <w:bCs/>
              </w:rPr>
              <w:tab/>
              <w:t xml:space="preserve"> </w:t>
            </w:r>
            <w:r w:rsidRPr="0046350E">
              <w:rPr>
                <w:bCs/>
              </w:rPr>
              <w:tab/>
              <w:t xml:space="preserve"> </w:t>
            </w:r>
            <w:r w:rsidRPr="0046350E">
              <w:rPr>
                <w:bCs/>
              </w:rPr>
              <w:tab/>
            </w:r>
            <w:r w:rsidRPr="0046350E">
              <w:rPr>
                <w:bCs/>
              </w:rPr>
              <w:tab/>
            </w:r>
          </w:p>
        </w:tc>
      </w:tr>
    </w:tbl>
    <w:p w14:paraId="04E03E33" w14:textId="77777777" w:rsidR="00071A09" w:rsidRDefault="00071A09" w:rsidP="00071A09">
      <w:pPr>
        <w:pStyle w:val="BodyText1"/>
        <w:ind w:firstLine="0"/>
        <w:rPr>
          <w:rFonts w:ascii="Times New Roman" w:hAnsi="Times New Roman"/>
          <w:sz w:val="24"/>
          <w:szCs w:val="24"/>
          <w:lang w:val="lt-LT"/>
        </w:rPr>
      </w:pPr>
    </w:p>
    <w:p w14:paraId="04E03E34" w14:textId="77777777" w:rsidR="00071A09" w:rsidRDefault="00071A09" w:rsidP="00071A09">
      <w:pPr>
        <w:pStyle w:val="BodyText1"/>
        <w:ind w:firstLine="0"/>
        <w:rPr>
          <w:rFonts w:ascii="Times New Roman" w:hAnsi="Times New Roman"/>
          <w:sz w:val="24"/>
          <w:szCs w:val="24"/>
          <w:lang w:val="lt-LT"/>
        </w:rPr>
      </w:pPr>
    </w:p>
    <w:p w14:paraId="04E03E35" w14:textId="77777777" w:rsidR="00071A09" w:rsidRDefault="00071A09" w:rsidP="00071A09">
      <w:pPr>
        <w:pStyle w:val="BodyText1"/>
        <w:ind w:firstLine="0"/>
        <w:rPr>
          <w:rFonts w:ascii="Times New Roman" w:hAnsi="Times New Roman"/>
          <w:sz w:val="24"/>
          <w:szCs w:val="24"/>
          <w:lang w:val="lt-LT"/>
        </w:rPr>
      </w:pPr>
    </w:p>
    <w:tbl>
      <w:tblPr>
        <w:tblW w:w="0" w:type="auto"/>
        <w:tblInd w:w="191" w:type="dxa"/>
        <w:tblLook w:val="04A0" w:firstRow="1" w:lastRow="0" w:firstColumn="1" w:lastColumn="0" w:noHBand="0" w:noVBand="1"/>
      </w:tblPr>
      <w:tblGrid>
        <w:gridCol w:w="4805"/>
        <w:gridCol w:w="4201"/>
      </w:tblGrid>
      <w:tr w:rsidR="00071A09" w:rsidRPr="0046350E" w14:paraId="04E03E38" w14:textId="77777777" w:rsidTr="004A3A2E">
        <w:trPr>
          <w:trHeight w:val="315"/>
        </w:trPr>
        <w:tc>
          <w:tcPr>
            <w:tcW w:w="4805" w:type="dxa"/>
            <w:vAlign w:val="center"/>
            <w:hideMark/>
          </w:tcPr>
          <w:p w14:paraId="04E03E36" w14:textId="77777777" w:rsidR="00071A09" w:rsidRPr="0046350E" w:rsidRDefault="00071A09" w:rsidP="004A3A2E">
            <w:pPr>
              <w:ind w:left="834"/>
              <w:jc w:val="both"/>
              <w:rPr>
                <w:b/>
                <w:bCs/>
                <w:color w:val="000000"/>
              </w:rPr>
            </w:pPr>
            <w:r w:rsidRPr="0046350E">
              <w:rPr>
                <w:b/>
                <w:bCs/>
                <w:color w:val="000000"/>
              </w:rPr>
              <w:t>PIRKĖJAS</w:t>
            </w:r>
          </w:p>
        </w:tc>
        <w:tc>
          <w:tcPr>
            <w:tcW w:w="4201" w:type="dxa"/>
            <w:vAlign w:val="center"/>
            <w:hideMark/>
          </w:tcPr>
          <w:p w14:paraId="04E03E37" w14:textId="77777777" w:rsidR="00071A09" w:rsidRPr="0046350E" w:rsidRDefault="00071A09" w:rsidP="004A3A2E">
            <w:pPr>
              <w:ind w:left="834"/>
              <w:jc w:val="both"/>
              <w:rPr>
                <w:b/>
                <w:bCs/>
                <w:color w:val="000000"/>
              </w:rPr>
            </w:pPr>
            <w:r w:rsidRPr="0046350E">
              <w:rPr>
                <w:b/>
                <w:bCs/>
                <w:color w:val="000000"/>
              </w:rPr>
              <w:t>PARDAVĖJAS</w:t>
            </w:r>
          </w:p>
        </w:tc>
      </w:tr>
      <w:tr w:rsidR="00071A09" w:rsidRPr="0046350E" w14:paraId="04E03E3D" w14:textId="77777777" w:rsidTr="004A3A2E">
        <w:trPr>
          <w:trHeight w:val="315"/>
        </w:trPr>
        <w:tc>
          <w:tcPr>
            <w:tcW w:w="4805" w:type="dxa"/>
            <w:noWrap/>
            <w:vAlign w:val="center"/>
            <w:hideMark/>
          </w:tcPr>
          <w:p w14:paraId="04E03E39" w14:textId="77777777" w:rsidR="00071A09" w:rsidRDefault="00071A09" w:rsidP="004A3A2E">
            <w:pPr>
              <w:ind w:left="834"/>
              <w:rPr>
                <w:b/>
                <w:bCs/>
                <w:color w:val="000000"/>
              </w:rPr>
            </w:pPr>
          </w:p>
          <w:p w14:paraId="04E03E3A" w14:textId="77777777" w:rsidR="00071A09" w:rsidRPr="0046350E" w:rsidRDefault="00071A09" w:rsidP="004A3A2E">
            <w:pPr>
              <w:ind w:left="834"/>
              <w:rPr>
                <w:b/>
                <w:bCs/>
                <w:color w:val="000000"/>
              </w:rPr>
            </w:pPr>
            <w:r w:rsidRPr="0046350E">
              <w:rPr>
                <w:b/>
                <w:bCs/>
                <w:color w:val="000000"/>
              </w:rPr>
              <w:t>Informacinių technologijų tarnyba</w:t>
            </w:r>
          </w:p>
        </w:tc>
        <w:tc>
          <w:tcPr>
            <w:tcW w:w="4201" w:type="dxa"/>
            <w:noWrap/>
            <w:vAlign w:val="center"/>
            <w:hideMark/>
          </w:tcPr>
          <w:p w14:paraId="04E03E3B" w14:textId="77777777" w:rsidR="00071A09" w:rsidRDefault="00071A09" w:rsidP="004A3A2E">
            <w:pPr>
              <w:ind w:left="834"/>
              <w:rPr>
                <w:b/>
                <w:bCs/>
                <w:color w:val="000000"/>
              </w:rPr>
            </w:pPr>
          </w:p>
          <w:p w14:paraId="04E03E3C" w14:textId="77777777" w:rsidR="00071A09" w:rsidRPr="0046350E" w:rsidRDefault="00071A09" w:rsidP="004A3A2E">
            <w:pPr>
              <w:ind w:left="834"/>
              <w:rPr>
                <w:b/>
                <w:bCs/>
                <w:color w:val="000000"/>
              </w:rPr>
            </w:pPr>
            <w:r w:rsidRPr="0046350E">
              <w:rPr>
                <w:b/>
                <w:bCs/>
                <w:color w:val="000000"/>
              </w:rPr>
              <w:t>UAB „Fortevento“</w:t>
            </w:r>
          </w:p>
        </w:tc>
      </w:tr>
      <w:tr w:rsidR="00071A09" w:rsidRPr="0046350E" w14:paraId="04E03E40" w14:textId="77777777" w:rsidTr="004A3A2E">
        <w:trPr>
          <w:trHeight w:val="315"/>
        </w:trPr>
        <w:tc>
          <w:tcPr>
            <w:tcW w:w="4805" w:type="dxa"/>
            <w:noWrap/>
            <w:vAlign w:val="center"/>
            <w:hideMark/>
          </w:tcPr>
          <w:p w14:paraId="04E03E3E" w14:textId="77777777" w:rsidR="00071A09" w:rsidRPr="0046350E" w:rsidRDefault="00071A09" w:rsidP="004A3A2E">
            <w:pPr>
              <w:ind w:left="834"/>
              <w:rPr>
                <w:b/>
                <w:bCs/>
                <w:color w:val="000000"/>
              </w:rPr>
            </w:pPr>
            <w:r w:rsidRPr="0046350E">
              <w:rPr>
                <w:b/>
                <w:bCs/>
                <w:color w:val="000000"/>
              </w:rPr>
              <w:t>prie Krašto apsaugos ministerijos</w:t>
            </w:r>
          </w:p>
        </w:tc>
        <w:tc>
          <w:tcPr>
            <w:tcW w:w="4201" w:type="dxa"/>
            <w:noWrap/>
            <w:vAlign w:val="bottom"/>
            <w:hideMark/>
          </w:tcPr>
          <w:p w14:paraId="04E03E3F" w14:textId="77777777" w:rsidR="00071A09" w:rsidRPr="0046350E" w:rsidRDefault="00071A09" w:rsidP="004A3A2E">
            <w:pPr>
              <w:rPr>
                <w:b/>
                <w:bCs/>
                <w:color w:val="000000"/>
              </w:rPr>
            </w:pPr>
          </w:p>
        </w:tc>
      </w:tr>
      <w:tr w:rsidR="00071A09" w:rsidRPr="0046350E" w14:paraId="04E03E43" w14:textId="77777777" w:rsidTr="004A3A2E">
        <w:trPr>
          <w:trHeight w:val="315"/>
        </w:trPr>
        <w:tc>
          <w:tcPr>
            <w:tcW w:w="4805" w:type="dxa"/>
            <w:noWrap/>
            <w:vAlign w:val="center"/>
            <w:hideMark/>
          </w:tcPr>
          <w:p w14:paraId="04E03E41" w14:textId="77777777" w:rsidR="00071A09" w:rsidRPr="0046350E" w:rsidRDefault="00071A09" w:rsidP="004A3A2E">
            <w:pPr>
              <w:rPr>
                <w:color w:val="000000"/>
              </w:rPr>
            </w:pPr>
          </w:p>
        </w:tc>
        <w:tc>
          <w:tcPr>
            <w:tcW w:w="4201" w:type="dxa"/>
            <w:noWrap/>
            <w:vAlign w:val="bottom"/>
            <w:hideMark/>
          </w:tcPr>
          <w:p w14:paraId="04E03E42" w14:textId="77777777" w:rsidR="00071A09" w:rsidRPr="0046350E" w:rsidRDefault="00071A09" w:rsidP="004A3A2E">
            <w:pPr>
              <w:rPr>
                <w:sz w:val="20"/>
                <w:szCs w:val="20"/>
                <w:lang w:val="en-US" w:eastAsia="en-US"/>
              </w:rPr>
            </w:pPr>
          </w:p>
        </w:tc>
      </w:tr>
      <w:tr w:rsidR="00071A09" w:rsidRPr="0046350E" w14:paraId="04E03E46" w14:textId="77777777" w:rsidTr="004A3A2E">
        <w:trPr>
          <w:trHeight w:val="315"/>
        </w:trPr>
        <w:tc>
          <w:tcPr>
            <w:tcW w:w="4805" w:type="dxa"/>
            <w:noWrap/>
            <w:vAlign w:val="center"/>
            <w:hideMark/>
          </w:tcPr>
          <w:p w14:paraId="04E03E44" w14:textId="77777777" w:rsidR="00071A09" w:rsidRPr="0046350E" w:rsidRDefault="00071A09" w:rsidP="004A3A2E">
            <w:pPr>
              <w:spacing w:line="256" w:lineRule="auto"/>
              <w:ind w:left="834"/>
              <w:rPr>
                <w:color w:val="000000"/>
              </w:rPr>
            </w:pPr>
            <w:r w:rsidRPr="0046350E">
              <w:rPr>
                <w:color w:val="000000"/>
              </w:rPr>
              <w:t>Direktorius</w:t>
            </w:r>
          </w:p>
        </w:tc>
        <w:tc>
          <w:tcPr>
            <w:tcW w:w="4201" w:type="dxa"/>
            <w:vAlign w:val="center"/>
            <w:hideMark/>
          </w:tcPr>
          <w:p w14:paraId="04E03E45" w14:textId="77777777" w:rsidR="00071A09" w:rsidRPr="0046350E" w:rsidRDefault="00071A09" w:rsidP="004A3A2E">
            <w:pPr>
              <w:rPr>
                <w:color w:val="000000"/>
              </w:rPr>
            </w:pPr>
            <w:r w:rsidRPr="0046350E">
              <w:rPr>
                <w:color w:val="000000"/>
              </w:rPr>
              <w:t xml:space="preserve">              Generalinis direktorius</w:t>
            </w:r>
          </w:p>
        </w:tc>
      </w:tr>
      <w:tr w:rsidR="00071A09" w:rsidRPr="0046350E" w14:paraId="04E03E49" w14:textId="77777777" w:rsidTr="004A3A2E">
        <w:trPr>
          <w:trHeight w:val="315"/>
        </w:trPr>
        <w:tc>
          <w:tcPr>
            <w:tcW w:w="4805" w:type="dxa"/>
            <w:noWrap/>
            <w:vAlign w:val="center"/>
            <w:hideMark/>
          </w:tcPr>
          <w:p w14:paraId="04E03E47" w14:textId="77777777" w:rsidR="00071A09" w:rsidRPr="0046350E" w:rsidRDefault="00071A09" w:rsidP="004A3A2E">
            <w:pPr>
              <w:rPr>
                <w:color w:val="000000"/>
              </w:rPr>
            </w:pPr>
          </w:p>
        </w:tc>
        <w:tc>
          <w:tcPr>
            <w:tcW w:w="4201" w:type="dxa"/>
            <w:noWrap/>
            <w:vAlign w:val="bottom"/>
            <w:hideMark/>
          </w:tcPr>
          <w:p w14:paraId="04E03E48" w14:textId="77777777" w:rsidR="00071A09" w:rsidRPr="0046350E" w:rsidRDefault="00071A09" w:rsidP="004A3A2E">
            <w:pPr>
              <w:rPr>
                <w:sz w:val="20"/>
                <w:szCs w:val="20"/>
                <w:lang w:val="en-US" w:eastAsia="en-US"/>
              </w:rPr>
            </w:pPr>
          </w:p>
        </w:tc>
      </w:tr>
      <w:tr w:rsidR="00071A09" w:rsidRPr="0046350E" w14:paraId="04E03E4C" w14:textId="77777777" w:rsidTr="004A3A2E">
        <w:trPr>
          <w:trHeight w:val="315"/>
        </w:trPr>
        <w:tc>
          <w:tcPr>
            <w:tcW w:w="4805" w:type="dxa"/>
            <w:noWrap/>
            <w:vAlign w:val="center"/>
            <w:hideMark/>
          </w:tcPr>
          <w:p w14:paraId="04E03E4A" w14:textId="77777777" w:rsidR="00071A09" w:rsidRPr="0046350E" w:rsidRDefault="00071A09" w:rsidP="004A3A2E">
            <w:pPr>
              <w:spacing w:line="256" w:lineRule="auto"/>
              <w:ind w:left="834"/>
              <w:rPr>
                <w:color w:val="000000"/>
              </w:rPr>
            </w:pPr>
            <w:r w:rsidRPr="0046350E">
              <w:rPr>
                <w:color w:val="000000"/>
              </w:rPr>
              <w:t>plk. ltn. Saulius Juškevičius</w:t>
            </w:r>
            <w:r w:rsidRPr="0046350E">
              <w:rPr>
                <w:color w:val="000000"/>
              </w:rPr>
              <w:tab/>
            </w:r>
          </w:p>
        </w:tc>
        <w:tc>
          <w:tcPr>
            <w:tcW w:w="4201" w:type="dxa"/>
            <w:vAlign w:val="center"/>
            <w:hideMark/>
          </w:tcPr>
          <w:p w14:paraId="04E03E4B" w14:textId="77777777" w:rsidR="00071A09" w:rsidRPr="0046350E" w:rsidRDefault="00071A09" w:rsidP="004A3A2E">
            <w:pPr>
              <w:rPr>
                <w:color w:val="000000"/>
              </w:rPr>
            </w:pPr>
            <w:r w:rsidRPr="0046350E">
              <w:rPr>
                <w:color w:val="000000"/>
              </w:rPr>
              <w:t xml:space="preserve">             </w:t>
            </w:r>
            <w:r>
              <w:rPr>
                <w:color w:val="000000"/>
              </w:rPr>
              <w:t xml:space="preserve"> </w:t>
            </w:r>
            <w:r w:rsidRPr="0046350E">
              <w:rPr>
                <w:color w:val="000000"/>
              </w:rPr>
              <w:t>Aurelijus Šaltenis</w:t>
            </w:r>
          </w:p>
        </w:tc>
      </w:tr>
    </w:tbl>
    <w:p w14:paraId="04E03E4D" w14:textId="77777777" w:rsidR="00071A09" w:rsidRDefault="00071A09" w:rsidP="00071A09">
      <w:pPr>
        <w:pStyle w:val="BodyText1"/>
        <w:ind w:firstLine="0"/>
        <w:rPr>
          <w:rFonts w:ascii="Times New Roman" w:hAnsi="Times New Roman"/>
          <w:sz w:val="24"/>
          <w:szCs w:val="24"/>
          <w:lang w:val="lt-LT"/>
        </w:rPr>
      </w:pPr>
    </w:p>
    <w:p w14:paraId="04E03E4E" w14:textId="77777777" w:rsidR="00071A09" w:rsidRDefault="00071A09" w:rsidP="00071A09">
      <w:pPr>
        <w:pStyle w:val="BodyText1"/>
        <w:ind w:firstLine="0"/>
        <w:rPr>
          <w:rFonts w:ascii="Times New Roman" w:hAnsi="Times New Roman"/>
          <w:sz w:val="24"/>
          <w:szCs w:val="24"/>
          <w:lang w:val="lt-LT"/>
        </w:rPr>
      </w:pPr>
    </w:p>
    <w:p w14:paraId="04E03E4F" w14:textId="77777777" w:rsidR="00071A09" w:rsidRPr="00010D70" w:rsidRDefault="00071A09" w:rsidP="00071A09">
      <w:pPr>
        <w:jc w:val="center"/>
        <w:rPr>
          <w:b/>
        </w:rPr>
      </w:pPr>
      <w:r>
        <w:rPr>
          <w:b/>
        </w:rPr>
        <w:br w:type="page"/>
      </w:r>
      <w:r w:rsidRPr="00010D70">
        <w:rPr>
          <w:b/>
        </w:rPr>
        <w:t>PREKIŲ PIRKIMO-PARDAVIMO SUTARTIS</w:t>
      </w:r>
      <w:r>
        <w:rPr>
          <w:b/>
        </w:rPr>
        <w:t xml:space="preserve"> </w:t>
      </w:r>
    </w:p>
    <w:p w14:paraId="04E03E50" w14:textId="77777777" w:rsidR="00071A09" w:rsidRPr="00010D70" w:rsidRDefault="00071A09" w:rsidP="00071A09">
      <w:pPr>
        <w:jc w:val="center"/>
        <w:rPr>
          <w:b/>
        </w:rPr>
      </w:pPr>
    </w:p>
    <w:p w14:paraId="04E03E51" w14:textId="77777777" w:rsidR="00071A09" w:rsidRDefault="00071A09" w:rsidP="00071A09">
      <w:pPr>
        <w:jc w:val="center"/>
        <w:rPr>
          <w:b/>
        </w:rPr>
      </w:pPr>
      <w:r>
        <w:rPr>
          <w:b/>
        </w:rPr>
        <w:t xml:space="preserve">II. </w:t>
      </w:r>
      <w:r w:rsidRPr="00010D70">
        <w:rPr>
          <w:b/>
        </w:rPr>
        <w:t>BENDROJI DALIS</w:t>
      </w:r>
    </w:p>
    <w:p w14:paraId="04E03E52" w14:textId="77777777" w:rsidR="00071A09" w:rsidRDefault="00071A09" w:rsidP="00071A09">
      <w:pPr>
        <w:jc w:val="center"/>
        <w:rPr>
          <w:b/>
        </w:rPr>
      </w:pPr>
    </w:p>
    <w:p w14:paraId="04E03E53" w14:textId="77777777" w:rsidR="00071A09" w:rsidRPr="00010D70" w:rsidRDefault="00071A09" w:rsidP="00071A09">
      <w:pPr>
        <w:jc w:val="both"/>
        <w:rPr>
          <w:b/>
        </w:rPr>
      </w:pPr>
      <w:r w:rsidRPr="00010D70">
        <w:rPr>
          <w:b/>
        </w:rPr>
        <w:t>1.</w:t>
      </w:r>
      <w:r w:rsidRPr="00010D70">
        <w:t xml:space="preserve"> </w:t>
      </w:r>
      <w:r w:rsidRPr="00010D70">
        <w:rPr>
          <w:b/>
        </w:rPr>
        <w:t>Sąvokos</w:t>
      </w:r>
    </w:p>
    <w:p w14:paraId="04E03E54" w14:textId="77777777" w:rsidR="00071A09" w:rsidRPr="00010D70" w:rsidRDefault="00071A09" w:rsidP="00071A09">
      <w:pPr>
        <w:jc w:val="both"/>
      </w:pPr>
      <w:r w:rsidRPr="00010D70">
        <w:t xml:space="preserve">1.1. Šioje </w:t>
      </w:r>
      <w:r>
        <w:t>S</w:t>
      </w:r>
      <w:r w:rsidRPr="00010D70">
        <w:t>utartyje naudojamos pagrindinės sąvokos:</w:t>
      </w:r>
    </w:p>
    <w:p w14:paraId="04E03E55" w14:textId="77777777" w:rsidR="00071A09" w:rsidRPr="00010D70" w:rsidRDefault="00071A09" w:rsidP="00071A09">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04E03E56" w14:textId="77777777" w:rsidR="00071A09" w:rsidRPr="00010D70" w:rsidRDefault="00071A09" w:rsidP="00071A09">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04E03E57" w14:textId="77777777" w:rsidR="00071A09" w:rsidRPr="00010D70" w:rsidRDefault="00071A09" w:rsidP="00071A09">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04E03E58" w14:textId="77777777" w:rsidR="00071A09" w:rsidRPr="00010D70" w:rsidRDefault="00071A09" w:rsidP="00071A09">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04E03E59" w14:textId="77777777" w:rsidR="00071A09" w:rsidRPr="00010D70" w:rsidRDefault="00071A09" w:rsidP="00071A09">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04E03E5A" w14:textId="77777777" w:rsidR="00071A09" w:rsidRPr="00010D70" w:rsidRDefault="00071A09" w:rsidP="00071A09">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04E03E5B" w14:textId="77777777" w:rsidR="00071A09" w:rsidRPr="00603466" w:rsidRDefault="00071A09" w:rsidP="00071A09">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04E03E5C" w14:textId="77777777" w:rsidR="00071A09" w:rsidRPr="00603466" w:rsidRDefault="00071A09" w:rsidP="00071A09">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04E03E5D" w14:textId="77777777" w:rsidR="00071A09" w:rsidRPr="00010D70" w:rsidRDefault="00071A09" w:rsidP="00071A09">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04E03E5E" w14:textId="77777777" w:rsidR="00071A09" w:rsidRPr="00010D70" w:rsidRDefault="00071A09" w:rsidP="00071A09">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04E03E5F" w14:textId="77777777" w:rsidR="00071A09" w:rsidRPr="00010D70" w:rsidRDefault="00071A09" w:rsidP="00071A09">
      <w:pPr>
        <w:pStyle w:val="BodyText"/>
        <w:tabs>
          <w:tab w:val="left" w:pos="540"/>
          <w:tab w:val="num" w:pos="2880"/>
        </w:tabs>
        <w:spacing w:after="0"/>
        <w:jc w:val="both"/>
      </w:pPr>
      <w:r w:rsidRPr="00010D70">
        <w:t>1.1.9. Prekių siunta – tai vienu metu pristatomų prekių kiekis.</w:t>
      </w:r>
    </w:p>
    <w:p w14:paraId="04E03E60" w14:textId="77777777" w:rsidR="00071A09" w:rsidRPr="00010D70" w:rsidRDefault="00071A09" w:rsidP="00071A09">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04E03E61" w14:textId="77777777" w:rsidR="00071A09" w:rsidRPr="00010D70" w:rsidRDefault="00071A09" w:rsidP="00071A09">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04E03E62" w14:textId="77777777" w:rsidR="00071A09" w:rsidRPr="00010D70" w:rsidRDefault="00071A09" w:rsidP="00071A09">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4E03E63" w14:textId="77777777" w:rsidR="00071A09" w:rsidRPr="00010D70" w:rsidRDefault="00071A09" w:rsidP="00071A09">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04E03E64" w14:textId="77777777" w:rsidR="00071A09" w:rsidRPr="00010D70" w:rsidRDefault="00071A09" w:rsidP="00071A09">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04E03E65" w14:textId="77777777" w:rsidR="00071A09" w:rsidRPr="00010D70" w:rsidRDefault="00071A09" w:rsidP="00071A09">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04E03E66" w14:textId="77777777" w:rsidR="00071A09" w:rsidRPr="00010D70" w:rsidRDefault="00071A09" w:rsidP="00071A09">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04E03E67" w14:textId="77777777" w:rsidR="00071A09" w:rsidRPr="00010D70" w:rsidRDefault="00071A09" w:rsidP="00071A09">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04E03E68" w14:textId="77777777" w:rsidR="00071A09" w:rsidRPr="00010D70" w:rsidRDefault="00071A09" w:rsidP="00071A09">
      <w:pPr>
        <w:jc w:val="both"/>
      </w:pPr>
    </w:p>
    <w:p w14:paraId="04E03E69" w14:textId="77777777" w:rsidR="00071A09" w:rsidRPr="00010D70" w:rsidRDefault="00071A09" w:rsidP="00071A09">
      <w:pPr>
        <w:jc w:val="both"/>
        <w:rPr>
          <w:b/>
        </w:rPr>
      </w:pPr>
      <w:r w:rsidRPr="00010D70">
        <w:rPr>
          <w:b/>
        </w:rPr>
        <w:t>2. Sutarties kaina/prekių įkainiai/kainodaros taisyklės</w:t>
      </w:r>
    </w:p>
    <w:p w14:paraId="04E03E6A" w14:textId="77777777" w:rsidR="00071A09" w:rsidRPr="00010D70" w:rsidRDefault="00071A09" w:rsidP="00071A09">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04E03E6B" w14:textId="77777777" w:rsidR="00071A09" w:rsidRPr="00010D70" w:rsidRDefault="00071A09" w:rsidP="00071A09">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04E03E6C" w14:textId="77777777" w:rsidR="00071A09" w:rsidRPr="00010D70" w:rsidRDefault="00071A09" w:rsidP="00071A09">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04E03E6D" w14:textId="77777777" w:rsidR="00071A09" w:rsidRPr="00010D70" w:rsidRDefault="00071A09" w:rsidP="00071A09">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04E03E6E" w14:textId="77777777" w:rsidR="00071A09" w:rsidRPr="00010D70" w:rsidRDefault="00071A09" w:rsidP="00071A09">
      <w:pPr>
        <w:widowControl w:val="0"/>
        <w:shd w:val="clear" w:color="auto" w:fill="FFFFFF"/>
        <w:jc w:val="both"/>
      </w:pPr>
      <w:r w:rsidRPr="00010D70">
        <w:t>2.4.1. logistikos (transportavimo) išlaidas;</w:t>
      </w:r>
    </w:p>
    <w:p w14:paraId="04E03E6F" w14:textId="77777777" w:rsidR="00071A09" w:rsidRPr="00010D70" w:rsidRDefault="00071A09" w:rsidP="00071A09">
      <w:pPr>
        <w:widowControl w:val="0"/>
        <w:shd w:val="clear" w:color="auto" w:fill="FFFFFF"/>
        <w:jc w:val="both"/>
      </w:pPr>
      <w:r w:rsidRPr="00010D70">
        <w:t>2.4.2. pakavimo, pakrovimo, tranzito, iškrovimo, išpakavimo, tikrinimo, draudimo ir kitas su prekių tiekimu susijusias išlaidas;</w:t>
      </w:r>
    </w:p>
    <w:p w14:paraId="04E03E70" w14:textId="77777777" w:rsidR="00071A09" w:rsidRPr="00010D70" w:rsidRDefault="00071A09" w:rsidP="00071A09">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04E03E71" w14:textId="77777777" w:rsidR="00071A09" w:rsidRPr="00010D70" w:rsidRDefault="00071A09" w:rsidP="00071A09">
      <w:pPr>
        <w:widowControl w:val="0"/>
        <w:shd w:val="clear" w:color="auto" w:fill="FFFFFF"/>
        <w:jc w:val="both"/>
      </w:pPr>
      <w:r w:rsidRPr="00010D70">
        <w:t>2.4.4. pristatytų prekių surinkimo vietoje ir/arba paleidimo, ir/arba priežiūros išlaidas;</w:t>
      </w:r>
    </w:p>
    <w:p w14:paraId="04E03E72" w14:textId="77777777" w:rsidR="00071A09" w:rsidRPr="00010D70" w:rsidRDefault="00071A09" w:rsidP="00071A09">
      <w:pPr>
        <w:widowControl w:val="0"/>
        <w:shd w:val="clear" w:color="auto" w:fill="FFFFFF"/>
        <w:jc w:val="both"/>
      </w:pPr>
      <w:r w:rsidRPr="00010D70">
        <w:t>2.4.5. aprūpinimo įrankiais, reikalingais pristatytų prekių surinkimui ir/arba priežiūrai, išlaidas;</w:t>
      </w:r>
    </w:p>
    <w:p w14:paraId="04E03E73" w14:textId="77777777" w:rsidR="00071A09" w:rsidRPr="00010D70" w:rsidRDefault="00071A09" w:rsidP="00071A09">
      <w:pPr>
        <w:widowControl w:val="0"/>
        <w:shd w:val="clear" w:color="auto" w:fill="FFFFFF"/>
        <w:jc w:val="both"/>
      </w:pPr>
      <w:r w:rsidRPr="00010D70">
        <w:t>2.4.6. naudojimo ir priežiūros instrukcijų, numatytų Techninėje specifikacijoje, pateikimo išlaidas;</w:t>
      </w:r>
    </w:p>
    <w:p w14:paraId="04E03E74" w14:textId="77777777" w:rsidR="00071A09" w:rsidRDefault="00071A09" w:rsidP="00071A09">
      <w:pPr>
        <w:widowControl w:val="0"/>
        <w:shd w:val="clear" w:color="auto" w:fill="FFFFFF"/>
        <w:jc w:val="both"/>
      </w:pPr>
      <w:r w:rsidRPr="00010D70">
        <w:t>2.4.7. prekių garantinio remonto išlaidas</w:t>
      </w:r>
      <w:r>
        <w:t>;</w:t>
      </w:r>
    </w:p>
    <w:p w14:paraId="04E03E75" w14:textId="77777777" w:rsidR="00071A09" w:rsidRDefault="00071A09" w:rsidP="00071A09">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04E03E76" w14:textId="77777777" w:rsidR="00071A09" w:rsidRDefault="00071A09" w:rsidP="00071A09">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04E03E77" w14:textId="77777777" w:rsidR="00071A09" w:rsidRDefault="00071A09" w:rsidP="00071A09">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04E03E78" w14:textId="77777777" w:rsidR="00071A09" w:rsidRDefault="00071A09" w:rsidP="00071A09">
      <w:pPr>
        <w:jc w:val="both"/>
      </w:pPr>
      <w:r>
        <w:t xml:space="preserve">2.6. Su Sutarties specialiojoje dalyje nurodytu Subtiekėju (-ais)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04E03E79" w14:textId="77777777" w:rsidR="00071A09" w:rsidRDefault="00071A09" w:rsidP="00071A09">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04E03E7A" w14:textId="77777777" w:rsidR="00071A09" w:rsidRDefault="00071A09" w:rsidP="00071A09">
      <w:pPr>
        <w:jc w:val="both"/>
      </w:pPr>
      <w:r>
        <w:t xml:space="preserve">2.7.1. Pagrindines tiesioginio atsiskaitymo sutarties sąlygas nurodytas Sutarties bendrosios dalies 2.8 punkte. </w:t>
      </w:r>
    </w:p>
    <w:p w14:paraId="04E03E7B" w14:textId="77777777" w:rsidR="00071A09" w:rsidRDefault="00071A09" w:rsidP="00071A09">
      <w:pPr>
        <w:jc w:val="both"/>
      </w:pPr>
      <w:r>
        <w:t xml:space="preserve">2.7.2. </w:t>
      </w:r>
      <w:r w:rsidRPr="00603466">
        <w:rPr>
          <w:b/>
        </w:rPr>
        <w:t>Pardavėjo</w:t>
      </w:r>
      <w:r>
        <w:t xml:space="preserve"> patvirtinimą, kad jis sutinka Subtiekėjo siūlomomis sąlygomis sudaryti tiesioginio atsiskaitymo sutartį. </w:t>
      </w:r>
    </w:p>
    <w:p w14:paraId="04E03E7C" w14:textId="77777777" w:rsidR="00071A09" w:rsidRDefault="00071A09" w:rsidP="00071A09">
      <w:pPr>
        <w:jc w:val="both"/>
      </w:pPr>
      <w:r>
        <w:t>2.7.3. Dokumentus įrodančius, kad nėra Viešųjų pirkimų įstatymo 46 straipsnio 1 dalyje nurodytų pagrindų.</w:t>
      </w:r>
    </w:p>
    <w:p w14:paraId="04E03E7D" w14:textId="77777777" w:rsidR="00071A09" w:rsidRDefault="00071A09" w:rsidP="00071A09">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įrodymus, Šalių ir Subtiekėjo pareiga informuoti apie rekvizitų pasikeitimus, mokėjimų vykdymo tvarka įvykus ginčui tarp </w:t>
      </w:r>
      <w:r w:rsidRPr="00603466">
        <w:rPr>
          <w:b/>
        </w:rPr>
        <w:t>Pardavėjo</w:t>
      </w:r>
      <w:r>
        <w:t xml:space="preserve"> ir Subtiekėjo, papildomas prievolių, užtikrinimas (taikoma tik numatant avansinius mokėjimus). </w:t>
      </w:r>
    </w:p>
    <w:p w14:paraId="04E03E7E" w14:textId="77777777" w:rsidR="00071A09" w:rsidRDefault="00071A09" w:rsidP="00071A09">
      <w:pPr>
        <w:jc w:val="both"/>
      </w:pPr>
      <w:r>
        <w:t xml:space="preserve">2.9. Tiesioginio atsiskaitymo sutartis turi būti sudaryta ne vėliau kaip iki dienos, nuo kurios atsiranda mokėjimo prievolė pagal Sutarties bendrosios dalies 4.1 punktą. </w:t>
      </w:r>
    </w:p>
    <w:p w14:paraId="04E03E7F" w14:textId="77777777" w:rsidR="00071A09" w:rsidRDefault="00071A09" w:rsidP="00071A09">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04E03E80" w14:textId="77777777" w:rsidR="00071A09" w:rsidRDefault="00071A09" w:rsidP="00071A09">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04E03E81" w14:textId="77777777" w:rsidR="00071A09" w:rsidRDefault="00071A09" w:rsidP="00071A09">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04E03E82" w14:textId="77777777" w:rsidR="00071A09" w:rsidRDefault="00071A09" w:rsidP="00071A09">
      <w:pPr>
        <w:jc w:val="both"/>
      </w:pPr>
      <w:r>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04E03E83" w14:textId="77777777" w:rsidR="00071A09" w:rsidRPr="00010D70" w:rsidRDefault="00071A09" w:rsidP="00071A09">
      <w:pPr>
        <w:jc w:val="both"/>
      </w:pPr>
    </w:p>
    <w:p w14:paraId="04E03E84" w14:textId="77777777" w:rsidR="00071A09" w:rsidRPr="00010D70" w:rsidRDefault="00071A09" w:rsidP="00071A09">
      <w:pPr>
        <w:jc w:val="both"/>
        <w:rPr>
          <w:b/>
        </w:rPr>
      </w:pPr>
      <w:r w:rsidRPr="00010D70">
        <w:rPr>
          <w:b/>
        </w:rPr>
        <w:t>3.</w:t>
      </w:r>
      <w:r w:rsidRPr="00010D70">
        <w:t xml:space="preserve"> </w:t>
      </w:r>
      <w:r w:rsidRPr="00010D70">
        <w:rPr>
          <w:b/>
        </w:rPr>
        <w:t>Prekių tiekimo terminai ir sąlygos</w:t>
      </w:r>
    </w:p>
    <w:p w14:paraId="04E03E85" w14:textId="77777777" w:rsidR="00071A09" w:rsidRPr="00010D70" w:rsidRDefault="00071A09" w:rsidP="00071A09">
      <w:pPr>
        <w:jc w:val="both"/>
      </w:pPr>
      <w:r w:rsidRPr="00010D70">
        <w:t>3.1. Prekės pristatomos Sutarties specialiojoje dalyje (arba Sutarties</w:t>
      </w:r>
      <w:r w:rsidRPr="00010D70">
        <w:rPr>
          <w:i/>
        </w:rPr>
        <w:t xml:space="preserve"> </w:t>
      </w:r>
      <w:r w:rsidRPr="00010D70">
        <w:t>priede (-uose)) numatytais terminais ir tvarka.</w:t>
      </w:r>
    </w:p>
    <w:p w14:paraId="04E03E86" w14:textId="77777777" w:rsidR="00071A09" w:rsidRDefault="00071A09" w:rsidP="00071A09">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603466">
        <w:rPr>
          <w:i/>
        </w:rPr>
        <w:t>.</w:t>
      </w:r>
      <w:r>
        <w:t xml:space="preserve"> Kai pristatytos prekės yra kokybiškos ir atitinka Sutartyje ir jos priede (-uose)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04E03E87" w14:textId="77777777" w:rsidR="00071A09" w:rsidRPr="00010D70" w:rsidRDefault="00071A09" w:rsidP="00071A09">
      <w:pPr>
        <w:jc w:val="both"/>
      </w:pPr>
      <w:r w:rsidRPr="00010D70">
        <w:t xml:space="preserve">3.3. Už prekes, pateiktas viršijant Sutartyje/paraiškose/užsakymuose nurodytus kiekius, </w:t>
      </w:r>
      <w:r w:rsidRPr="00010D70">
        <w:rPr>
          <w:b/>
        </w:rPr>
        <w:t xml:space="preserve">Pirkėjas </w:t>
      </w:r>
      <w:r w:rsidRPr="00010D70">
        <w:t>neapmoka.</w:t>
      </w:r>
    </w:p>
    <w:p w14:paraId="04E03E88" w14:textId="77777777" w:rsidR="00071A09" w:rsidRPr="00010D70" w:rsidRDefault="00071A09" w:rsidP="00071A09">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04E03E89" w14:textId="77777777" w:rsidR="00071A09" w:rsidRPr="00010D70" w:rsidRDefault="00071A09" w:rsidP="00071A09">
      <w:pPr>
        <w:jc w:val="both"/>
      </w:pPr>
      <w:r w:rsidRPr="00010D70">
        <w:t xml:space="preserve">3.5. </w:t>
      </w:r>
      <w:r w:rsidRPr="00010D70">
        <w:rPr>
          <w:b/>
        </w:rPr>
        <w:t>Pardavėjas</w:t>
      </w:r>
      <w:r w:rsidRPr="00010D70">
        <w:t xml:space="preserve"> įsipareigoja po Sutarties įsigaliojimo Sutarties specialioje dalyje nurodytais terminais:</w:t>
      </w:r>
    </w:p>
    <w:p w14:paraId="04E03E8A" w14:textId="77777777" w:rsidR="00071A09" w:rsidRPr="00010D70" w:rsidRDefault="00071A09" w:rsidP="00071A09">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04E03E8B" w14:textId="77777777" w:rsidR="00071A09" w:rsidRPr="00010D70" w:rsidRDefault="00071A09" w:rsidP="00071A09">
      <w:pPr>
        <w:jc w:val="both"/>
      </w:pPr>
      <w:r w:rsidRPr="00010D70">
        <w:t xml:space="preserve">3.5.2.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04E03E8C" w14:textId="77777777" w:rsidR="00071A09" w:rsidRPr="00010D70" w:rsidRDefault="00071A09" w:rsidP="00071A09">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04E03E8D" w14:textId="77777777" w:rsidR="00071A09" w:rsidRDefault="00071A09" w:rsidP="00071A09">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 xml:space="preserve">tiekti naujo modelio/pavadinimo prekes. Naujo modelio/pavadinimo prekės turi atitikti Sutartyje ir jos priede (-uose)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04E03E8E" w14:textId="77777777" w:rsidR="00071A09" w:rsidRPr="00010D70" w:rsidRDefault="00071A09" w:rsidP="00071A0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04E03E8F" w14:textId="77777777" w:rsidR="00071A09" w:rsidRPr="00010D70" w:rsidRDefault="00071A09" w:rsidP="00071A09">
      <w:pPr>
        <w:jc w:val="both"/>
      </w:pPr>
    </w:p>
    <w:p w14:paraId="04E03E90" w14:textId="77777777" w:rsidR="00071A09" w:rsidRPr="00010D70" w:rsidRDefault="00071A09" w:rsidP="00071A09">
      <w:pPr>
        <w:jc w:val="both"/>
        <w:rPr>
          <w:b/>
        </w:rPr>
      </w:pPr>
      <w:r w:rsidRPr="00010D70">
        <w:rPr>
          <w:b/>
        </w:rPr>
        <w:t>4. Mokėjimo terminai ir sąlygos</w:t>
      </w:r>
    </w:p>
    <w:p w14:paraId="04E03E91" w14:textId="77777777" w:rsidR="00071A09" w:rsidRPr="00CD09AA" w:rsidRDefault="00071A09" w:rsidP="00071A09">
      <w:pPr>
        <w:jc w:val="both"/>
        <w:rPr>
          <w:color w:val="FF0000"/>
        </w:rPr>
      </w:pPr>
      <w:r w:rsidRPr="00010D70">
        <w:t xml:space="preserve">4.1. </w:t>
      </w:r>
      <w:r w:rsidRPr="00010D70">
        <w:rPr>
          <w:b/>
        </w:rPr>
        <w:t>Pardavėjui</w:t>
      </w:r>
      <w:r w:rsidRPr="00010D70">
        <w:t xml:space="preserve"> sumokama, kai sutarties objektas atitinkantis Sutartyje ir jos priede (-uose)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 xml:space="preserve"> (</w:t>
      </w:r>
      <w:r w:rsidRPr="009F22A0">
        <w:rPr>
          <w:i/>
        </w:rPr>
        <w:t>jei spec. dalyje nenurodytas kitas terminas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04E03E92" w14:textId="77777777" w:rsidR="00071A09" w:rsidRPr="00010D70" w:rsidRDefault="00071A09" w:rsidP="00071A09">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 xml:space="preserve">priede (-uose)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r w:rsidRPr="00010D70">
        <w:t>uose</w:t>
      </w:r>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010D70">
        <w:rPr>
          <w:i/>
        </w:rPr>
        <w:t xml:space="preserve"> (jei spec. dalyje nurodyta, kad ši sąlyga taikoma)</w:t>
      </w:r>
      <w:r w:rsidRPr="00010D70">
        <w:t>.</w:t>
      </w:r>
    </w:p>
    <w:p w14:paraId="04E03E93" w14:textId="77777777" w:rsidR="00071A09" w:rsidRDefault="00071A09" w:rsidP="00071A09">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04E03E94" w14:textId="77777777" w:rsidR="00071A09" w:rsidRPr="00395267" w:rsidRDefault="00071A09" w:rsidP="00071A09">
      <w:pPr>
        <w:pStyle w:val="NoSpacing"/>
        <w:jc w:val="both"/>
        <w:rPr>
          <w:lang w:val="lt-LT"/>
        </w:rPr>
      </w:pPr>
      <w:r>
        <w:rPr>
          <w:lang w:val="lt-LT"/>
        </w:rPr>
        <w:t xml:space="preserve">4.4. </w:t>
      </w:r>
      <w:r w:rsidRPr="009B5716">
        <w:t>Avansinio apmokėjimo</w:t>
      </w:r>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04E03E95" w14:textId="77777777" w:rsidR="00071A09" w:rsidRDefault="00071A09" w:rsidP="00071A09">
      <w:pPr>
        <w:pStyle w:val="NoSpacing"/>
        <w:jc w:val="both"/>
        <w:rPr>
          <w:lang w:val="lt-LT"/>
        </w:rPr>
      </w:pPr>
      <w:r>
        <w:rPr>
          <w:lang w:val="lt-LT"/>
        </w:rPr>
        <w:t xml:space="preserve">4.5. </w:t>
      </w:r>
      <w:r w:rsidRPr="009B5716">
        <w:t>Avansinio apmokėjimo</w:t>
      </w:r>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04E03E96" w14:textId="77777777" w:rsidR="00071A09" w:rsidRPr="009B5716" w:rsidRDefault="00071A09" w:rsidP="00071A09">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04E03E97" w14:textId="77777777" w:rsidR="00071A09" w:rsidRDefault="00071A09" w:rsidP="00071A09">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04E03E98" w14:textId="77777777" w:rsidR="00071A09" w:rsidRPr="00C33D3A" w:rsidRDefault="00071A09" w:rsidP="00071A09">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04E03E99" w14:textId="77777777" w:rsidR="00071A09" w:rsidRDefault="00071A09" w:rsidP="00071A09">
      <w:pPr>
        <w:jc w:val="both"/>
      </w:pPr>
    </w:p>
    <w:p w14:paraId="04E03E9A" w14:textId="77777777" w:rsidR="00071A09" w:rsidRPr="00010D70" w:rsidRDefault="00071A09" w:rsidP="00071A09">
      <w:pPr>
        <w:jc w:val="both"/>
        <w:rPr>
          <w:b/>
        </w:rPr>
      </w:pPr>
      <w:r w:rsidRPr="00010D70">
        <w:rPr>
          <w:b/>
        </w:rPr>
        <w:t>5. Prekių kokybė</w:t>
      </w:r>
    </w:p>
    <w:p w14:paraId="04E03E9B" w14:textId="77777777" w:rsidR="00071A09" w:rsidRPr="00010D70" w:rsidRDefault="00071A09" w:rsidP="00071A09">
      <w:pPr>
        <w:jc w:val="both"/>
      </w:pPr>
      <w:r w:rsidRPr="00010D70">
        <w:t xml:space="preserve">5.1. Prekės turi atitikti Sutartyje ir jos priede (-uose) nurodytus reikalavimus. </w:t>
      </w:r>
    </w:p>
    <w:p w14:paraId="04E03E9C" w14:textId="77777777" w:rsidR="00071A09" w:rsidRPr="00010D70" w:rsidRDefault="00071A09" w:rsidP="00071A09">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14:paraId="04E03E9D" w14:textId="77777777" w:rsidR="00071A09" w:rsidRPr="00010D70" w:rsidRDefault="00071A09" w:rsidP="00071A09">
      <w:pPr>
        <w:jc w:val="both"/>
      </w:pPr>
      <w:r w:rsidRPr="00010D70">
        <w:t xml:space="preserve">5.3. Prekių priėmimo metu nustačius jų neatitikimą Sutartyje ir jos priede (-uose)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04E03E9E" w14:textId="77777777" w:rsidR="00071A09" w:rsidRPr="00010D70" w:rsidRDefault="00071A09" w:rsidP="00071A09">
      <w:pPr>
        <w:jc w:val="both"/>
      </w:pPr>
      <w:r w:rsidRPr="00010D70">
        <w:t>5.4. Tuo atveju, kai konfliktas dėl prekių kokybės ir jų atitikimo Sutartyje ir jos priede (-uose)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04E03E9F" w14:textId="77777777" w:rsidR="00071A09" w:rsidRPr="00010D70" w:rsidRDefault="00071A09" w:rsidP="00071A09">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(-uose)</w:t>
      </w:r>
      <w:r>
        <w:t>,</w:t>
      </w:r>
      <w:r w:rsidRPr="00010D70">
        <w:t xml:space="preserve"> bus tikrinamas </w:t>
      </w:r>
      <w:r w:rsidRPr="00010D70">
        <w:rPr>
          <w:i/>
        </w:rPr>
        <w:t>(jei spec. dalyje nurodyta, kad ši sąlyga taikoma)</w:t>
      </w:r>
      <w:r w:rsidRPr="00010D70">
        <w:t>.</w:t>
      </w:r>
    </w:p>
    <w:p w14:paraId="04E03EA0" w14:textId="77777777" w:rsidR="00071A09" w:rsidRPr="00010D70" w:rsidRDefault="00071A09" w:rsidP="00071A09">
      <w:pPr>
        <w:jc w:val="both"/>
      </w:pPr>
      <w:r w:rsidRPr="00010D70">
        <w:t xml:space="preserve">5.6. Jeigu laboratorinių bandymų metu patikrinus prekių atitikimą reikalavimams, nustatytiems </w:t>
      </w:r>
      <w:r>
        <w:t>S</w:t>
      </w:r>
      <w:r w:rsidRPr="00010D70">
        <w:t xml:space="preserve">utartyje ir priede (-uose),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 xml:space="preserve">priede (-uose)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 xml:space="preserve">priede (-uose) nustatytiems reikalavimams, pristatyti naujas, </w:t>
      </w:r>
      <w:r>
        <w:t>S</w:t>
      </w:r>
      <w:r w:rsidRPr="00010D70">
        <w:t xml:space="preserve">utarties ir </w:t>
      </w:r>
      <w:r>
        <w:t xml:space="preserve">jos </w:t>
      </w:r>
      <w:r w:rsidRPr="00010D70">
        <w:t xml:space="preserve">priede (-uose) nustatytus reikalavimus atitinkančias prekes. Prekių keitimas vykdomas Sutarties specialiojoje dalyje nustatytu terminu </w:t>
      </w:r>
      <w:r w:rsidRPr="00010D70">
        <w:rPr>
          <w:i/>
        </w:rPr>
        <w:t>(jei spec. dalyje nurodyta, kad ši sąlyga taikoma)</w:t>
      </w:r>
      <w:r w:rsidRPr="00010D70">
        <w:t>.</w:t>
      </w:r>
    </w:p>
    <w:p w14:paraId="04E03EA1" w14:textId="77777777" w:rsidR="00071A09" w:rsidRPr="00010D70" w:rsidRDefault="00071A09" w:rsidP="00071A09">
      <w:pPr>
        <w:jc w:val="both"/>
      </w:pPr>
      <w:r w:rsidRPr="00010D70">
        <w:t xml:space="preserve">5.7. Jeigu laboratorinių bandymų metu patikrinus prekių atitikimą reikalavimams, nustatytiems </w:t>
      </w:r>
      <w:r>
        <w:t>S</w:t>
      </w:r>
      <w:r w:rsidRPr="00010D70">
        <w:t xml:space="preserve">utartyje ir jos priede (-uose),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04E03EA2" w14:textId="77777777" w:rsidR="00071A09" w:rsidRPr="00010D70" w:rsidRDefault="00071A09" w:rsidP="00071A09">
      <w:pPr>
        <w:jc w:val="both"/>
        <w:rPr>
          <w:b/>
        </w:rPr>
      </w:pPr>
    </w:p>
    <w:p w14:paraId="04E03EA3" w14:textId="77777777" w:rsidR="00071A09" w:rsidRPr="00010D70" w:rsidRDefault="00071A09" w:rsidP="00071A09">
      <w:pPr>
        <w:jc w:val="both"/>
        <w:rPr>
          <w:b/>
        </w:rPr>
      </w:pPr>
      <w:r w:rsidRPr="00010D70">
        <w:rPr>
          <w:b/>
        </w:rPr>
        <w:t>6. Prekės kokybės garantija</w:t>
      </w:r>
    </w:p>
    <w:p w14:paraId="04E03EA4" w14:textId="77777777" w:rsidR="00071A09" w:rsidRPr="00010D70" w:rsidRDefault="00071A09" w:rsidP="00071A09">
      <w:pPr>
        <w:jc w:val="both"/>
      </w:pPr>
      <w:r w:rsidRPr="00010D70">
        <w:t>6.1. Prekėms suteikiamas Sutarties specialiojoje dalyje (arba Sutarties priede) nurodytas kokybės garantijos/tinkamumo naudoti terminas.</w:t>
      </w:r>
    </w:p>
    <w:p w14:paraId="04E03EA5" w14:textId="77777777" w:rsidR="00071A09" w:rsidRDefault="00071A09" w:rsidP="00071A09">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(-uose) nustatytus reikalavimus </w:t>
      </w:r>
      <w:r>
        <w:rPr>
          <w:i/>
        </w:rPr>
        <w:t>(jei spec. dalyje nurodyta, kad ši sąlyga taikoma)</w:t>
      </w:r>
      <w:r>
        <w:t>.</w:t>
      </w:r>
    </w:p>
    <w:p w14:paraId="04E03EA6" w14:textId="77777777" w:rsidR="00071A09" w:rsidRPr="009B46A4" w:rsidRDefault="00071A09" w:rsidP="00071A09">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(-uose)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04E03EA7" w14:textId="77777777" w:rsidR="00071A09" w:rsidRPr="00010D70" w:rsidRDefault="00071A09" w:rsidP="00071A09">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04E03EA8" w14:textId="77777777" w:rsidR="00071A09" w:rsidRPr="00010D70" w:rsidRDefault="00071A09" w:rsidP="00071A09">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(-uose)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 xml:space="preserve">priede (-uose)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4E03EA9" w14:textId="77777777" w:rsidR="00071A09" w:rsidRPr="00010D70" w:rsidRDefault="00071A09" w:rsidP="00071A09">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04E03EAA" w14:textId="77777777" w:rsidR="00071A09" w:rsidRPr="00010D70" w:rsidRDefault="00071A09" w:rsidP="00071A09">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04E03EAB" w14:textId="77777777" w:rsidR="00071A09" w:rsidRPr="00010D70" w:rsidRDefault="00071A09" w:rsidP="00071A09">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04E03EAC" w14:textId="77777777" w:rsidR="00071A09" w:rsidRPr="00010D70" w:rsidRDefault="00071A09" w:rsidP="00071A09">
      <w:pPr>
        <w:jc w:val="both"/>
      </w:pPr>
    </w:p>
    <w:p w14:paraId="04E03EAD" w14:textId="77777777" w:rsidR="00071A09" w:rsidRPr="00010D70" w:rsidRDefault="00071A09" w:rsidP="00071A09">
      <w:pPr>
        <w:jc w:val="both"/>
        <w:rPr>
          <w:b/>
        </w:rPr>
      </w:pPr>
      <w:r w:rsidRPr="00010D70">
        <w:rPr>
          <w:b/>
        </w:rPr>
        <w:t xml:space="preserve">7. Nenugalimos jėgos </w:t>
      </w:r>
      <w:r w:rsidRPr="00010D70">
        <w:rPr>
          <w:b/>
          <w:i/>
        </w:rPr>
        <w:t>(force majeure)</w:t>
      </w:r>
      <w:r w:rsidRPr="00010D70">
        <w:rPr>
          <w:b/>
        </w:rPr>
        <w:t xml:space="preserve"> aplinkybės</w:t>
      </w:r>
    </w:p>
    <w:p w14:paraId="04E03EAE" w14:textId="77777777" w:rsidR="00071A09" w:rsidRPr="00010D70" w:rsidRDefault="00071A09" w:rsidP="00071A09">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4E03EAF" w14:textId="77777777" w:rsidR="00071A09" w:rsidRPr="00010D70" w:rsidRDefault="00071A09" w:rsidP="00071A09">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4E03EB0" w14:textId="77777777" w:rsidR="00071A09" w:rsidRPr="00010D70" w:rsidRDefault="00071A09" w:rsidP="00071A09">
      <w:pPr>
        <w:jc w:val="both"/>
      </w:pPr>
    </w:p>
    <w:p w14:paraId="04E03EB1" w14:textId="77777777" w:rsidR="00071A09" w:rsidRPr="00010D70" w:rsidRDefault="00071A09" w:rsidP="00071A09">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4E03EB2" w14:textId="77777777" w:rsidR="00071A09" w:rsidRPr="00010D70" w:rsidRDefault="00071A09" w:rsidP="00071A09">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04E03EB3" w14:textId="77777777" w:rsidR="00071A09" w:rsidRPr="00010D70" w:rsidRDefault="00071A09" w:rsidP="00071A09">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04E03EB4" w14:textId="77777777" w:rsidR="00071A09" w:rsidRPr="00010D70" w:rsidRDefault="00071A09" w:rsidP="00071A09">
      <w:pPr>
        <w:jc w:val="both"/>
      </w:pPr>
    </w:p>
    <w:p w14:paraId="04E03EB5" w14:textId="77777777" w:rsidR="00071A09" w:rsidRPr="00010D70" w:rsidRDefault="00071A09" w:rsidP="00071A09">
      <w:pPr>
        <w:jc w:val="both"/>
        <w:rPr>
          <w:b/>
        </w:rPr>
      </w:pPr>
      <w:r w:rsidRPr="00010D70">
        <w:rPr>
          <w:b/>
        </w:rPr>
        <w:t>9. Sutarties nutraukimas</w:t>
      </w:r>
    </w:p>
    <w:p w14:paraId="04E03EB6" w14:textId="77777777" w:rsidR="00071A09" w:rsidRPr="00010D70" w:rsidRDefault="00071A09" w:rsidP="00071A09">
      <w:pPr>
        <w:jc w:val="both"/>
      </w:pPr>
      <w:r w:rsidRPr="00010D70">
        <w:t>9.1. Ši Sutartis gali būti nutraukta:</w:t>
      </w:r>
    </w:p>
    <w:p w14:paraId="04E03EB7" w14:textId="77777777" w:rsidR="00071A09" w:rsidRPr="00010D70" w:rsidRDefault="00071A09" w:rsidP="00071A09">
      <w:pPr>
        <w:jc w:val="both"/>
      </w:pPr>
      <w:r w:rsidRPr="00010D70">
        <w:t xml:space="preserve">9.1.1. raštišku </w:t>
      </w:r>
      <w:r w:rsidRPr="00010D70">
        <w:rPr>
          <w:bCs/>
        </w:rPr>
        <w:t>Šalių</w:t>
      </w:r>
      <w:r w:rsidRPr="00010D70">
        <w:t xml:space="preserve"> susitarimu; </w:t>
      </w:r>
    </w:p>
    <w:p w14:paraId="04E03EB8" w14:textId="77777777" w:rsidR="00071A09" w:rsidRDefault="00071A09" w:rsidP="00071A09">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04E03EB9" w14:textId="77777777" w:rsidR="00071A09" w:rsidRPr="00EB3B83" w:rsidRDefault="00071A09" w:rsidP="00071A09">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04E03EBA" w14:textId="77777777" w:rsidR="00071A09" w:rsidRPr="00010D70" w:rsidRDefault="00071A09" w:rsidP="00071A09">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04E03EBB" w14:textId="77777777" w:rsidR="00071A09" w:rsidRPr="00010D70" w:rsidRDefault="00071A09" w:rsidP="00071A09">
      <w:pPr>
        <w:jc w:val="both"/>
      </w:pPr>
      <w:r w:rsidRPr="00010D70">
        <w:t xml:space="preserve">9.2.2. </w:t>
      </w:r>
      <w:r w:rsidRPr="00010D70">
        <w:rPr>
          <w:b/>
        </w:rPr>
        <w:t>Pardavėjas</w:t>
      </w:r>
      <w:r w:rsidRPr="00010D70">
        <w:t xml:space="preserve"> nevykdo (ar informuoja, kad negalės vykdyti) sutartinio įsipareigojimo tiekti prekes;</w:t>
      </w:r>
    </w:p>
    <w:p w14:paraId="04E03EBC" w14:textId="77777777" w:rsidR="00071A09" w:rsidRPr="00010D70" w:rsidRDefault="00071A09" w:rsidP="00071A09">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04E03EBD" w14:textId="77777777" w:rsidR="00071A09" w:rsidRPr="00010D70" w:rsidRDefault="00071A09" w:rsidP="00071A09">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04E03EBE" w14:textId="77777777" w:rsidR="00071A09" w:rsidRPr="00010D70" w:rsidRDefault="00071A09" w:rsidP="00071A09">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04E03EBF" w14:textId="77777777" w:rsidR="00071A09" w:rsidRPr="00010D70" w:rsidRDefault="00071A09" w:rsidP="00071A09">
      <w:pPr>
        <w:jc w:val="both"/>
      </w:pPr>
      <w:r w:rsidRPr="00010D70">
        <w:t xml:space="preserve">9.2.6. </w:t>
      </w:r>
      <w:r w:rsidRPr="00010D70">
        <w:rPr>
          <w:b/>
        </w:rPr>
        <w:t>Pardavėjo</w:t>
      </w:r>
      <w:r w:rsidRPr="00010D70">
        <w:t xml:space="preserve"> pateiktos prekės ar jų kokybė neatitinka Sutartyje ir jos priede (-uose) nustatytų reikalavimų;</w:t>
      </w:r>
    </w:p>
    <w:p w14:paraId="04E03EC0" w14:textId="77777777" w:rsidR="00071A09" w:rsidRPr="00010D70" w:rsidRDefault="00071A09" w:rsidP="00071A09">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04E03EC1" w14:textId="77777777" w:rsidR="00071A09" w:rsidRPr="00EB3B83" w:rsidRDefault="00071A09" w:rsidP="00071A09">
      <w:pPr>
        <w:autoSpaceDE w:val="0"/>
        <w:autoSpaceDN w:val="0"/>
        <w:adjustRightInd w:val="0"/>
        <w:jc w:val="both"/>
        <w:rPr>
          <w:color w:val="000000"/>
          <w:szCs w:val="22"/>
          <w:lang w:eastAsia="en-US"/>
        </w:rPr>
      </w:pPr>
      <w:r w:rsidRPr="00EB3B83">
        <w:rPr>
          <w:color w:val="000000"/>
          <w:lang w:eastAsia="en-US"/>
        </w:rPr>
        <w:t>9.2.8.</w:t>
      </w:r>
      <w:r w:rsidRPr="00A951D9">
        <w:rPr>
          <w:rFonts w:eastAsia="Calibri"/>
          <w:color w:val="000000"/>
        </w:rPr>
        <w:t xml:space="preserve"> </w:t>
      </w:r>
      <w:r w:rsidRPr="00DB579A">
        <w:rPr>
          <w:rFonts w:eastAsia="Calibri"/>
          <w:color w:val="000000"/>
        </w:rPr>
        <w:t xml:space="preserve">Sutarties galiojimo laikotarpiu </w:t>
      </w:r>
      <w:r w:rsidRPr="00DB579A">
        <w:rPr>
          <w:rFonts w:eastAsia="Calibri"/>
          <w:b/>
          <w:color w:val="000000"/>
        </w:rPr>
        <w:t>Pardavėjas</w:t>
      </w:r>
      <w:r w:rsidRPr="00DB579A">
        <w:rPr>
          <w:rFonts w:eastAsia="Calibri"/>
          <w:color w:val="000000"/>
        </w:rPr>
        <w:t xml:space="preserve"> yra įtraukiamas į Nepatikimų tiekėjų ar Melagingą informaciją pateikusių tiekėjų sąrašus </w:t>
      </w:r>
      <w:r w:rsidRPr="00DB579A">
        <w:rPr>
          <w:rFonts w:eastAsia="Calibri"/>
          <w:iCs/>
          <w:color w:val="000000"/>
        </w:rPr>
        <w:t xml:space="preserve">ir per </w:t>
      </w:r>
      <w:r w:rsidRPr="00DB579A">
        <w:rPr>
          <w:rFonts w:eastAsia="Calibri"/>
          <w:b/>
          <w:iCs/>
          <w:color w:val="000000"/>
        </w:rPr>
        <w:t>Pirkėjo</w:t>
      </w:r>
      <w:r w:rsidRPr="00DB579A">
        <w:rPr>
          <w:rFonts w:eastAsia="Calibri"/>
          <w:iCs/>
          <w:color w:val="000000"/>
        </w:rPr>
        <w:t xml:space="preserve"> nustatytą terminą </w:t>
      </w:r>
      <w:r w:rsidRPr="00DB579A">
        <w:rPr>
          <w:rFonts w:eastAsia="Calibri"/>
          <w:b/>
          <w:iCs/>
          <w:color w:val="000000"/>
        </w:rPr>
        <w:t>Pardavėjas</w:t>
      </w:r>
      <w:r w:rsidRPr="00DB579A">
        <w:rPr>
          <w:rFonts w:eastAsia="Calibri"/>
          <w:iCs/>
          <w:color w:val="000000"/>
        </w:rPr>
        <w:t xml:space="preserve"> nepateikia pakankamų įrodymų arba </w:t>
      </w:r>
      <w:r w:rsidRPr="00DB579A">
        <w:rPr>
          <w:rFonts w:eastAsia="Calibri"/>
          <w:b/>
          <w:iCs/>
          <w:color w:val="000000"/>
        </w:rPr>
        <w:t>Pirkėjas</w:t>
      </w:r>
      <w:r w:rsidRPr="00DB579A">
        <w:rPr>
          <w:rFonts w:eastAsia="Calibri"/>
          <w:iCs/>
          <w:color w:val="000000"/>
        </w:rPr>
        <w:t xml:space="preserve"> nustato, kad pateikti įrodymai dėl techninių, organizacinių ar personalo valdymo priemonių, skirtų tolesnių pažeidimų prevencijai, yra nepakankami</w:t>
      </w:r>
      <w:r w:rsidRPr="00DB579A">
        <w:rPr>
          <w:color w:val="000000"/>
          <w:szCs w:val="22"/>
          <w:lang w:eastAsia="en-US"/>
        </w:rPr>
        <w:t>;</w:t>
      </w:r>
    </w:p>
    <w:p w14:paraId="04E03EC2" w14:textId="77777777" w:rsidR="00071A09" w:rsidRDefault="00071A09" w:rsidP="00071A09">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04E03EC3" w14:textId="77777777" w:rsidR="00071A09" w:rsidRPr="00070442" w:rsidRDefault="00071A09" w:rsidP="00071A09">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04E03EC4" w14:textId="77777777" w:rsidR="00071A09" w:rsidRPr="00070442" w:rsidRDefault="00071A09" w:rsidP="00071A09">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04E03EC5" w14:textId="77777777" w:rsidR="00071A09" w:rsidRPr="00EB3B83" w:rsidRDefault="00071A09" w:rsidP="00071A09">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04E03EC6" w14:textId="77777777" w:rsidR="00071A09" w:rsidRPr="00010D70" w:rsidRDefault="00071A09" w:rsidP="00071A09">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04E03EC7" w14:textId="77777777" w:rsidR="00071A09" w:rsidRPr="00010D70" w:rsidRDefault="00071A09" w:rsidP="00071A09">
      <w:pPr>
        <w:jc w:val="both"/>
      </w:pPr>
    </w:p>
    <w:p w14:paraId="04E03EC8" w14:textId="77777777" w:rsidR="00071A09" w:rsidRPr="00010D70" w:rsidRDefault="00071A09" w:rsidP="00071A09">
      <w:pPr>
        <w:rPr>
          <w:b/>
        </w:rPr>
      </w:pPr>
      <w:r w:rsidRPr="00010D70">
        <w:rPr>
          <w:b/>
        </w:rPr>
        <w:t>10. Ginčų sprendimo tvarka</w:t>
      </w:r>
    </w:p>
    <w:p w14:paraId="04E03EC9" w14:textId="77777777" w:rsidR="00071A09" w:rsidRPr="00010D70" w:rsidRDefault="00071A09" w:rsidP="00071A09">
      <w:r w:rsidRPr="00010D70">
        <w:t>10.1. Sutartis sudaryta ir turi būti aiškinama pagal Lietuvos Respublikos teisę.</w:t>
      </w:r>
    </w:p>
    <w:p w14:paraId="04E03ECA" w14:textId="77777777" w:rsidR="00071A09" w:rsidRPr="00010D70" w:rsidRDefault="00071A09" w:rsidP="00071A09">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04E03ECB" w14:textId="77777777" w:rsidR="00071A09" w:rsidRPr="00010D70" w:rsidRDefault="00071A09" w:rsidP="00071A09">
      <w:pPr>
        <w:jc w:val="both"/>
      </w:pPr>
    </w:p>
    <w:p w14:paraId="04E03ECC" w14:textId="77777777" w:rsidR="00071A09" w:rsidRPr="00010D70" w:rsidRDefault="00071A09" w:rsidP="00071A09">
      <w:pPr>
        <w:jc w:val="both"/>
        <w:rPr>
          <w:b/>
        </w:rPr>
      </w:pPr>
      <w:r w:rsidRPr="00010D70">
        <w:rPr>
          <w:b/>
        </w:rPr>
        <w:t>11. Atsakomybė</w:t>
      </w:r>
    </w:p>
    <w:p w14:paraId="04E03ECD" w14:textId="77777777" w:rsidR="00071A09" w:rsidRPr="00E21B83" w:rsidRDefault="00071A09" w:rsidP="00071A09">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04E03ECE" w14:textId="77777777" w:rsidR="00071A09" w:rsidRPr="00E21B83" w:rsidRDefault="00071A09" w:rsidP="00071A09">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04E03ECF" w14:textId="77777777" w:rsidR="00071A09" w:rsidRPr="00010D70" w:rsidRDefault="00071A09" w:rsidP="00071A09">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04E03ED0" w14:textId="77777777" w:rsidR="00071A09" w:rsidRPr="00010D70" w:rsidRDefault="00071A09" w:rsidP="00071A09">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04E03ED1" w14:textId="77777777" w:rsidR="00071A09" w:rsidRPr="00010D70" w:rsidRDefault="00071A09" w:rsidP="00071A09">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04E03ED2" w14:textId="77777777" w:rsidR="00071A09" w:rsidRPr="00010D70" w:rsidRDefault="00071A09" w:rsidP="00071A09">
      <w:pPr>
        <w:jc w:val="both"/>
      </w:pPr>
      <w:r w:rsidRPr="00010D70">
        <w:t xml:space="preserve">11.6. Kiti sutartinės atsakomybės taikymo </w:t>
      </w:r>
      <w:r w:rsidRPr="00010D70">
        <w:rPr>
          <w:b/>
        </w:rPr>
        <w:t>Pardavėjui</w:t>
      </w:r>
      <w:r w:rsidRPr="00010D70">
        <w:t xml:space="preserve"> atvejai nurodyti Sutarties specialiojoje dalyje.</w:t>
      </w:r>
    </w:p>
    <w:p w14:paraId="04E03ED3" w14:textId="77777777" w:rsidR="00071A09" w:rsidRPr="00010D70" w:rsidRDefault="00071A09" w:rsidP="00071A09">
      <w:pPr>
        <w:pStyle w:val="BodyTextIndent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14:paraId="04E03ED4" w14:textId="77777777" w:rsidR="00071A09" w:rsidRPr="00010D70" w:rsidRDefault="00071A09" w:rsidP="00071A09">
      <w:pPr>
        <w:jc w:val="both"/>
      </w:pPr>
    </w:p>
    <w:p w14:paraId="04E03ED5" w14:textId="77777777" w:rsidR="00071A09" w:rsidRPr="00010D70" w:rsidRDefault="00071A09" w:rsidP="00071A09">
      <w:pPr>
        <w:jc w:val="both"/>
        <w:rPr>
          <w:b/>
        </w:rPr>
      </w:pPr>
      <w:r w:rsidRPr="00010D70">
        <w:rPr>
          <w:b/>
        </w:rPr>
        <w:t>12. Sutarties galiojimas</w:t>
      </w:r>
    </w:p>
    <w:p w14:paraId="04E03ED6" w14:textId="77777777" w:rsidR="00071A09" w:rsidRPr="00010D70" w:rsidRDefault="00071A09" w:rsidP="00071A09">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04E03ED7" w14:textId="77777777" w:rsidR="00071A09" w:rsidRPr="00010D70" w:rsidRDefault="00071A09" w:rsidP="00071A09">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04E03ED8" w14:textId="77777777" w:rsidR="00071A09" w:rsidRPr="00010D70" w:rsidRDefault="00071A09" w:rsidP="00071A09">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w:t>
      </w:r>
      <w:r>
        <w:t xml:space="preserve"> </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04E03ED9" w14:textId="77777777" w:rsidR="00071A09" w:rsidRPr="00010D70" w:rsidRDefault="00071A09" w:rsidP="00071A09">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04E03EDA" w14:textId="77777777" w:rsidR="00071A09" w:rsidRPr="00010D70" w:rsidRDefault="00071A09" w:rsidP="00071A09">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04E03EDB" w14:textId="77777777" w:rsidR="00071A09" w:rsidRPr="004A4291" w:rsidRDefault="00071A09" w:rsidP="00071A09">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04E03EDC" w14:textId="77777777" w:rsidR="00071A09" w:rsidRPr="0080194C" w:rsidRDefault="00071A09" w:rsidP="00071A0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04E03EDD" w14:textId="77777777" w:rsidR="00071A09" w:rsidRDefault="00071A09" w:rsidP="00071A09">
      <w:pPr>
        <w:jc w:val="both"/>
      </w:pPr>
      <w:r w:rsidRPr="0080194C">
        <w:t xml:space="preserve">12.8. Sutartis gali būti pratęsta Sutarties </w:t>
      </w:r>
      <w:r>
        <w:t>s</w:t>
      </w:r>
      <w:r w:rsidRPr="0080194C">
        <w:t>pecialiojoje dalyje nustatytomis sąlygomis</w:t>
      </w:r>
      <w:r>
        <w:t>.</w:t>
      </w:r>
    </w:p>
    <w:p w14:paraId="04E03EDE" w14:textId="77777777" w:rsidR="00071A09" w:rsidRPr="008F30C9" w:rsidRDefault="00071A09" w:rsidP="00071A0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 xml:space="preserve">Sutartyje ir jos priede (-uose)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(-uose)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04E03EDF" w14:textId="77777777" w:rsidR="00071A09" w:rsidRPr="00010D70" w:rsidRDefault="00071A09" w:rsidP="00071A09">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04E03EE0" w14:textId="77777777" w:rsidR="00071A09" w:rsidRPr="00010D70" w:rsidRDefault="00071A09" w:rsidP="00071A09">
      <w:pPr>
        <w:jc w:val="both"/>
        <w:rPr>
          <w:b/>
        </w:rPr>
      </w:pPr>
    </w:p>
    <w:p w14:paraId="04E03EE1" w14:textId="77777777" w:rsidR="00071A09" w:rsidRPr="00010D70" w:rsidRDefault="00071A09" w:rsidP="00071A09">
      <w:pPr>
        <w:pStyle w:val="BodyText"/>
        <w:spacing w:after="0"/>
        <w:ind w:right="125"/>
        <w:jc w:val="both"/>
        <w:rPr>
          <w:b/>
          <w:bCs/>
        </w:rPr>
      </w:pPr>
      <w:r w:rsidRPr="00010D70">
        <w:rPr>
          <w:b/>
          <w:bCs/>
        </w:rPr>
        <w:t>13. Susirašinėjimas</w:t>
      </w:r>
    </w:p>
    <w:p w14:paraId="04E03EE2" w14:textId="77777777" w:rsidR="00071A09" w:rsidRPr="00010D70" w:rsidRDefault="00071A09" w:rsidP="00071A09">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4E03EE3" w14:textId="77777777" w:rsidR="00071A09" w:rsidRPr="00010D70" w:rsidRDefault="00071A09" w:rsidP="00071A09">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4E03EE4" w14:textId="77777777" w:rsidR="00071A09" w:rsidRPr="00010D70" w:rsidRDefault="00071A09" w:rsidP="00071A09">
      <w:pPr>
        <w:jc w:val="both"/>
        <w:rPr>
          <w:b/>
        </w:rPr>
      </w:pPr>
    </w:p>
    <w:p w14:paraId="04E03EE5" w14:textId="77777777" w:rsidR="00071A09" w:rsidRPr="00010D70" w:rsidRDefault="00071A09" w:rsidP="00071A09">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04E03EE6" w14:textId="77777777" w:rsidR="00071A09" w:rsidRPr="00010D70" w:rsidRDefault="00071A09" w:rsidP="00071A09">
      <w:pPr>
        <w:jc w:val="both"/>
        <w:rPr>
          <w:b/>
          <w:bCs/>
          <w:lang w:eastAsia="en-US"/>
        </w:rPr>
      </w:pPr>
    </w:p>
    <w:p w14:paraId="04E03EE7" w14:textId="77777777" w:rsidR="00071A09" w:rsidRPr="00010D70" w:rsidRDefault="00071A09" w:rsidP="00071A09">
      <w:pPr>
        <w:jc w:val="both"/>
      </w:pPr>
      <w:r w:rsidRPr="00010D70">
        <w:t xml:space="preserve">14.1. Šalys privalo užtikrinti, kad informacija, kurią jos perduoda viena kitai, bus naudojama tik vykdant Sutartį ir nebus naudojama tokiu būdu, kuris pakenktų informaciją perdavusiai Šaliai. </w:t>
      </w:r>
    </w:p>
    <w:p w14:paraId="04E03EE8" w14:textId="77777777" w:rsidR="00071A09" w:rsidRDefault="00071A09" w:rsidP="00071A09">
      <w:pPr>
        <w:jc w:val="both"/>
      </w:pPr>
      <w:r w:rsidRPr="00010D70">
        <w:t>14.2. Šalys įsipareigoja užtikrinti visos joms žinomos ir (ar) patikėtos informacijos slaptumą Sutarties galiojimo metu ir pasibaigus Sutarties galiojimo laikotarpiui ar ją nutraukus</w:t>
      </w:r>
      <w:r>
        <w:t>.</w:t>
      </w:r>
    </w:p>
    <w:p w14:paraId="04E03EE9" w14:textId="77777777" w:rsidR="00071A09" w:rsidRDefault="00071A09" w:rsidP="00071A09">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04E03EEA" w14:textId="77777777" w:rsidR="00071A09" w:rsidRDefault="00071A09" w:rsidP="00071A09">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4E03EEB" w14:textId="77777777" w:rsidR="00071A09" w:rsidRDefault="00071A09" w:rsidP="00071A09">
      <w:pPr>
        <w:jc w:val="both"/>
      </w:pPr>
      <w:r>
        <w:t xml:space="preserve">14.5. Sutarties šalys užtikrina, kad su asmens duomenimis tvarkomais vykdant Sutartį susipažins tik tie asmenys, kuriems tai yra būtina vykdant įsipareigojimus pagal Sutartį. </w:t>
      </w:r>
    </w:p>
    <w:p w14:paraId="04E03EEC" w14:textId="77777777" w:rsidR="00071A09" w:rsidRDefault="00071A09" w:rsidP="00071A09">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4E03EED" w14:textId="77777777" w:rsidR="00071A09" w:rsidRDefault="00071A09" w:rsidP="00071A09">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4E03EEE" w14:textId="77777777" w:rsidR="00071A09" w:rsidRDefault="00071A09" w:rsidP="00071A09">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E03EEF" w14:textId="77777777" w:rsidR="00071A09" w:rsidRDefault="00071A09" w:rsidP="00071A09">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4E03EF0" w14:textId="77777777" w:rsidR="00071A09" w:rsidRDefault="00071A09" w:rsidP="00071A09">
      <w:pPr>
        <w:jc w:val="both"/>
      </w:pPr>
      <w:r>
        <w:t>14.10. Šalys neatlygina viena kitos patirtų išlaidų ir nuostolių dėl asmens duomenų tvarkymo įsipareigojimų pagal šią Sutartį vykdymo.</w:t>
      </w:r>
    </w:p>
    <w:p w14:paraId="04E03EF1" w14:textId="77777777" w:rsidR="00071A09" w:rsidRDefault="00071A09" w:rsidP="00071A09">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04E03EF2" w14:textId="77777777" w:rsidR="00071A09" w:rsidRPr="00010D70" w:rsidRDefault="00071A09" w:rsidP="00071A09">
      <w:pPr>
        <w:jc w:val="both"/>
        <w:rPr>
          <w:b/>
        </w:rPr>
      </w:pPr>
    </w:p>
    <w:p w14:paraId="04E03EF3" w14:textId="77777777" w:rsidR="00071A09" w:rsidRPr="00010D70" w:rsidRDefault="00071A09" w:rsidP="00071A09">
      <w:pPr>
        <w:jc w:val="both"/>
        <w:rPr>
          <w:b/>
        </w:rPr>
      </w:pPr>
      <w:r w:rsidRPr="00010D70">
        <w:rPr>
          <w:b/>
        </w:rPr>
        <w:t>15. Baigiamosios nuostatos</w:t>
      </w:r>
    </w:p>
    <w:p w14:paraId="04E03EF4" w14:textId="77777777" w:rsidR="00071A09" w:rsidRPr="00010D70" w:rsidRDefault="00071A09" w:rsidP="00071A09">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kalbomis, pirmenybė teikiama tekstui anglų kalba (taikoma, jeigu sutartis sudaroma su užsienio pardavėju </w:t>
      </w:r>
      <w:r w:rsidRPr="00C70AD2">
        <w:t>lietuvių ir anglų kalba</w:t>
      </w:r>
      <w:r w:rsidRPr="00010D70">
        <w:t>).</w:t>
      </w:r>
    </w:p>
    <w:p w14:paraId="04E03EF5" w14:textId="77777777" w:rsidR="00071A09" w:rsidRPr="00010D70" w:rsidRDefault="00071A09" w:rsidP="00071A09">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04E03EF6" w14:textId="77777777" w:rsidR="00071A09" w:rsidRPr="00010D70" w:rsidRDefault="00071A09" w:rsidP="00071A09">
      <w:pPr>
        <w:jc w:val="both"/>
      </w:pPr>
      <w:r w:rsidRPr="00010D70">
        <w:t>15.3. Nė viena iš Šalių neturi teisės perduoti trečiajam asmeniui teisių ir įsipareigojimų pagal šią Sutartį be išankstinio raštiško kitos Šalies sutikimo.</w:t>
      </w:r>
    </w:p>
    <w:p w14:paraId="04E03EF7" w14:textId="77777777" w:rsidR="00071A09" w:rsidRPr="00010D70" w:rsidRDefault="00071A09" w:rsidP="00071A09">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04E03EF8" w14:textId="77777777" w:rsidR="00071A09" w:rsidRPr="00010D70" w:rsidRDefault="00071A09" w:rsidP="00071A09">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04E03EF9" w14:textId="77777777" w:rsidR="00071A09" w:rsidRPr="00010D70" w:rsidRDefault="00071A09" w:rsidP="00071A09">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4E03EFA" w14:textId="77777777" w:rsidR="00071A09" w:rsidRPr="00EB3B83" w:rsidRDefault="00071A09" w:rsidP="00071A09">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04E03EFB" w14:textId="77777777" w:rsidR="00071A09" w:rsidRPr="00EB3B83" w:rsidRDefault="00071A09" w:rsidP="00071A09">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04E03EFC" w14:textId="77777777" w:rsidR="00071A09" w:rsidRPr="00EB3B83" w:rsidRDefault="00071A09" w:rsidP="00071A09">
      <w:pPr>
        <w:jc w:val="both"/>
        <w:rPr>
          <w:color w:val="000000"/>
        </w:rPr>
      </w:pPr>
      <w:r w:rsidRPr="00EB3B83">
        <w:rPr>
          <w:color w:val="000000"/>
        </w:rPr>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04E03EFD" w14:textId="77777777" w:rsidR="00071A09" w:rsidRPr="00010D70" w:rsidRDefault="00071A09" w:rsidP="00071A09">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04E03EFE" w14:textId="77777777" w:rsidR="00071A09" w:rsidRPr="00010D70" w:rsidRDefault="00071A09" w:rsidP="00071A09">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04E03EFF" w14:textId="77777777" w:rsidR="00071A09" w:rsidRPr="000C0FE3" w:rsidRDefault="00071A09" w:rsidP="00071A09">
      <w:pPr>
        <w:jc w:val="both"/>
        <w:rPr>
          <w:b/>
        </w:rPr>
      </w:pPr>
    </w:p>
    <w:p w14:paraId="04E03F00" w14:textId="77777777" w:rsidR="00071A09" w:rsidRDefault="00071A09" w:rsidP="00071A09">
      <w:pPr>
        <w:jc w:val="both"/>
      </w:pPr>
    </w:p>
    <w:p w14:paraId="04E03F01" w14:textId="77777777" w:rsidR="00071A09" w:rsidRDefault="00071A09" w:rsidP="00071A09">
      <w:pPr>
        <w:jc w:val="both"/>
        <w:rPr>
          <w:rFonts w:eastAsia="Arial"/>
          <w:lang w:eastAsia="ar-SA"/>
        </w:rPr>
      </w:pPr>
    </w:p>
    <w:tbl>
      <w:tblPr>
        <w:tblW w:w="0" w:type="auto"/>
        <w:tblInd w:w="191" w:type="dxa"/>
        <w:tblLook w:val="04A0" w:firstRow="1" w:lastRow="0" w:firstColumn="1" w:lastColumn="0" w:noHBand="0" w:noVBand="1"/>
      </w:tblPr>
      <w:tblGrid>
        <w:gridCol w:w="5162"/>
        <w:gridCol w:w="3844"/>
      </w:tblGrid>
      <w:tr w:rsidR="00071A09" w:rsidRPr="0046350E" w14:paraId="04E03F04" w14:textId="77777777" w:rsidTr="004A3A2E">
        <w:trPr>
          <w:trHeight w:val="315"/>
        </w:trPr>
        <w:tc>
          <w:tcPr>
            <w:tcW w:w="5162" w:type="dxa"/>
            <w:vAlign w:val="center"/>
            <w:hideMark/>
          </w:tcPr>
          <w:p w14:paraId="04E03F02" w14:textId="77777777" w:rsidR="00071A09" w:rsidRPr="0046350E" w:rsidRDefault="00071A09" w:rsidP="004A3A2E">
            <w:pPr>
              <w:ind w:left="834"/>
              <w:jc w:val="both"/>
              <w:rPr>
                <w:b/>
                <w:bCs/>
                <w:color w:val="000000"/>
              </w:rPr>
            </w:pPr>
            <w:r w:rsidRPr="0046350E">
              <w:rPr>
                <w:b/>
                <w:bCs/>
                <w:color w:val="000000"/>
              </w:rPr>
              <w:t>PIRKĖJAS</w:t>
            </w:r>
          </w:p>
        </w:tc>
        <w:tc>
          <w:tcPr>
            <w:tcW w:w="3844" w:type="dxa"/>
            <w:vAlign w:val="center"/>
            <w:hideMark/>
          </w:tcPr>
          <w:p w14:paraId="04E03F03" w14:textId="77777777" w:rsidR="00071A09" w:rsidRPr="0046350E" w:rsidRDefault="00071A09" w:rsidP="004A3A2E">
            <w:pPr>
              <w:ind w:left="834"/>
              <w:jc w:val="both"/>
              <w:rPr>
                <w:b/>
                <w:bCs/>
                <w:color w:val="000000"/>
              </w:rPr>
            </w:pPr>
            <w:r w:rsidRPr="0046350E">
              <w:rPr>
                <w:b/>
                <w:bCs/>
                <w:color w:val="000000"/>
              </w:rPr>
              <w:t>PARDAVĖJAS</w:t>
            </w:r>
          </w:p>
        </w:tc>
      </w:tr>
      <w:tr w:rsidR="00071A09" w:rsidRPr="0046350E" w14:paraId="04E03F09" w14:textId="77777777" w:rsidTr="004A3A2E">
        <w:trPr>
          <w:trHeight w:val="315"/>
        </w:trPr>
        <w:tc>
          <w:tcPr>
            <w:tcW w:w="5162" w:type="dxa"/>
            <w:noWrap/>
            <w:vAlign w:val="center"/>
            <w:hideMark/>
          </w:tcPr>
          <w:p w14:paraId="04E03F05" w14:textId="77777777" w:rsidR="00071A09" w:rsidRDefault="00071A09" w:rsidP="004A3A2E">
            <w:pPr>
              <w:ind w:left="834"/>
              <w:rPr>
                <w:b/>
                <w:bCs/>
                <w:color w:val="000000"/>
              </w:rPr>
            </w:pPr>
          </w:p>
          <w:p w14:paraId="04E03F06" w14:textId="77777777" w:rsidR="00071A09" w:rsidRPr="0046350E" w:rsidRDefault="00071A09" w:rsidP="004A3A2E">
            <w:pPr>
              <w:ind w:left="834"/>
              <w:rPr>
                <w:b/>
                <w:bCs/>
                <w:color w:val="000000"/>
              </w:rPr>
            </w:pPr>
            <w:r w:rsidRPr="0046350E">
              <w:rPr>
                <w:b/>
                <w:bCs/>
                <w:color w:val="000000"/>
              </w:rPr>
              <w:t>Informacinių technologijų tarnyba</w:t>
            </w:r>
          </w:p>
        </w:tc>
        <w:tc>
          <w:tcPr>
            <w:tcW w:w="3844" w:type="dxa"/>
            <w:noWrap/>
            <w:vAlign w:val="center"/>
            <w:hideMark/>
          </w:tcPr>
          <w:p w14:paraId="04E03F07" w14:textId="77777777" w:rsidR="00071A09" w:rsidRDefault="00071A09" w:rsidP="004A3A2E">
            <w:pPr>
              <w:ind w:left="834"/>
              <w:rPr>
                <w:b/>
                <w:bCs/>
                <w:color w:val="000000"/>
              </w:rPr>
            </w:pPr>
          </w:p>
          <w:p w14:paraId="04E03F08" w14:textId="77777777" w:rsidR="00071A09" w:rsidRPr="0046350E" w:rsidRDefault="00071A09" w:rsidP="004A3A2E">
            <w:pPr>
              <w:ind w:left="834"/>
              <w:rPr>
                <w:b/>
                <w:bCs/>
                <w:color w:val="000000"/>
              </w:rPr>
            </w:pPr>
            <w:r w:rsidRPr="0046350E">
              <w:rPr>
                <w:b/>
                <w:bCs/>
                <w:color w:val="000000"/>
              </w:rPr>
              <w:t>UAB „Fortevento“</w:t>
            </w:r>
          </w:p>
        </w:tc>
      </w:tr>
      <w:tr w:rsidR="00071A09" w:rsidRPr="0046350E" w14:paraId="04E03F0C" w14:textId="77777777" w:rsidTr="004A3A2E">
        <w:trPr>
          <w:trHeight w:val="315"/>
        </w:trPr>
        <w:tc>
          <w:tcPr>
            <w:tcW w:w="5162" w:type="dxa"/>
            <w:noWrap/>
            <w:vAlign w:val="center"/>
            <w:hideMark/>
          </w:tcPr>
          <w:p w14:paraId="04E03F0A" w14:textId="77777777" w:rsidR="00071A09" w:rsidRPr="0046350E" w:rsidRDefault="00071A09" w:rsidP="004A3A2E">
            <w:pPr>
              <w:ind w:left="834"/>
              <w:rPr>
                <w:b/>
                <w:bCs/>
                <w:color w:val="000000"/>
              </w:rPr>
            </w:pPr>
            <w:r w:rsidRPr="0046350E">
              <w:rPr>
                <w:b/>
                <w:bCs/>
                <w:color w:val="000000"/>
              </w:rPr>
              <w:t>prie Krašto apsaugos ministerijos</w:t>
            </w:r>
          </w:p>
        </w:tc>
        <w:tc>
          <w:tcPr>
            <w:tcW w:w="3844" w:type="dxa"/>
            <w:noWrap/>
            <w:vAlign w:val="bottom"/>
            <w:hideMark/>
          </w:tcPr>
          <w:p w14:paraId="04E03F0B" w14:textId="77777777" w:rsidR="00071A09" w:rsidRPr="0046350E" w:rsidRDefault="00071A09" w:rsidP="004A3A2E">
            <w:pPr>
              <w:rPr>
                <w:b/>
                <w:bCs/>
                <w:color w:val="000000"/>
              </w:rPr>
            </w:pPr>
          </w:p>
        </w:tc>
      </w:tr>
      <w:tr w:rsidR="00071A09" w:rsidRPr="0046350E" w14:paraId="04E03F0F" w14:textId="77777777" w:rsidTr="004A3A2E">
        <w:trPr>
          <w:trHeight w:val="315"/>
        </w:trPr>
        <w:tc>
          <w:tcPr>
            <w:tcW w:w="5162" w:type="dxa"/>
            <w:noWrap/>
            <w:vAlign w:val="center"/>
            <w:hideMark/>
          </w:tcPr>
          <w:p w14:paraId="04E03F0D" w14:textId="77777777" w:rsidR="00071A09" w:rsidRPr="0046350E" w:rsidRDefault="00071A09" w:rsidP="004A3A2E">
            <w:pPr>
              <w:rPr>
                <w:color w:val="000000"/>
              </w:rPr>
            </w:pPr>
          </w:p>
        </w:tc>
        <w:tc>
          <w:tcPr>
            <w:tcW w:w="3844" w:type="dxa"/>
            <w:noWrap/>
            <w:vAlign w:val="bottom"/>
            <w:hideMark/>
          </w:tcPr>
          <w:p w14:paraId="04E03F0E" w14:textId="77777777" w:rsidR="00071A09" w:rsidRPr="0046350E" w:rsidRDefault="00071A09" w:rsidP="004A3A2E">
            <w:pPr>
              <w:rPr>
                <w:sz w:val="20"/>
                <w:szCs w:val="20"/>
                <w:lang w:val="en-US" w:eastAsia="en-US"/>
              </w:rPr>
            </w:pPr>
          </w:p>
        </w:tc>
      </w:tr>
      <w:tr w:rsidR="00071A09" w:rsidRPr="0046350E" w14:paraId="04E03F12" w14:textId="77777777" w:rsidTr="004A3A2E">
        <w:trPr>
          <w:trHeight w:val="315"/>
        </w:trPr>
        <w:tc>
          <w:tcPr>
            <w:tcW w:w="5162" w:type="dxa"/>
            <w:noWrap/>
            <w:vAlign w:val="center"/>
            <w:hideMark/>
          </w:tcPr>
          <w:p w14:paraId="04E03F10" w14:textId="77777777" w:rsidR="00071A09" w:rsidRPr="0046350E" w:rsidRDefault="00071A09" w:rsidP="004A3A2E">
            <w:pPr>
              <w:spacing w:line="256" w:lineRule="auto"/>
              <w:ind w:left="834"/>
              <w:rPr>
                <w:color w:val="000000"/>
              </w:rPr>
            </w:pPr>
            <w:r w:rsidRPr="0046350E">
              <w:rPr>
                <w:color w:val="000000"/>
              </w:rPr>
              <w:t>Direktorius</w:t>
            </w:r>
          </w:p>
        </w:tc>
        <w:tc>
          <w:tcPr>
            <w:tcW w:w="3844" w:type="dxa"/>
            <w:vAlign w:val="center"/>
            <w:hideMark/>
          </w:tcPr>
          <w:p w14:paraId="04E03F11" w14:textId="77777777" w:rsidR="00071A09" w:rsidRPr="0046350E" w:rsidRDefault="00071A09" w:rsidP="004A3A2E">
            <w:pPr>
              <w:rPr>
                <w:color w:val="000000"/>
              </w:rPr>
            </w:pPr>
            <w:r w:rsidRPr="0046350E">
              <w:rPr>
                <w:color w:val="000000"/>
              </w:rPr>
              <w:t xml:space="preserve">              Generalinis direktorius</w:t>
            </w:r>
          </w:p>
        </w:tc>
      </w:tr>
      <w:tr w:rsidR="00071A09" w:rsidRPr="0046350E" w14:paraId="04E03F15" w14:textId="77777777" w:rsidTr="004A3A2E">
        <w:trPr>
          <w:trHeight w:val="315"/>
        </w:trPr>
        <w:tc>
          <w:tcPr>
            <w:tcW w:w="5162" w:type="dxa"/>
            <w:noWrap/>
            <w:vAlign w:val="center"/>
            <w:hideMark/>
          </w:tcPr>
          <w:p w14:paraId="04E03F13" w14:textId="77777777" w:rsidR="00071A09" w:rsidRPr="0046350E" w:rsidRDefault="00071A09" w:rsidP="004A3A2E">
            <w:pPr>
              <w:rPr>
                <w:color w:val="000000"/>
              </w:rPr>
            </w:pPr>
          </w:p>
        </w:tc>
        <w:tc>
          <w:tcPr>
            <w:tcW w:w="3844" w:type="dxa"/>
            <w:noWrap/>
            <w:vAlign w:val="bottom"/>
            <w:hideMark/>
          </w:tcPr>
          <w:p w14:paraId="04E03F14" w14:textId="77777777" w:rsidR="00071A09" w:rsidRPr="0046350E" w:rsidRDefault="00071A09" w:rsidP="004A3A2E">
            <w:pPr>
              <w:rPr>
                <w:sz w:val="20"/>
                <w:szCs w:val="20"/>
                <w:lang w:val="en-US" w:eastAsia="en-US"/>
              </w:rPr>
            </w:pPr>
          </w:p>
        </w:tc>
      </w:tr>
      <w:tr w:rsidR="00071A09" w:rsidRPr="0046350E" w14:paraId="04E03F18" w14:textId="77777777" w:rsidTr="004A3A2E">
        <w:trPr>
          <w:trHeight w:val="315"/>
        </w:trPr>
        <w:tc>
          <w:tcPr>
            <w:tcW w:w="5162" w:type="dxa"/>
            <w:noWrap/>
            <w:vAlign w:val="center"/>
            <w:hideMark/>
          </w:tcPr>
          <w:p w14:paraId="04E03F16" w14:textId="77777777" w:rsidR="00071A09" w:rsidRPr="0046350E" w:rsidRDefault="00071A09" w:rsidP="004A3A2E">
            <w:pPr>
              <w:spacing w:line="256" w:lineRule="auto"/>
              <w:ind w:left="834"/>
              <w:rPr>
                <w:color w:val="000000"/>
              </w:rPr>
            </w:pPr>
            <w:r w:rsidRPr="0046350E">
              <w:rPr>
                <w:color w:val="000000"/>
              </w:rPr>
              <w:t>plk. ltn. Saulius Juškevičius</w:t>
            </w:r>
            <w:r w:rsidRPr="0046350E">
              <w:rPr>
                <w:color w:val="000000"/>
              </w:rPr>
              <w:tab/>
            </w:r>
          </w:p>
        </w:tc>
        <w:tc>
          <w:tcPr>
            <w:tcW w:w="3844" w:type="dxa"/>
            <w:vAlign w:val="center"/>
            <w:hideMark/>
          </w:tcPr>
          <w:p w14:paraId="04E03F17" w14:textId="77777777" w:rsidR="00071A09" w:rsidRPr="0046350E" w:rsidRDefault="00071A09" w:rsidP="004A3A2E">
            <w:pPr>
              <w:rPr>
                <w:color w:val="000000"/>
              </w:rPr>
            </w:pPr>
            <w:r w:rsidRPr="0046350E">
              <w:rPr>
                <w:color w:val="000000"/>
              </w:rPr>
              <w:t xml:space="preserve">             </w:t>
            </w:r>
            <w:r>
              <w:rPr>
                <w:color w:val="000000"/>
              </w:rPr>
              <w:t xml:space="preserve"> </w:t>
            </w:r>
            <w:r w:rsidRPr="0046350E">
              <w:rPr>
                <w:color w:val="000000"/>
              </w:rPr>
              <w:t>Aurelijus Šaltenis</w:t>
            </w:r>
          </w:p>
        </w:tc>
      </w:tr>
    </w:tbl>
    <w:p w14:paraId="04E03F19" w14:textId="77777777" w:rsidR="00071A09" w:rsidRDefault="00071A09" w:rsidP="00071A09">
      <w:pPr>
        <w:jc w:val="both"/>
        <w:sectPr w:rsidR="00071A09" w:rsidSect="007A0EB5">
          <w:headerReference w:type="even" r:id="rId7"/>
          <w:headerReference w:type="default" r:id="rId8"/>
          <w:pgSz w:w="11906" w:h="16838"/>
          <w:pgMar w:top="1079" w:right="746" w:bottom="993" w:left="1260" w:header="567" w:footer="567" w:gutter="0"/>
          <w:cols w:space="1296"/>
          <w:titlePg/>
          <w:docGrid w:linePitch="360"/>
        </w:sectPr>
      </w:pPr>
    </w:p>
    <w:tbl>
      <w:tblPr>
        <w:tblW w:w="4527" w:type="dxa"/>
        <w:jc w:val="right"/>
        <w:tblLook w:val="01E0" w:firstRow="1" w:lastRow="1" w:firstColumn="1" w:lastColumn="1" w:noHBand="0" w:noVBand="0"/>
      </w:tblPr>
      <w:tblGrid>
        <w:gridCol w:w="4527"/>
      </w:tblGrid>
      <w:tr w:rsidR="00071A09" w:rsidRPr="00281BCD" w14:paraId="04E03F1B" w14:textId="77777777" w:rsidTr="004A3A2E">
        <w:trPr>
          <w:trHeight w:val="362"/>
          <w:jc w:val="right"/>
        </w:trPr>
        <w:tc>
          <w:tcPr>
            <w:tcW w:w="4527" w:type="dxa"/>
          </w:tcPr>
          <w:p w14:paraId="04E03F1A" w14:textId="77777777" w:rsidR="00071A09" w:rsidRPr="00281BCD" w:rsidRDefault="00071A09" w:rsidP="004A3A2E">
            <w:pPr>
              <w:spacing w:after="100" w:afterAutospacing="1"/>
            </w:pPr>
            <w:r>
              <w:t>2022  m.                 d. Prekių viešojo pirkimo-pardavimo sutarties Nr._____</w:t>
            </w:r>
          </w:p>
        </w:tc>
      </w:tr>
      <w:tr w:rsidR="00071A09" w:rsidRPr="00281BCD" w14:paraId="04E03F1D" w14:textId="77777777" w:rsidTr="004A3A2E">
        <w:trPr>
          <w:trHeight w:val="358"/>
          <w:jc w:val="right"/>
        </w:trPr>
        <w:tc>
          <w:tcPr>
            <w:tcW w:w="4527" w:type="dxa"/>
          </w:tcPr>
          <w:p w14:paraId="04E03F1C" w14:textId="77777777" w:rsidR="00071A09" w:rsidRPr="00281BCD" w:rsidRDefault="00071A09" w:rsidP="004A3A2E">
            <w:r>
              <w:t>1</w:t>
            </w:r>
            <w:r w:rsidRPr="00281BCD">
              <w:t xml:space="preserve"> priedas</w:t>
            </w:r>
          </w:p>
        </w:tc>
      </w:tr>
    </w:tbl>
    <w:p w14:paraId="04E03F1E" w14:textId="77777777" w:rsidR="00071A09" w:rsidRDefault="00071A09" w:rsidP="00071A09">
      <w:pPr>
        <w:pStyle w:val="BodyText2"/>
        <w:ind w:firstLine="0"/>
        <w:rPr>
          <w:rFonts w:ascii="Times New Roman" w:hAnsi="Times New Roman"/>
          <w:b/>
          <w:sz w:val="24"/>
          <w:szCs w:val="24"/>
          <w:lang w:val="lt-LT"/>
        </w:rPr>
      </w:pPr>
    </w:p>
    <w:p w14:paraId="04E03F1F" w14:textId="77777777" w:rsidR="00071A09" w:rsidRDefault="00071A09" w:rsidP="00071A09">
      <w:pPr>
        <w:jc w:val="center"/>
        <w:rPr>
          <w:b/>
        </w:rPr>
      </w:pPr>
    </w:p>
    <w:p w14:paraId="04E03F20" w14:textId="77777777" w:rsidR="00071A09" w:rsidRDefault="00071A09" w:rsidP="00071A09">
      <w:pPr>
        <w:jc w:val="center"/>
        <w:rPr>
          <w:b/>
        </w:rPr>
      </w:pPr>
      <w:r>
        <w:rPr>
          <w:b/>
        </w:rPr>
        <w:t>PREKIŲ KIEKIAI IR KAINA</w:t>
      </w:r>
    </w:p>
    <w:tbl>
      <w:tblPr>
        <w:tblpPr w:leftFromText="180" w:rightFromText="180" w:vertAnchor="text" w:horzAnchor="margin" w:tblpXSpec="center" w:tblpY="327"/>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16"/>
        <w:gridCol w:w="2219"/>
        <w:gridCol w:w="1560"/>
        <w:gridCol w:w="1667"/>
        <w:gridCol w:w="1451"/>
        <w:gridCol w:w="2376"/>
        <w:gridCol w:w="2018"/>
        <w:gridCol w:w="2518"/>
      </w:tblGrid>
      <w:tr w:rsidR="00071A09" w:rsidRPr="00972D43" w14:paraId="04E03F2F" w14:textId="77777777" w:rsidTr="004A3A2E">
        <w:trPr>
          <w:cantSplit/>
          <w:trHeight w:val="1035"/>
        </w:trPr>
        <w:tc>
          <w:tcPr>
            <w:tcW w:w="616" w:type="dxa"/>
            <w:tcBorders>
              <w:bottom w:val="single" w:sz="4" w:space="0" w:color="auto"/>
            </w:tcBorders>
            <w:shd w:val="clear" w:color="auto" w:fill="FFFFFF"/>
            <w:vAlign w:val="center"/>
          </w:tcPr>
          <w:p w14:paraId="04E03F21" w14:textId="77777777" w:rsidR="00071A09" w:rsidRPr="00972D43" w:rsidRDefault="00071A09" w:rsidP="004A3A2E">
            <w:pPr>
              <w:jc w:val="center"/>
              <w:rPr>
                <w:b/>
                <w:bCs/>
                <w:sz w:val="22"/>
                <w:szCs w:val="22"/>
              </w:rPr>
            </w:pPr>
            <w:r>
              <w:rPr>
                <w:b/>
                <w:bCs/>
                <w:sz w:val="22"/>
                <w:szCs w:val="22"/>
              </w:rPr>
              <w:t xml:space="preserve">Eil.   </w:t>
            </w:r>
            <w:r w:rsidRPr="00972D43">
              <w:rPr>
                <w:b/>
                <w:bCs/>
                <w:sz w:val="22"/>
                <w:szCs w:val="22"/>
              </w:rPr>
              <w:t>Nr.</w:t>
            </w:r>
          </w:p>
        </w:tc>
        <w:tc>
          <w:tcPr>
            <w:tcW w:w="2219" w:type="dxa"/>
            <w:tcBorders>
              <w:bottom w:val="single" w:sz="4" w:space="0" w:color="auto"/>
            </w:tcBorders>
            <w:shd w:val="clear" w:color="auto" w:fill="FFFFFF"/>
            <w:vAlign w:val="center"/>
          </w:tcPr>
          <w:p w14:paraId="04E03F22" w14:textId="77777777" w:rsidR="00071A09" w:rsidRPr="00972D43" w:rsidRDefault="00071A09" w:rsidP="004A3A2E">
            <w:pPr>
              <w:jc w:val="center"/>
              <w:rPr>
                <w:b/>
                <w:bCs/>
                <w:sz w:val="22"/>
                <w:szCs w:val="22"/>
              </w:rPr>
            </w:pPr>
            <w:r>
              <w:rPr>
                <w:b/>
                <w:bCs/>
                <w:sz w:val="22"/>
                <w:szCs w:val="22"/>
              </w:rPr>
              <w:t>Prekių</w:t>
            </w:r>
            <w:r w:rsidRPr="00972D43">
              <w:rPr>
                <w:b/>
                <w:bCs/>
                <w:sz w:val="22"/>
                <w:szCs w:val="22"/>
              </w:rPr>
              <w:t xml:space="preserve"> pavadinimas</w:t>
            </w:r>
          </w:p>
        </w:tc>
        <w:tc>
          <w:tcPr>
            <w:tcW w:w="1560" w:type="dxa"/>
            <w:tcBorders>
              <w:bottom w:val="single" w:sz="4" w:space="0" w:color="auto"/>
            </w:tcBorders>
            <w:shd w:val="clear" w:color="auto" w:fill="FFFFFF"/>
            <w:vAlign w:val="center"/>
          </w:tcPr>
          <w:p w14:paraId="04E03F23" w14:textId="77777777" w:rsidR="00071A09" w:rsidRPr="000B1617" w:rsidRDefault="00071A09" w:rsidP="004A3A2E">
            <w:pPr>
              <w:jc w:val="center"/>
              <w:rPr>
                <w:b/>
              </w:rPr>
            </w:pPr>
            <w:r w:rsidRPr="000B1617">
              <w:rPr>
                <w:b/>
              </w:rPr>
              <w:t>Minimalus perkamas kiekis vnt.</w:t>
            </w:r>
          </w:p>
        </w:tc>
        <w:tc>
          <w:tcPr>
            <w:tcW w:w="1667" w:type="dxa"/>
            <w:tcBorders>
              <w:bottom w:val="single" w:sz="4" w:space="0" w:color="auto"/>
            </w:tcBorders>
            <w:shd w:val="clear" w:color="auto" w:fill="FFFFFF"/>
            <w:vAlign w:val="center"/>
          </w:tcPr>
          <w:p w14:paraId="04E03F24" w14:textId="77777777" w:rsidR="00071A09" w:rsidRPr="000B1617" w:rsidRDefault="00071A09" w:rsidP="004A3A2E">
            <w:pPr>
              <w:jc w:val="center"/>
              <w:rPr>
                <w:b/>
              </w:rPr>
            </w:pPr>
            <w:r w:rsidRPr="000B1617">
              <w:rPr>
                <w:b/>
              </w:rPr>
              <w:t>Maksimalus perkamas kiekis vnt.*</w:t>
            </w:r>
          </w:p>
        </w:tc>
        <w:tc>
          <w:tcPr>
            <w:tcW w:w="1451" w:type="dxa"/>
            <w:tcBorders>
              <w:bottom w:val="single" w:sz="4" w:space="0" w:color="auto"/>
            </w:tcBorders>
            <w:shd w:val="clear" w:color="auto" w:fill="FFFFFF"/>
            <w:vAlign w:val="center"/>
          </w:tcPr>
          <w:p w14:paraId="04E03F25" w14:textId="77777777" w:rsidR="00071A09" w:rsidRPr="00972D43" w:rsidRDefault="00071A09" w:rsidP="004A3A2E">
            <w:pPr>
              <w:ind w:left="-106" w:right="-107"/>
              <w:jc w:val="center"/>
              <w:rPr>
                <w:b/>
                <w:bCs/>
                <w:sz w:val="22"/>
                <w:szCs w:val="22"/>
              </w:rPr>
            </w:pPr>
            <w:r w:rsidRPr="00972D43">
              <w:rPr>
                <w:b/>
                <w:bCs/>
                <w:sz w:val="22"/>
                <w:szCs w:val="22"/>
              </w:rPr>
              <w:t>Gamintojas</w:t>
            </w:r>
          </w:p>
        </w:tc>
        <w:tc>
          <w:tcPr>
            <w:tcW w:w="2376" w:type="dxa"/>
            <w:tcBorders>
              <w:bottom w:val="single" w:sz="4" w:space="0" w:color="auto"/>
            </w:tcBorders>
            <w:shd w:val="clear" w:color="auto" w:fill="FFFFFF"/>
            <w:vAlign w:val="center"/>
          </w:tcPr>
          <w:p w14:paraId="04E03F26" w14:textId="77777777" w:rsidR="00071A09" w:rsidRPr="00972D43" w:rsidRDefault="00071A09" w:rsidP="004A3A2E">
            <w:pPr>
              <w:ind w:right="-117" w:hanging="105"/>
              <w:jc w:val="center"/>
              <w:rPr>
                <w:b/>
                <w:bCs/>
                <w:sz w:val="22"/>
                <w:szCs w:val="22"/>
              </w:rPr>
            </w:pPr>
            <w:r>
              <w:rPr>
                <w:b/>
                <w:bCs/>
                <w:sz w:val="22"/>
                <w:szCs w:val="22"/>
              </w:rPr>
              <w:t>Programinės įrangos pavadinimas</w:t>
            </w:r>
          </w:p>
        </w:tc>
        <w:tc>
          <w:tcPr>
            <w:tcW w:w="2018" w:type="dxa"/>
            <w:tcBorders>
              <w:bottom w:val="single" w:sz="4" w:space="0" w:color="auto"/>
            </w:tcBorders>
            <w:shd w:val="clear" w:color="auto" w:fill="FFFFFF"/>
            <w:vAlign w:val="center"/>
          </w:tcPr>
          <w:p w14:paraId="04E03F27" w14:textId="77777777" w:rsidR="00071A09" w:rsidRPr="00B97A13" w:rsidRDefault="00071A09" w:rsidP="004A3A2E">
            <w:pPr>
              <w:jc w:val="center"/>
              <w:rPr>
                <w:b/>
                <w:bCs/>
                <w:sz w:val="22"/>
                <w:szCs w:val="22"/>
                <w:lang w:eastAsia="en-US"/>
              </w:rPr>
            </w:pPr>
            <w:r w:rsidRPr="00987C36">
              <w:rPr>
                <w:rFonts w:eastAsia="Calibri"/>
                <w:b/>
                <w:bCs/>
                <w:sz w:val="22"/>
                <w:szCs w:val="22"/>
              </w:rPr>
              <w:t xml:space="preserve">Vieneto </w:t>
            </w:r>
            <w:r>
              <w:rPr>
                <w:b/>
                <w:bCs/>
                <w:sz w:val="22"/>
                <w:szCs w:val="22"/>
              </w:rPr>
              <w:t>12</w:t>
            </w:r>
            <w:r w:rsidRPr="00987C36">
              <w:rPr>
                <w:b/>
                <w:bCs/>
                <w:sz w:val="22"/>
                <w:szCs w:val="22"/>
              </w:rPr>
              <w:t xml:space="preserve"> mėnesių nuomos kaina</w:t>
            </w:r>
            <w:r w:rsidRPr="00987C36">
              <w:rPr>
                <w:rFonts w:eastAsia="Calibri"/>
                <w:b/>
                <w:bCs/>
                <w:sz w:val="22"/>
                <w:szCs w:val="22"/>
              </w:rPr>
              <w:t xml:space="preserve">  (įkainis)</w:t>
            </w:r>
          </w:p>
          <w:p w14:paraId="04E03F28" w14:textId="77777777" w:rsidR="00071A09" w:rsidRDefault="00071A09" w:rsidP="004A3A2E">
            <w:pPr>
              <w:jc w:val="center"/>
              <w:rPr>
                <w:b/>
                <w:bCs/>
                <w:sz w:val="22"/>
                <w:szCs w:val="22"/>
                <w:lang w:eastAsia="en-US"/>
              </w:rPr>
            </w:pPr>
            <w:r w:rsidRPr="00987C36">
              <w:rPr>
                <w:rFonts w:eastAsia="Calibri"/>
                <w:b/>
                <w:bCs/>
                <w:sz w:val="22"/>
                <w:szCs w:val="22"/>
              </w:rPr>
              <w:t xml:space="preserve"> Eur be PVM</w:t>
            </w:r>
          </w:p>
          <w:p w14:paraId="04E03F29" w14:textId="77777777" w:rsidR="00071A09" w:rsidRPr="00972D43" w:rsidRDefault="00071A09" w:rsidP="004A3A2E">
            <w:pPr>
              <w:rPr>
                <w:b/>
                <w:bCs/>
                <w:sz w:val="22"/>
                <w:szCs w:val="22"/>
              </w:rPr>
            </w:pPr>
            <w:r>
              <w:rPr>
                <w:rFonts w:eastAsia="Calibri"/>
                <w:b/>
                <w:bCs/>
              </w:rPr>
              <w:t xml:space="preserve"> </w:t>
            </w:r>
          </w:p>
        </w:tc>
        <w:tc>
          <w:tcPr>
            <w:tcW w:w="2518" w:type="dxa"/>
            <w:tcBorders>
              <w:bottom w:val="single" w:sz="4" w:space="0" w:color="auto"/>
            </w:tcBorders>
            <w:shd w:val="clear" w:color="auto" w:fill="FFFFFF"/>
            <w:vAlign w:val="center"/>
          </w:tcPr>
          <w:p w14:paraId="04E03F2A" w14:textId="77777777" w:rsidR="00071A09" w:rsidRPr="00972D43" w:rsidRDefault="00071A09" w:rsidP="004A3A2E">
            <w:pPr>
              <w:jc w:val="center"/>
              <w:rPr>
                <w:b/>
                <w:bCs/>
                <w:sz w:val="22"/>
                <w:szCs w:val="22"/>
              </w:rPr>
            </w:pPr>
          </w:p>
          <w:p w14:paraId="04E03F2B" w14:textId="77777777" w:rsidR="00071A09" w:rsidRPr="00972D43" w:rsidRDefault="00071A09" w:rsidP="004A3A2E">
            <w:pPr>
              <w:ind w:left="-104" w:right="-110"/>
              <w:jc w:val="center"/>
              <w:rPr>
                <w:b/>
                <w:bCs/>
                <w:sz w:val="22"/>
                <w:szCs w:val="22"/>
              </w:rPr>
            </w:pPr>
          </w:p>
          <w:p w14:paraId="04E03F2C" w14:textId="77777777" w:rsidR="00071A09" w:rsidRDefault="00071A09" w:rsidP="004A3A2E">
            <w:pPr>
              <w:jc w:val="center"/>
              <w:rPr>
                <w:b/>
                <w:bCs/>
                <w:sz w:val="22"/>
                <w:szCs w:val="22"/>
              </w:rPr>
            </w:pPr>
            <w:r>
              <w:rPr>
                <w:b/>
                <w:bCs/>
                <w:sz w:val="22"/>
                <w:szCs w:val="22"/>
              </w:rPr>
              <w:t xml:space="preserve">Viso kiekio 12 mėnesių nuomos kaina </w:t>
            </w:r>
          </w:p>
          <w:p w14:paraId="04E03F2D" w14:textId="77777777" w:rsidR="00071A09" w:rsidRPr="00972D43" w:rsidRDefault="00071A09" w:rsidP="004A3A2E">
            <w:pPr>
              <w:jc w:val="center"/>
              <w:rPr>
                <w:b/>
                <w:bCs/>
                <w:sz w:val="22"/>
                <w:szCs w:val="22"/>
              </w:rPr>
            </w:pPr>
            <w:r>
              <w:rPr>
                <w:b/>
                <w:bCs/>
                <w:sz w:val="22"/>
                <w:szCs w:val="22"/>
              </w:rPr>
              <w:t>Eur be PVM</w:t>
            </w:r>
          </w:p>
          <w:p w14:paraId="04E03F2E" w14:textId="77777777" w:rsidR="00071A09" w:rsidRPr="00972D43" w:rsidRDefault="00071A09" w:rsidP="004A3A2E">
            <w:pPr>
              <w:jc w:val="center"/>
              <w:rPr>
                <w:b/>
                <w:bCs/>
                <w:sz w:val="22"/>
                <w:szCs w:val="22"/>
              </w:rPr>
            </w:pPr>
          </w:p>
        </w:tc>
      </w:tr>
      <w:tr w:rsidR="00071A09" w:rsidRPr="00972D43" w14:paraId="04E03F38" w14:textId="77777777" w:rsidTr="004A3A2E">
        <w:trPr>
          <w:cantSplit/>
          <w:trHeight w:val="352"/>
        </w:trPr>
        <w:tc>
          <w:tcPr>
            <w:tcW w:w="616" w:type="dxa"/>
            <w:shd w:val="clear" w:color="auto" w:fill="EEECE1"/>
            <w:vAlign w:val="center"/>
          </w:tcPr>
          <w:p w14:paraId="04E03F30" w14:textId="77777777" w:rsidR="00071A09" w:rsidRPr="00DE5E5E" w:rsidRDefault="00071A09" w:rsidP="004A3A2E">
            <w:pPr>
              <w:jc w:val="center"/>
              <w:rPr>
                <w:bCs/>
                <w:i/>
                <w:sz w:val="22"/>
                <w:szCs w:val="22"/>
              </w:rPr>
            </w:pPr>
            <w:r w:rsidRPr="00DE5E5E">
              <w:rPr>
                <w:bCs/>
                <w:i/>
                <w:sz w:val="22"/>
                <w:szCs w:val="22"/>
              </w:rPr>
              <w:t>1</w:t>
            </w:r>
          </w:p>
        </w:tc>
        <w:tc>
          <w:tcPr>
            <w:tcW w:w="2219" w:type="dxa"/>
            <w:shd w:val="clear" w:color="auto" w:fill="EEECE1"/>
            <w:vAlign w:val="center"/>
          </w:tcPr>
          <w:p w14:paraId="04E03F31" w14:textId="77777777" w:rsidR="00071A09" w:rsidRPr="00DE5E5E" w:rsidRDefault="00071A09" w:rsidP="004A3A2E">
            <w:pPr>
              <w:jc w:val="center"/>
              <w:rPr>
                <w:bCs/>
                <w:i/>
                <w:sz w:val="22"/>
                <w:szCs w:val="22"/>
              </w:rPr>
            </w:pPr>
            <w:r w:rsidRPr="00DE5E5E">
              <w:rPr>
                <w:bCs/>
                <w:i/>
                <w:sz w:val="22"/>
                <w:szCs w:val="22"/>
              </w:rPr>
              <w:t>2</w:t>
            </w:r>
          </w:p>
        </w:tc>
        <w:tc>
          <w:tcPr>
            <w:tcW w:w="1560" w:type="dxa"/>
            <w:shd w:val="clear" w:color="auto" w:fill="EEECE1"/>
            <w:vAlign w:val="center"/>
          </w:tcPr>
          <w:p w14:paraId="04E03F32" w14:textId="77777777" w:rsidR="00071A09" w:rsidRPr="00DE5E5E" w:rsidRDefault="00071A09" w:rsidP="004A3A2E">
            <w:pPr>
              <w:jc w:val="center"/>
              <w:rPr>
                <w:bCs/>
                <w:i/>
                <w:sz w:val="22"/>
                <w:szCs w:val="22"/>
              </w:rPr>
            </w:pPr>
            <w:r w:rsidRPr="00DE5E5E">
              <w:rPr>
                <w:bCs/>
                <w:i/>
                <w:sz w:val="22"/>
                <w:szCs w:val="22"/>
              </w:rPr>
              <w:t>3</w:t>
            </w:r>
          </w:p>
        </w:tc>
        <w:tc>
          <w:tcPr>
            <w:tcW w:w="1667" w:type="dxa"/>
            <w:shd w:val="clear" w:color="auto" w:fill="EEECE1"/>
            <w:vAlign w:val="center"/>
          </w:tcPr>
          <w:p w14:paraId="04E03F33" w14:textId="77777777" w:rsidR="00071A09" w:rsidRPr="00DE5E5E" w:rsidRDefault="00071A09" w:rsidP="004A3A2E">
            <w:pPr>
              <w:jc w:val="center"/>
              <w:rPr>
                <w:bCs/>
                <w:i/>
                <w:sz w:val="22"/>
                <w:szCs w:val="22"/>
              </w:rPr>
            </w:pPr>
            <w:r>
              <w:rPr>
                <w:bCs/>
                <w:i/>
                <w:sz w:val="22"/>
                <w:szCs w:val="22"/>
              </w:rPr>
              <w:t>4</w:t>
            </w:r>
          </w:p>
        </w:tc>
        <w:tc>
          <w:tcPr>
            <w:tcW w:w="1451" w:type="dxa"/>
            <w:shd w:val="clear" w:color="auto" w:fill="EEECE1"/>
            <w:vAlign w:val="center"/>
          </w:tcPr>
          <w:p w14:paraId="04E03F34" w14:textId="77777777" w:rsidR="00071A09" w:rsidRPr="00DE5E5E" w:rsidRDefault="00071A09" w:rsidP="004A3A2E">
            <w:pPr>
              <w:jc w:val="center"/>
              <w:rPr>
                <w:bCs/>
                <w:i/>
                <w:sz w:val="22"/>
                <w:szCs w:val="22"/>
              </w:rPr>
            </w:pPr>
            <w:r>
              <w:rPr>
                <w:bCs/>
                <w:i/>
                <w:sz w:val="22"/>
                <w:szCs w:val="22"/>
              </w:rPr>
              <w:t>5</w:t>
            </w:r>
          </w:p>
        </w:tc>
        <w:tc>
          <w:tcPr>
            <w:tcW w:w="2376" w:type="dxa"/>
            <w:shd w:val="clear" w:color="auto" w:fill="EEECE1"/>
            <w:vAlign w:val="center"/>
          </w:tcPr>
          <w:p w14:paraId="04E03F35" w14:textId="77777777" w:rsidR="00071A09" w:rsidRPr="00DE5E5E" w:rsidRDefault="00071A09" w:rsidP="004A3A2E">
            <w:pPr>
              <w:jc w:val="center"/>
              <w:rPr>
                <w:bCs/>
                <w:i/>
                <w:sz w:val="22"/>
                <w:szCs w:val="22"/>
              </w:rPr>
            </w:pPr>
            <w:r>
              <w:rPr>
                <w:bCs/>
                <w:i/>
                <w:sz w:val="22"/>
                <w:szCs w:val="22"/>
              </w:rPr>
              <w:t>6</w:t>
            </w:r>
          </w:p>
        </w:tc>
        <w:tc>
          <w:tcPr>
            <w:tcW w:w="2018" w:type="dxa"/>
            <w:shd w:val="clear" w:color="auto" w:fill="EEECE1"/>
            <w:vAlign w:val="center"/>
          </w:tcPr>
          <w:p w14:paraId="04E03F36" w14:textId="77777777" w:rsidR="00071A09" w:rsidRPr="00DE5E5E" w:rsidRDefault="00071A09" w:rsidP="004A3A2E">
            <w:pPr>
              <w:jc w:val="center"/>
              <w:rPr>
                <w:rFonts w:eastAsia="Calibri"/>
                <w:bCs/>
                <w:i/>
                <w:sz w:val="22"/>
                <w:szCs w:val="22"/>
                <w:lang w:eastAsia="en-US"/>
              </w:rPr>
            </w:pPr>
            <w:r>
              <w:rPr>
                <w:rFonts w:eastAsia="Calibri"/>
                <w:bCs/>
                <w:i/>
                <w:sz w:val="22"/>
                <w:szCs w:val="22"/>
                <w:lang w:eastAsia="en-US"/>
              </w:rPr>
              <w:t>6</w:t>
            </w:r>
          </w:p>
        </w:tc>
        <w:tc>
          <w:tcPr>
            <w:tcW w:w="2518" w:type="dxa"/>
            <w:shd w:val="clear" w:color="auto" w:fill="EEECE1"/>
            <w:vAlign w:val="center"/>
          </w:tcPr>
          <w:p w14:paraId="04E03F37" w14:textId="77777777" w:rsidR="00071A09" w:rsidRPr="00DE5E5E" w:rsidRDefault="00071A09" w:rsidP="004A3A2E">
            <w:pPr>
              <w:jc w:val="center"/>
              <w:rPr>
                <w:rFonts w:eastAsia="Calibri"/>
                <w:bCs/>
                <w:i/>
                <w:sz w:val="22"/>
                <w:szCs w:val="22"/>
                <w:lang w:eastAsia="en-US"/>
              </w:rPr>
            </w:pPr>
            <w:r>
              <w:rPr>
                <w:rFonts w:eastAsia="Calibri"/>
                <w:bCs/>
                <w:i/>
                <w:sz w:val="22"/>
                <w:szCs w:val="22"/>
                <w:lang w:eastAsia="en-US"/>
              </w:rPr>
              <w:t>6</w:t>
            </w:r>
          </w:p>
        </w:tc>
      </w:tr>
      <w:tr w:rsidR="00071A09" w:rsidRPr="006F784D" w14:paraId="04E03F41" w14:textId="77777777" w:rsidTr="004A3A2E">
        <w:trPr>
          <w:cantSplit/>
          <w:trHeight w:val="315"/>
        </w:trPr>
        <w:tc>
          <w:tcPr>
            <w:tcW w:w="616" w:type="dxa"/>
            <w:shd w:val="clear" w:color="auto" w:fill="FFFFFF"/>
            <w:vAlign w:val="center"/>
          </w:tcPr>
          <w:p w14:paraId="04E03F39" w14:textId="77777777" w:rsidR="00071A09" w:rsidRPr="000E5F1A" w:rsidRDefault="00071A09" w:rsidP="004A3A2E">
            <w:pPr>
              <w:jc w:val="center"/>
              <w:rPr>
                <w:sz w:val="22"/>
                <w:szCs w:val="22"/>
                <w:lang w:val="en-US"/>
              </w:rPr>
            </w:pPr>
            <w:r w:rsidRPr="0077225F">
              <w:rPr>
                <w:b/>
              </w:rPr>
              <w:t>1.</w:t>
            </w:r>
          </w:p>
        </w:tc>
        <w:tc>
          <w:tcPr>
            <w:tcW w:w="2219" w:type="dxa"/>
            <w:shd w:val="clear" w:color="auto" w:fill="FFFFFF"/>
            <w:vAlign w:val="bottom"/>
          </w:tcPr>
          <w:p w14:paraId="04E03F3A" w14:textId="77777777" w:rsidR="00071A09" w:rsidRPr="008128EC" w:rsidRDefault="00071A09" w:rsidP="004A3A2E">
            <w:pPr>
              <w:spacing w:before="100" w:beforeAutospacing="1" w:after="100" w:afterAutospacing="1"/>
              <w:rPr>
                <w:snapToGrid w:val="0"/>
              </w:rPr>
            </w:pPr>
            <w:r w:rsidRPr="00937998">
              <w:t>Programinės įrangos nuoma</w:t>
            </w:r>
          </w:p>
        </w:tc>
        <w:tc>
          <w:tcPr>
            <w:tcW w:w="1560" w:type="dxa"/>
            <w:shd w:val="clear" w:color="auto" w:fill="FFFFFF"/>
            <w:noWrap/>
            <w:vAlign w:val="center"/>
          </w:tcPr>
          <w:p w14:paraId="04E03F3B" w14:textId="77777777" w:rsidR="00071A09" w:rsidRPr="007C4F27" w:rsidRDefault="00071A09" w:rsidP="004A3A2E">
            <w:pPr>
              <w:spacing w:before="100" w:beforeAutospacing="1" w:after="100" w:afterAutospacing="1"/>
              <w:jc w:val="center"/>
            </w:pPr>
            <w:r>
              <w:rPr>
                <w:color w:val="000000"/>
              </w:rPr>
              <w:t>350</w:t>
            </w:r>
          </w:p>
        </w:tc>
        <w:tc>
          <w:tcPr>
            <w:tcW w:w="1667" w:type="dxa"/>
            <w:shd w:val="clear" w:color="auto" w:fill="FFFFFF"/>
            <w:vAlign w:val="center"/>
          </w:tcPr>
          <w:p w14:paraId="04E03F3C" w14:textId="77777777" w:rsidR="00071A09" w:rsidRPr="007C4F27" w:rsidRDefault="00071A09" w:rsidP="004A3A2E">
            <w:pPr>
              <w:spacing w:before="100" w:beforeAutospacing="1" w:after="100" w:afterAutospacing="1"/>
              <w:jc w:val="center"/>
            </w:pPr>
            <w:r>
              <w:rPr>
                <w:color w:val="000000"/>
              </w:rPr>
              <w:t>500</w:t>
            </w:r>
          </w:p>
        </w:tc>
        <w:tc>
          <w:tcPr>
            <w:tcW w:w="1451" w:type="dxa"/>
            <w:shd w:val="clear" w:color="auto" w:fill="FFFFFF"/>
            <w:noWrap/>
          </w:tcPr>
          <w:p w14:paraId="04E03F3D" w14:textId="77777777" w:rsidR="00071A09" w:rsidRPr="0046350E" w:rsidRDefault="00071A09" w:rsidP="004A3A2E">
            <w:pPr>
              <w:pStyle w:val="Default"/>
              <w:jc w:val="center"/>
              <w:rPr>
                <w:color w:val="auto"/>
                <w:sz w:val="22"/>
                <w:szCs w:val="22"/>
              </w:rPr>
            </w:pPr>
            <w:r w:rsidRPr="0046350E">
              <w:rPr>
                <w:color w:val="auto"/>
                <w:sz w:val="22"/>
                <w:szCs w:val="22"/>
              </w:rPr>
              <w:t>Microsoft, JAV</w:t>
            </w:r>
          </w:p>
        </w:tc>
        <w:tc>
          <w:tcPr>
            <w:tcW w:w="2376" w:type="dxa"/>
            <w:shd w:val="clear" w:color="auto" w:fill="FFFFFF"/>
            <w:noWrap/>
          </w:tcPr>
          <w:p w14:paraId="04E03F3E" w14:textId="77777777" w:rsidR="00071A09" w:rsidRPr="00F02E43" w:rsidRDefault="00071A09" w:rsidP="004A3A2E">
            <w:pPr>
              <w:jc w:val="center"/>
              <w:rPr>
                <w:sz w:val="22"/>
                <w:szCs w:val="22"/>
              </w:rPr>
            </w:pPr>
            <w:r w:rsidRPr="0046350E">
              <w:rPr>
                <w:sz w:val="22"/>
                <w:szCs w:val="22"/>
              </w:rPr>
              <w:t>Office 365 E1, CFQ7TTC0LF8Q:0001</w:t>
            </w:r>
          </w:p>
        </w:tc>
        <w:tc>
          <w:tcPr>
            <w:tcW w:w="2018" w:type="dxa"/>
            <w:shd w:val="clear" w:color="auto" w:fill="FFFFFF"/>
            <w:noWrap/>
            <w:vAlign w:val="center"/>
          </w:tcPr>
          <w:p w14:paraId="04E03F3F" w14:textId="77777777" w:rsidR="00071A09" w:rsidRPr="000E5F1A" w:rsidRDefault="00071A09" w:rsidP="004A3A2E">
            <w:pPr>
              <w:jc w:val="center"/>
              <w:rPr>
                <w:sz w:val="22"/>
                <w:szCs w:val="22"/>
              </w:rPr>
            </w:pPr>
            <w:r w:rsidRPr="0046350E">
              <w:rPr>
                <w:sz w:val="22"/>
                <w:szCs w:val="22"/>
              </w:rPr>
              <w:t>75</w:t>
            </w:r>
            <w:r>
              <w:rPr>
                <w:sz w:val="22"/>
                <w:szCs w:val="22"/>
              </w:rPr>
              <w:t>,00</w:t>
            </w:r>
          </w:p>
        </w:tc>
        <w:tc>
          <w:tcPr>
            <w:tcW w:w="2518" w:type="dxa"/>
            <w:shd w:val="clear" w:color="auto" w:fill="FFFFFF"/>
            <w:noWrap/>
            <w:vAlign w:val="center"/>
          </w:tcPr>
          <w:p w14:paraId="04E03F40" w14:textId="77777777" w:rsidR="00071A09" w:rsidRPr="000E5F1A" w:rsidRDefault="00071A09" w:rsidP="004A3A2E">
            <w:pPr>
              <w:jc w:val="center"/>
              <w:rPr>
                <w:sz w:val="22"/>
                <w:szCs w:val="22"/>
              </w:rPr>
            </w:pPr>
            <w:r w:rsidRPr="0046350E">
              <w:rPr>
                <w:sz w:val="22"/>
                <w:szCs w:val="22"/>
              </w:rPr>
              <w:t>37500</w:t>
            </w:r>
            <w:r>
              <w:rPr>
                <w:sz w:val="22"/>
                <w:szCs w:val="22"/>
              </w:rPr>
              <w:t>,00</w:t>
            </w:r>
          </w:p>
        </w:tc>
      </w:tr>
      <w:tr w:rsidR="00071A09" w:rsidRPr="006F784D" w14:paraId="04E03F44" w14:textId="77777777" w:rsidTr="004A3A2E">
        <w:trPr>
          <w:cantSplit/>
          <w:trHeight w:val="315"/>
        </w:trPr>
        <w:tc>
          <w:tcPr>
            <w:tcW w:w="11907" w:type="dxa"/>
            <w:gridSpan w:val="7"/>
            <w:shd w:val="clear" w:color="auto" w:fill="FFFFFF"/>
          </w:tcPr>
          <w:p w14:paraId="04E03F42" w14:textId="77777777" w:rsidR="00071A09" w:rsidRPr="00E813E0" w:rsidRDefault="00071A09" w:rsidP="004A3A2E">
            <w:pPr>
              <w:jc w:val="right"/>
              <w:rPr>
                <w:b/>
              </w:rPr>
            </w:pPr>
            <w:r w:rsidRPr="00E813E0">
              <w:rPr>
                <w:b/>
                <w:bCs/>
                <w:lang w:eastAsia="en-US"/>
              </w:rPr>
              <w:t>Bendra</w:t>
            </w:r>
            <w:r>
              <w:rPr>
                <w:b/>
                <w:bCs/>
                <w:lang w:eastAsia="en-US"/>
              </w:rPr>
              <w:t xml:space="preserve"> sutarties </w:t>
            </w:r>
            <w:r w:rsidRPr="00E813E0">
              <w:rPr>
                <w:b/>
                <w:bCs/>
                <w:lang w:eastAsia="en-US"/>
              </w:rPr>
              <w:t>kaina</w:t>
            </w:r>
            <w:r>
              <w:rPr>
                <w:b/>
                <w:bCs/>
                <w:lang w:eastAsia="en-US"/>
              </w:rPr>
              <w:t xml:space="preserve"> </w:t>
            </w:r>
            <w:r w:rsidRPr="00E813E0">
              <w:rPr>
                <w:b/>
                <w:bCs/>
                <w:lang w:eastAsia="en-US"/>
              </w:rPr>
              <w:t>(be PVM</w:t>
            </w:r>
            <w:r w:rsidRPr="00E813E0">
              <w:rPr>
                <w:b/>
                <w:bCs/>
                <w:lang w:val="en-US" w:eastAsia="en-US"/>
              </w:rPr>
              <w:t>):</w:t>
            </w:r>
          </w:p>
        </w:tc>
        <w:tc>
          <w:tcPr>
            <w:tcW w:w="2518" w:type="dxa"/>
            <w:shd w:val="clear" w:color="auto" w:fill="FFFFFF"/>
            <w:vAlign w:val="center"/>
          </w:tcPr>
          <w:p w14:paraId="04E03F43" w14:textId="77777777" w:rsidR="00071A09" w:rsidRPr="000E5F1A" w:rsidRDefault="00071A09" w:rsidP="004A3A2E">
            <w:pPr>
              <w:jc w:val="center"/>
              <w:rPr>
                <w:sz w:val="22"/>
                <w:szCs w:val="22"/>
              </w:rPr>
            </w:pPr>
            <w:r w:rsidRPr="0046350E">
              <w:rPr>
                <w:sz w:val="22"/>
                <w:szCs w:val="22"/>
              </w:rPr>
              <w:t>37500,00</w:t>
            </w:r>
          </w:p>
        </w:tc>
      </w:tr>
      <w:tr w:rsidR="00071A09" w:rsidRPr="006F784D" w14:paraId="04E03F47" w14:textId="77777777" w:rsidTr="004A3A2E">
        <w:trPr>
          <w:cantSplit/>
          <w:trHeight w:val="315"/>
        </w:trPr>
        <w:tc>
          <w:tcPr>
            <w:tcW w:w="11907" w:type="dxa"/>
            <w:gridSpan w:val="7"/>
            <w:shd w:val="clear" w:color="auto" w:fill="FFFFFF"/>
          </w:tcPr>
          <w:p w14:paraId="04E03F45" w14:textId="77777777" w:rsidR="00071A09" w:rsidRDefault="00071A09" w:rsidP="004A3A2E">
            <w:pPr>
              <w:jc w:val="right"/>
              <w:rPr>
                <w:b/>
              </w:rPr>
            </w:pPr>
            <w:r w:rsidRPr="00E813E0">
              <w:rPr>
                <w:b/>
              </w:rPr>
              <w:t>21 % PVM:</w:t>
            </w:r>
          </w:p>
        </w:tc>
        <w:tc>
          <w:tcPr>
            <w:tcW w:w="2518" w:type="dxa"/>
            <w:tcBorders>
              <w:top w:val="single" w:sz="4" w:space="0" w:color="auto"/>
              <w:left w:val="single" w:sz="4" w:space="0" w:color="auto"/>
              <w:bottom w:val="single" w:sz="4" w:space="0" w:color="auto"/>
              <w:right w:val="single" w:sz="4" w:space="0" w:color="auto"/>
            </w:tcBorders>
            <w:shd w:val="clear" w:color="000000" w:fill="FFFFFF"/>
            <w:vAlign w:val="center"/>
          </w:tcPr>
          <w:p w14:paraId="04E03F46" w14:textId="77777777" w:rsidR="00071A09" w:rsidRDefault="00071A09" w:rsidP="004A3A2E">
            <w:pPr>
              <w:jc w:val="center"/>
              <w:rPr>
                <w:color w:val="000000"/>
                <w:sz w:val="22"/>
                <w:szCs w:val="22"/>
                <w:lang w:val="en-US" w:eastAsia="en-US"/>
              </w:rPr>
            </w:pPr>
            <w:r>
              <w:rPr>
                <w:color w:val="000000"/>
                <w:sz w:val="22"/>
                <w:szCs w:val="22"/>
              </w:rPr>
              <w:t>7875,00</w:t>
            </w:r>
          </w:p>
        </w:tc>
      </w:tr>
      <w:tr w:rsidR="00071A09" w:rsidRPr="006F784D" w14:paraId="04E03F4A" w14:textId="77777777" w:rsidTr="004A3A2E">
        <w:trPr>
          <w:cantSplit/>
          <w:trHeight w:val="315"/>
        </w:trPr>
        <w:tc>
          <w:tcPr>
            <w:tcW w:w="11907" w:type="dxa"/>
            <w:gridSpan w:val="7"/>
            <w:shd w:val="clear" w:color="auto" w:fill="FFFFFF"/>
          </w:tcPr>
          <w:p w14:paraId="04E03F48" w14:textId="77777777" w:rsidR="00071A09" w:rsidRPr="00E813E0" w:rsidRDefault="00071A09" w:rsidP="004A3A2E">
            <w:pPr>
              <w:jc w:val="right"/>
              <w:rPr>
                <w:b/>
              </w:rPr>
            </w:pPr>
            <w:r w:rsidRPr="00E813E0">
              <w:rPr>
                <w:b/>
              </w:rPr>
              <w:t>Bendra sutarties kaina (su PVM)</w:t>
            </w:r>
          </w:p>
        </w:tc>
        <w:tc>
          <w:tcPr>
            <w:tcW w:w="2518" w:type="dxa"/>
            <w:tcBorders>
              <w:top w:val="nil"/>
              <w:left w:val="single" w:sz="4" w:space="0" w:color="auto"/>
              <w:bottom w:val="single" w:sz="4" w:space="0" w:color="auto"/>
              <w:right w:val="single" w:sz="4" w:space="0" w:color="auto"/>
            </w:tcBorders>
            <w:shd w:val="clear" w:color="auto" w:fill="auto"/>
            <w:vAlign w:val="center"/>
          </w:tcPr>
          <w:p w14:paraId="04E03F49" w14:textId="77777777" w:rsidR="00071A09" w:rsidRDefault="00071A09" w:rsidP="004A3A2E">
            <w:pPr>
              <w:jc w:val="center"/>
              <w:rPr>
                <w:color w:val="000000"/>
                <w:sz w:val="22"/>
                <w:szCs w:val="22"/>
              </w:rPr>
            </w:pPr>
            <w:r>
              <w:rPr>
                <w:color w:val="000000"/>
                <w:sz w:val="22"/>
                <w:szCs w:val="22"/>
              </w:rPr>
              <w:t>45375,00</w:t>
            </w:r>
          </w:p>
        </w:tc>
      </w:tr>
    </w:tbl>
    <w:p w14:paraId="04E03F4B" w14:textId="77777777" w:rsidR="00071A09" w:rsidRDefault="00071A09" w:rsidP="00071A09">
      <w:pPr>
        <w:pStyle w:val="BodyText2"/>
        <w:ind w:firstLine="0"/>
        <w:jc w:val="center"/>
        <w:rPr>
          <w:rFonts w:ascii="Times New Roman" w:hAnsi="Times New Roman"/>
          <w:b/>
          <w:sz w:val="24"/>
          <w:szCs w:val="24"/>
          <w:lang w:val="lt-LT"/>
        </w:rPr>
      </w:pPr>
    </w:p>
    <w:p w14:paraId="04E03F4C" w14:textId="77777777" w:rsidR="00071A09" w:rsidRPr="006F784D" w:rsidRDefault="00071A09" w:rsidP="00071A09">
      <w:pPr>
        <w:rPr>
          <w:rFonts w:eastAsia="Arial"/>
          <w:b/>
          <w:color w:val="FF0000"/>
          <w:lang w:eastAsia="ar-SA"/>
        </w:rPr>
      </w:pPr>
    </w:p>
    <w:tbl>
      <w:tblPr>
        <w:tblpPr w:leftFromText="180" w:rightFromText="180" w:vertAnchor="page" w:horzAnchor="margin" w:tblpXSpec="center" w:tblpY="7627"/>
        <w:tblW w:w="0" w:type="auto"/>
        <w:tblLook w:val="04A0" w:firstRow="1" w:lastRow="0" w:firstColumn="1" w:lastColumn="0" w:noHBand="0" w:noVBand="1"/>
      </w:tblPr>
      <w:tblGrid>
        <w:gridCol w:w="6062"/>
        <w:gridCol w:w="4678"/>
      </w:tblGrid>
      <w:tr w:rsidR="00071A09" w:rsidRPr="0046350E" w14:paraId="04E03F4F" w14:textId="77777777" w:rsidTr="004A3A2E">
        <w:trPr>
          <w:trHeight w:val="315"/>
        </w:trPr>
        <w:tc>
          <w:tcPr>
            <w:tcW w:w="6062" w:type="dxa"/>
            <w:vAlign w:val="center"/>
            <w:hideMark/>
          </w:tcPr>
          <w:p w14:paraId="04E03F4D" w14:textId="77777777" w:rsidR="00071A09" w:rsidRPr="0046350E" w:rsidRDefault="00071A09" w:rsidP="004A3A2E">
            <w:pPr>
              <w:ind w:left="834"/>
              <w:jc w:val="both"/>
              <w:rPr>
                <w:b/>
                <w:bCs/>
                <w:color w:val="000000"/>
              </w:rPr>
            </w:pPr>
            <w:r w:rsidRPr="0046350E">
              <w:rPr>
                <w:b/>
                <w:bCs/>
                <w:color w:val="000000"/>
              </w:rPr>
              <w:t>PIRKĖJAS</w:t>
            </w:r>
          </w:p>
        </w:tc>
        <w:tc>
          <w:tcPr>
            <w:tcW w:w="4678" w:type="dxa"/>
            <w:vAlign w:val="center"/>
            <w:hideMark/>
          </w:tcPr>
          <w:p w14:paraId="04E03F4E" w14:textId="77777777" w:rsidR="00071A09" w:rsidRPr="0046350E" w:rsidRDefault="00071A09" w:rsidP="004A3A2E">
            <w:pPr>
              <w:ind w:left="834"/>
              <w:jc w:val="both"/>
              <w:rPr>
                <w:b/>
                <w:bCs/>
                <w:color w:val="000000"/>
              </w:rPr>
            </w:pPr>
            <w:r w:rsidRPr="0046350E">
              <w:rPr>
                <w:b/>
                <w:bCs/>
                <w:color w:val="000000"/>
              </w:rPr>
              <w:t>PARDAVĖJAS</w:t>
            </w:r>
          </w:p>
        </w:tc>
      </w:tr>
      <w:tr w:rsidR="00071A09" w:rsidRPr="0046350E" w14:paraId="04E03F54" w14:textId="77777777" w:rsidTr="004A3A2E">
        <w:trPr>
          <w:trHeight w:val="315"/>
        </w:trPr>
        <w:tc>
          <w:tcPr>
            <w:tcW w:w="6062" w:type="dxa"/>
            <w:noWrap/>
            <w:vAlign w:val="center"/>
            <w:hideMark/>
          </w:tcPr>
          <w:p w14:paraId="04E03F50" w14:textId="77777777" w:rsidR="00071A09" w:rsidRDefault="00071A09" w:rsidP="004A3A2E">
            <w:pPr>
              <w:ind w:left="834"/>
              <w:rPr>
                <w:b/>
                <w:bCs/>
                <w:color w:val="000000"/>
              </w:rPr>
            </w:pPr>
          </w:p>
          <w:p w14:paraId="04E03F51" w14:textId="77777777" w:rsidR="00071A09" w:rsidRPr="0046350E" w:rsidRDefault="00071A09" w:rsidP="004A3A2E">
            <w:pPr>
              <w:ind w:left="834"/>
              <w:rPr>
                <w:b/>
                <w:bCs/>
                <w:color w:val="000000"/>
              </w:rPr>
            </w:pPr>
            <w:r w:rsidRPr="0046350E">
              <w:rPr>
                <w:b/>
                <w:bCs/>
                <w:color w:val="000000"/>
              </w:rPr>
              <w:t>Informacinių technologijų tarnyba</w:t>
            </w:r>
          </w:p>
        </w:tc>
        <w:tc>
          <w:tcPr>
            <w:tcW w:w="4678" w:type="dxa"/>
            <w:noWrap/>
            <w:vAlign w:val="center"/>
            <w:hideMark/>
          </w:tcPr>
          <w:p w14:paraId="04E03F52" w14:textId="77777777" w:rsidR="00071A09" w:rsidRDefault="00071A09" w:rsidP="004A3A2E">
            <w:pPr>
              <w:ind w:left="834"/>
              <w:rPr>
                <w:b/>
                <w:bCs/>
                <w:color w:val="000000"/>
              </w:rPr>
            </w:pPr>
          </w:p>
          <w:p w14:paraId="04E03F53" w14:textId="77777777" w:rsidR="00071A09" w:rsidRPr="0046350E" w:rsidRDefault="00071A09" w:rsidP="004A3A2E">
            <w:pPr>
              <w:ind w:left="834"/>
              <w:rPr>
                <w:b/>
                <w:bCs/>
                <w:color w:val="000000"/>
              </w:rPr>
            </w:pPr>
            <w:r w:rsidRPr="0046350E">
              <w:rPr>
                <w:b/>
                <w:bCs/>
                <w:color w:val="000000"/>
              </w:rPr>
              <w:t>UAB „Fortevento“</w:t>
            </w:r>
          </w:p>
        </w:tc>
      </w:tr>
      <w:tr w:rsidR="00071A09" w:rsidRPr="0046350E" w14:paraId="04E03F57" w14:textId="77777777" w:rsidTr="004A3A2E">
        <w:trPr>
          <w:trHeight w:val="315"/>
        </w:trPr>
        <w:tc>
          <w:tcPr>
            <w:tcW w:w="6062" w:type="dxa"/>
            <w:noWrap/>
            <w:vAlign w:val="center"/>
            <w:hideMark/>
          </w:tcPr>
          <w:p w14:paraId="04E03F55" w14:textId="77777777" w:rsidR="00071A09" w:rsidRPr="0046350E" w:rsidRDefault="00071A09" w:rsidP="004A3A2E">
            <w:pPr>
              <w:ind w:left="834"/>
              <w:rPr>
                <w:b/>
                <w:bCs/>
                <w:color w:val="000000"/>
              </w:rPr>
            </w:pPr>
            <w:r w:rsidRPr="0046350E">
              <w:rPr>
                <w:b/>
                <w:bCs/>
                <w:color w:val="000000"/>
              </w:rPr>
              <w:t>prie Krašto apsaugos ministerijos</w:t>
            </w:r>
          </w:p>
        </w:tc>
        <w:tc>
          <w:tcPr>
            <w:tcW w:w="4678" w:type="dxa"/>
            <w:noWrap/>
            <w:vAlign w:val="bottom"/>
            <w:hideMark/>
          </w:tcPr>
          <w:p w14:paraId="04E03F56" w14:textId="77777777" w:rsidR="00071A09" w:rsidRPr="0046350E" w:rsidRDefault="00071A09" w:rsidP="004A3A2E">
            <w:pPr>
              <w:rPr>
                <w:b/>
                <w:bCs/>
                <w:color w:val="000000"/>
              </w:rPr>
            </w:pPr>
          </w:p>
        </w:tc>
      </w:tr>
      <w:tr w:rsidR="00071A09" w:rsidRPr="0046350E" w14:paraId="04E03F5A" w14:textId="77777777" w:rsidTr="004A3A2E">
        <w:trPr>
          <w:trHeight w:val="315"/>
        </w:trPr>
        <w:tc>
          <w:tcPr>
            <w:tcW w:w="6062" w:type="dxa"/>
            <w:noWrap/>
            <w:vAlign w:val="center"/>
            <w:hideMark/>
          </w:tcPr>
          <w:p w14:paraId="04E03F58" w14:textId="77777777" w:rsidR="00071A09" w:rsidRPr="0046350E" w:rsidRDefault="00071A09" w:rsidP="004A3A2E">
            <w:pPr>
              <w:rPr>
                <w:color w:val="000000"/>
              </w:rPr>
            </w:pPr>
          </w:p>
        </w:tc>
        <w:tc>
          <w:tcPr>
            <w:tcW w:w="4678" w:type="dxa"/>
            <w:noWrap/>
            <w:vAlign w:val="bottom"/>
            <w:hideMark/>
          </w:tcPr>
          <w:p w14:paraId="04E03F59" w14:textId="77777777" w:rsidR="00071A09" w:rsidRPr="0046350E" w:rsidRDefault="00071A09" w:rsidP="004A3A2E">
            <w:pPr>
              <w:rPr>
                <w:sz w:val="20"/>
                <w:szCs w:val="20"/>
                <w:lang w:val="en-US" w:eastAsia="en-US"/>
              </w:rPr>
            </w:pPr>
          </w:p>
        </w:tc>
      </w:tr>
      <w:tr w:rsidR="00071A09" w:rsidRPr="0046350E" w14:paraId="04E03F5D" w14:textId="77777777" w:rsidTr="004A3A2E">
        <w:trPr>
          <w:trHeight w:val="315"/>
        </w:trPr>
        <w:tc>
          <w:tcPr>
            <w:tcW w:w="6062" w:type="dxa"/>
            <w:noWrap/>
            <w:vAlign w:val="center"/>
            <w:hideMark/>
          </w:tcPr>
          <w:p w14:paraId="04E03F5B" w14:textId="77777777" w:rsidR="00071A09" w:rsidRPr="0046350E" w:rsidRDefault="00071A09" w:rsidP="004A3A2E">
            <w:pPr>
              <w:spacing w:line="256" w:lineRule="auto"/>
              <w:ind w:left="834"/>
              <w:rPr>
                <w:color w:val="000000"/>
              </w:rPr>
            </w:pPr>
            <w:r w:rsidRPr="0046350E">
              <w:rPr>
                <w:color w:val="000000"/>
              </w:rPr>
              <w:t>Direktorius</w:t>
            </w:r>
          </w:p>
        </w:tc>
        <w:tc>
          <w:tcPr>
            <w:tcW w:w="4678" w:type="dxa"/>
            <w:vAlign w:val="center"/>
            <w:hideMark/>
          </w:tcPr>
          <w:p w14:paraId="04E03F5C" w14:textId="77777777" w:rsidR="00071A09" w:rsidRPr="0046350E" w:rsidRDefault="00071A09" w:rsidP="004A3A2E">
            <w:pPr>
              <w:rPr>
                <w:color w:val="000000"/>
              </w:rPr>
            </w:pPr>
            <w:r w:rsidRPr="0046350E">
              <w:rPr>
                <w:color w:val="000000"/>
              </w:rPr>
              <w:t xml:space="preserve">              Generalinis direktorius</w:t>
            </w:r>
          </w:p>
        </w:tc>
      </w:tr>
      <w:tr w:rsidR="00071A09" w:rsidRPr="0046350E" w14:paraId="04E03F60" w14:textId="77777777" w:rsidTr="004A3A2E">
        <w:trPr>
          <w:trHeight w:val="315"/>
        </w:trPr>
        <w:tc>
          <w:tcPr>
            <w:tcW w:w="6062" w:type="dxa"/>
            <w:noWrap/>
            <w:vAlign w:val="center"/>
            <w:hideMark/>
          </w:tcPr>
          <w:p w14:paraId="04E03F5E" w14:textId="77777777" w:rsidR="00071A09" w:rsidRPr="0046350E" w:rsidRDefault="00071A09" w:rsidP="004A3A2E">
            <w:pPr>
              <w:rPr>
                <w:color w:val="000000"/>
              </w:rPr>
            </w:pPr>
          </w:p>
        </w:tc>
        <w:tc>
          <w:tcPr>
            <w:tcW w:w="4678" w:type="dxa"/>
            <w:noWrap/>
            <w:vAlign w:val="bottom"/>
            <w:hideMark/>
          </w:tcPr>
          <w:p w14:paraId="04E03F5F" w14:textId="77777777" w:rsidR="00071A09" w:rsidRPr="0046350E" w:rsidRDefault="00071A09" w:rsidP="004A3A2E">
            <w:pPr>
              <w:rPr>
                <w:sz w:val="20"/>
                <w:szCs w:val="20"/>
                <w:lang w:val="en-US" w:eastAsia="en-US"/>
              </w:rPr>
            </w:pPr>
          </w:p>
        </w:tc>
      </w:tr>
      <w:tr w:rsidR="00071A09" w:rsidRPr="0046350E" w14:paraId="04E03F63" w14:textId="77777777" w:rsidTr="004A3A2E">
        <w:trPr>
          <w:trHeight w:val="315"/>
        </w:trPr>
        <w:tc>
          <w:tcPr>
            <w:tcW w:w="6062" w:type="dxa"/>
            <w:noWrap/>
            <w:vAlign w:val="center"/>
            <w:hideMark/>
          </w:tcPr>
          <w:p w14:paraId="04E03F61" w14:textId="77777777" w:rsidR="00071A09" w:rsidRPr="0046350E" w:rsidRDefault="00071A09" w:rsidP="004A3A2E">
            <w:pPr>
              <w:spacing w:line="256" w:lineRule="auto"/>
              <w:ind w:left="834"/>
              <w:rPr>
                <w:color w:val="000000"/>
              </w:rPr>
            </w:pPr>
            <w:r w:rsidRPr="0046350E">
              <w:rPr>
                <w:color w:val="000000"/>
              </w:rPr>
              <w:t>plk. ltn. Saulius Juškevičius</w:t>
            </w:r>
            <w:r w:rsidRPr="0046350E">
              <w:rPr>
                <w:color w:val="000000"/>
              </w:rPr>
              <w:tab/>
            </w:r>
          </w:p>
        </w:tc>
        <w:tc>
          <w:tcPr>
            <w:tcW w:w="4678" w:type="dxa"/>
            <w:vAlign w:val="center"/>
            <w:hideMark/>
          </w:tcPr>
          <w:p w14:paraId="04E03F62" w14:textId="77777777" w:rsidR="00071A09" w:rsidRPr="0046350E" w:rsidRDefault="00071A09" w:rsidP="004A3A2E">
            <w:pPr>
              <w:rPr>
                <w:color w:val="000000"/>
              </w:rPr>
            </w:pPr>
            <w:r w:rsidRPr="0046350E">
              <w:rPr>
                <w:color w:val="000000"/>
              </w:rPr>
              <w:t xml:space="preserve">             </w:t>
            </w:r>
            <w:r>
              <w:rPr>
                <w:color w:val="000000"/>
              </w:rPr>
              <w:t xml:space="preserve"> </w:t>
            </w:r>
            <w:r w:rsidRPr="0046350E">
              <w:rPr>
                <w:color w:val="000000"/>
              </w:rPr>
              <w:t>Aurelijus Šaltenis</w:t>
            </w:r>
          </w:p>
        </w:tc>
      </w:tr>
    </w:tbl>
    <w:p w14:paraId="04E03F64" w14:textId="77777777" w:rsidR="00071A09" w:rsidRDefault="00071A09" w:rsidP="00071A09">
      <w:r>
        <w:br w:type="page"/>
      </w:r>
    </w:p>
    <w:tbl>
      <w:tblPr>
        <w:tblpPr w:leftFromText="180" w:rightFromText="180" w:vertAnchor="text" w:horzAnchor="page" w:tblpX="11312" w:tblpY="153"/>
        <w:tblW w:w="0" w:type="auto"/>
        <w:tblLook w:val="01E0" w:firstRow="1" w:lastRow="1" w:firstColumn="1" w:lastColumn="1" w:noHBand="0" w:noVBand="0"/>
      </w:tblPr>
      <w:tblGrid>
        <w:gridCol w:w="4900"/>
      </w:tblGrid>
      <w:tr w:rsidR="00071A09" w:rsidRPr="001F0509" w14:paraId="04E03F66" w14:textId="77777777" w:rsidTr="004A3A2E">
        <w:trPr>
          <w:trHeight w:val="208"/>
        </w:trPr>
        <w:tc>
          <w:tcPr>
            <w:tcW w:w="4900" w:type="dxa"/>
          </w:tcPr>
          <w:p w14:paraId="04E03F65" w14:textId="77777777" w:rsidR="00071A09" w:rsidRPr="001F0509" w:rsidRDefault="00071A09" w:rsidP="004A3A2E">
            <w:pPr>
              <w:spacing w:after="100" w:afterAutospacing="1"/>
            </w:pPr>
            <w:r>
              <w:br w:type="page"/>
            </w:r>
            <w:r w:rsidRPr="001F0509">
              <w:t>202</w:t>
            </w:r>
            <w:r>
              <w:t>2</w:t>
            </w:r>
            <w:r w:rsidRPr="001F0509">
              <w:t xml:space="preserve"> m.  </w:t>
            </w:r>
            <w:r w:rsidRPr="001F0509" w:rsidDel="00C3477C">
              <w:t xml:space="preserve"> </w:t>
            </w:r>
            <w:r w:rsidRPr="001F0509">
              <w:t xml:space="preserve">                        d. Prekių viešojo pirkimo-pardavimo sutarties Nr._____</w:t>
            </w:r>
          </w:p>
        </w:tc>
      </w:tr>
      <w:tr w:rsidR="00071A09" w:rsidRPr="001F0509" w14:paraId="04E03F68" w14:textId="77777777" w:rsidTr="004A3A2E">
        <w:trPr>
          <w:trHeight w:val="205"/>
        </w:trPr>
        <w:tc>
          <w:tcPr>
            <w:tcW w:w="4900" w:type="dxa"/>
          </w:tcPr>
          <w:p w14:paraId="04E03F67" w14:textId="77777777" w:rsidR="00071A09" w:rsidRPr="001F0509" w:rsidRDefault="00071A09" w:rsidP="004A3A2E">
            <w:r w:rsidRPr="001F0509">
              <w:t>2 priedas</w:t>
            </w:r>
          </w:p>
        </w:tc>
      </w:tr>
    </w:tbl>
    <w:p w14:paraId="04E03F69" w14:textId="77777777" w:rsidR="00071A09" w:rsidRDefault="00071A09" w:rsidP="00071A09"/>
    <w:p w14:paraId="04E03F6A" w14:textId="77777777" w:rsidR="00071A09" w:rsidRDefault="00071A09" w:rsidP="00071A09">
      <w:pPr>
        <w:jc w:val="center"/>
        <w:rPr>
          <w:b/>
        </w:rPr>
      </w:pPr>
    </w:p>
    <w:p w14:paraId="04E03F6B" w14:textId="77777777" w:rsidR="00071A09" w:rsidRPr="001F0509" w:rsidRDefault="00071A09" w:rsidP="00071A09">
      <w:pPr>
        <w:jc w:val="center"/>
        <w:rPr>
          <w:b/>
        </w:rPr>
      </w:pPr>
    </w:p>
    <w:p w14:paraId="04E03F6C" w14:textId="77777777" w:rsidR="00071A09" w:rsidRPr="001F0509" w:rsidRDefault="00071A09" w:rsidP="00071A09">
      <w:pPr>
        <w:jc w:val="center"/>
        <w:rPr>
          <w:b/>
        </w:rPr>
      </w:pPr>
    </w:p>
    <w:p w14:paraId="04E03F6D" w14:textId="77777777" w:rsidR="00071A09" w:rsidRDefault="00071A09" w:rsidP="00071A09">
      <w:pPr>
        <w:jc w:val="center"/>
        <w:rPr>
          <w:b/>
        </w:rPr>
      </w:pPr>
    </w:p>
    <w:p w14:paraId="04E03F6E" w14:textId="77777777" w:rsidR="00071A09" w:rsidRDefault="00071A09" w:rsidP="00071A09">
      <w:pPr>
        <w:jc w:val="center"/>
        <w:rPr>
          <w:b/>
        </w:rPr>
      </w:pPr>
    </w:p>
    <w:p w14:paraId="04E03F6F" w14:textId="77777777" w:rsidR="00071A09" w:rsidRPr="001F0509" w:rsidRDefault="00071A09" w:rsidP="00071A09">
      <w:pPr>
        <w:jc w:val="center"/>
        <w:rPr>
          <w:b/>
          <w:bCs/>
        </w:rPr>
      </w:pPr>
      <w:r w:rsidRPr="001F0509">
        <w:rPr>
          <w:b/>
        </w:rPr>
        <w:t>PROGRAMINĖS ĮRANGOS NUOMOS TECHNINĖ SPECIFIKACIJA</w:t>
      </w:r>
      <w:r w:rsidRPr="001F0509">
        <w:rPr>
          <w:b/>
          <w:bCs/>
        </w:rPr>
        <w:t xml:space="preserve"> </w:t>
      </w:r>
    </w:p>
    <w:p w14:paraId="04E03F70" w14:textId="77777777" w:rsidR="00071A09" w:rsidRDefault="00071A09" w:rsidP="00071A09"/>
    <w:p w14:paraId="04E03F71" w14:textId="77777777" w:rsidR="00071A09" w:rsidRPr="001F0509" w:rsidRDefault="00071A09" w:rsidP="00071A09">
      <w:pPr>
        <w:rPr>
          <w:vanish/>
        </w:rPr>
      </w:pPr>
    </w:p>
    <w:p w14:paraId="04E03F72" w14:textId="77777777" w:rsidR="00071A09" w:rsidRPr="00EA73AC" w:rsidRDefault="00071A09" w:rsidP="00071A09">
      <w:pPr>
        <w:jc w:val="both"/>
      </w:pPr>
    </w:p>
    <w:tbl>
      <w:tblPr>
        <w:tblW w:w="149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13751"/>
      </w:tblGrid>
      <w:tr w:rsidR="00071A09" w:rsidRPr="00937998" w14:paraId="04E03F74" w14:textId="77777777" w:rsidTr="004A3A2E">
        <w:trPr>
          <w:trHeight w:val="57"/>
        </w:trPr>
        <w:tc>
          <w:tcPr>
            <w:tcW w:w="14997" w:type="dxa"/>
            <w:gridSpan w:val="2"/>
            <w:tcBorders>
              <w:top w:val="single" w:sz="4" w:space="0" w:color="auto"/>
              <w:left w:val="single" w:sz="4" w:space="0" w:color="auto"/>
              <w:bottom w:val="single" w:sz="4" w:space="0" w:color="auto"/>
            </w:tcBorders>
            <w:noWrap/>
          </w:tcPr>
          <w:p w14:paraId="04E03F73" w14:textId="77777777" w:rsidR="00071A09" w:rsidRPr="00937998" w:rsidRDefault="00071A09" w:rsidP="004A3A2E">
            <w:pPr>
              <w:suppressAutoHyphens/>
              <w:rPr>
                <w:lang w:eastAsia="ar-SA"/>
              </w:rPr>
            </w:pPr>
            <w:r w:rsidRPr="00937998">
              <w:rPr>
                <w:b/>
                <w:lang w:eastAsia="ar-SA"/>
              </w:rPr>
              <w:t>1. Bendrieji reikalavimai</w:t>
            </w:r>
          </w:p>
        </w:tc>
      </w:tr>
      <w:tr w:rsidR="00071A09" w:rsidRPr="00937998" w14:paraId="04E03F77" w14:textId="77777777" w:rsidTr="004A3A2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4E03F75" w14:textId="77777777" w:rsidR="00071A09" w:rsidRPr="00937998" w:rsidRDefault="00071A09" w:rsidP="004A3A2E">
            <w:pPr>
              <w:suppressAutoHyphens/>
              <w:jc w:val="center"/>
              <w:rPr>
                <w:rFonts w:eastAsia="Calibri"/>
                <w:lang w:eastAsia="ar-SA"/>
              </w:rPr>
            </w:pPr>
            <w:r w:rsidRPr="00937998">
              <w:rPr>
                <w:rFonts w:eastAsia="Calibri"/>
                <w:lang w:eastAsia="ar-SA"/>
              </w:rPr>
              <w:t>1.1.</w:t>
            </w:r>
          </w:p>
        </w:tc>
        <w:tc>
          <w:tcPr>
            <w:tcW w:w="13751" w:type="dxa"/>
            <w:tcBorders>
              <w:top w:val="single" w:sz="4" w:space="0" w:color="auto"/>
              <w:left w:val="single" w:sz="4" w:space="0" w:color="auto"/>
              <w:bottom w:val="single" w:sz="4" w:space="0" w:color="auto"/>
            </w:tcBorders>
          </w:tcPr>
          <w:p w14:paraId="04E03F76" w14:textId="77777777" w:rsidR="00071A09" w:rsidRPr="00937998" w:rsidRDefault="00071A09" w:rsidP="004A3A2E">
            <w:pPr>
              <w:suppressAutoHyphens/>
              <w:rPr>
                <w:lang w:eastAsia="ar-SA"/>
              </w:rPr>
            </w:pPr>
            <w:r w:rsidRPr="00937998">
              <w:rPr>
                <w:lang w:eastAsia="ar-SA"/>
              </w:rPr>
              <w:t xml:space="preserve">Tiekėjas turi būti autorizuotas </w:t>
            </w:r>
            <w:r w:rsidRPr="00937998">
              <w:rPr>
                <w:i/>
                <w:lang w:eastAsia="ar-SA"/>
              </w:rPr>
              <w:t>Microsoft</w:t>
            </w:r>
            <w:r w:rsidRPr="00937998">
              <w:rPr>
                <w:lang w:eastAsia="ar-SA"/>
              </w:rPr>
              <w:t xml:space="preserve"> arba siūlomų prekių gamintojo (jei siūloma lygiavertė programinė įranga) partneris;</w:t>
            </w:r>
          </w:p>
        </w:tc>
      </w:tr>
      <w:tr w:rsidR="00071A09" w:rsidRPr="00937998" w14:paraId="04E03F7A" w14:textId="77777777" w:rsidTr="004A3A2E">
        <w:trPr>
          <w:trHeight w:val="57"/>
        </w:trPr>
        <w:tc>
          <w:tcPr>
            <w:tcW w:w="1246" w:type="dxa"/>
            <w:tcBorders>
              <w:top w:val="single" w:sz="4" w:space="0" w:color="auto"/>
              <w:left w:val="single" w:sz="4" w:space="0" w:color="auto"/>
              <w:bottom w:val="single" w:sz="4" w:space="0" w:color="auto"/>
              <w:right w:val="single" w:sz="4" w:space="0" w:color="auto"/>
            </w:tcBorders>
            <w:noWrap/>
          </w:tcPr>
          <w:p w14:paraId="04E03F78" w14:textId="77777777" w:rsidR="00071A09" w:rsidRPr="00937998" w:rsidRDefault="00071A09" w:rsidP="004A3A2E">
            <w:pPr>
              <w:suppressAutoHyphens/>
              <w:jc w:val="center"/>
              <w:rPr>
                <w:rFonts w:eastAsia="Calibri"/>
                <w:lang w:eastAsia="ar-SA"/>
              </w:rPr>
            </w:pPr>
            <w:r w:rsidRPr="00937998">
              <w:rPr>
                <w:rFonts w:eastAsia="Calibri"/>
                <w:lang w:eastAsia="ar-SA"/>
              </w:rPr>
              <w:t>1.2.</w:t>
            </w:r>
          </w:p>
        </w:tc>
        <w:tc>
          <w:tcPr>
            <w:tcW w:w="13751" w:type="dxa"/>
            <w:tcBorders>
              <w:top w:val="single" w:sz="4" w:space="0" w:color="auto"/>
              <w:left w:val="single" w:sz="4" w:space="0" w:color="auto"/>
              <w:bottom w:val="single" w:sz="4" w:space="0" w:color="auto"/>
            </w:tcBorders>
          </w:tcPr>
          <w:p w14:paraId="04E03F79" w14:textId="77777777" w:rsidR="00071A09" w:rsidRPr="00937998" w:rsidRDefault="00071A09" w:rsidP="004A3A2E">
            <w:pPr>
              <w:suppressAutoHyphens/>
              <w:rPr>
                <w:lang w:eastAsia="ar-SA"/>
              </w:rPr>
            </w:pPr>
            <w:r w:rsidRPr="00937998">
              <w:rPr>
                <w:kern w:val="24"/>
                <w:lang w:eastAsia="ar-SA"/>
              </w:rPr>
              <w:t>Visa siūloma programinė įranga turi būti vieno gamintojo.</w:t>
            </w:r>
          </w:p>
        </w:tc>
      </w:tr>
      <w:tr w:rsidR="00071A09" w:rsidRPr="00937998" w14:paraId="04E03F7C" w14:textId="77777777" w:rsidTr="004A3A2E">
        <w:trPr>
          <w:trHeight w:val="57"/>
        </w:trPr>
        <w:tc>
          <w:tcPr>
            <w:tcW w:w="14997" w:type="dxa"/>
            <w:gridSpan w:val="2"/>
            <w:tcBorders>
              <w:top w:val="single" w:sz="4" w:space="0" w:color="auto"/>
              <w:left w:val="single" w:sz="4" w:space="0" w:color="auto"/>
              <w:bottom w:val="single" w:sz="4" w:space="0" w:color="auto"/>
            </w:tcBorders>
            <w:noWrap/>
          </w:tcPr>
          <w:p w14:paraId="04E03F7B" w14:textId="77777777" w:rsidR="00071A09" w:rsidRPr="00937998" w:rsidRDefault="00071A09" w:rsidP="004A3A2E">
            <w:pPr>
              <w:suppressAutoHyphens/>
              <w:rPr>
                <w:lang w:eastAsia="ar-SA"/>
              </w:rPr>
            </w:pPr>
            <w:r w:rsidRPr="00937998">
              <w:rPr>
                <w:b/>
                <w:lang w:eastAsia="ar-SA"/>
              </w:rPr>
              <w:t>2. Specialieji reikalavimai</w:t>
            </w:r>
          </w:p>
        </w:tc>
      </w:tr>
      <w:tr w:rsidR="00071A09" w:rsidRPr="00937998" w14:paraId="04E03F80" w14:textId="77777777" w:rsidTr="004A3A2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4E03F7D" w14:textId="77777777" w:rsidR="00071A09" w:rsidRPr="00937998" w:rsidRDefault="00071A09" w:rsidP="004A3A2E">
            <w:pPr>
              <w:suppressAutoHyphens/>
              <w:jc w:val="center"/>
              <w:rPr>
                <w:rFonts w:eastAsia="Calibri"/>
                <w:lang w:eastAsia="ar-SA"/>
              </w:rPr>
            </w:pPr>
            <w:r w:rsidRPr="00937998">
              <w:rPr>
                <w:rFonts w:eastAsia="Calibri"/>
                <w:lang w:eastAsia="ar-SA"/>
              </w:rPr>
              <w:t>2.1.</w:t>
            </w:r>
          </w:p>
        </w:tc>
        <w:tc>
          <w:tcPr>
            <w:tcW w:w="13751" w:type="dxa"/>
            <w:tcBorders>
              <w:top w:val="single" w:sz="4" w:space="0" w:color="auto"/>
              <w:left w:val="single" w:sz="4" w:space="0" w:color="auto"/>
              <w:bottom w:val="single" w:sz="4" w:space="0" w:color="auto"/>
            </w:tcBorders>
          </w:tcPr>
          <w:p w14:paraId="04E03F7E" w14:textId="77777777" w:rsidR="00071A09" w:rsidRPr="00937998" w:rsidRDefault="00071A09" w:rsidP="004A3A2E">
            <w:pPr>
              <w:suppressAutoHyphens/>
              <w:jc w:val="both"/>
              <w:rPr>
                <w:bCs/>
                <w:lang w:eastAsia="ar-SA"/>
              </w:rPr>
            </w:pPr>
            <w:r w:rsidRPr="00937998">
              <w:rPr>
                <w:bCs/>
                <w:lang w:eastAsia="ar-SA"/>
              </w:rPr>
              <w:t>Būtini duomenų perdavimo paslaugos moduliai.</w:t>
            </w:r>
          </w:p>
          <w:p w14:paraId="04E03F7F" w14:textId="77777777" w:rsidR="00071A09" w:rsidRPr="00937998" w:rsidRDefault="00071A09" w:rsidP="004A3A2E">
            <w:pPr>
              <w:suppressAutoHyphens/>
              <w:rPr>
                <w:lang w:eastAsia="ar-SA"/>
              </w:rPr>
            </w:pPr>
            <w:r w:rsidRPr="00937998">
              <w:rPr>
                <w:bCs/>
                <w:lang w:eastAsia="ar-SA"/>
              </w:rPr>
              <w:t>Elektroninio pašto ir grupinio darbo duomenų apsikeitimo paslauga, komunikacijos paslauga.</w:t>
            </w:r>
          </w:p>
        </w:tc>
      </w:tr>
      <w:tr w:rsidR="00071A09" w:rsidRPr="00937998" w14:paraId="04E03F84" w14:textId="77777777" w:rsidTr="004A3A2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4E03F81" w14:textId="77777777" w:rsidR="00071A09" w:rsidRPr="00937998" w:rsidRDefault="00071A09" w:rsidP="004A3A2E">
            <w:pPr>
              <w:suppressAutoHyphens/>
              <w:jc w:val="center"/>
              <w:rPr>
                <w:rFonts w:eastAsia="Calibri"/>
                <w:lang w:eastAsia="ar-SA"/>
              </w:rPr>
            </w:pPr>
            <w:r w:rsidRPr="00937998">
              <w:rPr>
                <w:rFonts w:eastAsia="Calibri"/>
                <w:lang w:eastAsia="ar-SA"/>
              </w:rPr>
              <w:t>2.2.</w:t>
            </w:r>
          </w:p>
        </w:tc>
        <w:tc>
          <w:tcPr>
            <w:tcW w:w="13751" w:type="dxa"/>
            <w:tcBorders>
              <w:top w:val="single" w:sz="4" w:space="0" w:color="auto"/>
              <w:left w:val="single" w:sz="4" w:space="0" w:color="auto"/>
              <w:bottom w:val="single" w:sz="4" w:space="0" w:color="auto"/>
            </w:tcBorders>
          </w:tcPr>
          <w:p w14:paraId="04E03F82" w14:textId="77777777" w:rsidR="00071A09" w:rsidRPr="00937998" w:rsidRDefault="00071A09" w:rsidP="004A3A2E">
            <w:pPr>
              <w:suppressAutoHyphens/>
              <w:jc w:val="both"/>
              <w:rPr>
                <w:bCs/>
                <w:lang w:eastAsia="ar-SA"/>
              </w:rPr>
            </w:pPr>
            <w:r w:rsidRPr="00937998">
              <w:rPr>
                <w:bCs/>
                <w:lang w:eastAsia="ar-SA"/>
              </w:rPr>
              <w:t>Palaikoma operacinė sistema.</w:t>
            </w:r>
          </w:p>
          <w:p w14:paraId="04E03F83" w14:textId="77777777" w:rsidR="00071A09" w:rsidRPr="00937998" w:rsidRDefault="00071A09" w:rsidP="004A3A2E">
            <w:pPr>
              <w:suppressAutoHyphens/>
              <w:rPr>
                <w:lang w:eastAsia="ar-SA"/>
              </w:rPr>
            </w:pPr>
            <w:r w:rsidRPr="00937998">
              <w:rPr>
                <w:bCs/>
                <w:lang w:eastAsia="ar-SA"/>
              </w:rPr>
              <w:t>Windows 8/Windows 10</w:t>
            </w:r>
          </w:p>
        </w:tc>
      </w:tr>
      <w:tr w:rsidR="00071A09" w:rsidRPr="00937998" w14:paraId="04E03F8D" w14:textId="77777777" w:rsidTr="004A3A2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4E03F85" w14:textId="77777777" w:rsidR="00071A09" w:rsidRPr="00937998" w:rsidRDefault="00071A09" w:rsidP="004A3A2E">
            <w:pPr>
              <w:suppressAutoHyphens/>
              <w:jc w:val="center"/>
              <w:rPr>
                <w:rFonts w:eastAsia="Calibri"/>
                <w:lang w:eastAsia="ar-SA"/>
              </w:rPr>
            </w:pPr>
            <w:r w:rsidRPr="00937998">
              <w:rPr>
                <w:rFonts w:eastAsia="Calibri"/>
                <w:lang w:eastAsia="ar-SA"/>
              </w:rPr>
              <w:t>2.3.</w:t>
            </w:r>
          </w:p>
        </w:tc>
        <w:tc>
          <w:tcPr>
            <w:tcW w:w="13751" w:type="dxa"/>
            <w:tcBorders>
              <w:top w:val="single" w:sz="4" w:space="0" w:color="auto"/>
              <w:left w:val="single" w:sz="4" w:space="0" w:color="auto"/>
              <w:bottom w:val="single" w:sz="4" w:space="0" w:color="auto"/>
            </w:tcBorders>
          </w:tcPr>
          <w:p w14:paraId="04E03F86" w14:textId="77777777" w:rsidR="00071A09" w:rsidRPr="00937998" w:rsidRDefault="00071A09" w:rsidP="004A3A2E">
            <w:pPr>
              <w:suppressAutoHyphens/>
              <w:jc w:val="both"/>
              <w:rPr>
                <w:bCs/>
                <w:lang w:eastAsia="ar-SA"/>
              </w:rPr>
            </w:pPr>
            <w:r w:rsidRPr="00937998">
              <w:rPr>
                <w:bCs/>
                <w:lang w:eastAsia="ar-SA"/>
              </w:rPr>
              <w:t>Reikalavimai elektroninio pašto ir grupinio darbo duomenų sinchronizavimo paslaugai.</w:t>
            </w:r>
          </w:p>
          <w:p w14:paraId="04E03F87" w14:textId="77777777" w:rsidR="00071A09" w:rsidRPr="00937998" w:rsidRDefault="00071A09" w:rsidP="004A3A2E">
            <w:pPr>
              <w:suppressAutoHyphens/>
              <w:jc w:val="both"/>
              <w:rPr>
                <w:bCs/>
                <w:lang w:eastAsia="ar-SA"/>
              </w:rPr>
            </w:pPr>
            <w:r w:rsidRPr="00937998">
              <w:rPr>
                <w:bCs/>
                <w:lang w:eastAsia="ar-SA"/>
              </w:rPr>
              <w:t>Galimybė be papildomo mokesčio kiekvienam paslaugos vartotojui skirti ne mažesnę nei 50GB talpos pašto dėžutė, kuri bus talpinama paslaugos tiekėjo serveriuose.</w:t>
            </w:r>
          </w:p>
          <w:p w14:paraId="04E03F88" w14:textId="77777777" w:rsidR="00071A09" w:rsidRPr="00937998" w:rsidRDefault="00071A09" w:rsidP="004A3A2E">
            <w:pPr>
              <w:suppressAutoHyphens/>
              <w:jc w:val="both"/>
              <w:rPr>
                <w:bCs/>
                <w:lang w:eastAsia="ar-SA"/>
              </w:rPr>
            </w:pPr>
            <w:r w:rsidRPr="00937998">
              <w:rPr>
                <w:bCs/>
                <w:lang w:eastAsia="ar-SA"/>
              </w:rPr>
              <w:t>Galimybė vartotojui pašto dėžutę pasiekti 24 val. per parą, 7 dienas per savaitę.</w:t>
            </w:r>
          </w:p>
          <w:p w14:paraId="04E03F89" w14:textId="77777777" w:rsidR="00071A09" w:rsidRPr="00937998" w:rsidRDefault="00071A09" w:rsidP="004A3A2E">
            <w:pPr>
              <w:suppressAutoHyphens/>
              <w:jc w:val="both"/>
              <w:rPr>
                <w:bCs/>
                <w:lang w:eastAsia="ar-SA"/>
              </w:rPr>
            </w:pPr>
            <w:r w:rsidRPr="00937998">
              <w:rPr>
                <w:bCs/>
                <w:lang w:eastAsia="ar-SA"/>
              </w:rPr>
              <w:t>Galimybė pašto dėžutės pasiekti per atjungtą nuo kompiuterio tinklo (ang. Offline) klientinę programą, per interneto naršyklę, per mobilų įrenginį.</w:t>
            </w:r>
          </w:p>
          <w:p w14:paraId="04E03F8A" w14:textId="77777777" w:rsidR="00071A09" w:rsidRPr="00937998" w:rsidRDefault="00071A09" w:rsidP="004A3A2E">
            <w:pPr>
              <w:suppressAutoHyphens/>
              <w:jc w:val="both"/>
              <w:rPr>
                <w:bCs/>
                <w:lang w:eastAsia="ar-SA"/>
              </w:rPr>
            </w:pPr>
            <w:r w:rsidRPr="00937998">
              <w:rPr>
                <w:bCs/>
                <w:lang w:eastAsia="ar-SA"/>
              </w:rPr>
              <w:t xml:space="preserve">Integruotas ir centralizuotai valdomas resursų rezervavimas. </w:t>
            </w:r>
          </w:p>
          <w:p w14:paraId="04E03F8B" w14:textId="77777777" w:rsidR="00071A09" w:rsidRPr="00937998" w:rsidRDefault="00071A09" w:rsidP="004A3A2E">
            <w:pPr>
              <w:suppressAutoHyphens/>
              <w:jc w:val="both"/>
              <w:rPr>
                <w:bCs/>
                <w:lang w:eastAsia="ar-SA"/>
              </w:rPr>
            </w:pPr>
            <w:r w:rsidRPr="00937998">
              <w:rPr>
                <w:bCs/>
                <w:lang w:eastAsia="ar-SA"/>
              </w:rPr>
              <w:t xml:space="preserve">Galimybė valdyti paslaugos nustatymus komandinių eilučių pagalba (angl. Scripting). </w:t>
            </w:r>
          </w:p>
          <w:p w14:paraId="04E03F8C" w14:textId="77777777" w:rsidR="00071A09" w:rsidRPr="00937998" w:rsidRDefault="00071A09" w:rsidP="004A3A2E">
            <w:pPr>
              <w:suppressAutoHyphens/>
              <w:rPr>
                <w:lang w:eastAsia="ar-SA"/>
              </w:rPr>
            </w:pPr>
            <w:r w:rsidRPr="00937998">
              <w:rPr>
                <w:bCs/>
                <w:lang w:eastAsia="ar-SA"/>
              </w:rPr>
              <w:t>Pametus mobilų telefoną su mobiliu pašto klientu, vartotojas turi turėti galimybę naudodamasis pašto klientu  (naršyklėje) pareikalauti pamesto mobilaus telefono duomenų panaikinimo.</w:t>
            </w:r>
          </w:p>
        </w:tc>
      </w:tr>
      <w:tr w:rsidR="00071A09" w:rsidRPr="00937998" w14:paraId="04E03F92" w14:textId="77777777" w:rsidTr="004A3A2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4E03F8E" w14:textId="77777777" w:rsidR="00071A09" w:rsidRPr="00937998" w:rsidRDefault="00071A09" w:rsidP="004A3A2E">
            <w:pPr>
              <w:suppressAutoHyphens/>
              <w:jc w:val="center"/>
              <w:rPr>
                <w:rFonts w:eastAsia="Calibri"/>
                <w:lang w:eastAsia="ar-SA"/>
              </w:rPr>
            </w:pPr>
            <w:r w:rsidRPr="00937998">
              <w:rPr>
                <w:rFonts w:eastAsia="Calibri"/>
                <w:lang w:eastAsia="ar-SA"/>
              </w:rPr>
              <w:t>2.4.</w:t>
            </w:r>
          </w:p>
        </w:tc>
        <w:tc>
          <w:tcPr>
            <w:tcW w:w="13751" w:type="dxa"/>
            <w:tcBorders>
              <w:top w:val="single" w:sz="4" w:space="0" w:color="auto"/>
              <w:left w:val="single" w:sz="4" w:space="0" w:color="auto"/>
              <w:bottom w:val="single" w:sz="4" w:space="0" w:color="auto"/>
            </w:tcBorders>
          </w:tcPr>
          <w:p w14:paraId="04E03F8F" w14:textId="77777777" w:rsidR="00071A09" w:rsidRPr="00937998" w:rsidRDefault="00071A09" w:rsidP="004A3A2E">
            <w:pPr>
              <w:suppressAutoHyphens/>
              <w:jc w:val="both"/>
              <w:rPr>
                <w:bCs/>
                <w:lang w:eastAsia="ar-SA"/>
              </w:rPr>
            </w:pPr>
            <w:r w:rsidRPr="00937998">
              <w:rPr>
                <w:bCs/>
                <w:lang w:eastAsia="ar-SA"/>
              </w:rPr>
              <w:t>Reikalavimai komunikacijų programai.</w:t>
            </w:r>
          </w:p>
          <w:p w14:paraId="04E03F90" w14:textId="77777777" w:rsidR="00071A09" w:rsidRPr="00937998" w:rsidRDefault="00071A09" w:rsidP="004A3A2E">
            <w:pPr>
              <w:suppressAutoHyphens/>
              <w:jc w:val="both"/>
              <w:rPr>
                <w:bCs/>
                <w:lang w:eastAsia="ar-SA"/>
              </w:rPr>
            </w:pPr>
            <w:r w:rsidRPr="00937998">
              <w:rPr>
                <w:bCs/>
                <w:lang w:eastAsia="ar-SA"/>
              </w:rPr>
              <w:t>Turi būti žinučių pranešimo servisas ir vartotojų būsenos indikatoriai.</w:t>
            </w:r>
          </w:p>
          <w:p w14:paraId="04E03F91" w14:textId="77777777" w:rsidR="00071A09" w:rsidRPr="00937998" w:rsidRDefault="00071A09" w:rsidP="004A3A2E">
            <w:pPr>
              <w:suppressAutoHyphens/>
              <w:rPr>
                <w:lang w:eastAsia="ar-SA"/>
              </w:rPr>
            </w:pPr>
            <w:r w:rsidRPr="00937998">
              <w:rPr>
                <w:bCs/>
                <w:lang w:eastAsia="ar-SA"/>
              </w:rPr>
              <w:t>Turi būti galimybė paskirti audio / video konferencijas (angl. Online meeting).</w:t>
            </w:r>
          </w:p>
        </w:tc>
      </w:tr>
      <w:tr w:rsidR="00071A09" w:rsidRPr="00937998" w14:paraId="04E03F9A" w14:textId="77777777" w:rsidTr="004A3A2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4E03F93" w14:textId="77777777" w:rsidR="00071A09" w:rsidRPr="00937998" w:rsidRDefault="00071A09" w:rsidP="004A3A2E">
            <w:pPr>
              <w:suppressAutoHyphens/>
              <w:jc w:val="center"/>
              <w:rPr>
                <w:rFonts w:eastAsia="Calibri"/>
                <w:lang w:eastAsia="ar-SA"/>
              </w:rPr>
            </w:pPr>
            <w:r w:rsidRPr="00937998">
              <w:rPr>
                <w:rFonts w:eastAsia="Calibri"/>
                <w:lang w:eastAsia="ar-SA"/>
              </w:rPr>
              <w:t>2.5.</w:t>
            </w:r>
          </w:p>
        </w:tc>
        <w:tc>
          <w:tcPr>
            <w:tcW w:w="13751" w:type="dxa"/>
            <w:tcBorders>
              <w:top w:val="single" w:sz="4" w:space="0" w:color="auto"/>
              <w:left w:val="single" w:sz="4" w:space="0" w:color="auto"/>
              <w:bottom w:val="single" w:sz="4" w:space="0" w:color="auto"/>
            </w:tcBorders>
          </w:tcPr>
          <w:p w14:paraId="04E03F94" w14:textId="77777777" w:rsidR="00071A09" w:rsidRPr="00937998" w:rsidRDefault="00071A09" w:rsidP="004A3A2E">
            <w:pPr>
              <w:suppressAutoHyphens/>
              <w:jc w:val="both"/>
              <w:rPr>
                <w:bCs/>
                <w:lang w:eastAsia="ar-SA"/>
              </w:rPr>
            </w:pPr>
            <w:r w:rsidRPr="00937998">
              <w:rPr>
                <w:bCs/>
                <w:lang w:eastAsia="ar-SA"/>
              </w:rPr>
              <w:t>Reikalavimai komunikacijos paslaugai.</w:t>
            </w:r>
          </w:p>
          <w:p w14:paraId="04E03F95" w14:textId="77777777" w:rsidR="00071A09" w:rsidRPr="00937998" w:rsidRDefault="00071A09" w:rsidP="004A3A2E">
            <w:pPr>
              <w:suppressAutoHyphens/>
              <w:jc w:val="both"/>
              <w:rPr>
                <w:bCs/>
                <w:lang w:eastAsia="ar-SA"/>
              </w:rPr>
            </w:pPr>
            <w:r w:rsidRPr="00937998">
              <w:rPr>
                <w:bCs/>
                <w:lang w:eastAsia="ar-SA"/>
              </w:rPr>
              <w:t>Galimybė naudojant tiekėjo serverius užtikrinti komunikacijų įrangos funkcijas paslaugos vartotojams.</w:t>
            </w:r>
          </w:p>
          <w:p w14:paraId="04E03F96" w14:textId="77777777" w:rsidR="00071A09" w:rsidRPr="00937998" w:rsidRDefault="00071A09" w:rsidP="004A3A2E">
            <w:pPr>
              <w:suppressAutoHyphens/>
              <w:jc w:val="both"/>
              <w:rPr>
                <w:bCs/>
                <w:lang w:eastAsia="ar-SA"/>
              </w:rPr>
            </w:pPr>
            <w:r w:rsidRPr="00937998">
              <w:rPr>
                <w:bCs/>
                <w:lang w:eastAsia="ar-SA"/>
              </w:rPr>
              <w:t>Galimybė naudotis komunikacijų funkcionalumu 24 val. per parą, 7 dienas per savaitę.</w:t>
            </w:r>
          </w:p>
          <w:p w14:paraId="04E03F97" w14:textId="77777777" w:rsidR="00071A09" w:rsidRPr="00937998" w:rsidRDefault="00071A09" w:rsidP="004A3A2E">
            <w:pPr>
              <w:suppressAutoHyphens/>
              <w:jc w:val="both"/>
              <w:rPr>
                <w:bCs/>
                <w:lang w:eastAsia="ar-SA"/>
              </w:rPr>
            </w:pPr>
            <w:r w:rsidRPr="00937998">
              <w:rPr>
                <w:bCs/>
                <w:lang w:eastAsia="ar-SA"/>
              </w:rPr>
              <w:t xml:space="preserve">Tiekėjo pateikiamas funkcionalumas privalo apimti garso, vaizdo, www tinklo konferencijas tarp kelių dalyvių. Žinučių pranešimo servisą ir vartotojų būsenos indikatorius paslaugos vartotojams. Grupinius susirašinėjimus. </w:t>
            </w:r>
          </w:p>
          <w:p w14:paraId="04E03F98" w14:textId="77777777" w:rsidR="00071A09" w:rsidRPr="00937998" w:rsidRDefault="00071A09" w:rsidP="004A3A2E">
            <w:pPr>
              <w:suppressAutoHyphens/>
              <w:jc w:val="both"/>
              <w:rPr>
                <w:bCs/>
                <w:lang w:eastAsia="ar-SA"/>
              </w:rPr>
            </w:pPr>
            <w:r w:rsidRPr="00937998">
              <w:rPr>
                <w:bCs/>
                <w:lang w:eastAsia="ar-SA"/>
              </w:rPr>
              <w:t>Turi būti galimybė paskambinti iš elektroninio pašto ir grupinio darbo programinės įrangos.</w:t>
            </w:r>
          </w:p>
          <w:p w14:paraId="04E03F99" w14:textId="77777777" w:rsidR="00071A09" w:rsidRPr="00937998" w:rsidRDefault="00071A09" w:rsidP="004A3A2E">
            <w:pPr>
              <w:suppressAutoHyphens/>
              <w:rPr>
                <w:lang w:eastAsia="ar-SA"/>
              </w:rPr>
            </w:pPr>
            <w:r w:rsidRPr="00937998">
              <w:rPr>
                <w:bCs/>
                <w:lang w:eastAsia="ar-SA"/>
              </w:rPr>
              <w:t>Turi būti galimybė paskirti audio/video konferencijas (angl. Online meeting).</w:t>
            </w:r>
          </w:p>
        </w:tc>
      </w:tr>
      <w:tr w:rsidR="00071A09" w:rsidRPr="00937998" w14:paraId="04E03F9E" w14:textId="77777777" w:rsidTr="004A3A2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4E03F9B" w14:textId="77777777" w:rsidR="00071A09" w:rsidRPr="00937998" w:rsidRDefault="00071A09" w:rsidP="004A3A2E">
            <w:pPr>
              <w:suppressAutoHyphens/>
              <w:jc w:val="center"/>
              <w:rPr>
                <w:rFonts w:eastAsia="Calibri"/>
                <w:lang w:eastAsia="ar-SA"/>
              </w:rPr>
            </w:pPr>
            <w:r w:rsidRPr="00937998">
              <w:rPr>
                <w:rFonts w:eastAsia="Calibri"/>
                <w:lang w:eastAsia="ar-SA"/>
              </w:rPr>
              <w:t>2.6.</w:t>
            </w:r>
          </w:p>
        </w:tc>
        <w:tc>
          <w:tcPr>
            <w:tcW w:w="13751" w:type="dxa"/>
            <w:tcBorders>
              <w:top w:val="single" w:sz="4" w:space="0" w:color="auto"/>
              <w:left w:val="single" w:sz="4" w:space="0" w:color="auto"/>
              <w:bottom w:val="single" w:sz="4" w:space="0" w:color="auto"/>
            </w:tcBorders>
          </w:tcPr>
          <w:p w14:paraId="04E03F9C" w14:textId="77777777" w:rsidR="00071A09" w:rsidRPr="00937998" w:rsidRDefault="00071A09" w:rsidP="004A3A2E">
            <w:pPr>
              <w:suppressAutoHyphens/>
              <w:jc w:val="both"/>
              <w:rPr>
                <w:bCs/>
                <w:lang w:eastAsia="ar-SA"/>
              </w:rPr>
            </w:pPr>
            <w:r w:rsidRPr="00937998">
              <w:rPr>
                <w:bCs/>
                <w:lang w:eastAsia="ar-SA"/>
              </w:rPr>
              <w:t>Paslaugų paketas turi būti vieno gamintojo.</w:t>
            </w:r>
          </w:p>
          <w:p w14:paraId="04E03F9D" w14:textId="77777777" w:rsidR="00071A09" w:rsidRPr="00937998" w:rsidRDefault="00071A09" w:rsidP="004A3A2E">
            <w:pPr>
              <w:suppressAutoHyphens/>
              <w:rPr>
                <w:lang w:eastAsia="ar-SA"/>
              </w:rPr>
            </w:pPr>
            <w:r w:rsidRPr="00937998">
              <w:rPr>
                <w:bCs/>
                <w:lang w:eastAsia="ar-SA"/>
              </w:rPr>
              <w:t>Taip.</w:t>
            </w:r>
          </w:p>
        </w:tc>
      </w:tr>
      <w:tr w:rsidR="00071A09" w:rsidRPr="00937998" w14:paraId="04E03FA2" w14:textId="77777777" w:rsidTr="004A3A2E">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4E03F9F" w14:textId="77777777" w:rsidR="00071A09" w:rsidRPr="00937998" w:rsidRDefault="00071A09" w:rsidP="004A3A2E">
            <w:pPr>
              <w:suppressAutoHyphens/>
              <w:jc w:val="center"/>
              <w:rPr>
                <w:rFonts w:eastAsia="Calibri"/>
                <w:lang w:eastAsia="ar-SA"/>
              </w:rPr>
            </w:pPr>
            <w:r w:rsidRPr="00937998">
              <w:rPr>
                <w:rFonts w:eastAsia="Calibri"/>
                <w:lang w:eastAsia="ar-SA"/>
              </w:rPr>
              <w:t>2.7.</w:t>
            </w:r>
          </w:p>
        </w:tc>
        <w:tc>
          <w:tcPr>
            <w:tcW w:w="13751" w:type="dxa"/>
            <w:tcBorders>
              <w:top w:val="single" w:sz="4" w:space="0" w:color="auto"/>
              <w:left w:val="single" w:sz="4" w:space="0" w:color="auto"/>
              <w:bottom w:val="single" w:sz="4" w:space="0" w:color="auto"/>
            </w:tcBorders>
          </w:tcPr>
          <w:p w14:paraId="04E03FA0" w14:textId="77777777" w:rsidR="00071A09" w:rsidRPr="00937998" w:rsidRDefault="00071A09" w:rsidP="004A3A2E">
            <w:pPr>
              <w:suppressAutoHyphens/>
              <w:jc w:val="both"/>
              <w:rPr>
                <w:bCs/>
                <w:lang w:eastAsia="ar-SA"/>
              </w:rPr>
            </w:pPr>
            <w:r w:rsidRPr="00937998">
              <w:rPr>
                <w:bCs/>
                <w:lang w:eastAsia="ar-SA"/>
              </w:rPr>
              <w:t>Vartotojo sąsaja.</w:t>
            </w:r>
          </w:p>
          <w:p w14:paraId="04E03FA1" w14:textId="77777777" w:rsidR="00071A09" w:rsidRPr="00937998" w:rsidRDefault="00071A09" w:rsidP="004A3A2E">
            <w:pPr>
              <w:suppressAutoHyphens/>
              <w:rPr>
                <w:lang w:eastAsia="ar-SA"/>
              </w:rPr>
            </w:pPr>
            <w:r w:rsidRPr="00937998">
              <w:rPr>
                <w:bCs/>
                <w:lang w:eastAsia="ar-SA"/>
              </w:rPr>
              <w:t>Turi būti užtikrinta daugiakalbė vartotojo sąsaja (anglų ir lietuvių kalbos privalomos).</w:t>
            </w:r>
          </w:p>
        </w:tc>
      </w:tr>
      <w:tr w:rsidR="00071A09" w:rsidRPr="00937998" w14:paraId="04E03FA7" w14:textId="77777777" w:rsidTr="004A3A2E">
        <w:trPr>
          <w:trHeight w:val="1136"/>
        </w:trPr>
        <w:tc>
          <w:tcPr>
            <w:tcW w:w="1246" w:type="dxa"/>
            <w:tcBorders>
              <w:top w:val="single" w:sz="4" w:space="0" w:color="auto"/>
              <w:left w:val="single" w:sz="4" w:space="0" w:color="auto"/>
              <w:bottom w:val="single" w:sz="4" w:space="0" w:color="auto"/>
              <w:right w:val="single" w:sz="4" w:space="0" w:color="auto"/>
            </w:tcBorders>
            <w:noWrap/>
            <w:vAlign w:val="center"/>
          </w:tcPr>
          <w:p w14:paraId="04E03FA3" w14:textId="77777777" w:rsidR="00071A09" w:rsidRPr="00937998" w:rsidRDefault="00071A09" w:rsidP="004A3A2E">
            <w:pPr>
              <w:suppressAutoHyphens/>
              <w:jc w:val="center"/>
              <w:rPr>
                <w:rFonts w:eastAsia="Calibri"/>
                <w:lang w:eastAsia="ar-SA"/>
              </w:rPr>
            </w:pPr>
            <w:r w:rsidRPr="00937998">
              <w:rPr>
                <w:rFonts w:eastAsia="Calibri"/>
                <w:lang w:eastAsia="ar-SA"/>
              </w:rPr>
              <w:t>2.8.</w:t>
            </w:r>
          </w:p>
        </w:tc>
        <w:tc>
          <w:tcPr>
            <w:tcW w:w="13751" w:type="dxa"/>
            <w:tcBorders>
              <w:top w:val="single" w:sz="4" w:space="0" w:color="auto"/>
              <w:left w:val="single" w:sz="4" w:space="0" w:color="auto"/>
              <w:bottom w:val="single" w:sz="4" w:space="0" w:color="auto"/>
            </w:tcBorders>
          </w:tcPr>
          <w:p w14:paraId="04E03FA4" w14:textId="77777777" w:rsidR="00071A09" w:rsidRPr="00937998" w:rsidRDefault="00071A09" w:rsidP="004A3A2E">
            <w:pPr>
              <w:suppressAutoHyphens/>
              <w:jc w:val="both"/>
              <w:rPr>
                <w:bCs/>
                <w:lang w:eastAsia="ar-SA"/>
              </w:rPr>
            </w:pPr>
            <w:r w:rsidRPr="00937998">
              <w:rPr>
                <w:bCs/>
                <w:lang w:eastAsia="ar-SA"/>
              </w:rPr>
              <w:t>Suderinamumas.</w:t>
            </w:r>
          </w:p>
          <w:p w14:paraId="04E03FA5" w14:textId="77777777" w:rsidR="00071A09" w:rsidRPr="00937998" w:rsidRDefault="00071A09" w:rsidP="004A3A2E">
            <w:pPr>
              <w:suppressAutoHyphens/>
              <w:jc w:val="both"/>
              <w:rPr>
                <w:bCs/>
                <w:lang w:eastAsia="ar-SA"/>
              </w:rPr>
            </w:pPr>
            <w:r w:rsidRPr="00937998">
              <w:rPr>
                <w:bCs/>
                <w:lang w:eastAsia="ar-SA"/>
              </w:rPr>
              <w:t>Paslaugų paketas turi būti suderinamas su organizacijos naudojama Microsoft Active Directory vartotojų katalogo tarnybą ir suteikti galimybę vartotojų informaciją sinchronizuoti, bei federuoti, su paslaugos tiekėjo vartotojų baze.</w:t>
            </w:r>
          </w:p>
          <w:p w14:paraId="04E03FA6" w14:textId="77777777" w:rsidR="00071A09" w:rsidRPr="00937998" w:rsidRDefault="00071A09" w:rsidP="004A3A2E">
            <w:pPr>
              <w:suppressAutoHyphens/>
              <w:rPr>
                <w:lang w:eastAsia="ar-SA"/>
              </w:rPr>
            </w:pPr>
            <w:r w:rsidRPr="00937998">
              <w:rPr>
                <w:bCs/>
                <w:lang w:eastAsia="ar-SA"/>
              </w:rPr>
              <w:t>Galimybė priskiriant teises vartotojų informaciją gauti iš organizacijos naudojamos Microsoft Active directory tarnybos.</w:t>
            </w:r>
          </w:p>
        </w:tc>
      </w:tr>
      <w:tr w:rsidR="00071A09" w:rsidRPr="00937998" w14:paraId="04E03FAC" w14:textId="77777777" w:rsidTr="004A3A2E">
        <w:trPr>
          <w:trHeight w:val="1179"/>
        </w:trPr>
        <w:tc>
          <w:tcPr>
            <w:tcW w:w="1246" w:type="dxa"/>
            <w:tcBorders>
              <w:top w:val="single" w:sz="4" w:space="0" w:color="auto"/>
              <w:left w:val="single" w:sz="4" w:space="0" w:color="auto"/>
              <w:bottom w:val="single" w:sz="4" w:space="0" w:color="auto"/>
              <w:right w:val="single" w:sz="4" w:space="0" w:color="auto"/>
            </w:tcBorders>
            <w:noWrap/>
            <w:vAlign w:val="center"/>
          </w:tcPr>
          <w:p w14:paraId="04E03FA8" w14:textId="77777777" w:rsidR="00071A09" w:rsidRPr="00937998" w:rsidRDefault="00071A09" w:rsidP="004A3A2E">
            <w:pPr>
              <w:suppressAutoHyphens/>
              <w:jc w:val="center"/>
              <w:rPr>
                <w:rFonts w:eastAsia="Calibri"/>
                <w:lang w:eastAsia="ar-SA"/>
              </w:rPr>
            </w:pPr>
            <w:r w:rsidRPr="00937998">
              <w:rPr>
                <w:rFonts w:eastAsia="Calibri"/>
                <w:lang w:eastAsia="ar-SA"/>
              </w:rPr>
              <w:t>2.9.</w:t>
            </w:r>
          </w:p>
        </w:tc>
        <w:tc>
          <w:tcPr>
            <w:tcW w:w="13751" w:type="dxa"/>
            <w:tcBorders>
              <w:top w:val="single" w:sz="4" w:space="0" w:color="auto"/>
              <w:left w:val="single" w:sz="4" w:space="0" w:color="auto"/>
              <w:bottom w:val="single" w:sz="4" w:space="0" w:color="auto"/>
            </w:tcBorders>
          </w:tcPr>
          <w:p w14:paraId="04E03FA9" w14:textId="77777777" w:rsidR="00071A09" w:rsidRPr="00937998" w:rsidRDefault="00071A09" w:rsidP="004A3A2E">
            <w:pPr>
              <w:tabs>
                <w:tab w:val="left" w:pos="1245"/>
              </w:tabs>
              <w:suppressAutoHyphens/>
              <w:jc w:val="both"/>
              <w:rPr>
                <w:bCs/>
                <w:lang w:eastAsia="ar-SA"/>
              </w:rPr>
            </w:pPr>
            <w:r w:rsidRPr="00937998">
              <w:rPr>
                <w:bCs/>
                <w:lang w:eastAsia="ar-SA"/>
              </w:rPr>
              <w:t>Licencijavimas.</w:t>
            </w:r>
          </w:p>
          <w:p w14:paraId="04E03FAA" w14:textId="77777777" w:rsidR="00071A09" w:rsidRPr="00937998" w:rsidRDefault="00071A09" w:rsidP="004A3A2E">
            <w:pPr>
              <w:tabs>
                <w:tab w:val="left" w:pos="1245"/>
              </w:tabs>
              <w:suppressAutoHyphens/>
              <w:jc w:val="both"/>
              <w:rPr>
                <w:bCs/>
                <w:lang w:eastAsia="ar-SA"/>
              </w:rPr>
            </w:pPr>
            <w:r w:rsidRPr="00937998">
              <w:rPr>
                <w:bCs/>
                <w:lang w:eastAsia="ar-SA"/>
              </w:rPr>
              <w:t>Licencijuojama per vartotoją (ang. Per User).</w:t>
            </w:r>
          </w:p>
          <w:p w14:paraId="04E03FAB" w14:textId="77777777" w:rsidR="00071A09" w:rsidRPr="00937998" w:rsidRDefault="00071A09" w:rsidP="004A3A2E">
            <w:pPr>
              <w:suppressAutoHyphens/>
              <w:rPr>
                <w:lang w:eastAsia="ar-SA"/>
              </w:rPr>
            </w:pPr>
            <w:r w:rsidRPr="00937998">
              <w:rPr>
                <w:bCs/>
                <w:lang w:eastAsia="ar-SA"/>
              </w:rPr>
              <w:t>Perkamas programinės įrangos paketas suteikia vartotojo licencijas  skirtas jungtis prie „Teams“. Licencijavimo nuostatos neturi riboti galimybės bet kuriuo metu nekeičiant licencijavimo plano padidinti naudojamų licencijų skaičių virš 350 vnt.</w:t>
            </w:r>
          </w:p>
        </w:tc>
      </w:tr>
    </w:tbl>
    <w:p w14:paraId="04E03FAD" w14:textId="77777777" w:rsidR="00071A09" w:rsidRDefault="00071A09" w:rsidP="00071A09">
      <w:pPr>
        <w:jc w:val="both"/>
      </w:pPr>
    </w:p>
    <w:p w14:paraId="04E03FAE" w14:textId="77777777" w:rsidR="00071A09" w:rsidRDefault="00071A09" w:rsidP="00071A09">
      <w:pPr>
        <w:jc w:val="both"/>
      </w:pPr>
    </w:p>
    <w:p w14:paraId="04E03FAF" w14:textId="77777777" w:rsidR="00071A09" w:rsidRDefault="00071A09" w:rsidP="00071A09">
      <w:pPr>
        <w:jc w:val="both"/>
      </w:pPr>
    </w:p>
    <w:p w14:paraId="04E03FB0" w14:textId="77777777" w:rsidR="00071A09" w:rsidRDefault="00071A09" w:rsidP="00071A09">
      <w:pPr>
        <w:jc w:val="both"/>
      </w:pPr>
    </w:p>
    <w:tbl>
      <w:tblPr>
        <w:tblW w:w="0" w:type="auto"/>
        <w:tblInd w:w="2337" w:type="dxa"/>
        <w:tblLook w:val="04A0" w:firstRow="1" w:lastRow="0" w:firstColumn="1" w:lastColumn="0" w:noHBand="0" w:noVBand="1"/>
      </w:tblPr>
      <w:tblGrid>
        <w:gridCol w:w="6276"/>
        <w:gridCol w:w="4678"/>
      </w:tblGrid>
      <w:tr w:rsidR="00071A09" w:rsidRPr="0046350E" w14:paraId="04E03FB3" w14:textId="77777777" w:rsidTr="004A3A2E">
        <w:trPr>
          <w:trHeight w:val="315"/>
        </w:trPr>
        <w:tc>
          <w:tcPr>
            <w:tcW w:w="6276" w:type="dxa"/>
            <w:vAlign w:val="center"/>
            <w:hideMark/>
          </w:tcPr>
          <w:p w14:paraId="04E03FB1" w14:textId="77777777" w:rsidR="00071A09" w:rsidRPr="0046350E" w:rsidRDefault="00071A09" w:rsidP="004A3A2E">
            <w:pPr>
              <w:ind w:left="834"/>
              <w:jc w:val="both"/>
              <w:rPr>
                <w:b/>
                <w:bCs/>
                <w:color w:val="000000"/>
              </w:rPr>
            </w:pPr>
            <w:r w:rsidRPr="0046350E">
              <w:rPr>
                <w:b/>
                <w:bCs/>
                <w:color w:val="000000"/>
              </w:rPr>
              <w:t>PIRKĖJAS</w:t>
            </w:r>
          </w:p>
        </w:tc>
        <w:tc>
          <w:tcPr>
            <w:tcW w:w="4678" w:type="dxa"/>
            <w:vAlign w:val="center"/>
            <w:hideMark/>
          </w:tcPr>
          <w:p w14:paraId="04E03FB2" w14:textId="77777777" w:rsidR="00071A09" w:rsidRPr="0046350E" w:rsidRDefault="00071A09" w:rsidP="004A3A2E">
            <w:pPr>
              <w:ind w:left="834"/>
              <w:jc w:val="both"/>
              <w:rPr>
                <w:b/>
                <w:bCs/>
                <w:color w:val="000000"/>
              </w:rPr>
            </w:pPr>
            <w:r w:rsidRPr="0046350E">
              <w:rPr>
                <w:b/>
                <w:bCs/>
                <w:color w:val="000000"/>
              </w:rPr>
              <w:t>PARDAVĖJAS</w:t>
            </w:r>
          </w:p>
        </w:tc>
      </w:tr>
      <w:tr w:rsidR="00071A09" w:rsidRPr="0046350E" w14:paraId="04E03FB8" w14:textId="77777777" w:rsidTr="004A3A2E">
        <w:trPr>
          <w:trHeight w:val="315"/>
        </w:trPr>
        <w:tc>
          <w:tcPr>
            <w:tcW w:w="6276" w:type="dxa"/>
            <w:noWrap/>
            <w:vAlign w:val="center"/>
            <w:hideMark/>
          </w:tcPr>
          <w:p w14:paraId="04E03FB4" w14:textId="77777777" w:rsidR="00071A09" w:rsidRDefault="00071A09" w:rsidP="004A3A2E">
            <w:pPr>
              <w:ind w:left="834"/>
              <w:rPr>
                <w:b/>
                <w:bCs/>
                <w:color w:val="000000"/>
              </w:rPr>
            </w:pPr>
          </w:p>
          <w:p w14:paraId="04E03FB5" w14:textId="77777777" w:rsidR="00071A09" w:rsidRPr="0046350E" w:rsidRDefault="00071A09" w:rsidP="004A3A2E">
            <w:pPr>
              <w:ind w:left="834"/>
              <w:rPr>
                <w:b/>
                <w:bCs/>
                <w:color w:val="000000"/>
              </w:rPr>
            </w:pPr>
            <w:r w:rsidRPr="0046350E">
              <w:rPr>
                <w:b/>
                <w:bCs/>
                <w:color w:val="000000"/>
              </w:rPr>
              <w:t>Informacinių technologijų tarnyba</w:t>
            </w:r>
          </w:p>
        </w:tc>
        <w:tc>
          <w:tcPr>
            <w:tcW w:w="4678" w:type="dxa"/>
            <w:noWrap/>
            <w:vAlign w:val="center"/>
            <w:hideMark/>
          </w:tcPr>
          <w:p w14:paraId="04E03FB6" w14:textId="77777777" w:rsidR="00071A09" w:rsidRDefault="00071A09" w:rsidP="004A3A2E">
            <w:pPr>
              <w:ind w:left="834"/>
              <w:rPr>
                <w:b/>
                <w:bCs/>
                <w:color w:val="000000"/>
              </w:rPr>
            </w:pPr>
          </w:p>
          <w:p w14:paraId="04E03FB7" w14:textId="77777777" w:rsidR="00071A09" w:rsidRPr="0046350E" w:rsidRDefault="00071A09" w:rsidP="004A3A2E">
            <w:pPr>
              <w:ind w:left="834"/>
              <w:rPr>
                <w:b/>
                <w:bCs/>
                <w:color w:val="000000"/>
              </w:rPr>
            </w:pPr>
            <w:r w:rsidRPr="0046350E">
              <w:rPr>
                <w:b/>
                <w:bCs/>
                <w:color w:val="000000"/>
              </w:rPr>
              <w:t>UAB „Fortevento“</w:t>
            </w:r>
          </w:p>
        </w:tc>
      </w:tr>
      <w:tr w:rsidR="00071A09" w:rsidRPr="0046350E" w14:paraId="04E03FBB" w14:textId="77777777" w:rsidTr="004A3A2E">
        <w:trPr>
          <w:trHeight w:val="315"/>
        </w:trPr>
        <w:tc>
          <w:tcPr>
            <w:tcW w:w="6276" w:type="dxa"/>
            <w:noWrap/>
            <w:vAlign w:val="center"/>
            <w:hideMark/>
          </w:tcPr>
          <w:p w14:paraId="04E03FB9" w14:textId="77777777" w:rsidR="00071A09" w:rsidRPr="0046350E" w:rsidRDefault="00071A09" w:rsidP="004A3A2E">
            <w:pPr>
              <w:ind w:left="834"/>
              <w:rPr>
                <w:b/>
                <w:bCs/>
                <w:color w:val="000000"/>
              </w:rPr>
            </w:pPr>
            <w:r w:rsidRPr="0046350E">
              <w:rPr>
                <w:b/>
                <w:bCs/>
                <w:color w:val="000000"/>
              </w:rPr>
              <w:t>prie Krašto apsaugos ministerijos</w:t>
            </w:r>
          </w:p>
        </w:tc>
        <w:tc>
          <w:tcPr>
            <w:tcW w:w="4678" w:type="dxa"/>
            <w:noWrap/>
            <w:vAlign w:val="bottom"/>
            <w:hideMark/>
          </w:tcPr>
          <w:p w14:paraId="04E03FBA" w14:textId="77777777" w:rsidR="00071A09" w:rsidRPr="0046350E" w:rsidRDefault="00071A09" w:rsidP="004A3A2E">
            <w:pPr>
              <w:rPr>
                <w:b/>
                <w:bCs/>
                <w:color w:val="000000"/>
              </w:rPr>
            </w:pPr>
          </w:p>
        </w:tc>
      </w:tr>
      <w:tr w:rsidR="00071A09" w:rsidRPr="0046350E" w14:paraId="04E03FBE" w14:textId="77777777" w:rsidTr="004A3A2E">
        <w:trPr>
          <w:trHeight w:val="315"/>
        </w:trPr>
        <w:tc>
          <w:tcPr>
            <w:tcW w:w="6276" w:type="dxa"/>
            <w:noWrap/>
            <w:vAlign w:val="center"/>
            <w:hideMark/>
          </w:tcPr>
          <w:p w14:paraId="04E03FBC" w14:textId="77777777" w:rsidR="00071A09" w:rsidRPr="0046350E" w:rsidRDefault="00071A09" w:rsidP="004A3A2E">
            <w:pPr>
              <w:rPr>
                <w:color w:val="000000"/>
              </w:rPr>
            </w:pPr>
          </w:p>
        </w:tc>
        <w:tc>
          <w:tcPr>
            <w:tcW w:w="4678" w:type="dxa"/>
            <w:noWrap/>
            <w:vAlign w:val="bottom"/>
            <w:hideMark/>
          </w:tcPr>
          <w:p w14:paraId="04E03FBD" w14:textId="77777777" w:rsidR="00071A09" w:rsidRPr="0046350E" w:rsidRDefault="00071A09" w:rsidP="004A3A2E">
            <w:pPr>
              <w:rPr>
                <w:sz w:val="20"/>
                <w:szCs w:val="20"/>
                <w:lang w:val="en-US" w:eastAsia="en-US"/>
              </w:rPr>
            </w:pPr>
          </w:p>
        </w:tc>
      </w:tr>
      <w:tr w:rsidR="00071A09" w:rsidRPr="0046350E" w14:paraId="04E03FC1" w14:textId="77777777" w:rsidTr="004A3A2E">
        <w:trPr>
          <w:trHeight w:val="315"/>
        </w:trPr>
        <w:tc>
          <w:tcPr>
            <w:tcW w:w="6276" w:type="dxa"/>
            <w:noWrap/>
            <w:vAlign w:val="center"/>
            <w:hideMark/>
          </w:tcPr>
          <w:p w14:paraId="04E03FBF" w14:textId="77777777" w:rsidR="00071A09" w:rsidRPr="0046350E" w:rsidRDefault="00071A09" w:rsidP="004A3A2E">
            <w:pPr>
              <w:spacing w:line="256" w:lineRule="auto"/>
              <w:ind w:left="834"/>
              <w:rPr>
                <w:color w:val="000000"/>
              </w:rPr>
            </w:pPr>
            <w:r w:rsidRPr="0046350E">
              <w:rPr>
                <w:color w:val="000000"/>
              </w:rPr>
              <w:t>Direktorius</w:t>
            </w:r>
          </w:p>
        </w:tc>
        <w:tc>
          <w:tcPr>
            <w:tcW w:w="4678" w:type="dxa"/>
            <w:vAlign w:val="center"/>
            <w:hideMark/>
          </w:tcPr>
          <w:p w14:paraId="04E03FC0" w14:textId="77777777" w:rsidR="00071A09" w:rsidRPr="0046350E" w:rsidRDefault="00071A09" w:rsidP="004A3A2E">
            <w:pPr>
              <w:rPr>
                <w:color w:val="000000"/>
              </w:rPr>
            </w:pPr>
            <w:r w:rsidRPr="0046350E">
              <w:rPr>
                <w:color w:val="000000"/>
              </w:rPr>
              <w:t xml:space="preserve">              Generalinis direktorius</w:t>
            </w:r>
          </w:p>
        </w:tc>
      </w:tr>
      <w:tr w:rsidR="00071A09" w:rsidRPr="0046350E" w14:paraId="04E03FC4" w14:textId="77777777" w:rsidTr="004A3A2E">
        <w:trPr>
          <w:trHeight w:val="315"/>
        </w:trPr>
        <w:tc>
          <w:tcPr>
            <w:tcW w:w="6276" w:type="dxa"/>
            <w:noWrap/>
            <w:vAlign w:val="center"/>
            <w:hideMark/>
          </w:tcPr>
          <w:p w14:paraId="04E03FC2" w14:textId="77777777" w:rsidR="00071A09" w:rsidRPr="0046350E" w:rsidRDefault="00071A09" w:rsidP="004A3A2E">
            <w:pPr>
              <w:rPr>
                <w:color w:val="000000"/>
              </w:rPr>
            </w:pPr>
          </w:p>
        </w:tc>
        <w:tc>
          <w:tcPr>
            <w:tcW w:w="4678" w:type="dxa"/>
            <w:noWrap/>
            <w:vAlign w:val="bottom"/>
            <w:hideMark/>
          </w:tcPr>
          <w:p w14:paraId="04E03FC3" w14:textId="77777777" w:rsidR="00071A09" w:rsidRPr="0046350E" w:rsidRDefault="00071A09" w:rsidP="004A3A2E">
            <w:pPr>
              <w:rPr>
                <w:sz w:val="20"/>
                <w:szCs w:val="20"/>
                <w:lang w:val="en-US" w:eastAsia="en-US"/>
              </w:rPr>
            </w:pPr>
          </w:p>
        </w:tc>
      </w:tr>
      <w:tr w:rsidR="00071A09" w:rsidRPr="0046350E" w14:paraId="04E03FC7" w14:textId="77777777" w:rsidTr="004A3A2E">
        <w:trPr>
          <w:trHeight w:val="315"/>
        </w:trPr>
        <w:tc>
          <w:tcPr>
            <w:tcW w:w="6276" w:type="dxa"/>
            <w:noWrap/>
            <w:vAlign w:val="center"/>
            <w:hideMark/>
          </w:tcPr>
          <w:p w14:paraId="04E03FC5" w14:textId="77777777" w:rsidR="00071A09" w:rsidRPr="0046350E" w:rsidRDefault="00071A09" w:rsidP="004A3A2E">
            <w:pPr>
              <w:spacing w:line="256" w:lineRule="auto"/>
              <w:ind w:left="834"/>
              <w:rPr>
                <w:color w:val="000000"/>
              </w:rPr>
            </w:pPr>
            <w:r w:rsidRPr="0046350E">
              <w:rPr>
                <w:color w:val="000000"/>
              </w:rPr>
              <w:t>plk. ltn. Saulius Juškevičius</w:t>
            </w:r>
            <w:r w:rsidRPr="0046350E">
              <w:rPr>
                <w:color w:val="000000"/>
              </w:rPr>
              <w:tab/>
            </w:r>
          </w:p>
        </w:tc>
        <w:tc>
          <w:tcPr>
            <w:tcW w:w="4678" w:type="dxa"/>
            <w:vAlign w:val="center"/>
            <w:hideMark/>
          </w:tcPr>
          <w:p w14:paraId="04E03FC6" w14:textId="77777777" w:rsidR="00071A09" w:rsidRPr="0046350E" w:rsidRDefault="00071A09" w:rsidP="004A3A2E">
            <w:pPr>
              <w:rPr>
                <w:color w:val="000000"/>
              </w:rPr>
            </w:pPr>
            <w:r w:rsidRPr="0046350E">
              <w:rPr>
                <w:color w:val="000000"/>
              </w:rPr>
              <w:t xml:space="preserve">             </w:t>
            </w:r>
            <w:r>
              <w:rPr>
                <w:color w:val="000000"/>
              </w:rPr>
              <w:t xml:space="preserve"> </w:t>
            </w:r>
            <w:r w:rsidRPr="0046350E">
              <w:rPr>
                <w:color w:val="000000"/>
              </w:rPr>
              <w:t>Aurelijus Šaltenis</w:t>
            </w:r>
          </w:p>
        </w:tc>
      </w:tr>
    </w:tbl>
    <w:p w14:paraId="04E03FC8" w14:textId="77777777" w:rsidR="00071A09" w:rsidRDefault="00071A09" w:rsidP="00071A09">
      <w:pPr>
        <w:jc w:val="both"/>
      </w:pPr>
    </w:p>
    <w:p w14:paraId="04E03FC9" w14:textId="77777777" w:rsidR="00071A09" w:rsidRPr="00EA73AC" w:rsidRDefault="00071A09" w:rsidP="00071A09">
      <w:pPr>
        <w:jc w:val="both"/>
      </w:pPr>
    </w:p>
    <w:p w14:paraId="04E03FCA" w14:textId="77777777" w:rsidR="00071A09" w:rsidRPr="00EA73AC" w:rsidRDefault="00071A09" w:rsidP="00071A09">
      <w:pPr>
        <w:jc w:val="both"/>
      </w:pPr>
    </w:p>
    <w:p w14:paraId="04E03FCB" w14:textId="77777777" w:rsidR="00E608C5" w:rsidRDefault="00E608C5"/>
    <w:sectPr w:rsidR="00E608C5" w:rsidSect="00937998">
      <w:pgSz w:w="16838" w:h="11906" w:orient="landscape"/>
      <w:pgMar w:top="1260" w:right="1079" w:bottom="746"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03FD5" w14:textId="77777777" w:rsidR="00000000" w:rsidRDefault="00FA0954">
      <w:r>
        <w:separator/>
      </w:r>
    </w:p>
  </w:endnote>
  <w:endnote w:type="continuationSeparator" w:id="0">
    <w:p w14:paraId="04E03FD7" w14:textId="77777777" w:rsidR="00000000" w:rsidRDefault="00FA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03FD1" w14:textId="77777777" w:rsidR="00000000" w:rsidRDefault="00FA0954">
      <w:r>
        <w:separator/>
      </w:r>
    </w:p>
  </w:footnote>
  <w:footnote w:type="continuationSeparator" w:id="0">
    <w:p w14:paraId="04E03FD3" w14:textId="77777777" w:rsidR="00000000" w:rsidRDefault="00FA0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3FCC" w14:textId="77777777" w:rsidR="003B65D9" w:rsidRDefault="00071A0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E03FCD" w14:textId="77777777" w:rsidR="003B65D9" w:rsidRDefault="00FA0954">
    <w:pPr>
      <w:pStyle w:val="Header"/>
    </w:pPr>
  </w:p>
  <w:p w14:paraId="04E03FCE" w14:textId="77777777" w:rsidR="003B65D9" w:rsidRDefault="00FA095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3FCF" w14:textId="1BACA0BD" w:rsidR="00937998" w:rsidRDefault="00071A09">
    <w:pPr>
      <w:pStyle w:val="Header"/>
      <w:jc w:val="center"/>
    </w:pPr>
    <w:r>
      <w:fldChar w:fldCharType="begin"/>
    </w:r>
    <w:r>
      <w:instrText xml:space="preserve"> PAGE   \* MERGEFORMAT </w:instrText>
    </w:r>
    <w:r>
      <w:fldChar w:fldCharType="separate"/>
    </w:r>
    <w:r w:rsidR="00FA0954">
      <w:rPr>
        <w:noProof/>
      </w:rPr>
      <w:t>2</w:t>
    </w:r>
    <w:r>
      <w:rPr>
        <w:noProof/>
      </w:rPr>
      <w:fldChar w:fldCharType="end"/>
    </w:r>
  </w:p>
  <w:p w14:paraId="04E03FD0" w14:textId="77777777" w:rsidR="003B65D9" w:rsidRDefault="00FA0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128CD64"/>
    <w:lvl w:ilvl="0">
      <w:start w:val="1"/>
      <w:numFmt w:val="upperRoman"/>
      <w:lvlText w:val="%1."/>
      <w:lvlJc w:val="right"/>
      <w:pPr>
        <w:tabs>
          <w:tab w:val="num" w:pos="0"/>
        </w:tabs>
        <w:ind w:left="1692" w:hanging="432"/>
      </w:pPr>
    </w:lvl>
    <w:lvl w:ilvl="1">
      <w:start w:val="1"/>
      <w:numFmt w:val="decimal"/>
      <w:suff w:val="space"/>
      <w:lvlText w:val="%1.%2."/>
      <w:lvlJc w:val="left"/>
      <w:pPr>
        <w:tabs>
          <w:tab w:val="num" w:pos="0"/>
        </w:tabs>
        <w:ind w:left="3060" w:firstLine="720"/>
      </w:pPr>
      <w:rPr>
        <w:b w:val="0"/>
        <w:i w:val="0"/>
        <w:strike/>
      </w:rPr>
    </w:lvl>
    <w:lvl w:ilvl="2">
      <w:start w:val="1"/>
      <w:numFmt w:val="decimal"/>
      <w:suff w:val="space"/>
      <w:lvlText w:val="%1.%2.%3."/>
      <w:lvlJc w:val="left"/>
      <w:pPr>
        <w:tabs>
          <w:tab w:val="num" w:pos="0"/>
        </w:tabs>
        <w:ind w:left="246" w:firstLine="720"/>
      </w:pPr>
    </w:lvl>
    <w:lvl w:ilvl="3">
      <w:start w:val="1"/>
      <w:numFmt w:val="decimal"/>
      <w:lvlText w:val="%1.%2.%3.%4"/>
      <w:lvlJc w:val="left"/>
      <w:pPr>
        <w:tabs>
          <w:tab w:val="num" w:pos="2124"/>
        </w:tabs>
        <w:ind w:left="2124" w:hanging="864"/>
      </w:pPr>
    </w:lvl>
    <w:lvl w:ilvl="4">
      <w:start w:val="1"/>
      <w:numFmt w:val="decimal"/>
      <w:lvlText w:val="%1.%2.%3.%4.%5"/>
      <w:lvlJc w:val="left"/>
      <w:pPr>
        <w:tabs>
          <w:tab w:val="num" w:pos="2268"/>
        </w:tabs>
        <w:ind w:left="2268" w:hanging="1008"/>
      </w:pPr>
    </w:lvl>
    <w:lvl w:ilvl="5">
      <w:start w:val="1"/>
      <w:numFmt w:val="decimal"/>
      <w:lvlText w:val="%1.%2.%3.%4.%5.%6"/>
      <w:lvlJc w:val="left"/>
      <w:pPr>
        <w:tabs>
          <w:tab w:val="num" w:pos="2412"/>
        </w:tabs>
        <w:ind w:left="2412" w:hanging="1152"/>
      </w:pPr>
    </w:lvl>
    <w:lvl w:ilvl="6">
      <w:start w:val="1"/>
      <w:numFmt w:val="decimal"/>
      <w:lvlText w:val="%1.%2.%3.%4.%5.%6.%7"/>
      <w:lvlJc w:val="left"/>
      <w:pPr>
        <w:tabs>
          <w:tab w:val="num" w:pos="2556"/>
        </w:tabs>
        <w:ind w:left="2556" w:hanging="1296"/>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2844"/>
        </w:tabs>
        <w:ind w:left="2844" w:hanging="1584"/>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C984581"/>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5"/>
  </w:num>
  <w:num w:numId="3">
    <w:abstractNumId w:val="13"/>
  </w:num>
  <w:num w:numId="4">
    <w:abstractNumId w:val="9"/>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2"/>
  </w:num>
  <w:num w:numId="9">
    <w:abstractNumId w:val="0"/>
  </w:num>
  <w:num w:numId="10">
    <w:abstractNumId w:val="10"/>
  </w:num>
  <w:num w:numId="11">
    <w:abstractNumId w:val="11"/>
  </w:num>
  <w:num w:numId="12">
    <w:abstractNumId w:val="7"/>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09"/>
    <w:rsid w:val="00071A09"/>
    <w:rsid w:val="00E608C5"/>
    <w:rsid w:val="00FA0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E03DDB"/>
  <w15:chartTrackingRefBased/>
  <w15:docId w15:val="{1A7E3D2A-C0AF-44DE-A42B-A6D3FC55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A09"/>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qFormat/>
    <w:rsid w:val="00071A09"/>
    <w:pPr>
      <w:keepNext/>
      <w:tabs>
        <w:tab w:val="num" w:pos="0"/>
      </w:tabs>
      <w:suppressAutoHyphens/>
      <w:spacing w:before="360" w:after="360"/>
      <w:ind w:left="1692" w:hanging="432"/>
      <w:jc w:val="center"/>
      <w:outlineLvl w:val="0"/>
    </w:pPr>
    <w:rPr>
      <w:rFonts w:eastAsia="Calibri"/>
      <w:sz w:val="28"/>
      <w:szCs w:val="22"/>
      <w:lang w:eastAsia="ar-SA"/>
    </w:rPr>
  </w:style>
  <w:style w:type="paragraph" w:styleId="Heading2">
    <w:name w:val="heading 2"/>
    <w:basedOn w:val="Normal"/>
    <w:next w:val="Normal"/>
    <w:link w:val="Heading2Char"/>
    <w:qFormat/>
    <w:rsid w:val="00071A09"/>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qFormat/>
    <w:rsid w:val="00071A09"/>
    <w:pPr>
      <w:keepNext/>
      <w:tabs>
        <w:tab w:val="num" w:pos="0"/>
      </w:tabs>
      <w:suppressAutoHyphens/>
      <w:ind w:left="246" w:firstLine="720"/>
      <w:jc w:val="both"/>
      <w:outlineLvl w:val="2"/>
    </w:pPr>
    <w:rPr>
      <w:szCs w:val="20"/>
      <w:lang w:eastAsia="ar-SA"/>
    </w:rPr>
  </w:style>
  <w:style w:type="paragraph" w:styleId="Heading4">
    <w:name w:val="heading 4"/>
    <w:basedOn w:val="Normal"/>
    <w:next w:val="Normal"/>
    <w:link w:val="Heading4Char"/>
    <w:qFormat/>
    <w:rsid w:val="00071A09"/>
    <w:pPr>
      <w:keepNext/>
      <w:tabs>
        <w:tab w:val="num" w:pos="2124"/>
      </w:tabs>
      <w:suppressAutoHyphens/>
      <w:ind w:left="2124" w:hanging="864"/>
      <w:outlineLvl w:val="3"/>
    </w:pPr>
    <w:rPr>
      <w:b/>
      <w:sz w:val="44"/>
      <w:szCs w:val="20"/>
      <w:lang w:eastAsia="ar-SA"/>
    </w:rPr>
  </w:style>
  <w:style w:type="paragraph" w:styleId="Heading5">
    <w:name w:val="heading 5"/>
    <w:basedOn w:val="Normal"/>
    <w:next w:val="Normal"/>
    <w:link w:val="Heading5Char"/>
    <w:qFormat/>
    <w:rsid w:val="00071A09"/>
    <w:pPr>
      <w:keepNext/>
      <w:tabs>
        <w:tab w:val="num" w:pos="2268"/>
      </w:tabs>
      <w:suppressAutoHyphens/>
      <w:ind w:left="2268" w:hanging="1008"/>
      <w:outlineLvl w:val="4"/>
    </w:pPr>
    <w:rPr>
      <w:b/>
      <w:sz w:val="40"/>
      <w:szCs w:val="20"/>
      <w:lang w:eastAsia="ar-SA"/>
    </w:rPr>
  </w:style>
  <w:style w:type="paragraph" w:styleId="Heading6">
    <w:name w:val="heading 6"/>
    <w:basedOn w:val="Normal"/>
    <w:next w:val="Normal"/>
    <w:link w:val="Heading6Char"/>
    <w:qFormat/>
    <w:rsid w:val="00071A09"/>
    <w:pPr>
      <w:keepNext/>
      <w:tabs>
        <w:tab w:val="num" w:pos="2412"/>
      </w:tabs>
      <w:suppressAutoHyphens/>
      <w:ind w:left="2412" w:hanging="1152"/>
      <w:outlineLvl w:val="5"/>
    </w:pPr>
    <w:rPr>
      <w:b/>
      <w:sz w:val="36"/>
      <w:szCs w:val="20"/>
      <w:lang w:eastAsia="ar-SA"/>
    </w:rPr>
  </w:style>
  <w:style w:type="paragraph" w:styleId="Heading7">
    <w:name w:val="heading 7"/>
    <w:basedOn w:val="Normal"/>
    <w:next w:val="Normal"/>
    <w:link w:val="Heading7Char"/>
    <w:qFormat/>
    <w:rsid w:val="00071A09"/>
    <w:pPr>
      <w:keepNext/>
      <w:tabs>
        <w:tab w:val="num" w:pos="2556"/>
      </w:tabs>
      <w:suppressAutoHyphens/>
      <w:ind w:left="2556" w:hanging="1296"/>
      <w:outlineLvl w:val="6"/>
    </w:pPr>
    <w:rPr>
      <w:sz w:val="48"/>
      <w:szCs w:val="20"/>
      <w:lang w:eastAsia="ar-SA"/>
    </w:rPr>
  </w:style>
  <w:style w:type="paragraph" w:styleId="Heading8">
    <w:name w:val="heading 8"/>
    <w:basedOn w:val="Normal"/>
    <w:next w:val="Normal"/>
    <w:link w:val="Heading8Char"/>
    <w:qFormat/>
    <w:rsid w:val="00071A09"/>
    <w:pPr>
      <w:keepNext/>
      <w:tabs>
        <w:tab w:val="num" w:pos="2700"/>
      </w:tabs>
      <w:suppressAutoHyphens/>
      <w:ind w:left="2700" w:hanging="1440"/>
      <w:outlineLvl w:val="7"/>
    </w:pPr>
    <w:rPr>
      <w:b/>
      <w:sz w:val="18"/>
      <w:szCs w:val="20"/>
      <w:lang w:eastAsia="ar-SA"/>
    </w:rPr>
  </w:style>
  <w:style w:type="paragraph" w:styleId="Heading9">
    <w:name w:val="heading 9"/>
    <w:basedOn w:val="Normal"/>
    <w:next w:val="Normal"/>
    <w:link w:val="Heading9Char"/>
    <w:qFormat/>
    <w:rsid w:val="00071A09"/>
    <w:pPr>
      <w:keepNext/>
      <w:tabs>
        <w:tab w:val="num" w:pos="2844"/>
      </w:tabs>
      <w:suppressAutoHyphens/>
      <w:ind w:left="2844" w:hanging="1584"/>
      <w:outlineLvl w:val="8"/>
    </w:pPr>
    <w:rPr>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A09"/>
    <w:rPr>
      <w:rFonts w:ascii="Times New Roman" w:eastAsia="Calibri" w:hAnsi="Times New Roman" w:cs="Times New Roman"/>
      <w:sz w:val="28"/>
      <w:lang w:val="lt-LT" w:eastAsia="ar-SA"/>
    </w:rPr>
  </w:style>
  <w:style w:type="character" w:customStyle="1" w:styleId="Heading2Char">
    <w:name w:val="Heading 2 Char"/>
    <w:basedOn w:val="DefaultParagraphFont"/>
    <w:link w:val="Heading2"/>
    <w:rsid w:val="00071A09"/>
    <w:rPr>
      <w:rFonts w:ascii="Times New Roman" w:eastAsia="Times New Roman" w:hAnsi="Times New Roman" w:cs="Times New Roman"/>
      <w:b/>
      <w:sz w:val="24"/>
      <w:szCs w:val="20"/>
      <w:lang w:val="lt-LT"/>
    </w:rPr>
  </w:style>
  <w:style w:type="character" w:customStyle="1" w:styleId="Heading3Char">
    <w:name w:val="Heading 3 Char"/>
    <w:basedOn w:val="DefaultParagraphFont"/>
    <w:link w:val="Heading3"/>
    <w:rsid w:val="00071A09"/>
    <w:rPr>
      <w:rFonts w:ascii="Times New Roman" w:eastAsia="Times New Roman" w:hAnsi="Times New Roman" w:cs="Times New Roman"/>
      <w:sz w:val="24"/>
      <w:szCs w:val="20"/>
      <w:lang w:val="lt-LT" w:eastAsia="ar-SA"/>
    </w:rPr>
  </w:style>
  <w:style w:type="character" w:customStyle="1" w:styleId="Heading4Char">
    <w:name w:val="Heading 4 Char"/>
    <w:basedOn w:val="DefaultParagraphFont"/>
    <w:link w:val="Heading4"/>
    <w:rsid w:val="00071A09"/>
    <w:rPr>
      <w:rFonts w:ascii="Times New Roman" w:eastAsia="Times New Roman" w:hAnsi="Times New Roman" w:cs="Times New Roman"/>
      <w:b/>
      <w:sz w:val="44"/>
      <w:szCs w:val="20"/>
      <w:lang w:val="lt-LT" w:eastAsia="ar-SA"/>
    </w:rPr>
  </w:style>
  <w:style w:type="character" w:customStyle="1" w:styleId="Heading5Char">
    <w:name w:val="Heading 5 Char"/>
    <w:basedOn w:val="DefaultParagraphFont"/>
    <w:link w:val="Heading5"/>
    <w:rsid w:val="00071A09"/>
    <w:rPr>
      <w:rFonts w:ascii="Times New Roman" w:eastAsia="Times New Roman" w:hAnsi="Times New Roman" w:cs="Times New Roman"/>
      <w:b/>
      <w:sz w:val="40"/>
      <w:szCs w:val="20"/>
      <w:lang w:val="lt-LT" w:eastAsia="ar-SA"/>
    </w:rPr>
  </w:style>
  <w:style w:type="character" w:customStyle="1" w:styleId="Heading6Char">
    <w:name w:val="Heading 6 Char"/>
    <w:basedOn w:val="DefaultParagraphFont"/>
    <w:link w:val="Heading6"/>
    <w:rsid w:val="00071A09"/>
    <w:rPr>
      <w:rFonts w:ascii="Times New Roman" w:eastAsia="Times New Roman" w:hAnsi="Times New Roman" w:cs="Times New Roman"/>
      <w:b/>
      <w:sz w:val="36"/>
      <w:szCs w:val="20"/>
      <w:lang w:val="lt-LT" w:eastAsia="ar-SA"/>
    </w:rPr>
  </w:style>
  <w:style w:type="character" w:customStyle="1" w:styleId="Heading7Char">
    <w:name w:val="Heading 7 Char"/>
    <w:basedOn w:val="DefaultParagraphFont"/>
    <w:link w:val="Heading7"/>
    <w:rsid w:val="00071A09"/>
    <w:rPr>
      <w:rFonts w:ascii="Times New Roman" w:eastAsia="Times New Roman" w:hAnsi="Times New Roman" w:cs="Times New Roman"/>
      <w:sz w:val="48"/>
      <w:szCs w:val="20"/>
      <w:lang w:val="lt-LT" w:eastAsia="ar-SA"/>
    </w:rPr>
  </w:style>
  <w:style w:type="character" w:customStyle="1" w:styleId="Heading8Char">
    <w:name w:val="Heading 8 Char"/>
    <w:basedOn w:val="DefaultParagraphFont"/>
    <w:link w:val="Heading8"/>
    <w:rsid w:val="00071A09"/>
    <w:rPr>
      <w:rFonts w:ascii="Times New Roman" w:eastAsia="Times New Roman" w:hAnsi="Times New Roman" w:cs="Times New Roman"/>
      <w:b/>
      <w:sz w:val="18"/>
      <w:szCs w:val="20"/>
      <w:lang w:val="lt-LT" w:eastAsia="ar-SA"/>
    </w:rPr>
  </w:style>
  <w:style w:type="character" w:customStyle="1" w:styleId="Heading9Char">
    <w:name w:val="Heading 9 Char"/>
    <w:basedOn w:val="DefaultParagraphFont"/>
    <w:link w:val="Heading9"/>
    <w:rsid w:val="00071A09"/>
    <w:rPr>
      <w:rFonts w:ascii="Times New Roman" w:eastAsia="Times New Roman" w:hAnsi="Times New Roman" w:cs="Times New Roman"/>
      <w:sz w:val="40"/>
      <w:szCs w:val="20"/>
      <w:lang w:val="lt-LT" w:eastAsia="ar-SA"/>
    </w:rPr>
  </w:style>
  <w:style w:type="paragraph" w:styleId="BodyTextIndent2">
    <w:name w:val="Body Text Indent 2"/>
    <w:basedOn w:val="Normal"/>
    <w:link w:val="BodyTextIndent2Char"/>
    <w:rsid w:val="00071A09"/>
    <w:pPr>
      <w:ind w:left="314" w:hanging="314"/>
    </w:pPr>
    <w:rPr>
      <w:i/>
      <w:color w:val="000000"/>
      <w:sz w:val="20"/>
      <w:szCs w:val="20"/>
      <w:lang w:val="en-US" w:eastAsia="en-US"/>
    </w:rPr>
  </w:style>
  <w:style w:type="character" w:customStyle="1" w:styleId="BodyTextIndent2Char">
    <w:name w:val="Body Text Indent 2 Char"/>
    <w:basedOn w:val="DefaultParagraphFont"/>
    <w:link w:val="BodyTextIndent2"/>
    <w:rsid w:val="00071A09"/>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71A09"/>
    <w:pPr>
      <w:tabs>
        <w:tab w:val="center" w:pos="4819"/>
        <w:tab w:val="right" w:pos="9638"/>
      </w:tabs>
    </w:pPr>
  </w:style>
  <w:style w:type="character" w:customStyle="1" w:styleId="HeaderChar">
    <w:name w:val="Header Char"/>
    <w:basedOn w:val="DefaultParagraphFont"/>
    <w:link w:val="Header"/>
    <w:uiPriority w:val="99"/>
    <w:rsid w:val="00071A09"/>
    <w:rPr>
      <w:rFonts w:ascii="Times New Roman" w:eastAsia="Times New Roman" w:hAnsi="Times New Roman" w:cs="Times New Roman"/>
      <w:sz w:val="24"/>
      <w:szCs w:val="24"/>
      <w:lang w:val="lt-LT" w:eastAsia="lt-LT"/>
    </w:rPr>
  </w:style>
  <w:style w:type="character" w:styleId="PageNumber">
    <w:name w:val="page number"/>
    <w:basedOn w:val="DefaultParagraphFont"/>
    <w:rsid w:val="00071A09"/>
  </w:style>
  <w:style w:type="paragraph" w:styleId="BodyText">
    <w:name w:val="Body Text"/>
    <w:basedOn w:val="Normal"/>
    <w:link w:val="BodyTextChar"/>
    <w:rsid w:val="00071A09"/>
    <w:pPr>
      <w:spacing w:after="120"/>
    </w:pPr>
  </w:style>
  <w:style w:type="character" w:customStyle="1" w:styleId="BodyTextChar">
    <w:name w:val="Body Text Char"/>
    <w:basedOn w:val="DefaultParagraphFont"/>
    <w:link w:val="BodyText"/>
    <w:rsid w:val="00071A09"/>
    <w:rPr>
      <w:rFonts w:ascii="Times New Roman" w:eastAsia="Times New Roman" w:hAnsi="Times New Roman" w:cs="Times New Roman"/>
      <w:sz w:val="24"/>
      <w:szCs w:val="24"/>
      <w:lang w:val="lt-LT" w:eastAsia="lt-LT"/>
    </w:rPr>
  </w:style>
  <w:style w:type="table" w:styleId="TableGrid">
    <w:name w:val="Table Grid"/>
    <w:basedOn w:val="TableNormal"/>
    <w:rsid w:val="00071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071A09"/>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071A09"/>
    <w:rPr>
      <w:color w:val="0000FF"/>
      <w:u w:val="single"/>
    </w:rPr>
  </w:style>
  <w:style w:type="character" w:customStyle="1" w:styleId="Vilmaraslanaite">
    <w:name w:val="Vilma.raslanaite"/>
    <w:semiHidden/>
    <w:rsid w:val="00071A09"/>
    <w:rPr>
      <w:rFonts w:ascii="Arial" w:hAnsi="Arial" w:cs="Arial"/>
      <w:b w:val="0"/>
      <w:bCs w:val="0"/>
      <w:i w:val="0"/>
      <w:iCs w:val="0"/>
      <w:strike w:val="0"/>
      <w:color w:val="0000FF"/>
      <w:sz w:val="20"/>
      <w:szCs w:val="20"/>
      <w:u w:val="none"/>
    </w:rPr>
  </w:style>
  <w:style w:type="paragraph" w:styleId="Footer">
    <w:name w:val="footer"/>
    <w:basedOn w:val="Normal"/>
    <w:link w:val="FooterChar"/>
    <w:rsid w:val="00071A09"/>
    <w:pPr>
      <w:tabs>
        <w:tab w:val="center" w:pos="4986"/>
        <w:tab w:val="right" w:pos="9972"/>
      </w:tabs>
    </w:pPr>
  </w:style>
  <w:style w:type="character" w:customStyle="1" w:styleId="FooterChar">
    <w:name w:val="Footer Char"/>
    <w:basedOn w:val="DefaultParagraphFont"/>
    <w:link w:val="Footer"/>
    <w:rsid w:val="00071A09"/>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071A09"/>
    <w:rPr>
      <w:rFonts w:ascii="Tahoma" w:hAnsi="Tahoma" w:cs="Tahoma"/>
      <w:sz w:val="16"/>
      <w:szCs w:val="16"/>
    </w:rPr>
  </w:style>
  <w:style w:type="character" w:customStyle="1" w:styleId="BalloonTextChar">
    <w:name w:val="Balloon Text Char"/>
    <w:basedOn w:val="DefaultParagraphFont"/>
    <w:link w:val="BalloonText"/>
    <w:semiHidden/>
    <w:rsid w:val="00071A09"/>
    <w:rPr>
      <w:rFonts w:ascii="Tahoma" w:eastAsia="Times New Roman" w:hAnsi="Tahoma" w:cs="Tahoma"/>
      <w:sz w:val="16"/>
      <w:szCs w:val="16"/>
      <w:lang w:val="lt-LT" w:eastAsia="lt-LT"/>
    </w:rPr>
  </w:style>
  <w:style w:type="paragraph" w:customStyle="1" w:styleId="tajtip">
    <w:name w:val="tajtip"/>
    <w:basedOn w:val="Normal"/>
    <w:rsid w:val="00071A09"/>
    <w:pPr>
      <w:spacing w:before="100" w:beforeAutospacing="1" w:after="100" w:afterAutospacing="1"/>
    </w:pPr>
    <w:rPr>
      <w:lang w:val="en-US" w:eastAsia="en-US"/>
    </w:rPr>
  </w:style>
  <w:style w:type="character" w:styleId="CommentReference">
    <w:name w:val="annotation reference"/>
    <w:rsid w:val="00071A09"/>
    <w:rPr>
      <w:sz w:val="16"/>
      <w:szCs w:val="16"/>
    </w:rPr>
  </w:style>
  <w:style w:type="paragraph" w:styleId="CommentText">
    <w:name w:val="annotation text"/>
    <w:basedOn w:val="Normal"/>
    <w:link w:val="CommentTextChar"/>
    <w:rsid w:val="00071A09"/>
    <w:rPr>
      <w:sz w:val="20"/>
      <w:szCs w:val="20"/>
    </w:rPr>
  </w:style>
  <w:style w:type="character" w:customStyle="1" w:styleId="CommentTextChar">
    <w:name w:val="Comment Text Char"/>
    <w:basedOn w:val="DefaultParagraphFont"/>
    <w:link w:val="CommentText"/>
    <w:rsid w:val="00071A09"/>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071A09"/>
    <w:rPr>
      <w:b/>
      <w:bCs/>
    </w:rPr>
  </w:style>
  <w:style w:type="character" w:customStyle="1" w:styleId="CommentSubjectChar">
    <w:name w:val="Comment Subject Char"/>
    <w:basedOn w:val="CommentTextChar"/>
    <w:link w:val="CommentSubject"/>
    <w:rsid w:val="00071A09"/>
    <w:rPr>
      <w:rFonts w:ascii="Times New Roman" w:eastAsia="Times New Roman" w:hAnsi="Times New Roman" w:cs="Times New Roman"/>
      <w:b/>
      <w:bCs/>
      <w:sz w:val="20"/>
      <w:szCs w:val="20"/>
      <w:lang w:val="lt-LT" w:eastAsia="lt-LT"/>
    </w:rPr>
  </w:style>
  <w:style w:type="paragraph" w:styleId="ListParagraph">
    <w:name w:val="List Paragraph"/>
    <w:basedOn w:val="Normal"/>
    <w:link w:val="ListParagraphChar"/>
    <w:uiPriority w:val="34"/>
    <w:qFormat/>
    <w:rsid w:val="00071A09"/>
    <w:pPr>
      <w:spacing w:after="200" w:line="276" w:lineRule="auto"/>
      <w:ind w:left="720"/>
      <w:contextualSpacing/>
    </w:pPr>
    <w:rPr>
      <w:rFonts w:eastAsia="Calibri"/>
      <w:lang w:eastAsia="en-US"/>
    </w:rPr>
  </w:style>
  <w:style w:type="paragraph" w:styleId="NoSpacing">
    <w:name w:val="No Spacing"/>
    <w:uiPriority w:val="1"/>
    <w:qFormat/>
    <w:rsid w:val="00071A09"/>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071A09"/>
    <w:pPr>
      <w:spacing w:after="0" w:line="240" w:lineRule="auto"/>
    </w:pPr>
    <w:rPr>
      <w:rFonts w:ascii="Times New Roman" w:eastAsia="Times New Roman" w:hAnsi="Times New Roman" w:cs="Times New Roman"/>
      <w:sz w:val="24"/>
      <w:szCs w:val="24"/>
      <w:lang w:val="lt-LT" w:eastAsia="lt-LT"/>
    </w:rPr>
  </w:style>
  <w:style w:type="paragraph" w:customStyle="1" w:styleId="BodyText2">
    <w:name w:val="Body Text2"/>
    <w:rsid w:val="00071A09"/>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Default">
    <w:name w:val="Default"/>
    <w:rsid w:val="00071A09"/>
    <w:pPr>
      <w:autoSpaceDE w:val="0"/>
      <w:autoSpaceDN w:val="0"/>
      <w:adjustRightInd w:val="0"/>
      <w:spacing w:after="0" w:line="240" w:lineRule="auto"/>
    </w:pPr>
    <w:rPr>
      <w:rFonts w:ascii="Times New Roman" w:eastAsia="MS Mincho" w:hAnsi="Times New Roman" w:cs="Times New Roman"/>
      <w:color w:val="000000"/>
      <w:sz w:val="24"/>
      <w:szCs w:val="24"/>
      <w:lang w:val="lt-LT" w:eastAsia="lt-LT"/>
    </w:rPr>
  </w:style>
  <w:style w:type="paragraph" w:styleId="FootnoteText">
    <w:name w:val="footnote text"/>
    <w:basedOn w:val="Normal"/>
    <w:link w:val="FootnoteTextChar"/>
    <w:rsid w:val="00071A09"/>
    <w:rPr>
      <w:sz w:val="20"/>
      <w:szCs w:val="20"/>
    </w:rPr>
  </w:style>
  <w:style w:type="character" w:customStyle="1" w:styleId="FootnoteTextChar">
    <w:name w:val="Footnote Text Char"/>
    <w:basedOn w:val="DefaultParagraphFont"/>
    <w:link w:val="FootnoteText"/>
    <w:rsid w:val="00071A09"/>
    <w:rPr>
      <w:rFonts w:ascii="Times New Roman" w:eastAsia="Times New Roman" w:hAnsi="Times New Roman" w:cs="Times New Roman"/>
      <w:sz w:val="20"/>
      <w:szCs w:val="20"/>
      <w:lang w:val="lt-LT" w:eastAsia="lt-LT"/>
    </w:rPr>
  </w:style>
  <w:style w:type="character" w:styleId="FootnoteReference">
    <w:name w:val="footnote reference"/>
    <w:rsid w:val="00071A09"/>
    <w:rPr>
      <w:vertAlign w:val="superscript"/>
    </w:rPr>
  </w:style>
  <w:style w:type="paragraph" w:customStyle="1" w:styleId="BodyText10">
    <w:name w:val="Body Text1"/>
    <w:rsid w:val="00071A09"/>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link w:val="ListParagraph"/>
    <w:uiPriority w:val="34"/>
    <w:rsid w:val="00071A09"/>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8911</Words>
  <Characters>50796</Characters>
  <Application>Microsoft Office Word</Application>
  <DocSecurity>4</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2022-08-24T08:46:00Z</dcterms:created>
  <dcterms:modified xsi:type="dcterms:W3CDTF">2022-08-24T08:46:00Z</dcterms:modified>
</cp:coreProperties>
</file>