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A0A4E" w14:textId="77777777" w:rsidR="00422F37" w:rsidRPr="00F4396E" w:rsidRDefault="00422F37" w:rsidP="00422F37">
      <w:pPr>
        <w:ind w:right="-2"/>
        <w:jc w:val="center"/>
        <w:rPr>
          <w:b/>
        </w:rPr>
      </w:pPr>
      <w:r>
        <w:rPr>
          <w:noProof/>
          <w:lang w:eastAsia="lt-LT"/>
        </w:rPr>
        <w:drawing>
          <wp:anchor distT="0" distB="0" distL="114300" distR="114300" simplePos="0" relativeHeight="251659264" behindDoc="0" locked="0" layoutInCell="1" allowOverlap="1" wp14:anchorId="1676FC93" wp14:editId="6DC45F87">
            <wp:simplePos x="0" y="0"/>
            <wp:positionH relativeFrom="margin">
              <wp:align>center</wp:align>
            </wp:positionH>
            <wp:positionV relativeFrom="paragraph">
              <wp:posOffset>-9525</wp:posOffset>
            </wp:positionV>
            <wp:extent cx="1799590" cy="417195"/>
            <wp:effectExtent l="0" t="0" r="0" b="1905"/>
            <wp:wrapNone/>
            <wp:docPr id="3" name="Picture 3" descr="Text,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icon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4B4A425A" w14:textId="77777777" w:rsidR="00422F37" w:rsidRPr="00DF7888" w:rsidRDefault="00422F37" w:rsidP="00422F37">
      <w:pPr>
        <w:ind w:right="-2"/>
        <w:jc w:val="center"/>
        <w:rPr>
          <w:sz w:val="28"/>
          <w:szCs w:val="28"/>
        </w:rPr>
      </w:pPr>
    </w:p>
    <w:p w14:paraId="7AE065BC" w14:textId="77777777" w:rsidR="00422F37" w:rsidRDefault="00422F37" w:rsidP="00422F37">
      <w:pPr>
        <w:ind w:right="27"/>
        <w:jc w:val="center"/>
        <w:rPr>
          <w:rFonts w:cs="Verdana-Bold"/>
        </w:rPr>
      </w:pPr>
    </w:p>
    <w:p w14:paraId="0DABE4D8" w14:textId="77777777" w:rsidR="00422F37" w:rsidRPr="00145A38" w:rsidRDefault="00422F37" w:rsidP="00422F37">
      <w:pPr>
        <w:ind w:right="27"/>
        <w:jc w:val="center"/>
        <w:rPr>
          <w:sz w:val="20"/>
          <w:szCs w:val="20"/>
        </w:rPr>
      </w:pPr>
      <w:r w:rsidRPr="00BD0A45">
        <w:rPr>
          <w:rFonts w:cs="Verdana-Bold"/>
        </w:rPr>
        <w:t>UAB „Asseco Lietuva</w:t>
      </w:r>
      <w:r w:rsidRPr="00BD0A45">
        <w:rPr>
          <w:rFonts w:asciiTheme="minorHAnsi" w:hAnsiTheme="minorHAnsi" w:cstheme="minorHAnsi"/>
        </w:rPr>
        <w:t>”,</w:t>
      </w:r>
      <w:r w:rsidRPr="00147B19">
        <w:rPr>
          <w:rFonts w:asciiTheme="minorHAnsi" w:hAnsiTheme="minorHAnsi" w:cstheme="minorHAnsi"/>
          <w:bCs/>
        </w:rPr>
        <w:t xml:space="preserve"> </w:t>
      </w:r>
      <w:bookmarkStart w:id="0" w:name="_Hlk89359680"/>
      <w:r w:rsidRPr="00147B19">
        <w:rPr>
          <w:rFonts w:asciiTheme="minorHAnsi" w:hAnsiTheme="minorHAnsi" w:cstheme="minorHAnsi"/>
        </w:rPr>
        <w:t>V. Gerulaičio g. 10, 08200 Vilnius</w:t>
      </w:r>
      <w:bookmarkEnd w:id="0"/>
      <w:r w:rsidRPr="00147B19">
        <w:rPr>
          <w:rFonts w:asciiTheme="minorHAnsi" w:hAnsiTheme="minorHAnsi" w:cstheme="minorHAnsi"/>
        </w:rPr>
        <w:t>, tel.</w:t>
      </w:r>
      <w:r w:rsidRPr="00E30E12">
        <w:t xml:space="preserve"> +370 5 210 2400, įregistruota Juridinių asmenų </w:t>
      </w:r>
      <w:bookmarkStart w:id="1" w:name="_GoBack"/>
      <w:bookmarkEnd w:id="1"/>
      <w:r w:rsidRPr="00E30E12">
        <w:t>registre, Vilniaus filiale, įmonės kodas 302631095, PVM mokėtojo kodas LT100006181715</w:t>
      </w:r>
    </w:p>
    <w:p w14:paraId="06A746F6" w14:textId="15204CF8" w:rsidR="00422F37" w:rsidRDefault="00422F37" w:rsidP="00EB2D25">
      <w:pPr>
        <w:tabs>
          <w:tab w:val="left" w:pos="567"/>
        </w:tabs>
        <w:jc w:val="center"/>
        <w:rPr>
          <w:rFonts w:asciiTheme="minorHAnsi" w:hAnsiTheme="minorHAnsi" w:cstheme="minorHAnsi"/>
          <w:b/>
          <w:color w:val="000000"/>
        </w:rPr>
      </w:pPr>
    </w:p>
    <w:p w14:paraId="13357DEB" w14:textId="2102C212" w:rsidR="00C55B71" w:rsidRDefault="00C55B71" w:rsidP="00EB2D25">
      <w:pPr>
        <w:tabs>
          <w:tab w:val="left" w:pos="567"/>
        </w:tabs>
        <w:jc w:val="center"/>
        <w:rPr>
          <w:rFonts w:asciiTheme="minorHAnsi" w:hAnsiTheme="minorHAnsi" w:cstheme="minorHAnsi"/>
          <w:b/>
          <w:color w:val="000000"/>
        </w:rPr>
      </w:pPr>
    </w:p>
    <w:p w14:paraId="08B501D4" w14:textId="77777777" w:rsidR="00242B94" w:rsidRPr="00242B94" w:rsidRDefault="00C55B71" w:rsidP="00C55B71">
      <w:pPr>
        <w:tabs>
          <w:tab w:val="left" w:pos="567"/>
        </w:tabs>
        <w:rPr>
          <w:rFonts w:asciiTheme="minorHAnsi" w:hAnsiTheme="minorHAnsi" w:cstheme="minorHAnsi"/>
          <w:bCs/>
          <w:color w:val="000000"/>
        </w:rPr>
      </w:pPr>
      <w:r w:rsidRPr="00242B94">
        <w:rPr>
          <w:rFonts w:asciiTheme="minorHAnsi" w:hAnsiTheme="minorHAnsi" w:cstheme="minorHAnsi"/>
          <w:bCs/>
          <w:color w:val="000000"/>
        </w:rPr>
        <w:t xml:space="preserve">Turto valdymo ir ūkio departamentui </w:t>
      </w:r>
    </w:p>
    <w:p w14:paraId="16789A67" w14:textId="154B66D7" w:rsidR="00C55B71" w:rsidRPr="00242B94" w:rsidRDefault="00C55B71" w:rsidP="00C55B71">
      <w:pPr>
        <w:tabs>
          <w:tab w:val="left" w:pos="567"/>
        </w:tabs>
        <w:rPr>
          <w:rFonts w:asciiTheme="minorHAnsi" w:hAnsiTheme="minorHAnsi" w:cstheme="minorHAnsi"/>
          <w:bCs/>
          <w:color w:val="000000"/>
        </w:rPr>
      </w:pPr>
      <w:r w:rsidRPr="00242B94">
        <w:rPr>
          <w:rFonts w:asciiTheme="minorHAnsi" w:hAnsiTheme="minorHAnsi" w:cstheme="minorHAnsi"/>
          <w:bCs/>
          <w:color w:val="000000"/>
        </w:rPr>
        <w:t>prie Lietuvos Respublikos vidaus reikalų ministerijos</w:t>
      </w:r>
    </w:p>
    <w:p w14:paraId="01DBFC0B" w14:textId="2313CC94" w:rsidR="00C55B71" w:rsidRPr="00242B94" w:rsidRDefault="00C55B71" w:rsidP="00C55B71">
      <w:pPr>
        <w:tabs>
          <w:tab w:val="left" w:pos="567"/>
        </w:tabs>
        <w:rPr>
          <w:rFonts w:asciiTheme="minorHAnsi" w:hAnsiTheme="minorHAnsi" w:cstheme="minorHAnsi"/>
          <w:bCs/>
          <w:color w:val="000000"/>
        </w:rPr>
      </w:pPr>
      <w:r w:rsidRPr="00242B94">
        <w:rPr>
          <w:rFonts w:asciiTheme="minorHAnsi" w:hAnsiTheme="minorHAnsi" w:cstheme="minorHAnsi"/>
          <w:bCs/>
          <w:color w:val="000000"/>
        </w:rPr>
        <w:t>Šventaragio g. 2, LT-01510 Vilniu</w:t>
      </w:r>
      <w:r w:rsidR="00242B94" w:rsidRPr="00242B94">
        <w:rPr>
          <w:rFonts w:asciiTheme="minorHAnsi" w:hAnsiTheme="minorHAnsi" w:cstheme="minorHAnsi"/>
          <w:bCs/>
          <w:color w:val="000000"/>
        </w:rPr>
        <w:t>s</w:t>
      </w:r>
    </w:p>
    <w:p w14:paraId="71B5171F" w14:textId="77777777" w:rsidR="00C55B71" w:rsidRDefault="00C55B71" w:rsidP="00EB2D25">
      <w:pPr>
        <w:tabs>
          <w:tab w:val="left" w:pos="567"/>
        </w:tabs>
        <w:jc w:val="center"/>
        <w:rPr>
          <w:rFonts w:asciiTheme="minorHAnsi" w:hAnsiTheme="minorHAnsi" w:cstheme="minorHAnsi"/>
          <w:b/>
          <w:color w:val="000000"/>
        </w:rPr>
      </w:pPr>
    </w:p>
    <w:p w14:paraId="6F73C82A" w14:textId="77777777" w:rsidR="00C55B71" w:rsidRDefault="00C55B71" w:rsidP="00EB2D25">
      <w:pPr>
        <w:tabs>
          <w:tab w:val="left" w:pos="567"/>
        </w:tabs>
        <w:jc w:val="center"/>
        <w:rPr>
          <w:rFonts w:asciiTheme="minorHAnsi" w:hAnsiTheme="minorHAnsi" w:cstheme="minorHAnsi"/>
          <w:b/>
          <w:color w:val="000000"/>
        </w:rPr>
      </w:pPr>
    </w:p>
    <w:p w14:paraId="1F2A0A48" w14:textId="616F73E9" w:rsidR="00C36E59" w:rsidRPr="006B17A0" w:rsidRDefault="00370999" w:rsidP="00EB2D25">
      <w:pPr>
        <w:tabs>
          <w:tab w:val="left" w:pos="567"/>
        </w:tabs>
        <w:jc w:val="center"/>
        <w:rPr>
          <w:rFonts w:asciiTheme="minorHAnsi" w:hAnsiTheme="minorHAnsi" w:cstheme="minorHAnsi"/>
          <w:b/>
          <w:color w:val="000000"/>
        </w:rPr>
      </w:pPr>
      <w:r>
        <w:rPr>
          <w:rFonts w:asciiTheme="minorHAnsi" w:hAnsiTheme="minorHAnsi" w:cstheme="minorHAnsi"/>
          <w:b/>
          <w:color w:val="000000"/>
        </w:rPr>
        <w:t xml:space="preserve">PATIKSLINTAS </w:t>
      </w:r>
      <w:r w:rsidR="00C36E59" w:rsidRPr="006B17A0">
        <w:rPr>
          <w:rFonts w:asciiTheme="minorHAnsi" w:hAnsiTheme="minorHAnsi" w:cstheme="minorHAnsi"/>
          <w:b/>
          <w:color w:val="000000"/>
        </w:rPr>
        <w:t>PASIŪLYMAS</w:t>
      </w:r>
    </w:p>
    <w:p w14:paraId="2AD9312B" w14:textId="77777777" w:rsidR="00EB2D25" w:rsidRDefault="00E31C17" w:rsidP="00EB2D25">
      <w:pPr>
        <w:jc w:val="center"/>
        <w:rPr>
          <w:rFonts w:asciiTheme="minorHAnsi" w:eastAsia="Times New Roman" w:hAnsiTheme="minorHAnsi" w:cstheme="minorHAnsi"/>
          <w:b/>
        </w:rPr>
      </w:pPr>
      <w:r w:rsidRPr="006B17A0">
        <w:rPr>
          <w:rFonts w:asciiTheme="minorHAnsi" w:hAnsiTheme="minorHAnsi" w:cstheme="minorHAnsi"/>
          <w:b/>
        </w:rPr>
        <w:t xml:space="preserve"> </w:t>
      </w:r>
      <w:r w:rsidR="00AC201B" w:rsidRPr="006B17A0">
        <w:rPr>
          <w:rFonts w:asciiTheme="minorHAnsi" w:eastAsia="Times New Roman" w:hAnsiTheme="minorHAnsi" w:cstheme="minorHAnsi"/>
          <w:b/>
        </w:rPr>
        <w:t xml:space="preserve">DOKUMENTŲ VALDYMO BENDROSIOS INFORMACINĖS SISTEMOS </w:t>
      </w:r>
    </w:p>
    <w:p w14:paraId="693FFD42" w14:textId="77777777" w:rsidR="00AC201B" w:rsidRPr="006B17A0" w:rsidRDefault="00AC201B" w:rsidP="00EB2D25">
      <w:pPr>
        <w:jc w:val="center"/>
        <w:rPr>
          <w:rFonts w:asciiTheme="minorHAnsi" w:eastAsia="Times New Roman" w:hAnsiTheme="minorHAnsi" w:cstheme="minorHAnsi"/>
          <w:b/>
        </w:rPr>
      </w:pPr>
      <w:r w:rsidRPr="006B17A0">
        <w:rPr>
          <w:rFonts w:asciiTheme="minorHAnsi" w:eastAsia="Times New Roman" w:hAnsiTheme="minorHAnsi" w:cstheme="minorHAnsi"/>
          <w:b/>
        </w:rPr>
        <w:t>MOBILIOJO ELEKTRONINIO PARAŠO INFRASTRUKTŪROS PASLAUGŲ PIRKIMAS (IRD-A52-65)</w:t>
      </w:r>
    </w:p>
    <w:p w14:paraId="56E3C77C" w14:textId="77777777" w:rsidR="00C36E59" w:rsidRPr="006B17A0" w:rsidRDefault="00C36E59" w:rsidP="00C36E59">
      <w:pPr>
        <w:jc w:val="center"/>
        <w:rPr>
          <w:rFonts w:asciiTheme="minorHAnsi" w:hAnsiTheme="minorHAnsi" w:cstheme="minorHAnsi"/>
          <w:color w:val="000000"/>
        </w:rPr>
      </w:pPr>
    </w:p>
    <w:p w14:paraId="7B68B935" w14:textId="747C1278" w:rsidR="00C36E59" w:rsidRPr="0047702F" w:rsidRDefault="00242B94" w:rsidP="00C36E59">
      <w:pPr>
        <w:jc w:val="center"/>
        <w:rPr>
          <w:rFonts w:ascii="Calibri Light" w:hAnsi="Calibri Light" w:cs="Calibri Light"/>
          <w:color w:val="000000"/>
        </w:rPr>
      </w:pPr>
      <w:r>
        <w:rPr>
          <w:rFonts w:ascii="Calibri Light" w:hAnsi="Calibri Light" w:cs="Calibri Light"/>
          <w:color w:val="000000"/>
          <w:u w:val="single"/>
        </w:rPr>
        <w:t>2022 m. birželio 13 d.</w:t>
      </w:r>
    </w:p>
    <w:p w14:paraId="7B962C4C" w14:textId="088F1D71" w:rsidR="00C36E59" w:rsidRPr="0047702F" w:rsidRDefault="00242B94" w:rsidP="00C36E59">
      <w:pPr>
        <w:jc w:val="center"/>
        <w:rPr>
          <w:rFonts w:ascii="Calibri Light" w:hAnsi="Calibri Light" w:cs="Calibri Light"/>
          <w:color w:val="000000"/>
        </w:rPr>
      </w:pPr>
      <w:r>
        <w:rPr>
          <w:rFonts w:ascii="Calibri Light" w:hAnsi="Calibri Light" w:cs="Calibri Light"/>
          <w:color w:val="000000"/>
        </w:rPr>
        <w:t>Vilnius</w:t>
      </w:r>
    </w:p>
    <w:p w14:paraId="4B2E5E2A" w14:textId="77777777" w:rsidR="00C36E59" w:rsidRPr="0047702F" w:rsidRDefault="00C36E59" w:rsidP="00C36E59">
      <w:pPr>
        <w:jc w:val="center"/>
        <w:rPr>
          <w:rFonts w:ascii="Calibri Light" w:hAnsi="Calibri Light" w:cs="Calibri Light"/>
          <w:color w:val="000000"/>
        </w:rPr>
      </w:pPr>
    </w:p>
    <w:p w14:paraId="4CDF4327" w14:textId="77777777" w:rsidR="00C36E59" w:rsidRPr="0047702F" w:rsidRDefault="00C36E59" w:rsidP="00C36E59">
      <w:pPr>
        <w:rPr>
          <w:rFonts w:ascii="Calibri Light" w:hAnsi="Calibri Light" w:cs="Calibri Light"/>
          <w:b/>
          <w:color w:val="000000"/>
        </w:rPr>
      </w:pPr>
      <w:r w:rsidRPr="0047702F">
        <w:rPr>
          <w:rFonts w:ascii="Calibri Light" w:hAnsi="Calibri Light" w:cs="Calibri Light"/>
          <w:b/>
          <w:color w:val="000000"/>
        </w:rPr>
        <w:t>1 lentelė. Tiekėjo rekvizitai.</w:t>
      </w:r>
    </w:p>
    <w:tbl>
      <w:tblPr>
        <w:tblW w:w="5000" w:type="pct"/>
        <w:tblCellMar>
          <w:left w:w="0" w:type="dxa"/>
          <w:right w:w="0" w:type="dxa"/>
        </w:tblCellMar>
        <w:tblLook w:val="04A0" w:firstRow="1" w:lastRow="0" w:firstColumn="1" w:lastColumn="0" w:noHBand="0" w:noVBand="1"/>
      </w:tblPr>
      <w:tblGrid>
        <w:gridCol w:w="3149"/>
        <w:gridCol w:w="6469"/>
      </w:tblGrid>
      <w:tr w:rsidR="00C36E59" w:rsidRPr="0047702F" w14:paraId="42DE7FFF" w14:textId="77777777" w:rsidTr="00591B0A">
        <w:tc>
          <w:tcPr>
            <w:tcW w:w="163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201D77"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rPr>
              <w:t>Tiekėjo pavadinimas ir kodas</w:t>
            </w:r>
          </w:p>
        </w:tc>
        <w:tc>
          <w:tcPr>
            <w:tcW w:w="33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370597" w14:textId="59558AC0" w:rsidR="00C36E59" w:rsidRPr="00C005DA" w:rsidRDefault="00242B94" w:rsidP="00591B0A">
            <w:pPr>
              <w:spacing w:line="276" w:lineRule="auto"/>
              <w:rPr>
                <w:rFonts w:ascii="Calibri Light" w:hAnsi="Calibri Light" w:cs="Calibri Light"/>
              </w:rPr>
            </w:pPr>
            <w:r w:rsidRPr="00C005DA">
              <w:rPr>
                <w:rFonts w:ascii="Calibri Light" w:hAnsi="Calibri Light" w:cs="Calibri Light"/>
              </w:rPr>
              <w:t xml:space="preserve">UAB „Asseco Lietuva”, įm. k. </w:t>
            </w:r>
            <w:r w:rsidR="00C005DA" w:rsidRPr="00C005DA">
              <w:rPr>
                <w:rFonts w:ascii="Calibri Light" w:hAnsi="Calibri Light" w:cs="Calibri Light"/>
              </w:rPr>
              <w:t>302631095</w:t>
            </w:r>
          </w:p>
        </w:tc>
      </w:tr>
      <w:tr w:rsidR="00C36E59" w:rsidRPr="0047702F" w14:paraId="77B6DD7F"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E12324"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rPr>
              <w:t xml:space="preserve">Tiekėjo adresas </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DFD30" w14:textId="03E5DEA2" w:rsidR="00C36E59" w:rsidRPr="00C005DA" w:rsidRDefault="00C005DA" w:rsidP="00591B0A">
            <w:pPr>
              <w:spacing w:line="276" w:lineRule="auto"/>
              <w:rPr>
                <w:rFonts w:ascii="Calibri Light" w:hAnsi="Calibri Light" w:cs="Calibri Light"/>
              </w:rPr>
            </w:pPr>
            <w:r w:rsidRPr="00C005DA">
              <w:rPr>
                <w:rFonts w:ascii="Calibri Light" w:hAnsi="Calibri Light" w:cs="Calibri Light"/>
              </w:rPr>
              <w:t>V. Gerulaičio g. 10, 08200 Vilnius</w:t>
            </w:r>
          </w:p>
        </w:tc>
      </w:tr>
      <w:tr w:rsidR="00C36E59" w:rsidRPr="0047702F" w14:paraId="5B82FB16"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5C40C8"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rPr>
              <w:t>PVM mokėtojo kodas</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tcPr>
          <w:p w14:paraId="172E0503" w14:textId="0A99085D" w:rsidR="00C36E59" w:rsidRPr="00C005DA" w:rsidRDefault="00C005DA" w:rsidP="00591B0A">
            <w:pPr>
              <w:spacing w:line="276" w:lineRule="auto"/>
              <w:rPr>
                <w:rFonts w:ascii="Calibri Light" w:hAnsi="Calibri Light" w:cs="Calibri Light"/>
              </w:rPr>
            </w:pPr>
            <w:r w:rsidRPr="00C005DA">
              <w:rPr>
                <w:rFonts w:ascii="Calibri Light" w:hAnsi="Calibri Light" w:cs="Calibri Light"/>
              </w:rPr>
              <w:t>LT100006181715</w:t>
            </w:r>
          </w:p>
        </w:tc>
      </w:tr>
      <w:tr w:rsidR="00C36E59" w:rsidRPr="0047702F" w14:paraId="64AB12F6"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E76145"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rPr>
              <w:t>Bankas ir sąskaitos numeris</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tcPr>
          <w:p w14:paraId="298B6B96" w14:textId="037AE376" w:rsidR="00C36E59" w:rsidRPr="00C005DA" w:rsidRDefault="0016343C" w:rsidP="0016343C">
            <w:pPr>
              <w:spacing w:line="276" w:lineRule="auto"/>
              <w:ind w:left="34"/>
              <w:rPr>
                <w:rFonts w:ascii="Calibri Light" w:hAnsi="Calibri Light" w:cs="Calibri Light"/>
              </w:rPr>
            </w:pPr>
            <w:r w:rsidRPr="0016343C">
              <w:rPr>
                <w:rFonts w:ascii="Calibri Light" w:hAnsi="Calibri Light" w:cs="Calibri Light"/>
              </w:rPr>
              <w:t>AB SEB bankas</w:t>
            </w:r>
            <w:r>
              <w:rPr>
                <w:rFonts w:ascii="Calibri Light" w:hAnsi="Calibri Light" w:cs="Calibri Light"/>
              </w:rPr>
              <w:t xml:space="preserve">, </w:t>
            </w:r>
            <w:proofErr w:type="spellStart"/>
            <w:r w:rsidRPr="0016343C">
              <w:rPr>
                <w:rFonts w:ascii="Calibri Light" w:hAnsi="Calibri Light" w:cs="Calibri Light"/>
              </w:rPr>
              <w:t>a.s</w:t>
            </w:r>
            <w:proofErr w:type="spellEnd"/>
            <w:r w:rsidRPr="0016343C">
              <w:rPr>
                <w:rFonts w:ascii="Calibri Light" w:hAnsi="Calibri Light" w:cs="Calibri Light"/>
              </w:rPr>
              <w:t>.</w:t>
            </w:r>
            <w:r>
              <w:rPr>
                <w:rFonts w:ascii="Calibri Light" w:hAnsi="Calibri Light" w:cs="Calibri Light"/>
              </w:rPr>
              <w:t xml:space="preserve"> </w:t>
            </w:r>
            <w:r w:rsidRPr="0016343C">
              <w:rPr>
                <w:rFonts w:ascii="Calibri Light" w:hAnsi="Calibri Light" w:cs="Calibri Light"/>
              </w:rPr>
              <w:t>LT64 7044 0600 0770 5693</w:t>
            </w:r>
          </w:p>
        </w:tc>
      </w:tr>
      <w:tr w:rsidR="00C36E59" w:rsidRPr="0047702F" w14:paraId="47E74CAA"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2034D6C"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rPr>
              <w:t xml:space="preserve">Telefono Nr., internetinis puslapis, el. paštas </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tcPr>
          <w:p w14:paraId="23BDEAD9" w14:textId="43BEE279" w:rsidR="00C36E59" w:rsidRPr="00C005DA" w:rsidRDefault="00D61A70" w:rsidP="00591B0A">
            <w:pPr>
              <w:spacing w:line="276" w:lineRule="auto"/>
              <w:ind w:left="34"/>
              <w:rPr>
                <w:rFonts w:ascii="Calibri Light" w:hAnsi="Calibri Light" w:cs="Calibri Light"/>
              </w:rPr>
            </w:pPr>
            <w:r>
              <w:rPr>
                <w:rFonts w:ascii="Calibri Light" w:hAnsi="Calibri Light" w:cs="Calibri Light"/>
              </w:rPr>
              <w:t xml:space="preserve">+370 5 210 2400, </w:t>
            </w:r>
            <w:hyperlink r:id="rId6" w:history="1">
              <w:r w:rsidR="002D28FD" w:rsidRPr="00BA6F9F">
                <w:rPr>
                  <w:rStyle w:val="Hipersaitas"/>
                  <w:rFonts w:ascii="Calibri Light" w:hAnsi="Calibri Light" w:cs="Calibri Light"/>
                </w:rPr>
                <w:t>https://lt.asseco.com/</w:t>
              </w:r>
            </w:hyperlink>
            <w:r w:rsidR="002D28FD">
              <w:rPr>
                <w:rFonts w:ascii="Calibri Light" w:hAnsi="Calibri Light" w:cs="Calibri Light"/>
              </w:rPr>
              <w:t xml:space="preserve">, </w:t>
            </w:r>
            <w:hyperlink r:id="rId7" w:history="1">
              <w:r w:rsidR="002D28FD" w:rsidRPr="00BA6F9F">
                <w:rPr>
                  <w:rStyle w:val="Hipersaitas"/>
                  <w:rFonts w:ascii="Calibri Light" w:hAnsi="Calibri Light" w:cs="Calibri Light"/>
                </w:rPr>
                <w:t>info@asseco.lt</w:t>
              </w:r>
            </w:hyperlink>
            <w:r w:rsidR="002D28FD">
              <w:rPr>
                <w:rFonts w:ascii="Calibri Light" w:hAnsi="Calibri Light" w:cs="Calibri Light"/>
              </w:rPr>
              <w:t xml:space="preserve">  </w:t>
            </w:r>
          </w:p>
        </w:tc>
      </w:tr>
      <w:tr w:rsidR="00C36E59" w:rsidRPr="0047702F" w14:paraId="4E64D8D2"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74FAB1" w14:textId="77777777" w:rsidR="00C36E59" w:rsidRPr="0047702F" w:rsidRDefault="00C36E59" w:rsidP="00591B0A">
            <w:pPr>
              <w:spacing w:line="276" w:lineRule="auto"/>
              <w:rPr>
                <w:rFonts w:ascii="Calibri Light" w:hAnsi="Calibri Light" w:cs="Calibri Light"/>
                <w:b/>
                <w:bCs/>
              </w:rPr>
            </w:pPr>
            <w:r w:rsidRPr="0047702F">
              <w:rPr>
                <w:rFonts w:ascii="Calibri Light" w:hAnsi="Calibri Light" w:cs="Calibri Light"/>
                <w:b/>
                <w:bCs/>
                <w:color w:val="00000A"/>
              </w:rPr>
              <w:t>Asmens, pateikusio pasiūlymą, vardas, pavardė, pareigos</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tcPr>
          <w:p w14:paraId="15C1FF1E" w14:textId="6F1E7C14" w:rsidR="00C36E59" w:rsidRPr="00C005DA" w:rsidRDefault="00C005DA" w:rsidP="00591B0A">
            <w:pPr>
              <w:spacing w:line="276" w:lineRule="auto"/>
              <w:ind w:left="34"/>
              <w:rPr>
                <w:rFonts w:ascii="Calibri Light" w:hAnsi="Calibri Light" w:cs="Calibri Light"/>
              </w:rPr>
            </w:pPr>
            <w:r>
              <w:rPr>
                <w:rFonts w:ascii="Calibri Light" w:hAnsi="Calibri Light" w:cs="Calibri Light"/>
              </w:rPr>
              <w:t>Albertas Šermokas, generalinis direktorius</w:t>
            </w:r>
          </w:p>
        </w:tc>
      </w:tr>
      <w:tr w:rsidR="00C36E59" w:rsidRPr="0047702F" w14:paraId="1AAECFCE" w14:textId="77777777" w:rsidTr="00591B0A">
        <w:tc>
          <w:tcPr>
            <w:tcW w:w="1637" w:type="pc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DECF9A" w14:textId="77777777" w:rsidR="00C36E59" w:rsidRPr="0047702F" w:rsidRDefault="00C36E59" w:rsidP="00591B0A">
            <w:pPr>
              <w:spacing w:line="276" w:lineRule="auto"/>
              <w:jc w:val="both"/>
              <w:rPr>
                <w:rFonts w:ascii="Calibri Light" w:hAnsi="Calibri Light" w:cs="Calibri Light"/>
                <w:b/>
                <w:bCs/>
                <w:color w:val="00000A"/>
              </w:rPr>
            </w:pPr>
            <w:r w:rsidRPr="0047702F">
              <w:rPr>
                <w:rFonts w:ascii="Calibri Light" w:hAnsi="Calibri Light" w:cs="Calibri Light"/>
                <w:b/>
                <w:bCs/>
                <w:color w:val="00000A"/>
              </w:rPr>
              <w:t>Ryšiams palaikyti skiriamo asmens vardas, pavardė, pareigos ir kontaktiniai telefonai</w:t>
            </w:r>
          </w:p>
        </w:tc>
        <w:tc>
          <w:tcPr>
            <w:tcW w:w="336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CEFC38" w14:textId="664A8D2E" w:rsidR="00C36E59" w:rsidRPr="00C005DA" w:rsidRDefault="00C005DA" w:rsidP="00591B0A">
            <w:pPr>
              <w:spacing w:line="276" w:lineRule="auto"/>
              <w:ind w:left="34"/>
              <w:rPr>
                <w:rFonts w:ascii="Calibri Light" w:hAnsi="Calibri Light" w:cs="Calibri Light"/>
              </w:rPr>
            </w:pPr>
            <w:r>
              <w:rPr>
                <w:rFonts w:ascii="Calibri Light" w:hAnsi="Calibri Light" w:cs="Calibri Light"/>
              </w:rPr>
              <w:t xml:space="preserve">Juozas Čėglys, DVS </w:t>
            </w:r>
            <w:r w:rsidR="00D61A70">
              <w:rPr>
                <w:rFonts w:ascii="Calibri Light" w:hAnsi="Calibri Light" w:cs="Calibri Light"/>
              </w:rPr>
              <w:t>diegimo</w:t>
            </w:r>
            <w:r>
              <w:rPr>
                <w:rFonts w:ascii="Calibri Light" w:hAnsi="Calibri Light" w:cs="Calibri Light"/>
              </w:rPr>
              <w:t xml:space="preserve"> ir priežiūros srities vadovas,</w:t>
            </w:r>
            <w:r w:rsidR="00D61A70">
              <w:rPr>
                <w:rFonts w:ascii="Calibri Light" w:hAnsi="Calibri Light" w:cs="Calibri Light"/>
              </w:rPr>
              <w:t xml:space="preserve"> +370 633 22442, </w:t>
            </w:r>
            <w:hyperlink r:id="rId8" w:history="1">
              <w:r w:rsidR="00D61A70" w:rsidRPr="00BA6F9F">
                <w:rPr>
                  <w:rStyle w:val="Hipersaitas"/>
                  <w:rFonts w:ascii="Calibri Light" w:hAnsi="Calibri Light" w:cs="Calibri Light"/>
                </w:rPr>
                <w:t>juozas.ceglys@asseco.lt</w:t>
              </w:r>
            </w:hyperlink>
            <w:r w:rsidR="00D61A70">
              <w:rPr>
                <w:rFonts w:ascii="Calibri Light" w:hAnsi="Calibri Light" w:cs="Calibri Light"/>
              </w:rPr>
              <w:t xml:space="preserve"> </w:t>
            </w:r>
          </w:p>
        </w:tc>
      </w:tr>
    </w:tbl>
    <w:p w14:paraId="3F66D50C" w14:textId="77777777" w:rsidR="00C36E59" w:rsidRDefault="00C36E59" w:rsidP="00C36E59">
      <w:pPr>
        <w:tabs>
          <w:tab w:val="left" w:pos="851"/>
        </w:tabs>
        <w:jc w:val="center"/>
        <w:rPr>
          <w:rFonts w:ascii="Calibri Light" w:hAnsi="Calibri Light" w:cs="Calibri Light"/>
          <w:b/>
        </w:rPr>
      </w:pPr>
    </w:p>
    <w:p w14:paraId="67080493" w14:textId="77777777" w:rsidR="00B46A6F" w:rsidRPr="0047702F" w:rsidRDefault="00B46A6F" w:rsidP="00B46A6F">
      <w:pPr>
        <w:rPr>
          <w:rFonts w:ascii="Calibri Light" w:hAnsi="Calibri Light" w:cs="Calibri Light"/>
        </w:rPr>
      </w:pPr>
      <w:r w:rsidRPr="0047702F">
        <w:rPr>
          <w:rFonts w:ascii="Calibri Light" w:hAnsi="Calibri Light" w:cs="Calibri Light"/>
          <w:b/>
        </w:rPr>
        <w:t>2</w:t>
      </w:r>
      <w:r w:rsidR="00F05AED">
        <w:rPr>
          <w:rFonts w:ascii="Calibri Light" w:hAnsi="Calibri Light" w:cs="Calibri Light"/>
          <w:b/>
        </w:rPr>
        <w:t xml:space="preserve"> lentelė. Finansinis pasiūlymas.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3684"/>
        <w:gridCol w:w="1708"/>
        <w:gridCol w:w="1700"/>
        <w:gridCol w:w="1837"/>
      </w:tblGrid>
      <w:tr w:rsidR="00794499" w:rsidRPr="00794499" w14:paraId="39BB4637" w14:textId="77777777" w:rsidTr="00607EB6">
        <w:trPr>
          <w:trHeight w:val="20"/>
        </w:trPr>
        <w:tc>
          <w:tcPr>
            <w:tcW w:w="368" w:type="pct"/>
            <w:shd w:val="clear" w:color="auto" w:fill="F2F2F2" w:themeFill="background1" w:themeFillShade="F2"/>
            <w:vAlign w:val="center"/>
          </w:tcPr>
          <w:p w14:paraId="39A465BA" w14:textId="77777777" w:rsidR="00A55AE1" w:rsidRPr="00794499" w:rsidRDefault="00A55AE1" w:rsidP="001321A7">
            <w:pPr>
              <w:jc w:val="center"/>
              <w:rPr>
                <w:rFonts w:asciiTheme="minorHAnsi" w:hAnsiTheme="minorHAnsi" w:cstheme="minorHAnsi"/>
                <w:b/>
              </w:rPr>
            </w:pPr>
            <w:r w:rsidRPr="00794499">
              <w:rPr>
                <w:rFonts w:asciiTheme="minorHAnsi" w:hAnsiTheme="minorHAnsi" w:cstheme="minorHAnsi"/>
                <w:b/>
              </w:rPr>
              <w:t>Eil.</w:t>
            </w:r>
          </w:p>
          <w:p w14:paraId="72DF60BE" w14:textId="77777777" w:rsidR="00A55AE1" w:rsidRPr="00794499" w:rsidRDefault="00A55AE1" w:rsidP="001321A7">
            <w:pPr>
              <w:jc w:val="center"/>
              <w:rPr>
                <w:rFonts w:asciiTheme="minorHAnsi" w:hAnsiTheme="minorHAnsi" w:cstheme="minorHAnsi"/>
                <w:b/>
              </w:rPr>
            </w:pPr>
            <w:r w:rsidRPr="00794499">
              <w:rPr>
                <w:rFonts w:asciiTheme="minorHAnsi" w:hAnsiTheme="minorHAnsi" w:cstheme="minorHAnsi"/>
                <w:b/>
              </w:rPr>
              <w:t>Nr.</w:t>
            </w:r>
          </w:p>
        </w:tc>
        <w:tc>
          <w:tcPr>
            <w:tcW w:w="1911" w:type="pct"/>
            <w:shd w:val="clear" w:color="auto" w:fill="F2F2F2" w:themeFill="background1" w:themeFillShade="F2"/>
            <w:vAlign w:val="center"/>
          </w:tcPr>
          <w:p w14:paraId="7E8F407F" w14:textId="77777777" w:rsidR="00A55AE1" w:rsidRPr="00794499" w:rsidRDefault="00A55AE1" w:rsidP="001321A7">
            <w:pPr>
              <w:jc w:val="center"/>
              <w:rPr>
                <w:rFonts w:asciiTheme="minorHAnsi" w:hAnsiTheme="minorHAnsi" w:cstheme="minorHAnsi"/>
                <w:b/>
              </w:rPr>
            </w:pPr>
            <w:r w:rsidRPr="00794499">
              <w:rPr>
                <w:rFonts w:asciiTheme="minorHAnsi" w:hAnsiTheme="minorHAnsi" w:cstheme="minorHAnsi"/>
                <w:b/>
              </w:rPr>
              <w:t>Paslaugos pavadinimas</w:t>
            </w:r>
          </w:p>
          <w:p w14:paraId="58AA427E" w14:textId="77777777" w:rsidR="00A55AE1" w:rsidRPr="00794499" w:rsidRDefault="00A55AE1" w:rsidP="001321A7">
            <w:pPr>
              <w:jc w:val="center"/>
              <w:rPr>
                <w:rFonts w:asciiTheme="minorHAnsi" w:hAnsiTheme="minorHAnsi" w:cstheme="minorHAnsi"/>
                <w:b/>
              </w:rPr>
            </w:pPr>
          </w:p>
        </w:tc>
        <w:tc>
          <w:tcPr>
            <w:tcW w:w="886" w:type="pct"/>
            <w:shd w:val="clear" w:color="auto" w:fill="F2F2F2" w:themeFill="background1" w:themeFillShade="F2"/>
            <w:vAlign w:val="center"/>
          </w:tcPr>
          <w:p w14:paraId="16C5CD71" w14:textId="77777777" w:rsidR="00A55AE1" w:rsidRPr="00794499" w:rsidRDefault="00A55AE1" w:rsidP="001321A7">
            <w:pPr>
              <w:jc w:val="center"/>
              <w:rPr>
                <w:rFonts w:asciiTheme="minorHAnsi" w:hAnsiTheme="minorHAnsi" w:cstheme="minorHAnsi"/>
                <w:b/>
                <w:bCs/>
              </w:rPr>
            </w:pPr>
            <w:r w:rsidRPr="00794499">
              <w:rPr>
                <w:rFonts w:asciiTheme="minorHAnsi" w:hAnsiTheme="minorHAnsi" w:cstheme="minorHAnsi"/>
                <w:b/>
                <w:bCs/>
              </w:rPr>
              <w:t xml:space="preserve">Preliminari </w:t>
            </w:r>
            <w:r w:rsidRPr="00794499">
              <w:rPr>
                <w:rFonts w:asciiTheme="minorHAnsi" w:hAnsiTheme="minorHAnsi" w:cstheme="minorHAnsi"/>
                <w:b/>
              </w:rPr>
              <w:t>paslaugų apimtis</w:t>
            </w:r>
            <w:r w:rsidRPr="00794499">
              <w:rPr>
                <w:rFonts w:asciiTheme="minorHAnsi" w:hAnsiTheme="minorHAnsi" w:cstheme="minorHAnsi"/>
                <w:b/>
                <w:bCs/>
              </w:rPr>
              <w:t xml:space="preserve"> per mėnesį</w:t>
            </w:r>
          </w:p>
        </w:tc>
        <w:tc>
          <w:tcPr>
            <w:tcW w:w="882" w:type="pct"/>
            <w:shd w:val="clear" w:color="auto" w:fill="F2F2F2" w:themeFill="background1" w:themeFillShade="F2"/>
            <w:vAlign w:val="center"/>
          </w:tcPr>
          <w:p w14:paraId="3D673095" w14:textId="77777777" w:rsidR="00A55AE1" w:rsidRPr="00794499" w:rsidRDefault="00A55AE1" w:rsidP="00607EB6">
            <w:pPr>
              <w:jc w:val="center"/>
              <w:rPr>
                <w:rFonts w:asciiTheme="minorHAnsi" w:hAnsiTheme="minorHAnsi" w:cstheme="minorHAnsi"/>
                <w:b/>
                <w:bCs/>
              </w:rPr>
            </w:pPr>
            <w:r w:rsidRPr="00794499">
              <w:rPr>
                <w:rFonts w:asciiTheme="minorHAnsi" w:hAnsiTheme="minorHAnsi" w:cstheme="minorHAnsi"/>
                <w:b/>
                <w:bCs/>
              </w:rPr>
              <w:t>Vieno</w:t>
            </w:r>
            <w:r w:rsidR="00607EB6">
              <w:rPr>
                <w:rFonts w:asciiTheme="minorHAnsi" w:hAnsiTheme="minorHAnsi" w:cstheme="minorHAnsi"/>
                <w:b/>
                <w:bCs/>
              </w:rPr>
              <w:t>s</w:t>
            </w:r>
            <w:r w:rsidRPr="00794499">
              <w:rPr>
                <w:rFonts w:asciiTheme="minorHAnsi" w:hAnsiTheme="minorHAnsi" w:cstheme="minorHAnsi"/>
                <w:b/>
                <w:bCs/>
              </w:rPr>
              <w:t xml:space="preserve"> paslaugos įkainis, EUR be PVM</w:t>
            </w:r>
          </w:p>
        </w:tc>
        <w:tc>
          <w:tcPr>
            <w:tcW w:w="953" w:type="pct"/>
            <w:shd w:val="clear" w:color="auto" w:fill="F2F2F2" w:themeFill="background1" w:themeFillShade="F2"/>
            <w:vAlign w:val="center"/>
          </w:tcPr>
          <w:p w14:paraId="3ABF9760" w14:textId="77777777" w:rsidR="00794499" w:rsidRPr="00794499" w:rsidRDefault="00794499" w:rsidP="00794499">
            <w:pPr>
              <w:jc w:val="center"/>
              <w:rPr>
                <w:rFonts w:asciiTheme="minorHAnsi" w:hAnsiTheme="minorHAnsi" w:cstheme="minorHAnsi"/>
                <w:b/>
                <w:bCs/>
              </w:rPr>
            </w:pPr>
            <w:r w:rsidRPr="00794499">
              <w:rPr>
                <w:rFonts w:asciiTheme="minorHAnsi" w:hAnsiTheme="minorHAnsi" w:cstheme="minorHAnsi"/>
                <w:b/>
                <w:bCs/>
              </w:rPr>
              <w:t>Vieno</w:t>
            </w:r>
            <w:r w:rsidR="00607EB6">
              <w:rPr>
                <w:rFonts w:asciiTheme="minorHAnsi" w:hAnsiTheme="minorHAnsi" w:cstheme="minorHAnsi"/>
                <w:b/>
                <w:bCs/>
              </w:rPr>
              <w:t>s</w:t>
            </w:r>
            <w:r w:rsidRPr="00794499">
              <w:rPr>
                <w:rFonts w:asciiTheme="minorHAnsi" w:hAnsiTheme="minorHAnsi" w:cstheme="minorHAnsi"/>
                <w:b/>
                <w:bCs/>
              </w:rPr>
              <w:t xml:space="preserve"> paslaugos įkainis, EUR su PVM</w:t>
            </w:r>
            <w:r>
              <w:rPr>
                <w:rFonts w:asciiTheme="minorHAnsi" w:hAnsiTheme="minorHAnsi" w:cstheme="minorHAnsi"/>
                <w:b/>
                <w:bCs/>
              </w:rPr>
              <w:t>*</w:t>
            </w:r>
          </w:p>
          <w:p w14:paraId="631F1025" w14:textId="77777777" w:rsidR="00A55AE1" w:rsidRPr="00794499" w:rsidRDefault="00A55AE1" w:rsidP="001321A7">
            <w:pPr>
              <w:jc w:val="center"/>
              <w:rPr>
                <w:rFonts w:asciiTheme="minorHAnsi" w:hAnsiTheme="minorHAnsi" w:cstheme="minorHAnsi"/>
                <w:b/>
                <w:bCs/>
              </w:rPr>
            </w:pPr>
          </w:p>
        </w:tc>
      </w:tr>
      <w:tr w:rsidR="00794499" w:rsidRPr="00794499" w14:paraId="21223F22" w14:textId="77777777" w:rsidTr="00607EB6">
        <w:trPr>
          <w:trHeight w:val="296"/>
        </w:trPr>
        <w:tc>
          <w:tcPr>
            <w:tcW w:w="368" w:type="pct"/>
            <w:shd w:val="clear" w:color="auto" w:fill="auto"/>
            <w:vAlign w:val="center"/>
          </w:tcPr>
          <w:p w14:paraId="60817F99" w14:textId="77777777" w:rsidR="00A55AE1" w:rsidRPr="00794499" w:rsidRDefault="00A55AE1" w:rsidP="00591B0A">
            <w:pPr>
              <w:jc w:val="center"/>
              <w:rPr>
                <w:rFonts w:asciiTheme="minorHAnsi" w:hAnsiTheme="minorHAnsi" w:cstheme="minorHAnsi"/>
              </w:rPr>
            </w:pPr>
            <w:r w:rsidRPr="00794499">
              <w:rPr>
                <w:rFonts w:asciiTheme="minorHAnsi" w:hAnsiTheme="minorHAnsi" w:cstheme="minorHAnsi"/>
              </w:rPr>
              <w:t>1</w:t>
            </w:r>
          </w:p>
        </w:tc>
        <w:tc>
          <w:tcPr>
            <w:tcW w:w="1911" w:type="pct"/>
            <w:shd w:val="clear" w:color="auto" w:fill="auto"/>
            <w:vAlign w:val="center"/>
          </w:tcPr>
          <w:p w14:paraId="630905B1" w14:textId="77777777" w:rsidR="00A55AE1" w:rsidRPr="00794499" w:rsidRDefault="00A55AE1" w:rsidP="00591B0A">
            <w:pPr>
              <w:autoSpaceDE w:val="0"/>
              <w:autoSpaceDN w:val="0"/>
              <w:jc w:val="center"/>
              <w:rPr>
                <w:rFonts w:asciiTheme="minorHAnsi" w:hAnsiTheme="minorHAnsi" w:cstheme="minorHAnsi"/>
              </w:rPr>
            </w:pPr>
            <w:r w:rsidRPr="00794499">
              <w:rPr>
                <w:rFonts w:asciiTheme="minorHAnsi" w:hAnsiTheme="minorHAnsi" w:cstheme="minorHAnsi"/>
                <w:color w:val="000000"/>
                <w:lang w:eastAsia="lt-LT"/>
              </w:rPr>
              <w:t>2</w:t>
            </w:r>
          </w:p>
        </w:tc>
        <w:tc>
          <w:tcPr>
            <w:tcW w:w="886" w:type="pct"/>
          </w:tcPr>
          <w:p w14:paraId="6C2C53D4" w14:textId="77777777" w:rsidR="00A55AE1" w:rsidRPr="00794499" w:rsidRDefault="00A55AE1" w:rsidP="00591B0A">
            <w:pPr>
              <w:jc w:val="center"/>
              <w:rPr>
                <w:rFonts w:asciiTheme="minorHAnsi" w:hAnsiTheme="minorHAnsi" w:cstheme="minorHAnsi"/>
              </w:rPr>
            </w:pPr>
            <w:r w:rsidRPr="00794499">
              <w:rPr>
                <w:rFonts w:asciiTheme="minorHAnsi" w:hAnsiTheme="minorHAnsi" w:cstheme="minorHAnsi"/>
              </w:rPr>
              <w:t>3</w:t>
            </w:r>
          </w:p>
        </w:tc>
        <w:tc>
          <w:tcPr>
            <w:tcW w:w="882" w:type="pct"/>
          </w:tcPr>
          <w:p w14:paraId="7B98E7DE" w14:textId="77777777" w:rsidR="00A55AE1" w:rsidRPr="00794499" w:rsidRDefault="00A55AE1" w:rsidP="00A55AE1">
            <w:pPr>
              <w:jc w:val="center"/>
              <w:rPr>
                <w:rFonts w:asciiTheme="minorHAnsi" w:hAnsiTheme="minorHAnsi" w:cstheme="minorHAnsi"/>
              </w:rPr>
            </w:pPr>
            <w:r w:rsidRPr="00794499">
              <w:rPr>
                <w:rFonts w:asciiTheme="minorHAnsi" w:hAnsiTheme="minorHAnsi" w:cstheme="minorHAnsi"/>
              </w:rPr>
              <w:t>4</w:t>
            </w:r>
          </w:p>
        </w:tc>
        <w:tc>
          <w:tcPr>
            <w:tcW w:w="953" w:type="pct"/>
          </w:tcPr>
          <w:p w14:paraId="34043998" w14:textId="77777777" w:rsidR="00A55AE1" w:rsidRPr="00794499" w:rsidRDefault="00A55AE1" w:rsidP="00591B0A">
            <w:pPr>
              <w:jc w:val="center"/>
              <w:rPr>
                <w:rFonts w:asciiTheme="minorHAnsi" w:hAnsiTheme="minorHAnsi" w:cstheme="minorHAnsi"/>
              </w:rPr>
            </w:pPr>
            <w:r w:rsidRPr="00794499">
              <w:rPr>
                <w:rFonts w:asciiTheme="minorHAnsi" w:hAnsiTheme="minorHAnsi" w:cstheme="minorHAnsi"/>
              </w:rPr>
              <w:t>5</w:t>
            </w:r>
          </w:p>
        </w:tc>
      </w:tr>
      <w:tr w:rsidR="00607EB6" w:rsidRPr="00794499" w14:paraId="5916FED5" w14:textId="77777777" w:rsidTr="00607EB6">
        <w:trPr>
          <w:trHeight w:val="309"/>
        </w:trPr>
        <w:tc>
          <w:tcPr>
            <w:tcW w:w="368" w:type="pct"/>
            <w:shd w:val="clear" w:color="auto" w:fill="auto"/>
            <w:vAlign w:val="center"/>
          </w:tcPr>
          <w:p w14:paraId="39DCB6B2" w14:textId="77777777" w:rsidR="00A55AE1" w:rsidRPr="003731D7" w:rsidRDefault="00A55AE1" w:rsidP="00591B0A">
            <w:pPr>
              <w:jc w:val="center"/>
              <w:rPr>
                <w:rFonts w:asciiTheme="minorHAnsi" w:hAnsiTheme="minorHAnsi" w:cstheme="minorHAnsi"/>
              </w:rPr>
            </w:pPr>
            <w:r w:rsidRPr="003731D7">
              <w:rPr>
                <w:rFonts w:asciiTheme="minorHAnsi" w:hAnsiTheme="minorHAnsi" w:cstheme="minorHAnsi"/>
              </w:rPr>
              <w:t>1.</w:t>
            </w:r>
          </w:p>
        </w:tc>
        <w:tc>
          <w:tcPr>
            <w:tcW w:w="1911" w:type="pct"/>
            <w:shd w:val="clear" w:color="auto" w:fill="auto"/>
            <w:vAlign w:val="center"/>
          </w:tcPr>
          <w:p w14:paraId="63599F1B" w14:textId="77777777" w:rsidR="00A55AE1" w:rsidRPr="003731D7" w:rsidRDefault="00A55AE1" w:rsidP="006B17A0">
            <w:pPr>
              <w:tabs>
                <w:tab w:val="left" w:pos="567"/>
              </w:tabs>
              <w:jc w:val="both"/>
              <w:rPr>
                <w:rFonts w:asciiTheme="minorHAnsi" w:hAnsiTheme="minorHAnsi" w:cstheme="minorHAnsi"/>
              </w:rPr>
            </w:pPr>
            <w:r w:rsidRPr="003731D7">
              <w:rPr>
                <w:rFonts w:asciiTheme="minorHAnsi" w:hAnsiTheme="minorHAnsi" w:cstheme="minorHAnsi"/>
              </w:rPr>
              <w:t>Dokumentų valdymo bendrosios informacinės sistemos mobiliojo elektroninio parašo infrastruktūros paslaugos</w:t>
            </w:r>
          </w:p>
        </w:tc>
        <w:tc>
          <w:tcPr>
            <w:tcW w:w="886" w:type="pct"/>
          </w:tcPr>
          <w:p w14:paraId="0039C3DA" w14:textId="77777777" w:rsidR="00A55AE1" w:rsidRPr="003731D7" w:rsidRDefault="00A55AE1" w:rsidP="00591B0A">
            <w:pPr>
              <w:jc w:val="center"/>
              <w:rPr>
                <w:rFonts w:asciiTheme="minorHAnsi" w:hAnsiTheme="minorHAnsi" w:cstheme="minorHAnsi"/>
              </w:rPr>
            </w:pPr>
            <w:r w:rsidRPr="003731D7">
              <w:rPr>
                <w:rFonts w:asciiTheme="minorHAnsi" w:hAnsiTheme="minorHAnsi" w:cstheme="minorHAnsi"/>
              </w:rPr>
              <w:t xml:space="preserve">14 000 </w:t>
            </w:r>
          </w:p>
        </w:tc>
        <w:tc>
          <w:tcPr>
            <w:tcW w:w="882" w:type="pct"/>
          </w:tcPr>
          <w:p w14:paraId="431B2B08" w14:textId="1CFB34AA" w:rsidR="00A55AE1" w:rsidRPr="003731D7" w:rsidRDefault="00F9173B" w:rsidP="00591B0A">
            <w:pPr>
              <w:jc w:val="center"/>
              <w:rPr>
                <w:rFonts w:asciiTheme="minorHAnsi" w:hAnsiTheme="minorHAnsi" w:cstheme="minorHAnsi"/>
              </w:rPr>
            </w:pPr>
            <w:r w:rsidRPr="003731D7">
              <w:rPr>
                <w:rFonts w:asciiTheme="minorHAnsi" w:hAnsiTheme="minorHAnsi" w:cstheme="minorHAnsi"/>
              </w:rPr>
              <w:t>0,03</w:t>
            </w:r>
          </w:p>
        </w:tc>
        <w:tc>
          <w:tcPr>
            <w:tcW w:w="953" w:type="pct"/>
          </w:tcPr>
          <w:p w14:paraId="044EAB87" w14:textId="27829950" w:rsidR="00A55AE1" w:rsidRPr="00794499" w:rsidRDefault="00F9173B" w:rsidP="00591B0A">
            <w:pPr>
              <w:jc w:val="center"/>
              <w:rPr>
                <w:rFonts w:asciiTheme="minorHAnsi" w:hAnsiTheme="minorHAnsi" w:cstheme="minorHAnsi"/>
              </w:rPr>
            </w:pPr>
            <w:r w:rsidRPr="003731D7">
              <w:rPr>
                <w:rFonts w:asciiTheme="minorHAnsi" w:hAnsiTheme="minorHAnsi" w:cstheme="minorHAnsi"/>
              </w:rPr>
              <w:t>0,036</w:t>
            </w:r>
            <w:r w:rsidR="000C4A39" w:rsidRPr="003731D7">
              <w:rPr>
                <w:rFonts w:asciiTheme="minorHAnsi" w:hAnsiTheme="minorHAnsi" w:cstheme="minorHAnsi"/>
              </w:rPr>
              <w:t>3</w:t>
            </w:r>
          </w:p>
        </w:tc>
      </w:tr>
    </w:tbl>
    <w:p w14:paraId="623B1256" w14:textId="77777777" w:rsidR="00F05AED" w:rsidRPr="006B17A0" w:rsidRDefault="00F05AED" w:rsidP="00F05AED">
      <w:pPr>
        <w:jc w:val="both"/>
        <w:rPr>
          <w:rFonts w:asciiTheme="minorHAnsi" w:hAnsiTheme="minorHAnsi" w:cstheme="minorHAnsi"/>
        </w:rPr>
      </w:pPr>
      <w:r w:rsidRPr="006B17A0">
        <w:rPr>
          <w:rFonts w:asciiTheme="minorHAnsi" w:hAnsiTheme="minorHAnsi" w:cstheme="minorHAnsi"/>
        </w:rPr>
        <w:t>*</w:t>
      </w:r>
      <w:r w:rsidR="00AD5C0F" w:rsidRPr="006B17A0">
        <w:rPr>
          <w:rFonts w:asciiTheme="minorHAnsi" w:hAnsiTheme="minorHAnsi" w:cstheme="minorHAnsi"/>
        </w:rPr>
        <w:t>Į Pasiūlymo (sutarties) kainą įskaitomi visi mokesčiai ir rinkliavos bei kitos išlaidos (taip pat ir sąskaitų faktūrų teikimo elektroniniu būdu išlaidos), susijusios su Sutarties vykdymu.</w:t>
      </w:r>
      <w:r w:rsidRPr="006B17A0">
        <w:rPr>
          <w:rFonts w:asciiTheme="minorHAnsi" w:hAnsiTheme="minorHAnsi" w:cstheme="minorHAnsi"/>
        </w:rPr>
        <w:t xml:space="preserve"> Tiekėjas turi nurodyti kainą Eur su PVM, jei jis yra PVM mokėtojas arba Eur be PVM, jei tiekėjas yra ne PVM mokėtojas. </w:t>
      </w:r>
      <w:r w:rsidR="00607EB6">
        <w:rPr>
          <w:rFonts w:asciiTheme="minorHAnsi" w:hAnsiTheme="minorHAnsi" w:cstheme="minorHAnsi"/>
        </w:rPr>
        <w:t xml:space="preserve"> </w:t>
      </w:r>
    </w:p>
    <w:p w14:paraId="0F3B48BC" w14:textId="77777777" w:rsidR="00AD5C0F" w:rsidRPr="008E50E1" w:rsidRDefault="00AD5C0F" w:rsidP="00F05AED"/>
    <w:p w14:paraId="7061FF74" w14:textId="77777777" w:rsidR="00A33218" w:rsidRPr="00A33218" w:rsidRDefault="00A33218" w:rsidP="00A33218">
      <w:pPr>
        <w:jc w:val="both"/>
        <w:rPr>
          <w:szCs w:val="24"/>
        </w:rPr>
      </w:pPr>
      <w:r w:rsidRPr="00A33218">
        <w:rPr>
          <w:szCs w:val="24"/>
        </w:rPr>
        <w:t xml:space="preserve">Sutarties vertė bus lygi maksimaliai pirkimui skirtai lėšų sumai </w:t>
      </w:r>
      <w:r w:rsidRPr="00A33218">
        <w:t xml:space="preserve">nurodytai </w:t>
      </w:r>
      <w:r w:rsidRPr="00A33218">
        <w:rPr>
          <w:szCs w:val="24"/>
        </w:rPr>
        <w:t>pirkimo dokumentuose paslaugų įsigijimui, teikėjo pasiūlyme nurodytais įkainiais.</w:t>
      </w:r>
      <w:r w:rsidRPr="00A33218">
        <w:t xml:space="preserve"> </w:t>
      </w:r>
    </w:p>
    <w:p w14:paraId="7A91F6F4" w14:textId="77777777" w:rsidR="00B46A6F" w:rsidRPr="00A33218" w:rsidRDefault="00B46A6F" w:rsidP="00B46A6F">
      <w:pPr>
        <w:jc w:val="both"/>
        <w:rPr>
          <w:rFonts w:ascii="Calibri Light" w:hAnsi="Calibri Light" w:cs="Calibri Light"/>
        </w:rPr>
      </w:pPr>
    </w:p>
    <w:tbl>
      <w:tblPr>
        <w:tblW w:w="0" w:type="auto"/>
        <w:tblLook w:val="04A0" w:firstRow="1" w:lastRow="0" w:firstColumn="1" w:lastColumn="0" w:noHBand="0" w:noVBand="1"/>
      </w:tblPr>
      <w:tblGrid>
        <w:gridCol w:w="2816"/>
        <w:gridCol w:w="6822"/>
      </w:tblGrid>
      <w:tr w:rsidR="00B46A6F" w:rsidRPr="0016343C" w14:paraId="4BC93926" w14:textId="77777777" w:rsidTr="00591B0A">
        <w:tc>
          <w:tcPr>
            <w:tcW w:w="2816" w:type="dxa"/>
            <w:shd w:val="clear" w:color="auto" w:fill="auto"/>
          </w:tcPr>
          <w:p w14:paraId="4CBBEB8C" w14:textId="77777777" w:rsidR="00B46A6F" w:rsidRPr="003731D7" w:rsidRDefault="00B46A6F" w:rsidP="00591B0A">
            <w:pPr>
              <w:contextualSpacing/>
              <w:jc w:val="both"/>
              <w:rPr>
                <w:rFonts w:ascii="Calibri Light" w:eastAsia="Calibri" w:hAnsi="Calibri Light" w:cs="Calibri Light"/>
                <w:i/>
              </w:rPr>
            </w:pPr>
            <w:r w:rsidRPr="003731D7">
              <w:rPr>
                <w:rStyle w:val="Emfaz"/>
                <w:rFonts w:ascii="Calibri Light" w:eastAsia="Calibri" w:hAnsi="Calibri Light" w:cs="Calibri Light"/>
                <w:b/>
                <w:bCs/>
                <w:shd w:val="clear" w:color="auto" w:fill="FFFFFF"/>
              </w:rPr>
              <w:t>Taikomas PVM dydis (%):</w:t>
            </w:r>
          </w:p>
        </w:tc>
        <w:tc>
          <w:tcPr>
            <w:tcW w:w="6822" w:type="dxa"/>
            <w:tcBorders>
              <w:bottom w:val="single" w:sz="4" w:space="0" w:color="auto"/>
            </w:tcBorders>
            <w:shd w:val="clear" w:color="auto" w:fill="auto"/>
            <w:vAlign w:val="center"/>
          </w:tcPr>
          <w:p w14:paraId="60482BE7" w14:textId="5EF92039" w:rsidR="00B46A6F" w:rsidRPr="003731D7" w:rsidRDefault="00BF0C94" w:rsidP="00591B0A">
            <w:pPr>
              <w:contextualSpacing/>
              <w:jc w:val="both"/>
              <w:rPr>
                <w:rFonts w:ascii="Calibri Light" w:eastAsia="Calibri" w:hAnsi="Calibri Light" w:cs="Calibri Light"/>
              </w:rPr>
            </w:pPr>
            <w:r w:rsidRPr="003731D7">
              <w:rPr>
                <w:rFonts w:ascii="Calibri Light" w:eastAsia="Calibri" w:hAnsi="Calibri Light" w:cs="Calibri Light"/>
                <w:i/>
                <w:color w:val="000000"/>
              </w:rPr>
              <w:t>21 %</w:t>
            </w:r>
          </w:p>
        </w:tc>
      </w:tr>
      <w:tr w:rsidR="00B46A6F" w:rsidRPr="003731D7" w14:paraId="2E9C0A76" w14:textId="77777777" w:rsidTr="00591B0A">
        <w:tc>
          <w:tcPr>
            <w:tcW w:w="2816" w:type="dxa"/>
            <w:shd w:val="clear" w:color="auto" w:fill="auto"/>
          </w:tcPr>
          <w:p w14:paraId="01A246CB" w14:textId="77777777" w:rsidR="00B46A6F" w:rsidRPr="003731D7" w:rsidRDefault="00B46A6F" w:rsidP="00591B0A">
            <w:pPr>
              <w:contextualSpacing/>
              <w:jc w:val="both"/>
              <w:rPr>
                <w:rStyle w:val="Emfaz"/>
                <w:rFonts w:ascii="Calibri Light" w:eastAsia="Calibri" w:hAnsi="Calibri Light" w:cs="Calibri Light"/>
                <w:b/>
                <w:bCs/>
                <w:i w:val="0"/>
                <w:iCs/>
                <w:shd w:val="clear" w:color="auto" w:fill="FFFFFF"/>
              </w:rPr>
            </w:pPr>
            <w:r w:rsidRPr="003731D7">
              <w:rPr>
                <w:rStyle w:val="Emfaz"/>
                <w:rFonts w:ascii="Calibri Light" w:eastAsia="Calibri" w:hAnsi="Calibri Light" w:cs="Calibri Light"/>
                <w:b/>
                <w:bCs/>
                <w:shd w:val="clear" w:color="auto" w:fill="FFFFFF"/>
              </w:rPr>
              <w:lastRenderedPageBreak/>
              <w:t>PVM</w:t>
            </w:r>
            <w:r w:rsidRPr="003731D7">
              <w:rPr>
                <w:rStyle w:val="apple-converted-space"/>
                <w:rFonts w:ascii="Calibri Light" w:eastAsia="Calibri" w:hAnsi="Calibri Light" w:cs="Calibri Light"/>
                <w:b/>
                <w:shd w:val="clear" w:color="auto" w:fill="FFFFFF"/>
              </w:rPr>
              <w:t> lengvatos/</w:t>
            </w:r>
            <w:r w:rsidRPr="003731D7">
              <w:rPr>
                <w:rFonts w:ascii="Calibri Light" w:eastAsia="Calibri" w:hAnsi="Calibri Light" w:cs="Calibri Light"/>
                <w:b/>
                <w:i/>
                <w:shd w:val="clear" w:color="auto" w:fill="FFFFFF"/>
              </w:rPr>
              <w:t>nemokėjimo teisinis</w:t>
            </w:r>
            <w:r w:rsidRPr="003731D7">
              <w:rPr>
                <w:rStyle w:val="apple-converted-space"/>
                <w:rFonts w:ascii="Calibri Light" w:eastAsia="Calibri" w:hAnsi="Calibri Light" w:cs="Calibri Light"/>
                <w:b/>
                <w:shd w:val="clear" w:color="auto" w:fill="FFFFFF"/>
              </w:rPr>
              <w:t> </w:t>
            </w:r>
            <w:r w:rsidRPr="003731D7">
              <w:rPr>
                <w:rStyle w:val="Emfaz"/>
                <w:rFonts w:ascii="Calibri Light" w:eastAsia="Calibri" w:hAnsi="Calibri Light" w:cs="Calibri Light"/>
                <w:b/>
                <w:bCs/>
                <w:shd w:val="clear" w:color="auto" w:fill="FFFFFF"/>
              </w:rPr>
              <w:t>pagrindas [jei taikoma]:</w:t>
            </w:r>
          </w:p>
        </w:tc>
        <w:tc>
          <w:tcPr>
            <w:tcW w:w="6822" w:type="dxa"/>
            <w:tcBorders>
              <w:top w:val="single" w:sz="4" w:space="0" w:color="auto"/>
              <w:bottom w:val="single" w:sz="4" w:space="0" w:color="auto"/>
            </w:tcBorders>
            <w:shd w:val="clear" w:color="auto" w:fill="auto"/>
            <w:vAlign w:val="center"/>
          </w:tcPr>
          <w:p w14:paraId="49828102" w14:textId="7CBA035F" w:rsidR="00B46A6F" w:rsidRPr="003731D7" w:rsidRDefault="00BF0C94" w:rsidP="00591B0A">
            <w:pPr>
              <w:contextualSpacing/>
              <w:jc w:val="both"/>
              <w:rPr>
                <w:rFonts w:ascii="Calibri Light" w:eastAsia="Calibri" w:hAnsi="Calibri Light" w:cs="Calibri Light"/>
              </w:rPr>
            </w:pPr>
            <w:r w:rsidRPr="003731D7">
              <w:rPr>
                <w:rFonts w:ascii="Calibri Light" w:eastAsia="Calibri" w:hAnsi="Calibri Light" w:cs="Calibri Light"/>
                <w:i/>
                <w:color w:val="000000"/>
              </w:rPr>
              <w:t>-</w:t>
            </w:r>
          </w:p>
        </w:tc>
      </w:tr>
      <w:tr w:rsidR="00B46A6F" w:rsidRPr="0047702F" w14:paraId="7607B15B" w14:textId="77777777" w:rsidTr="00591B0A">
        <w:tc>
          <w:tcPr>
            <w:tcW w:w="2816" w:type="dxa"/>
            <w:shd w:val="clear" w:color="auto" w:fill="auto"/>
          </w:tcPr>
          <w:p w14:paraId="334A22EA" w14:textId="77777777" w:rsidR="00B46A6F" w:rsidRPr="003731D7" w:rsidRDefault="00B46A6F" w:rsidP="00591B0A">
            <w:pPr>
              <w:contextualSpacing/>
              <w:jc w:val="both"/>
              <w:rPr>
                <w:rStyle w:val="Emfaz"/>
                <w:rFonts w:ascii="Calibri Light" w:eastAsia="Calibri" w:hAnsi="Calibri Light" w:cs="Calibri Light"/>
                <w:b/>
                <w:bCs/>
                <w:i w:val="0"/>
                <w:shd w:val="clear" w:color="auto" w:fill="FFFFFF"/>
              </w:rPr>
            </w:pPr>
            <w:r w:rsidRPr="003731D7">
              <w:rPr>
                <w:rStyle w:val="Emfaz"/>
                <w:rFonts w:ascii="Calibri Light" w:eastAsia="Calibri" w:hAnsi="Calibri Light" w:cs="Calibri Light"/>
                <w:b/>
                <w:bCs/>
                <w:shd w:val="clear" w:color="auto" w:fill="FFFFFF"/>
              </w:rPr>
              <w:t>Pasiūlymo kaina žodžiais:</w:t>
            </w:r>
          </w:p>
        </w:tc>
        <w:tc>
          <w:tcPr>
            <w:tcW w:w="6822" w:type="dxa"/>
            <w:tcBorders>
              <w:top w:val="single" w:sz="4" w:space="0" w:color="auto"/>
              <w:bottom w:val="single" w:sz="4" w:space="0" w:color="auto"/>
            </w:tcBorders>
            <w:shd w:val="clear" w:color="auto" w:fill="auto"/>
            <w:vAlign w:val="center"/>
          </w:tcPr>
          <w:p w14:paraId="3E2A40E0" w14:textId="68D20A6F" w:rsidR="00B46A6F" w:rsidRPr="0047702F" w:rsidRDefault="001973B2" w:rsidP="00591B0A">
            <w:pPr>
              <w:contextualSpacing/>
              <w:jc w:val="both"/>
              <w:rPr>
                <w:rFonts w:ascii="Calibri Light" w:eastAsia="Calibri" w:hAnsi="Calibri Light" w:cs="Calibri Light"/>
              </w:rPr>
            </w:pPr>
            <w:r w:rsidRPr="001973B2">
              <w:rPr>
                <w:rFonts w:ascii="Calibri Light" w:eastAsia="Calibri" w:hAnsi="Calibri Light" w:cs="Calibri Light"/>
                <w:i/>
                <w:color w:val="000000"/>
              </w:rPr>
              <w:t>0,0363</w:t>
            </w:r>
            <w:r w:rsidR="00D34CC7">
              <w:rPr>
                <w:rFonts w:ascii="Calibri Light" w:eastAsia="Calibri" w:hAnsi="Calibri Light" w:cs="Calibri Light"/>
                <w:i/>
                <w:color w:val="000000"/>
              </w:rPr>
              <w:t xml:space="preserve"> Eur:</w:t>
            </w:r>
            <w:r>
              <w:rPr>
                <w:rFonts w:ascii="Calibri Light" w:eastAsia="Calibri" w:hAnsi="Calibri Light" w:cs="Calibri Light"/>
                <w:i/>
                <w:color w:val="000000"/>
              </w:rPr>
              <w:t xml:space="preserve"> nulis eurų ir </w:t>
            </w:r>
            <w:r w:rsidR="00370999">
              <w:rPr>
                <w:rFonts w:ascii="Calibri Light" w:eastAsia="Calibri" w:hAnsi="Calibri Light" w:cs="Calibri Light"/>
                <w:i/>
                <w:color w:val="000000"/>
              </w:rPr>
              <w:t>3,63 centų su PVM</w:t>
            </w:r>
          </w:p>
        </w:tc>
      </w:tr>
    </w:tbl>
    <w:p w14:paraId="202BE40D" w14:textId="77777777" w:rsidR="00B46A6F" w:rsidRDefault="00B46A6F" w:rsidP="00B46A6F">
      <w:pPr>
        <w:jc w:val="both"/>
        <w:rPr>
          <w:rFonts w:ascii="Calibri Light" w:hAnsi="Calibri Light" w:cs="Calibri Light"/>
        </w:rPr>
      </w:pPr>
    </w:p>
    <w:p w14:paraId="4ED88117" w14:textId="77777777" w:rsidR="001321A7" w:rsidRPr="0047702F" w:rsidRDefault="001321A7" w:rsidP="00B46A6F">
      <w:pPr>
        <w:jc w:val="both"/>
        <w:rPr>
          <w:rFonts w:ascii="Calibri Light" w:hAnsi="Calibri Light" w:cs="Calibri Light"/>
        </w:rPr>
      </w:pPr>
    </w:p>
    <w:p w14:paraId="62DD3C4D" w14:textId="77777777" w:rsidR="00B46A6F" w:rsidRPr="0047702F" w:rsidRDefault="00B46A6F" w:rsidP="00B46A6F">
      <w:pPr>
        <w:jc w:val="both"/>
        <w:outlineLvl w:val="0"/>
        <w:rPr>
          <w:rFonts w:ascii="Calibri Light" w:hAnsi="Calibri Light" w:cs="Calibri Light"/>
          <w:iCs/>
        </w:rPr>
      </w:pPr>
      <w:r w:rsidRPr="0047702F">
        <w:rPr>
          <w:rFonts w:ascii="Calibri Light" w:hAnsi="Calibri Light" w:cs="Calibri Light"/>
          <w:b/>
        </w:rPr>
        <w:t xml:space="preserve">Pastaba. </w:t>
      </w:r>
      <w:r w:rsidRPr="0047702F">
        <w:rPr>
          <w:rFonts w:ascii="Calibri Light" w:hAnsi="Calibri Light" w:cs="Calibri Light"/>
        </w:rPr>
        <w:t>Organizatorius su tiekėjais gali derėtis dėl kainos ar kitų pasiūlymų sąlygų. Organizatorius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paslaugų teikėjo ir siūlo pateikti galutinius pasiūlymus. Galutinių pasiūlymų pateikimo terminą nustato organizatorius. Nugalėtoju pripažįstamas tas paslaugų teikėjas, kuris pasiūlė ekonomiškai naudingiausią galutinį pasiūlymą.</w:t>
      </w:r>
    </w:p>
    <w:p w14:paraId="5C5F33DB" w14:textId="77777777" w:rsidR="001321A7" w:rsidRDefault="00C36E59" w:rsidP="006B17A0">
      <w:pPr>
        <w:tabs>
          <w:tab w:val="left" w:pos="851"/>
        </w:tabs>
        <w:jc w:val="center"/>
        <w:rPr>
          <w:rFonts w:asciiTheme="minorHAnsi" w:hAnsiTheme="minorHAnsi" w:cstheme="minorHAnsi"/>
        </w:rPr>
      </w:pPr>
      <w:r w:rsidRPr="0047702F">
        <w:rPr>
          <w:rFonts w:ascii="Calibri Light" w:hAnsi="Calibri Light" w:cs="Calibri Light"/>
          <w:b/>
        </w:rPr>
        <w:t xml:space="preserve"> </w:t>
      </w:r>
    </w:p>
    <w:p w14:paraId="4B554940" w14:textId="77777777" w:rsidR="00A55AE1" w:rsidRDefault="00E31C17" w:rsidP="00E31C17">
      <w:pPr>
        <w:spacing w:before="60" w:after="60"/>
        <w:jc w:val="center"/>
        <w:rPr>
          <w:rFonts w:asciiTheme="minorHAnsi" w:eastAsia="Times New Roman" w:hAnsiTheme="minorHAnsi" w:cstheme="minorHAnsi"/>
          <w:b/>
        </w:rPr>
      </w:pPr>
      <w:r w:rsidRPr="006B17A0">
        <w:rPr>
          <w:rFonts w:asciiTheme="minorHAnsi" w:eastAsia="Times New Roman" w:hAnsiTheme="minorHAnsi" w:cstheme="minorHAnsi"/>
          <w:b/>
        </w:rPr>
        <w:t xml:space="preserve">DOKUMENTŲ VALDYMO BENDROSIOS INFORMACINĖS SISTEMOS </w:t>
      </w:r>
    </w:p>
    <w:p w14:paraId="21E7FD49" w14:textId="77777777" w:rsidR="00E31C17" w:rsidRPr="006B17A0" w:rsidRDefault="00E31C17" w:rsidP="00E31C17">
      <w:pPr>
        <w:spacing w:before="60" w:after="60"/>
        <w:jc w:val="center"/>
        <w:rPr>
          <w:rFonts w:asciiTheme="minorHAnsi" w:eastAsia="Times New Roman" w:hAnsiTheme="minorHAnsi" w:cstheme="minorHAnsi"/>
          <w:b/>
        </w:rPr>
      </w:pPr>
      <w:r w:rsidRPr="006B17A0">
        <w:rPr>
          <w:rFonts w:asciiTheme="minorHAnsi" w:eastAsia="Times New Roman" w:hAnsiTheme="minorHAnsi" w:cstheme="minorHAnsi"/>
          <w:b/>
        </w:rPr>
        <w:t>MOBILIOJO ELEKTRONINIO PARAŠO INFRASTRUKTŪROS PASLAUGŲ PIRKIMO UŽDUOTIS</w:t>
      </w:r>
    </w:p>
    <w:p w14:paraId="5BEC959C" w14:textId="77777777" w:rsidR="00E31C17" w:rsidRPr="006B17A0" w:rsidRDefault="00E31C17" w:rsidP="00E31C17">
      <w:pPr>
        <w:spacing w:before="60" w:after="60"/>
        <w:jc w:val="center"/>
        <w:rPr>
          <w:rFonts w:asciiTheme="minorHAnsi" w:eastAsia="Times New Roman" w:hAnsiTheme="minorHAnsi" w:cstheme="minorHAnsi"/>
          <w:b/>
        </w:rPr>
      </w:pPr>
    </w:p>
    <w:p w14:paraId="1E347570" w14:textId="77777777" w:rsidR="00E31C17" w:rsidRPr="006B17A0" w:rsidRDefault="00E31C17" w:rsidP="00E31C17">
      <w:pPr>
        <w:pStyle w:val="Sraopastraipa"/>
        <w:numPr>
          <w:ilvl w:val="0"/>
          <w:numId w:val="4"/>
        </w:numPr>
        <w:tabs>
          <w:tab w:val="left" w:pos="426"/>
        </w:tabs>
        <w:spacing w:before="60" w:after="60"/>
        <w:ind w:left="0" w:firstLine="0"/>
        <w:contextualSpacing w:val="0"/>
        <w:jc w:val="center"/>
        <w:rPr>
          <w:rFonts w:asciiTheme="minorHAnsi" w:hAnsiTheme="minorHAnsi" w:cstheme="minorHAnsi"/>
          <w:b/>
          <w:sz w:val="22"/>
          <w:szCs w:val="22"/>
        </w:rPr>
      </w:pPr>
      <w:r w:rsidRPr="006B17A0">
        <w:rPr>
          <w:rFonts w:asciiTheme="minorHAnsi" w:hAnsiTheme="minorHAnsi" w:cstheme="minorHAnsi"/>
          <w:b/>
          <w:sz w:val="22"/>
          <w:szCs w:val="22"/>
        </w:rPr>
        <w:t>BENDROSIOS NUOSTATOS</w:t>
      </w:r>
    </w:p>
    <w:p w14:paraId="5D8A1583" w14:textId="77777777" w:rsidR="00E31C17" w:rsidRPr="006B17A0" w:rsidRDefault="00E31C17" w:rsidP="00E31C17">
      <w:pPr>
        <w:pStyle w:val="Sraopastraipa"/>
        <w:spacing w:before="60" w:after="60"/>
        <w:ind w:left="1800"/>
        <w:rPr>
          <w:rFonts w:asciiTheme="minorHAnsi" w:hAnsiTheme="minorHAnsi" w:cstheme="minorHAnsi"/>
          <w:b/>
          <w:sz w:val="22"/>
          <w:szCs w:val="22"/>
        </w:rPr>
      </w:pPr>
    </w:p>
    <w:p w14:paraId="15683BE7"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Pirkimo tikslas – mobiliojo elektroninio parašo infrastruktūros paslaugų, skirtų užtikrinti galimybę pasirašyti ADOC V-1.0 elektroninius dokumentus kvalifikuotu mobiliuoju el. parašu Dokumentų valdymo bendrojoje informacinėje sistemoje (toliau – DBSIS) teikimas iki 2022 m. gruodžio 31 d.</w:t>
      </w:r>
    </w:p>
    <w:p w14:paraId="5ACEC351" w14:textId="77777777" w:rsidR="00E31C17" w:rsidRPr="006B17A0" w:rsidRDefault="00E31C17" w:rsidP="00E31C17">
      <w:pPr>
        <w:pStyle w:val="Sraopastraipa"/>
        <w:spacing w:before="60" w:after="60"/>
        <w:ind w:left="709"/>
        <w:jc w:val="both"/>
        <w:rPr>
          <w:rFonts w:asciiTheme="minorHAnsi" w:hAnsiTheme="minorHAnsi" w:cstheme="minorHAnsi"/>
          <w:sz w:val="22"/>
          <w:szCs w:val="22"/>
        </w:rPr>
      </w:pPr>
    </w:p>
    <w:p w14:paraId="4927CF52" w14:textId="77777777" w:rsidR="00E31C17" w:rsidRPr="006B17A0" w:rsidRDefault="00E31C17" w:rsidP="00E31C17">
      <w:pPr>
        <w:pStyle w:val="Sraopastraipa"/>
        <w:numPr>
          <w:ilvl w:val="0"/>
          <w:numId w:val="4"/>
        </w:numPr>
        <w:tabs>
          <w:tab w:val="left" w:pos="426"/>
        </w:tabs>
        <w:spacing w:before="60" w:after="60"/>
        <w:ind w:left="0" w:firstLine="0"/>
        <w:contextualSpacing w:val="0"/>
        <w:jc w:val="center"/>
        <w:rPr>
          <w:rFonts w:asciiTheme="minorHAnsi" w:hAnsiTheme="minorHAnsi" w:cstheme="minorHAnsi"/>
          <w:b/>
          <w:sz w:val="22"/>
          <w:szCs w:val="22"/>
        </w:rPr>
      </w:pPr>
      <w:r w:rsidRPr="006B17A0">
        <w:rPr>
          <w:rFonts w:asciiTheme="minorHAnsi" w:hAnsiTheme="minorHAnsi" w:cstheme="minorHAnsi"/>
          <w:b/>
          <w:sz w:val="22"/>
          <w:szCs w:val="22"/>
        </w:rPr>
        <w:t>TECHNINĖ SPECIFIKACIJA</w:t>
      </w:r>
    </w:p>
    <w:p w14:paraId="17494EEA" w14:textId="77777777" w:rsidR="00E31C17" w:rsidRPr="006B17A0" w:rsidRDefault="00E31C17" w:rsidP="00E31C17">
      <w:pPr>
        <w:spacing w:before="60" w:after="60"/>
        <w:jc w:val="both"/>
        <w:rPr>
          <w:rFonts w:asciiTheme="minorHAnsi" w:hAnsiTheme="minorHAnsi" w:cstheme="minorHAnsi"/>
        </w:rPr>
      </w:pPr>
    </w:p>
    <w:p w14:paraId="72651D7A"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Pirkimo objektui taikomi Lietuvos Respublikos viešųjų pirkimų įstatymo 37 str. 9 dalies reikalavimai susiję su nacionaliniu saugumu. Tiekėjas privalo įrodyti, kad paslaugos nekelia grėsmės nacionaliniam saugumui, nėra toliau nurodytų aplinkybių: paslaugos būtų teikiamos iš VPĮ 92 straipsnio 14 dalyje numatytame sąraše nurodytų valstybių ar teritorijų.</w:t>
      </w:r>
    </w:p>
    <w:p w14:paraId="2C28D38C"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Pirkimo objektas – mobiliojo elektroninio parašo infrastruktūros paslaugų (toliau – Paslaugos), skirtų užtikrinti galimybę pasirašyti ADOC V-1.0 elektroninius dokumentus kvalifikuotu mobiliuoju el. parašu DBSIS, teikimas iki 2022 m. gruodžio 31 d.</w:t>
      </w:r>
    </w:p>
    <w:p w14:paraId="35487003"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Paslaugos apima pasirašančiųjų asmenų autentifikavimą ir elektroninių dokumentų pasirašymą mobiliuoju elektroniniu parašu, kuris sukurtas mobilaus GSM ryšio operatorių UAB „Bitė Lietuva“, UAB „Telia“, UAB „Tele2“ ir UAB „</w:t>
      </w:r>
      <w:proofErr w:type="spellStart"/>
      <w:r w:rsidRPr="006B17A0">
        <w:rPr>
          <w:rFonts w:asciiTheme="minorHAnsi" w:hAnsiTheme="minorHAnsi" w:cstheme="minorHAnsi"/>
          <w:sz w:val="22"/>
          <w:szCs w:val="22"/>
        </w:rPr>
        <w:t>Teledema</w:t>
      </w:r>
      <w:proofErr w:type="spellEnd"/>
      <w:r w:rsidRPr="006B17A0">
        <w:rPr>
          <w:rFonts w:asciiTheme="minorHAnsi" w:hAnsiTheme="minorHAnsi" w:cstheme="minorHAnsi"/>
          <w:sz w:val="22"/>
          <w:szCs w:val="22"/>
        </w:rPr>
        <w:t>“ saugia parašo formavimo įranga.</w:t>
      </w:r>
    </w:p>
    <w:p w14:paraId="36FDE7E0"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 xml:space="preserve">Paslaugų teikimo tvarka: </w:t>
      </w:r>
    </w:p>
    <w:p w14:paraId="45B54C79"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internetu priima iš DBSIS šiuos užklausos duomenis, susijusius su pasirašančiuoju asmeniu ir pasirašomais duomenimis: pasirašančiojo asmens mobiliojo telefono numerį, pasirašančiojo asmens kodą, pasirašomų duomenų santrauką;</w:t>
      </w:r>
    </w:p>
    <w:p w14:paraId="57439E77"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14:paraId="58231345"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Reikalavimai Paslaugoms:</w:t>
      </w:r>
    </w:p>
    <w:p w14:paraId="54A72850"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Paslaugos teikiamos HTTPS protokolu pagal DBSIS autentifikuotą užklausimą, kaip saugios tinklinės paslaugos;</w:t>
      </w:r>
    </w:p>
    <w:p w14:paraId="2BC274A2"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Paslaugos turi atitikti standarto ETSI TS 102 204 V1.1.4 (2003-08) „</w:t>
      </w:r>
      <w:proofErr w:type="spellStart"/>
      <w:r w:rsidRPr="006B17A0">
        <w:rPr>
          <w:rFonts w:asciiTheme="minorHAnsi" w:hAnsiTheme="minorHAnsi" w:cstheme="minorHAnsi"/>
          <w:sz w:val="22"/>
          <w:szCs w:val="22"/>
        </w:rPr>
        <w:t>Mobile</w:t>
      </w:r>
      <w:proofErr w:type="spellEnd"/>
      <w:r w:rsidRPr="006B17A0">
        <w:rPr>
          <w:rFonts w:asciiTheme="minorHAnsi" w:hAnsiTheme="minorHAnsi" w:cstheme="minorHAnsi"/>
          <w:sz w:val="22"/>
          <w:szCs w:val="22"/>
        </w:rPr>
        <w:t xml:space="preserve"> Commerce (M-COMM); </w:t>
      </w:r>
      <w:proofErr w:type="spellStart"/>
      <w:r w:rsidRPr="006B17A0">
        <w:rPr>
          <w:rFonts w:asciiTheme="minorHAnsi" w:hAnsiTheme="minorHAnsi" w:cstheme="minorHAnsi"/>
          <w:sz w:val="22"/>
          <w:szCs w:val="22"/>
        </w:rPr>
        <w:t>Mobile</w:t>
      </w:r>
      <w:proofErr w:type="spellEnd"/>
      <w:r w:rsidRPr="006B17A0">
        <w:rPr>
          <w:rFonts w:asciiTheme="minorHAnsi" w:hAnsiTheme="minorHAnsi" w:cstheme="minorHAnsi"/>
          <w:sz w:val="22"/>
          <w:szCs w:val="22"/>
        </w:rPr>
        <w:t xml:space="preserve"> </w:t>
      </w:r>
      <w:proofErr w:type="spellStart"/>
      <w:r w:rsidRPr="006B17A0">
        <w:rPr>
          <w:rFonts w:asciiTheme="minorHAnsi" w:hAnsiTheme="minorHAnsi" w:cstheme="minorHAnsi"/>
          <w:sz w:val="22"/>
          <w:szCs w:val="22"/>
        </w:rPr>
        <w:t>Signature</w:t>
      </w:r>
      <w:proofErr w:type="spellEnd"/>
      <w:r w:rsidRPr="006B17A0">
        <w:rPr>
          <w:rFonts w:asciiTheme="minorHAnsi" w:hAnsiTheme="minorHAnsi" w:cstheme="minorHAnsi"/>
          <w:sz w:val="22"/>
          <w:szCs w:val="22"/>
        </w:rPr>
        <w:t xml:space="preserve"> </w:t>
      </w:r>
      <w:proofErr w:type="spellStart"/>
      <w:r w:rsidRPr="006B17A0">
        <w:rPr>
          <w:rFonts w:asciiTheme="minorHAnsi" w:hAnsiTheme="minorHAnsi" w:cstheme="minorHAnsi"/>
          <w:sz w:val="22"/>
          <w:szCs w:val="22"/>
        </w:rPr>
        <w:t>Service</w:t>
      </w:r>
      <w:proofErr w:type="spellEnd"/>
      <w:r w:rsidRPr="006B17A0">
        <w:rPr>
          <w:rFonts w:asciiTheme="minorHAnsi" w:hAnsiTheme="minorHAnsi" w:cstheme="minorHAnsi"/>
          <w:sz w:val="22"/>
          <w:szCs w:val="22"/>
        </w:rPr>
        <w:t xml:space="preserve">; </w:t>
      </w:r>
      <w:proofErr w:type="spellStart"/>
      <w:r w:rsidRPr="006B17A0">
        <w:rPr>
          <w:rFonts w:asciiTheme="minorHAnsi" w:hAnsiTheme="minorHAnsi" w:cstheme="minorHAnsi"/>
          <w:sz w:val="22"/>
          <w:szCs w:val="22"/>
        </w:rPr>
        <w:t>Web</w:t>
      </w:r>
      <w:proofErr w:type="spellEnd"/>
      <w:r w:rsidRPr="006B17A0">
        <w:rPr>
          <w:rFonts w:asciiTheme="minorHAnsi" w:hAnsiTheme="minorHAnsi" w:cstheme="minorHAnsi"/>
          <w:sz w:val="22"/>
          <w:szCs w:val="22"/>
        </w:rPr>
        <w:t xml:space="preserve"> </w:t>
      </w:r>
      <w:proofErr w:type="spellStart"/>
      <w:r w:rsidRPr="006B17A0">
        <w:rPr>
          <w:rFonts w:asciiTheme="minorHAnsi" w:hAnsiTheme="minorHAnsi" w:cstheme="minorHAnsi"/>
          <w:sz w:val="22"/>
          <w:szCs w:val="22"/>
        </w:rPr>
        <w:t>Service</w:t>
      </w:r>
      <w:proofErr w:type="spellEnd"/>
      <w:r w:rsidRPr="006B17A0">
        <w:rPr>
          <w:rFonts w:asciiTheme="minorHAnsi" w:hAnsiTheme="minorHAnsi" w:cstheme="minorHAnsi"/>
          <w:sz w:val="22"/>
          <w:szCs w:val="22"/>
        </w:rPr>
        <w:t xml:space="preserve"> </w:t>
      </w:r>
      <w:proofErr w:type="spellStart"/>
      <w:r w:rsidRPr="006B17A0">
        <w:rPr>
          <w:rFonts w:asciiTheme="minorHAnsi" w:hAnsiTheme="minorHAnsi" w:cstheme="minorHAnsi"/>
          <w:sz w:val="22"/>
          <w:szCs w:val="22"/>
        </w:rPr>
        <w:t>Interface</w:t>
      </w:r>
      <w:proofErr w:type="spellEnd"/>
      <w:r w:rsidRPr="006B17A0">
        <w:rPr>
          <w:rFonts w:asciiTheme="minorHAnsi" w:hAnsiTheme="minorHAnsi" w:cstheme="minorHAnsi"/>
          <w:sz w:val="22"/>
          <w:szCs w:val="22"/>
        </w:rPr>
        <w:t>“ reikalavimus. Realizuojamos pasirašymo tinklinės paslaugos: sertifikato pateikimas (operacija „</w:t>
      </w:r>
      <w:proofErr w:type="spellStart"/>
      <w:r w:rsidRPr="006B17A0">
        <w:rPr>
          <w:rFonts w:asciiTheme="minorHAnsi" w:hAnsiTheme="minorHAnsi" w:cstheme="minorHAnsi"/>
          <w:sz w:val="22"/>
          <w:szCs w:val="22"/>
        </w:rPr>
        <w:t>Registration</w:t>
      </w:r>
      <w:proofErr w:type="spellEnd"/>
      <w:r w:rsidRPr="006B17A0">
        <w:rPr>
          <w:rFonts w:asciiTheme="minorHAnsi" w:hAnsiTheme="minorHAnsi" w:cstheme="minorHAnsi"/>
          <w:sz w:val="22"/>
          <w:szCs w:val="22"/>
        </w:rPr>
        <w:t>“), pasirašymas (operacija „</w:t>
      </w:r>
      <w:proofErr w:type="spellStart"/>
      <w:r w:rsidRPr="006B17A0">
        <w:rPr>
          <w:rFonts w:asciiTheme="minorHAnsi" w:hAnsiTheme="minorHAnsi" w:cstheme="minorHAnsi"/>
          <w:sz w:val="22"/>
          <w:szCs w:val="22"/>
        </w:rPr>
        <w:t>Signature</w:t>
      </w:r>
      <w:proofErr w:type="spellEnd"/>
      <w:r w:rsidRPr="006B17A0">
        <w:rPr>
          <w:rFonts w:asciiTheme="minorHAnsi" w:hAnsiTheme="minorHAnsi" w:cstheme="minorHAnsi"/>
          <w:sz w:val="22"/>
          <w:szCs w:val="22"/>
        </w:rPr>
        <w:t>“);</w:t>
      </w:r>
    </w:p>
    <w:p w14:paraId="5E013015"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Paslaugos turi atitikti visus Lietuvos Respublikos teisės aktų, reglamentuojančių elektroninio parašo naudojimą ir elektroninio parašo paslaugų teikimą, reikalavimus;</w:t>
      </w:r>
    </w:p>
    <w:p w14:paraId="6E9E8F89"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Paslaugos turi būti teikiamos nepertraukiamai 7 dienas per savaitę ir 24 valandas per parą;</w:t>
      </w:r>
    </w:p>
    <w:p w14:paraId="53F568EA" w14:textId="77777777" w:rsidR="00E31C17" w:rsidRPr="006B17A0" w:rsidRDefault="00E31C17" w:rsidP="00E31C17">
      <w:pPr>
        <w:pStyle w:val="Sraopastraipa"/>
        <w:numPr>
          <w:ilvl w:val="1"/>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lastRenderedPageBreak/>
        <w:t>Paslaugų prieinamumo per mėnesį lygis turi būti ne mažesnis kaip 99,5 proc.;</w:t>
      </w:r>
    </w:p>
    <w:p w14:paraId="08C6B373"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r w:rsidRPr="006B17A0">
        <w:rPr>
          <w:rFonts w:asciiTheme="minorHAnsi" w:hAnsiTheme="minorHAnsi" w:cstheme="minorHAnsi"/>
          <w:sz w:val="22"/>
          <w:szCs w:val="22"/>
        </w:rPr>
        <w:t>6.6. Paslaugos turi būti teikiamos užtikrinant asmens duomenų naudojimą, apsaugą ir tvarkymą vadovaujantis Europos Sąjungos Bendruoju duomenų apsaugos reglamentu, Lietuvos Respublikos asmens duomenų teisinės apsaugos įstatymu ir kitais teisės aktais.</w:t>
      </w:r>
    </w:p>
    <w:p w14:paraId="49DEFF78"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Orientacinė paslaugų apimtis: 14 000 (keturiolika tūkstančių) mobiliųjų elektroninių parašų per mėnesį.</w:t>
      </w:r>
    </w:p>
    <w:p w14:paraId="0AFB7D62" w14:textId="77777777" w:rsidR="00E31C17" w:rsidRPr="006B17A0" w:rsidRDefault="00E31C17" w:rsidP="00E31C17">
      <w:pPr>
        <w:pStyle w:val="Sraopastraipa"/>
        <w:numPr>
          <w:ilvl w:val="0"/>
          <w:numId w:val="3"/>
        </w:numPr>
        <w:spacing w:before="120" w:after="120"/>
        <w:ind w:left="0" w:firstLine="709"/>
        <w:contextualSpacing w:val="0"/>
        <w:rPr>
          <w:rFonts w:asciiTheme="minorHAnsi" w:hAnsiTheme="minorHAnsi" w:cstheme="minorHAnsi"/>
          <w:sz w:val="22"/>
          <w:szCs w:val="22"/>
        </w:rPr>
      </w:pPr>
      <w:r w:rsidRPr="006B17A0">
        <w:rPr>
          <w:rFonts w:asciiTheme="minorHAnsi" w:hAnsiTheme="minorHAnsi" w:cstheme="minorHAnsi"/>
          <w:sz w:val="22"/>
          <w:szCs w:val="22"/>
        </w:rPr>
        <w:t>Paslaugos turi būti pradėtos teikti kitą dieną po Paslaugų teikimo sutarties sudarymo.</w:t>
      </w:r>
    </w:p>
    <w:p w14:paraId="6D05C375" w14:textId="77777777" w:rsidR="00AC201B" w:rsidRPr="006B17A0" w:rsidRDefault="00AC201B" w:rsidP="00AC201B">
      <w:pPr>
        <w:pStyle w:val="Sraopastraipa"/>
        <w:spacing w:before="120" w:after="120"/>
        <w:ind w:left="709"/>
        <w:contextualSpacing w:val="0"/>
        <w:rPr>
          <w:rFonts w:asciiTheme="minorHAnsi" w:hAnsiTheme="minorHAnsi" w:cstheme="minorHAnsi"/>
          <w:sz w:val="22"/>
          <w:szCs w:val="22"/>
        </w:rPr>
      </w:pPr>
    </w:p>
    <w:p w14:paraId="11285BD0" w14:textId="77777777" w:rsidR="00E31C17" w:rsidRPr="006B17A0" w:rsidRDefault="00E31C17" w:rsidP="00E31C17">
      <w:pPr>
        <w:pStyle w:val="Sraopastraipa"/>
        <w:numPr>
          <w:ilvl w:val="0"/>
          <w:numId w:val="4"/>
        </w:numPr>
        <w:tabs>
          <w:tab w:val="left" w:pos="426"/>
        </w:tabs>
        <w:spacing w:before="60" w:after="60"/>
        <w:ind w:left="0" w:firstLine="0"/>
        <w:contextualSpacing w:val="0"/>
        <w:jc w:val="center"/>
        <w:rPr>
          <w:rFonts w:asciiTheme="minorHAnsi" w:hAnsiTheme="minorHAnsi" w:cstheme="minorHAnsi"/>
          <w:b/>
          <w:sz w:val="22"/>
          <w:szCs w:val="22"/>
        </w:rPr>
      </w:pPr>
      <w:r w:rsidRPr="006B17A0">
        <w:rPr>
          <w:rFonts w:asciiTheme="minorHAnsi" w:hAnsiTheme="minorHAnsi" w:cstheme="minorHAnsi"/>
          <w:b/>
          <w:sz w:val="22"/>
          <w:szCs w:val="22"/>
        </w:rPr>
        <w:t>KVALIFIKACINIAI REIKALAVIMAI PASLAUGŲ TEIKĖJUI</w:t>
      </w:r>
    </w:p>
    <w:p w14:paraId="5456FB3A" w14:textId="77777777" w:rsidR="00E31C17" w:rsidRPr="006B17A0" w:rsidRDefault="00E31C17" w:rsidP="00E31C17">
      <w:pPr>
        <w:pStyle w:val="Sraopastraipa"/>
        <w:spacing w:before="60" w:after="60"/>
        <w:ind w:left="1800"/>
        <w:rPr>
          <w:rFonts w:asciiTheme="minorHAnsi" w:hAnsiTheme="minorHAnsi" w:cstheme="minorHAnsi"/>
          <w:b/>
          <w:sz w:val="22"/>
          <w:szCs w:val="22"/>
        </w:rPr>
      </w:pPr>
    </w:p>
    <w:p w14:paraId="27F0B08C" w14:textId="77777777" w:rsidR="00E31C17" w:rsidRPr="006B17A0" w:rsidRDefault="00E31C17" w:rsidP="00E31C17">
      <w:pPr>
        <w:pStyle w:val="Sraopastraipa"/>
        <w:numPr>
          <w:ilvl w:val="0"/>
          <w:numId w:val="3"/>
        </w:numPr>
        <w:contextualSpacing w:val="0"/>
        <w:jc w:val="both"/>
        <w:rPr>
          <w:rFonts w:asciiTheme="minorHAnsi" w:hAnsiTheme="minorHAnsi" w:cstheme="minorHAnsi"/>
          <w:sz w:val="22"/>
          <w:szCs w:val="22"/>
        </w:rPr>
      </w:pPr>
      <w:r w:rsidRPr="006B17A0">
        <w:rPr>
          <w:rFonts w:asciiTheme="minorHAnsi" w:hAnsiTheme="minorHAnsi" w:cstheme="minorHAnsi"/>
          <w:sz w:val="22"/>
          <w:szCs w:val="22"/>
        </w:rPr>
        <w:t>Kvalifikaciniai reikalavimai, susiję su nacionaliniu saugumu:</w:t>
      </w:r>
    </w:p>
    <w:p w14:paraId="57B1A17B" w14:textId="77777777" w:rsidR="00336BD2" w:rsidRPr="006B17A0" w:rsidRDefault="00AD5C0F" w:rsidP="00336BD2">
      <w:pPr>
        <w:jc w:val="both"/>
        <w:rPr>
          <w:rFonts w:asciiTheme="minorHAnsi" w:hAnsiTheme="minorHAnsi" w:cstheme="minorHAnsi"/>
        </w:rPr>
      </w:pPr>
      <w:r w:rsidRPr="006B17A0">
        <w:rPr>
          <w:rFonts w:asciiTheme="minorHAnsi" w:hAnsiTheme="minorHAnsi" w:cstheme="minorHAnsi"/>
        </w:rPr>
        <w:t xml:space="preserve"> </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704"/>
        <w:gridCol w:w="4616"/>
        <w:gridCol w:w="4308"/>
      </w:tblGrid>
      <w:tr w:rsidR="00336BD2" w:rsidRPr="006B17A0" w14:paraId="4B2E8268" w14:textId="77777777" w:rsidTr="00AA150C">
        <w:trPr>
          <w:trHeight w:val="257"/>
        </w:trPr>
        <w:tc>
          <w:tcPr>
            <w:tcW w:w="36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548CD57B" w14:textId="77777777" w:rsidR="00336BD2" w:rsidRPr="006B17A0" w:rsidRDefault="00336BD2" w:rsidP="00336BD2">
            <w:pPr>
              <w:pStyle w:val="Sraopastraipa"/>
              <w:tabs>
                <w:tab w:val="left" w:pos="284"/>
                <w:tab w:val="left" w:pos="459"/>
              </w:tabs>
              <w:jc w:val="center"/>
              <w:rPr>
                <w:rFonts w:asciiTheme="minorHAnsi" w:eastAsia="Calibri" w:hAnsiTheme="minorHAnsi" w:cstheme="minorHAnsi"/>
                <w:b/>
                <w:sz w:val="22"/>
                <w:szCs w:val="22"/>
              </w:rPr>
            </w:pPr>
            <w:r w:rsidRPr="006B17A0">
              <w:rPr>
                <w:rFonts w:asciiTheme="minorHAnsi" w:eastAsia="Calibri" w:hAnsiTheme="minorHAnsi" w:cstheme="minorHAnsi"/>
                <w:b/>
                <w:sz w:val="22"/>
                <w:szCs w:val="22"/>
              </w:rPr>
              <w:t>E</w:t>
            </w:r>
          </w:p>
        </w:tc>
        <w:tc>
          <w:tcPr>
            <w:tcW w:w="2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39E6BBCE" w14:textId="77777777" w:rsidR="00336BD2" w:rsidRPr="006B17A0" w:rsidRDefault="00336BD2" w:rsidP="00336BD2">
            <w:pPr>
              <w:jc w:val="both"/>
              <w:rPr>
                <w:rFonts w:asciiTheme="minorHAnsi" w:hAnsiTheme="minorHAnsi" w:cstheme="minorHAnsi"/>
                <w:b/>
              </w:rPr>
            </w:pPr>
            <w:r w:rsidRPr="006B17A0">
              <w:rPr>
                <w:rFonts w:asciiTheme="minorHAnsi" w:hAnsiTheme="minorHAnsi" w:cstheme="minorHAnsi"/>
                <w:b/>
              </w:rPr>
              <w:t>Reikalavimai</w:t>
            </w:r>
          </w:p>
        </w:tc>
        <w:tc>
          <w:tcPr>
            <w:tcW w:w="22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63BFABCB" w14:textId="77777777" w:rsidR="00336BD2" w:rsidRPr="006B17A0" w:rsidRDefault="00336BD2" w:rsidP="00336BD2">
            <w:pPr>
              <w:jc w:val="both"/>
              <w:rPr>
                <w:rFonts w:asciiTheme="minorHAnsi" w:hAnsiTheme="minorHAnsi" w:cstheme="minorHAnsi"/>
                <w:b/>
              </w:rPr>
            </w:pPr>
            <w:r w:rsidRPr="006B17A0">
              <w:rPr>
                <w:rFonts w:asciiTheme="minorHAnsi" w:hAnsiTheme="minorHAnsi" w:cstheme="minorHAnsi"/>
                <w:b/>
              </w:rPr>
              <w:t>Atitiktį įrodantys dokumentai</w:t>
            </w:r>
          </w:p>
        </w:tc>
      </w:tr>
      <w:tr w:rsidR="006B17A0" w:rsidRPr="006B17A0" w14:paraId="5945785E" w14:textId="77777777" w:rsidTr="00AD5C0F">
        <w:trPr>
          <w:trHeight w:val="257"/>
        </w:trPr>
        <w:tc>
          <w:tcPr>
            <w:tcW w:w="366" w:type="pct"/>
            <w:shd w:val="clear" w:color="auto" w:fill="FFFFFF" w:themeFill="background1"/>
          </w:tcPr>
          <w:p w14:paraId="524DACB1" w14:textId="77777777" w:rsidR="00E31C17" w:rsidRPr="006B17A0" w:rsidRDefault="00AD5C0F" w:rsidP="00AD5C0F">
            <w:pPr>
              <w:pStyle w:val="Sraopastraipa"/>
              <w:tabs>
                <w:tab w:val="left" w:pos="284"/>
                <w:tab w:val="left" w:pos="459"/>
              </w:tabs>
              <w:ind w:left="0"/>
              <w:jc w:val="center"/>
              <w:rPr>
                <w:rFonts w:asciiTheme="minorHAnsi" w:eastAsia="Calibri" w:hAnsiTheme="minorHAnsi" w:cstheme="minorHAnsi"/>
                <w:sz w:val="22"/>
                <w:szCs w:val="22"/>
              </w:rPr>
            </w:pPr>
            <w:r w:rsidRPr="006B17A0">
              <w:rPr>
                <w:rFonts w:asciiTheme="minorHAnsi" w:eastAsia="Calibri" w:hAnsiTheme="minorHAnsi" w:cstheme="minorHAnsi"/>
                <w:sz w:val="22"/>
                <w:szCs w:val="22"/>
              </w:rPr>
              <w:t>9.</w:t>
            </w:r>
            <w:r w:rsidR="00E31C17" w:rsidRPr="006B17A0">
              <w:rPr>
                <w:rFonts w:asciiTheme="minorHAnsi" w:eastAsia="Calibri" w:hAnsiTheme="minorHAnsi" w:cstheme="minorHAnsi"/>
                <w:sz w:val="22"/>
                <w:szCs w:val="22"/>
              </w:rPr>
              <w:t>1.</w:t>
            </w:r>
          </w:p>
        </w:tc>
        <w:tc>
          <w:tcPr>
            <w:tcW w:w="2397" w:type="pct"/>
            <w:shd w:val="clear" w:color="auto" w:fill="auto"/>
          </w:tcPr>
          <w:p w14:paraId="08E6E523" w14:textId="77777777" w:rsidR="00E31C17" w:rsidRPr="006B17A0" w:rsidRDefault="00E31C17" w:rsidP="00121F93">
            <w:pPr>
              <w:jc w:val="both"/>
              <w:rPr>
                <w:rFonts w:asciiTheme="minorHAnsi" w:hAnsiTheme="minorHAnsi" w:cstheme="minorHAnsi"/>
              </w:rPr>
            </w:pPr>
            <w:r w:rsidRPr="006B17A0">
              <w:rPr>
                <w:rFonts w:asciiTheme="minorHAnsi" w:hAnsiTheme="minorHAnsi" w:cstheme="minorHAnsi"/>
              </w:rPr>
              <w:t>Paslaugų teikėjas neturi interesų, galinčių kelti grėsmę nacionaliniam saugumui, ir draudžiama pirkime dalyvauti Paslaugų teikėjams, jų subtiekėjams ar ūkio subjektams, kurių pajėgumais yra remiamasi, kurie patys ar juos kontroliuojantys asmenys yra registruoti (jeigu Paslaugų teikėjas, jo subtiekėjas, ūkio subjekt</w:t>
            </w:r>
            <w:r w:rsidR="00336BD2" w:rsidRPr="006B17A0">
              <w:rPr>
                <w:rFonts w:asciiTheme="minorHAnsi" w:hAnsiTheme="minorHAnsi" w:cstheme="minorHAnsi"/>
              </w:rPr>
              <w:t>as, kurio pajėgumais remiamasi,</w:t>
            </w:r>
            <w:r w:rsidRPr="006B17A0">
              <w:rPr>
                <w:rFonts w:asciiTheme="minorHAnsi" w:hAnsiTheme="minorHAnsi" w:cstheme="minorHAnsi"/>
              </w:rPr>
              <w:t xml:space="preserve"> ar kontroliuojantis asmuo yra fizinis asmuo – nuolat gyvenantis ar turintis pilietybę) VPĮ 92 straipsnio 14 dalyje numatytame sąraše nurodytose valstybėse ar teritorijose.</w:t>
            </w:r>
          </w:p>
        </w:tc>
        <w:tc>
          <w:tcPr>
            <w:tcW w:w="2237" w:type="pct"/>
            <w:shd w:val="clear" w:color="auto" w:fill="auto"/>
          </w:tcPr>
          <w:p w14:paraId="1CF1133C" w14:textId="77777777" w:rsidR="00E31C17" w:rsidRPr="006B17A0" w:rsidRDefault="00E31C17" w:rsidP="00121F93">
            <w:pPr>
              <w:jc w:val="both"/>
              <w:rPr>
                <w:rFonts w:asciiTheme="minorHAnsi" w:hAnsiTheme="minorHAnsi" w:cstheme="minorHAnsi"/>
              </w:rPr>
            </w:pPr>
            <w:r w:rsidRPr="006B17A0">
              <w:rPr>
                <w:rFonts w:asciiTheme="minorHAnsi" w:hAnsiTheme="minorHAnsi" w:cstheme="minorHAnsi"/>
              </w:rPr>
              <w:t>Perkančioji organizacija iš Paslaugų teikėjo reikalauja šių dokumentų:</w:t>
            </w:r>
          </w:p>
          <w:p w14:paraId="677B9C04" w14:textId="77777777" w:rsidR="00E31C17" w:rsidRPr="006B17A0" w:rsidRDefault="00E31C17" w:rsidP="00121F93">
            <w:pPr>
              <w:jc w:val="both"/>
              <w:rPr>
                <w:rFonts w:asciiTheme="minorHAnsi" w:hAnsiTheme="minorHAnsi" w:cstheme="minorHAnsi"/>
              </w:rPr>
            </w:pPr>
            <w:r w:rsidRPr="006B17A0">
              <w:rPr>
                <w:rFonts w:asciiTheme="minorHAnsi" w:hAnsiTheme="minorHAnsi" w:cstheme="minorHAnsi"/>
              </w:rPr>
              <w:t xml:space="preserve">1) jeigu Paslaugų teikėjas, jo subtiekėjas, ūkio subjektas, kurio pajėgumais remiamasi, Paslaugų teikėjo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0C1D40A4" w14:textId="77777777" w:rsidR="00E31C17" w:rsidRPr="006B17A0" w:rsidRDefault="00E31C17" w:rsidP="00121F93">
            <w:pPr>
              <w:jc w:val="both"/>
              <w:rPr>
                <w:rFonts w:asciiTheme="minorHAnsi" w:hAnsiTheme="minorHAnsi" w:cstheme="minorHAnsi"/>
              </w:rPr>
            </w:pPr>
            <w:r w:rsidRPr="006B17A0">
              <w:rPr>
                <w:rFonts w:asciiTheme="minorHAnsi" w:hAnsiTheme="minorHAnsi" w:cstheme="minorHAnsi"/>
              </w:rPr>
              <w:t>2) jeigu Paslaugų teikėjas, jo subtiekėjas, ūkio subjektas, kurio pajėgumais remiamasi, Paslaugų tekėjo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AC201B" w:rsidRPr="00AE578A" w14:paraId="5DA9DA4B" w14:textId="77777777" w:rsidTr="00AC201B">
        <w:trPr>
          <w:trHeight w:val="257"/>
        </w:trPr>
        <w:tc>
          <w:tcPr>
            <w:tcW w:w="5000" w:type="pct"/>
            <w:gridSpan w:val="3"/>
            <w:shd w:val="clear" w:color="auto" w:fill="FFFFFF" w:themeFill="background1"/>
          </w:tcPr>
          <w:p w14:paraId="50A89949" w14:textId="77777777" w:rsidR="00AC201B" w:rsidRPr="00AE578A" w:rsidRDefault="00AC201B" w:rsidP="00AC201B">
            <w:pPr>
              <w:rPr>
                <w:rFonts w:asciiTheme="minorHAnsi" w:hAnsiTheme="minorHAnsi" w:cstheme="minorHAnsi"/>
                <w:b/>
                <w:bCs/>
              </w:rPr>
            </w:pPr>
            <w:r w:rsidRPr="00AE578A">
              <w:rPr>
                <w:rFonts w:asciiTheme="minorHAnsi" w:hAnsiTheme="minorHAnsi" w:cstheme="minorHAnsi"/>
                <w:b/>
                <w:bCs/>
              </w:rPr>
              <w:t>Nurodomi pateikiami dokumentai:</w:t>
            </w:r>
          </w:p>
          <w:p w14:paraId="7986298C" w14:textId="77777777" w:rsidR="001A1C9B" w:rsidRPr="00AE578A" w:rsidRDefault="001B5894" w:rsidP="001A1C9B">
            <w:pPr>
              <w:pStyle w:val="Sraopastraipa"/>
              <w:numPr>
                <w:ilvl w:val="0"/>
                <w:numId w:val="7"/>
              </w:numPr>
              <w:rPr>
                <w:rFonts w:asciiTheme="minorHAnsi" w:hAnsiTheme="minorHAnsi" w:cstheme="minorHAnsi"/>
              </w:rPr>
            </w:pPr>
            <w:r w:rsidRPr="00AE578A">
              <w:rPr>
                <w:rFonts w:asciiTheme="minorHAnsi" w:hAnsiTheme="minorHAnsi" w:cstheme="minorHAnsi"/>
              </w:rPr>
              <w:t xml:space="preserve">Deklaracija </w:t>
            </w:r>
            <w:r w:rsidR="00620998" w:rsidRPr="00AE578A">
              <w:rPr>
                <w:rFonts w:asciiTheme="minorHAnsi" w:hAnsiTheme="minorHAnsi" w:cstheme="minorHAnsi"/>
              </w:rPr>
              <w:t>apie paslaugų teikimo valstybę ar teritoriją;</w:t>
            </w:r>
          </w:p>
          <w:p w14:paraId="2489ECA8" w14:textId="46B0D172" w:rsidR="00620998" w:rsidRPr="00AE578A" w:rsidRDefault="00C70E0C" w:rsidP="001A1C9B">
            <w:pPr>
              <w:pStyle w:val="Sraopastraipa"/>
              <w:numPr>
                <w:ilvl w:val="0"/>
                <w:numId w:val="7"/>
              </w:numPr>
              <w:rPr>
                <w:rFonts w:asciiTheme="minorHAnsi" w:hAnsiTheme="minorHAnsi" w:cstheme="minorHAnsi"/>
              </w:rPr>
            </w:pPr>
            <w:r w:rsidRPr="00AE578A">
              <w:rPr>
                <w:rFonts w:asciiTheme="minorHAnsi" w:hAnsiTheme="minorHAnsi" w:cstheme="minorHAnsi"/>
              </w:rPr>
              <w:t>UAB „Asseco Lietuva“ LR JAR išplėstinis išrašas (konfidencialu_AL_isplestinis.pdf)</w:t>
            </w:r>
            <w:r w:rsidR="00AE578A">
              <w:rPr>
                <w:rFonts w:asciiTheme="minorHAnsi" w:hAnsiTheme="minorHAnsi" w:cstheme="minorHAnsi"/>
              </w:rPr>
              <w:t>;</w:t>
            </w:r>
          </w:p>
          <w:p w14:paraId="4F9237F9" w14:textId="085FDAD5" w:rsidR="00C70E0C" w:rsidRPr="00AE578A" w:rsidRDefault="00C70E0C" w:rsidP="001A1C9B">
            <w:pPr>
              <w:pStyle w:val="Sraopastraipa"/>
              <w:numPr>
                <w:ilvl w:val="0"/>
                <w:numId w:val="7"/>
              </w:numPr>
              <w:rPr>
                <w:rFonts w:asciiTheme="minorHAnsi" w:hAnsiTheme="minorHAnsi" w:cstheme="minorHAnsi"/>
              </w:rPr>
            </w:pPr>
            <w:r w:rsidRPr="00AE578A">
              <w:rPr>
                <w:rFonts w:asciiTheme="minorHAnsi" w:hAnsiTheme="minorHAnsi" w:cstheme="minorHAnsi"/>
                <w:lang w:eastAsia="lt-LT"/>
              </w:rPr>
              <w:t>UAB „Asseco Lietuva“ įstatai (konfidencialu_AL_istatai.pdf)</w:t>
            </w:r>
            <w:r w:rsidR="00AE578A">
              <w:rPr>
                <w:rFonts w:asciiTheme="minorHAnsi" w:hAnsiTheme="minorHAnsi" w:cstheme="minorHAnsi"/>
                <w:lang w:eastAsia="lt-LT"/>
              </w:rPr>
              <w:t>;</w:t>
            </w:r>
          </w:p>
          <w:p w14:paraId="49C05A70" w14:textId="18F99CFD" w:rsidR="00C70E0C" w:rsidRPr="00AE578A" w:rsidRDefault="00C70E0C" w:rsidP="001A1C9B">
            <w:pPr>
              <w:pStyle w:val="Sraopastraipa"/>
              <w:numPr>
                <w:ilvl w:val="0"/>
                <w:numId w:val="7"/>
              </w:numPr>
              <w:rPr>
                <w:rFonts w:asciiTheme="minorHAnsi" w:hAnsiTheme="minorHAnsi" w:cstheme="minorHAnsi"/>
              </w:rPr>
            </w:pPr>
            <w:r w:rsidRPr="00AE578A">
              <w:rPr>
                <w:rFonts w:asciiTheme="minorHAnsi" w:hAnsiTheme="minorHAnsi" w:cstheme="minorHAnsi"/>
              </w:rPr>
              <w:t>UAB „Asseco Lietuva“ duomenų apie juridinio asmens dalyvius išrašas (konfidencialu_RC_israsas.pdf)</w:t>
            </w:r>
            <w:r w:rsidR="00AE578A">
              <w:rPr>
                <w:rFonts w:asciiTheme="minorHAnsi" w:hAnsiTheme="minorHAnsi" w:cstheme="minorHAnsi"/>
              </w:rPr>
              <w:t>;</w:t>
            </w:r>
          </w:p>
          <w:p w14:paraId="59278F1B" w14:textId="3B085D05" w:rsidR="00AE578A" w:rsidRPr="00AE578A" w:rsidRDefault="001345BF" w:rsidP="00AE578A">
            <w:pPr>
              <w:pStyle w:val="Sraopastraipa"/>
              <w:numPr>
                <w:ilvl w:val="0"/>
                <w:numId w:val="7"/>
              </w:numPr>
              <w:rPr>
                <w:rFonts w:asciiTheme="minorHAnsi" w:hAnsiTheme="minorHAnsi" w:cstheme="minorHAnsi"/>
              </w:rPr>
            </w:pPr>
            <w:proofErr w:type="spellStart"/>
            <w:r w:rsidRPr="00AE578A">
              <w:rPr>
                <w:rFonts w:asciiTheme="minorHAnsi" w:hAnsiTheme="minorHAnsi" w:cstheme="minorHAnsi"/>
              </w:rPr>
              <w:t>Asseco</w:t>
            </w:r>
            <w:proofErr w:type="spellEnd"/>
            <w:r w:rsidRPr="00AE578A">
              <w:rPr>
                <w:rFonts w:asciiTheme="minorHAnsi" w:hAnsiTheme="minorHAnsi" w:cstheme="minorHAnsi"/>
              </w:rPr>
              <w:t xml:space="preserve"> </w:t>
            </w:r>
            <w:proofErr w:type="spellStart"/>
            <w:r w:rsidRPr="00AE578A">
              <w:rPr>
                <w:rFonts w:asciiTheme="minorHAnsi" w:hAnsiTheme="minorHAnsi" w:cstheme="minorHAnsi"/>
              </w:rPr>
              <w:t>Intenational</w:t>
            </w:r>
            <w:proofErr w:type="spellEnd"/>
            <w:r w:rsidRPr="00AE578A">
              <w:rPr>
                <w:rFonts w:asciiTheme="minorHAnsi" w:hAnsiTheme="minorHAnsi" w:cstheme="minorHAnsi"/>
              </w:rPr>
              <w:t xml:space="preserve">, </w:t>
            </w:r>
            <w:proofErr w:type="spellStart"/>
            <w:r w:rsidRPr="00AE578A">
              <w:rPr>
                <w:rFonts w:asciiTheme="minorHAnsi" w:hAnsiTheme="minorHAnsi" w:cstheme="minorHAnsi"/>
              </w:rPr>
              <w:t>a.s</w:t>
            </w:r>
            <w:proofErr w:type="spellEnd"/>
            <w:r w:rsidRPr="00AE578A">
              <w:rPr>
                <w:rFonts w:asciiTheme="minorHAnsi" w:hAnsiTheme="minorHAnsi" w:cstheme="minorHAnsi"/>
              </w:rPr>
              <w:t>. dokumentai (konfidencialu_AI_israsas.pdf, konfidencialu_AI_istatai.pdf)</w:t>
            </w:r>
            <w:r w:rsidR="00AE578A">
              <w:rPr>
                <w:rFonts w:asciiTheme="minorHAnsi" w:hAnsiTheme="minorHAnsi" w:cstheme="minorHAnsi"/>
              </w:rPr>
              <w:t>.</w:t>
            </w:r>
          </w:p>
        </w:tc>
      </w:tr>
    </w:tbl>
    <w:p w14:paraId="58286721" w14:textId="77777777" w:rsidR="00AA150C" w:rsidRPr="006B17A0" w:rsidRDefault="00AD5C0F" w:rsidP="00AA150C">
      <w:pPr>
        <w:jc w:val="both"/>
        <w:rPr>
          <w:rFonts w:asciiTheme="minorHAnsi" w:eastAsia="Calibri" w:hAnsiTheme="minorHAnsi" w:cstheme="minorHAnsi"/>
        </w:rPr>
      </w:pPr>
      <w:r w:rsidRPr="006B17A0">
        <w:rPr>
          <w:rFonts w:asciiTheme="minorHAnsi" w:eastAsia="Calibri" w:hAnsiTheme="minorHAnsi" w:cstheme="minorHAnsi"/>
        </w:rPr>
        <w:t>Pastaba. 9</w:t>
      </w:r>
      <w:r w:rsidR="00AA150C" w:rsidRPr="006B17A0">
        <w:rPr>
          <w:rFonts w:asciiTheme="minorHAnsi" w:eastAsia="Calibri" w:hAnsiTheme="minorHAnsi" w:cstheme="minorHAnsi"/>
        </w:rPr>
        <w:t xml:space="preserve">.1.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  </w:t>
      </w:r>
    </w:p>
    <w:p w14:paraId="21094ECE" w14:textId="77777777" w:rsidR="00A9590D" w:rsidRPr="006B17A0" w:rsidRDefault="00AA150C" w:rsidP="00AA150C">
      <w:pPr>
        <w:pStyle w:val="Sraopastraipa"/>
        <w:spacing w:before="60" w:after="60"/>
        <w:ind w:left="360"/>
        <w:jc w:val="both"/>
        <w:rPr>
          <w:rFonts w:asciiTheme="minorHAnsi" w:hAnsiTheme="minorHAnsi" w:cstheme="minorHAnsi"/>
          <w:b/>
          <w:sz w:val="22"/>
          <w:szCs w:val="22"/>
        </w:rPr>
      </w:pPr>
      <w:r w:rsidRPr="006B17A0">
        <w:rPr>
          <w:rFonts w:asciiTheme="minorHAnsi" w:hAnsiTheme="minorHAnsi" w:cstheme="minorHAnsi"/>
          <w:b/>
          <w:sz w:val="22"/>
          <w:szCs w:val="22"/>
        </w:rPr>
        <w:t xml:space="preserve"> </w:t>
      </w:r>
    </w:p>
    <w:p w14:paraId="7D210B4D" w14:textId="77777777" w:rsidR="00E31C17" w:rsidRPr="006B17A0" w:rsidRDefault="00E31C17" w:rsidP="00794499">
      <w:pPr>
        <w:jc w:val="center"/>
        <w:rPr>
          <w:rFonts w:asciiTheme="minorHAnsi" w:hAnsiTheme="minorHAnsi" w:cstheme="minorHAnsi"/>
          <w:b/>
        </w:rPr>
      </w:pPr>
      <w:r w:rsidRPr="006B17A0">
        <w:rPr>
          <w:rFonts w:asciiTheme="minorHAnsi" w:hAnsiTheme="minorHAnsi" w:cstheme="minorHAnsi"/>
          <w:b/>
        </w:rPr>
        <w:lastRenderedPageBreak/>
        <w:t>PAGRINDINĖS SUTARTIES SĄLYGOS</w:t>
      </w:r>
    </w:p>
    <w:p w14:paraId="77BB7A56" w14:textId="77777777" w:rsidR="00E31C17" w:rsidRPr="006B17A0" w:rsidRDefault="00E31C17" w:rsidP="00E31C17">
      <w:pPr>
        <w:pStyle w:val="Sraopastraipa"/>
        <w:spacing w:before="60" w:after="60"/>
        <w:ind w:left="1800"/>
        <w:jc w:val="both"/>
        <w:rPr>
          <w:rFonts w:asciiTheme="minorHAnsi" w:hAnsiTheme="minorHAnsi" w:cstheme="minorHAnsi"/>
          <w:sz w:val="22"/>
          <w:szCs w:val="22"/>
        </w:rPr>
      </w:pPr>
    </w:p>
    <w:p w14:paraId="6E512EB3"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Sutartis įsigalioja nuo jos pasirašymo dienos ir galioja iki visiško Sutarties šalių įsipareigojimų įvykdymo.</w:t>
      </w:r>
    </w:p>
    <w:p w14:paraId="3B7973CD"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Bendra Sutarties vertė (pradinė sutarties vertė) nustatoma vadovaujantis Kainodaros taisyklių nustatymo metodikos, patvirtintos Viešųjų pirkimų tarnybos direktoriaus 2017 m. birželio 28 d. įsakymu Nr. 1S-95 „Dėl Kainodaros taisyklių nustatymo metodikos patvirtinimo“, 17.2 papunkčiu ir yra iki 2608,76 Eur su PVM, 2 156 Eur be PVM.</w:t>
      </w:r>
    </w:p>
    <w:p w14:paraId="3D5C532B" w14:textId="77777777" w:rsidR="00E31C17" w:rsidRPr="006B17A0" w:rsidRDefault="00E31C17" w:rsidP="00E31C17">
      <w:pPr>
        <w:pStyle w:val="Sraopastraipa"/>
        <w:numPr>
          <w:ilvl w:val="0"/>
          <w:numId w:val="3"/>
        </w:numPr>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įsipareigoja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perkančiajai organizacijai ir/ar tretiesiems asmenims nuostolių atlyginimą, jei paslaugų teikėjas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19EF6E57"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 xml:space="preserve">Paslaugos turi būti teikiamos nuo sutarties įsigaliojimo dienos iki kol bus pasiekta sutarties kaina (bendra sutarties vertė), bet ne ilgiau kaip iki 2022 m. gruodžio 31 d. adresu: Šventaragio g. 2, Vilnius, Lietuva. </w:t>
      </w:r>
    </w:p>
    <w:p w14:paraId="1168D1A8"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 xml:space="preserve">Paslaugos teikiamos Sutartyje nustatyta tvarka ir sąlygomis pagal paslaugų gavėjo faktinį poreikį, taikant Paslaugų teikėjo pasiūlyme nurodytą įkainį.     </w:t>
      </w:r>
    </w:p>
    <w:p w14:paraId="7D3FC988"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Per kalendorinį mėnesį tinkamai ir faktiškai suteiktų paslaugų perdavimas ir priėmimas įforminamas paslaugų perdavimo-priėmimo aktais, kurie pasirašomi paslaugų teikėjo ir perkančiosios organizacijos.</w:t>
      </w:r>
    </w:p>
    <w:p w14:paraId="13236CC1" w14:textId="77777777" w:rsidR="00E31C17" w:rsidRPr="006B17A0" w:rsidRDefault="00E31C17" w:rsidP="00E31C17">
      <w:pPr>
        <w:pStyle w:val="Sraopastraipa"/>
        <w:numPr>
          <w:ilvl w:val="0"/>
          <w:numId w:val="3"/>
        </w:numPr>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Kartu su paslaugų perdavimo-priėmimo aktu už per praėjusį kalendorinį mėnesį suteiktas paslaugas, paslaugų teikėjas pateikia perkančiajai organizacijai ataskaitą apie per praėjusį kalendorinį mėnesį suteiktas Paslaugas.</w:t>
      </w:r>
    </w:p>
    <w:p w14:paraId="510FF5D0"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Už tinkamai ir faktiškai per kalendorinį mėnesį suteiktas paslaugas, atitinkančias pirkimo sutarties reikalavimus, perkančioji organizacija su paslaugų teikėju atsiskaito mokėjimo pavedimu, pinigus pervesdama į paslaugų teikėjo nurodytą sąskaitą per 30 (trisdešimt) kalendorinių dienų nuo paslaugų perdavimo–priėmimo akto pasirašymo ir teisingos PVM sąskaitos faktūros gavimo dienos.</w:t>
      </w:r>
    </w:p>
    <w:p w14:paraId="6C561443" w14:textId="77777777" w:rsidR="00E31C17" w:rsidRPr="006B17A0" w:rsidRDefault="00E31C17" w:rsidP="00E31C17">
      <w:pPr>
        <w:pStyle w:val="Sraopastraipa"/>
        <w:numPr>
          <w:ilvl w:val="0"/>
          <w:numId w:val="3"/>
        </w:numPr>
        <w:spacing w:before="60" w:after="60"/>
        <w:ind w:left="0" w:firstLine="709"/>
        <w:contextualSpacing w:val="0"/>
        <w:jc w:val="both"/>
        <w:rPr>
          <w:rFonts w:asciiTheme="minorHAnsi" w:hAnsiTheme="minorHAnsi" w:cstheme="minorHAnsi"/>
          <w:sz w:val="22"/>
          <w:szCs w:val="22"/>
        </w:rPr>
      </w:pPr>
      <w:r w:rsidRPr="006B17A0">
        <w:rPr>
          <w:rFonts w:asciiTheme="minorHAnsi" w:hAnsiTheme="minorHAnsi" w:cstheme="minorHAnsi"/>
          <w:sz w:val="22"/>
          <w:szCs w:val="22"/>
        </w:rPr>
        <w:t>Jeigu einamaisiais biudžetiniais metais teisės aktais bus apribotas tam tikram laikotarpiui numatytas valstybės piniginių išteklių išdavimas, perkančioji organizacija turi teisę einamaisiais biudžetiniais metais atsisakyti tam tikrų pirkimo sutartyje numatytų, tačiau dar nesuteiktų paslaugų ir privalo apie tai informuoti paslaugų teikėją. Esant valstybės piniginių išteklių išdavimo ribojimo situacijai ir perkančiajai organizacijai atsisakius dar nesuteiktų paslaugų, perkančiajai organizacijai nėra taikomos jokios paslaugų teikėjo sankcijos, kylančios dėl sutartinių įsipareigojimų nevykdymo.</w:t>
      </w:r>
    </w:p>
    <w:p w14:paraId="3D54372A"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Jei paslaugų teikėjas nevykdo savo sutartinių įsipareigojimų pirkimo sutartyje nustatytais terminais, perkančioji organizacija turi teisę be oficialaus įspėjimo ir neribodamas kitų savo teisių gynimo būdų pradėti skaičiuoti 0,02 (dviejų šimtųjų) procento dydžio delspinigius nuo laiku nesuteiktų paslaugų kainos be PVM už kiekvieną uždelstą dieną.</w:t>
      </w:r>
    </w:p>
    <w:p w14:paraId="62D52497"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Jei paslaugų teikėjas nevykdo ar netinkamai vykdo kitus sutartinius įsipareigojimus (nesusijusius su pirkimo sutartyje numatytų terminų nesilaikymu), moka perkančiajai organizacijai 3 (trijų) procentų nuo visos pasiūlymo (Sutarties) kainos be PVM dydžio baudą.</w:t>
      </w:r>
    </w:p>
    <w:p w14:paraId="25E9A8FF"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Jei Perkančioji organizacija nevykdo savo sutartinių įsipareigojimų Sutartyje numatytais terminais sumokėti Paslaugų teikėjui už tinkamai ir faktiškai suteiktas paslaugas, Paslaugų teikėjas turi teisę be oficialaus įspėjimo ir neribodamas kitų savo teisių gynimo būdų pradėti skaičiuoti 0,02 (dviejų šimtųjų) procentų dydžio delspinigius nuo atitinkamos neapmokėtos paslaugų kainos be PVM už kiekvieną uždelstą dieną.</w:t>
      </w:r>
    </w:p>
    <w:p w14:paraId="100506F2"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perkančioji organizacija turi teisę nevykdyti mokėjimo.</w:t>
      </w:r>
    </w:p>
    <w:p w14:paraId="2BE83042"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lastRenderedPageBreak/>
        <w:t>Pirkimo sutarčiai aiškinti bei ginčams spręsti taikoma Lietuvos Respublikos teisė.</w:t>
      </w:r>
    </w:p>
    <w:p w14:paraId="05900C40"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Jei viena iš pirkimo sutarties šalių nevykdo sutartinių įsipareigojimų ir tai yra esminis pirkimo sutarties pažeidimas, kita šalis gali vienašališkai nutraukti pirkimo sutartį raštu prieš 10 (dešimt) dienų įspėjusi kitą pirkimo sutarties šalį ir pateikusi pagrįstus motyvus. Esminis pirkimo sutarties pažeidimas turi būti suprantamas ir pagal Civilinio kodekso 6.217 straipsnio 2 dalies kriterijus, ir pagal pirkimo sutartį (kai šalys susitaria, ką laikys esminiu pirkimo sutarties pažeidimu). Šalys susitaria, kad esminiu pirkimo sutarties pažeidimu pagal pirkimo sutartį laikomi:</w:t>
      </w:r>
    </w:p>
    <w:p w14:paraId="0232B68A" w14:textId="77777777" w:rsidR="00E31C17" w:rsidRPr="006B17A0" w:rsidRDefault="00E31C17" w:rsidP="00E31C17">
      <w:pPr>
        <w:pStyle w:val="Sraopastraipa"/>
        <w:numPr>
          <w:ilvl w:val="1"/>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perkančiosios organizacijos mokėjimo prievolės termino praleidimas daugiau kaip 30 (trisdešimt) dienų;</w:t>
      </w:r>
    </w:p>
    <w:p w14:paraId="6E9183F4" w14:textId="77777777" w:rsidR="00E31C17" w:rsidRPr="006B17A0" w:rsidRDefault="00E31C17" w:rsidP="00E31C17">
      <w:pPr>
        <w:pStyle w:val="Sraopastraipa"/>
        <w:numPr>
          <w:ilvl w:val="1"/>
          <w:numId w:val="3"/>
        </w:numPr>
        <w:spacing w:before="60" w:after="60"/>
        <w:ind w:hanging="225"/>
        <w:contextualSpacing w:val="0"/>
        <w:jc w:val="both"/>
        <w:rPr>
          <w:rFonts w:asciiTheme="minorHAnsi" w:hAnsiTheme="minorHAnsi" w:cstheme="minorHAnsi"/>
          <w:sz w:val="22"/>
          <w:szCs w:val="22"/>
        </w:rPr>
      </w:pPr>
      <w:r w:rsidRPr="006B17A0">
        <w:rPr>
          <w:rFonts w:asciiTheme="minorHAnsi" w:hAnsiTheme="minorHAnsi" w:cstheme="minorHAnsi"/>
          <w:sz w:val="22"/>
          <w:szCs w:val="22"/>
        </w:rPr>
        <w:t>netinkamas paslaugų teikimas antrą kalendorinį mėnesį iš eilės.</w:t>
      </w:r>
    </w:p>
    <w:p w14:paraId="5F800DD8" w14:textId="77777777" w:rsidR="00E31C17" w:rsidRPr="006B17A0" w:rsidRDefault="00E31C17" w:rsidP="00E31C17">
      <w:pPr>
        <w:pStyle w:val="Sraopastraipa"/>
        <w:numPr>
          <w:ilvl w:val="0"/>
          <w:numId w:val="3"/>
        </w:numPr>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Perkančioji organizacija turi teisę vienašališkai nutraukti Sutartį pranešusi Paslaugų teikėjui prieš 30 (trisdešimt) dienų. Paslaugų teikėjas turi teisę vienašališkai nutraukti Sutartį tik dėl svarbių priežasčių, apie tai pranešęs Perkančiajai organizacijai raštu prieš 30 (trisdešimt) dienų. Šiuo atveju Paslaugų teikėjas privalo visiškai atlyginti Perkančioji organizacija patirtus nuostolius.</w:t>
      </w:r>
    </w:p>
    <w:p w14:paraId="4E9FFF18" w14:textId="77777777" w:rsidR="00E31C17" w:rsidRPr="006B17A0" w:rsidRDefault="00E31C17" w:rsidP="00E31C17">
      <w:pPr>
        <w:pStyle w:val="Sraopastraipa"/>
        <w:numPr>
          <w:ilvl w:val="0"/>
          <w:numId w:val="3"/>
        </w:numPr>
        <w:contextualSpacing w:val="0"/>
        <w:rPr>
          <w:rFonts w:asciiTheme="minorHAnsi" w:hAnsiTheme="minorHAnsi" w:cstheme="minorHAnsi"/>
          <w:sz w:val="22"/>
          <w:szCs w:val="22"/>
        </w:rPr>
      </w:pPr>
    </w:p>
    <w:p w14:paraId="6B0A1D93" w14:textId="77777777" w:rsidR="00E31C17" w:rsidRPr="006B17A0" w:rsidRDefault="00E31C17" w:rsidP="00E31C17">
      <w:pPr>
        <w:pStyle w:val="Sraopastraipa"/>
        <w:numPr>
          <w:ilvl w:val="0"/>
          <w:numId w:val="3"/>
        </w:numPr>
        <w:ind w:left="0" w:firstLine="567"/>
        <w:contextualSpacing w:val="0"/>
        <w:rPr>
          <w:rFonts w:asciiTheme="minorHAnsi" w:hAnsiTheme="minorHAnsi" w:cstheme="minorHAnsi"/>
          <w:sz w:val="22"/>
          <w:szCs w:val="22"/>
        </w:rPr>
      </w:pPr>
      <w:r w:rsidRPr="006B17A0">
        <w:rPr>
          <w:rFonts w:asciiTheme="minorHAnsi" w:hAnsiTheme="minorHAnsi" w:cstheme="minorHAnsi"/>
          <w:sz w:val="22"/>
          <w:szCs w:val="22"/>
        </w:rPr>
        <w:t>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7E1D72C8" w14:textId="77777777" w:rsidR="00E31C17" w:rsidRPr="006B17A0" w:rsidRDefault="00E31C17" w:rsidP="00E31C17">
      <w:pPr>
        <w:pStyle w:val="Sraopastraipa"/>
        <w:numPr>
          <w:ilvl w:val="0"/>
          <w:numId w:val="3"/>
        </w:numPr>
        <w:ind w:left="0" w:firstLine="567"/>
        <w:contextualSpacing w:val="0"/>
        <w:rPr>
          <w:rFonts w:asciiTheme="minorHAnsi" w:hAnsiTheme="minorHAnsi" w:cstheme="minorHAnsi"/>
          <w:sz w:val="22"/>
          <w:szCs w:val="22"/>
        </w:rPr>
      </w:pPr>
      <w:r w:rsidRPr="006B17A0">
        <w:rPr>
          <w:rFonts w:asciiTheme="minorHAnsi" w:hAnsiTheme="minorHAnsi" w:cstheme="minorHAnsi"/>
          <w:sz w:val="22"/>
          <w:szCs w:val="22"/>
        </w:rPr>
        <w:t>Sutartis gali būti nutraukta LR viešųjų pirkimų įstatymo 90 straipsnio nustatytais atvejais ir tvarka.</w:t>
      </w:r>
    </w:p>
    <w:p w14:paraId="4AC94F87" w14:textId="77777777" w:rsidR="00E31C17" w:rsidRPr="006B17A0" w:rsidRDefault="00E31C17" w:rsidP="00E31C17">
      <w:pPr>
        <w:pStyle w:val="Sraopastraipa"/>
        <w:numPr>
          <w:ilvl w:val="0"/>
          <w:numId w:val="3"/>
        </w:numPr>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7FCC509" w14:textId="77777777" w:rsidR="00E31C17" w:rsidRPr="006B17A0" w:rsidRDefault="00E31C17" w:rsidP="00E31C17">
      <w:pPr>
        <w:pStyle w:val="Sraopastraipa"/>
        <w:numPr>
          <w:ilvl w:val="0"/>
          <w:numId w:val="3"/>
        </w:numPr>
        <w:ind w:left="0" w:firstLine="567"/>
        <w:contextualSpacing w:val="0"/>
        <w:rPr>
          <w:rFonts w:asciiTheme="minorHAnsi" w:hAnsiTheme="minorHAnsi" w:cstheme="minorHAnsi"/>
          <w:sz w:val="22"/>
          <w:szCs w:val="22"/>
        </w:rPr>
      </w:pPr>
      <w:r w:rsidRPr="006B17A0">
        <w:rPr>
          <w:rFonts w:asciiTheme="minorHAnsi" w:hAnsiTheme="minorHAnsi" w:cstheme="minorHAnsi"/>
          <w:sz w:val="22"/>
          <w:szCs w:val="22"/>
        </w:rPr>
        <w:t>Į Pasiūlymo (sutarties) kainą įskaitomi visi mokesčiai ir rinkliavos bei kitos išlaidos (taip pat ir sąskaitų faktūrų teikimo elektroniniu būdu išlaidos), susijusios su Sutarties vykdymu.</w:t>
      </w:r>
    </w:p>
    <w:p w14:paraId="271FBFB1"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sutarties vykdymui turi teisę pasitelkti:</w:t>
      </w:r>
    </w:p>
    <w:p w14:paraId="08099F7A"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savo pasiūlyme nurodytus subtiekėjus;</w:t>
      </w:r>
    </w:p>
    <w:p w14:paraId="7437CB4E"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 xml:space="preserve">kitus subtiekėjus, jeigu pasiūlymo pateikimo metu jie buvo žinomi. Tuo atveju, jei pasiūlymo pateikimo metu Paslaugų teikėjui nebuvo žinomi kiti subtiekėjai, Paslaugų teikėjas po sutarties įsigaliojimo įsipareigoja ne vėliau kaip likus 2 (dviem) darbo dienoms iki sutarties ar sutarties etapo, kurio veiklas vykdys numatomas pasitelkti subtiekėjas, vykdymo pradžios perkančiajai organizacijai pranešti tuo metu žinomų subtiekėjų pavadinimus, kontaktinius duomenis ir jų atstovus. Paslaugų teikėjas privalo informuoti perkančiąją organizaciją apie minėtos informacijos pasikeitimus visu sutarties vykdymo metu. </w:t>
      </w:r>
    </w:p>
    <w:p w14:paraId="1B7F7430"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Subtiekėjo pasitelkimas nekeičia Paslaugų teikėjo atsakomybės dėl sutarties įvykdymo.</w:t>
      </w:r>
    </w:p>
    <w:p w14:paraId="03990ADE"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Paslaugų teikėjas gali pakeisti subtiekėjus,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1428752" w14:textId="77777777" w:rsidR="00E31C17" w:rsidRPr="006B17A0" w:rsidRDefault="00E31C17" w:rsidP="00E31C17">
      <w:pPr>
        <w:pStyle w:val="Sraopastraipa"/>
        <w:numPr>
          <w:ilvl w:val="0"/>
          <w:numId w:val="3"/>
        </w:numPr>
        <w:spacing w:before="60" w:after="60"/>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Apie subtiekėjų keitimą ar naujų papildomų subtiekėjų pasitelkimą Paslaugų teikėjas iš anksto raštu turi informuoti perkančiąją organizaciją, nurodydamas subtiekėjų pakeitimo priežastis ir būsimus subtiekėjus. Pasitelkdamas ir vėliau keisdamas subtiekėjus Paslaugų teikėjas turi užtikrinti, kad subtiekėjai yra pajėgūs ir kompetentingi tinkamam jiems pavestų užduočių vykdymui. Subtiekėjai gali būti keičiami ar pasitelkiami nauji papildomi subtiekėjai tik gavus rašytinį perkančiosios organizacijos sutikimą. Naujai pasitelkiami subtiekėjai turės atitikti pirkimo dokumentų kvalifikacinių reikalavimų lentelės 9.1 papunktyje keliamą kvalifikacinį reikalavimą.</w:t>
      </w:r>
    </w:p>
    <w:p w14:paraId="104E0FC3" w14:textId="77777777" w:rsidR="00E31C17" w:rsidRPr="006B17A0" w:rsidRDefault="00E31C17" w:rsidP="00E31C17">
      <w:pPr>
        <w:pStyle w:val="Sraopastraipa"/>
        <w:numPr>
          <w:ilvl w:val="0"/>
          <w:numId w:val="3"/>
        </w:numPr>
        <w:ind w:left="0" w:firstLine="567"/>
        <w:contextualSpacing w:val="0"/>
        <w:jc w:val="both"/>
        <w:rPr>
          <w:rFonts w:asciiTheme="minorHAnsi" w:hAnsiTheme="minorHAnsi" w:cstheme="minorHAnsi"/>
          <w:sz w:val="22"/>
          <w:szCs w:val="22"/>
        </w:rPr>
      </w:pPr>
      <w:r w:rsidRPr="006B17A0">
        <w:rPr>
          <w:rFonts w:asciiTheme="minorHAnsi" w:hAnsiTheme="minorHAnsi" w:cstheme="minorHAnsi"/>
          <w:sz w:val="22"/>
          <w:szCs w:val="22"/>
        </w:rPr>
        <w:t xml:space="preserve">Konfidencialumo įsipareigojimai.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pirkimo  sutarties vykdymu. Konfidencialią </w:t>
      </w:r>
      <w:r w:rsidRPr="006B17A0">
        <w:rPr>
          <w:rFonts w:asciiTheme="minorHAnsi" w:hAnsiTheme="minorHAnsi" w:cstheme="minorHAnsi"/>
          <w:sz w:val="22"/>
          <w:szCs w:val="22"/>
        </w:rPr>
        <w:lastRenderedPageBreak/>
        <w:t>informaciją gavusi šalis privalo ją naudoti tik vykdydama pirkimo sutartį ir užtikrinti, kad gauta konfidenciali informacija nebus naudojama tokiu būdu, kuri pakenktų informaciją perdavusiai šaliai. Per 5 (penkias) darbo dienas nuo pirkimo sutarties įsigaliojimo, paslaugų teikėjas turi pateikti perkančiajai organizacijai jo specialistų (asmenų), vykdysiančių pirkimo sutartį, pasirašytus konfidencialumo pasižadėjimus (pasižadėjimo forma pridedama). Jei paslaugų teikėjas keičia specialistą pirkimo sutarčiai įgyvendinti, kartu su prašymu skirti (pakeisti) specialistą, turi būti pateiktas kiekvieno specialisto pasirašytas konfidencialumo pasižadėjimas.</w:t>
      </w:r>
    </w:p>
    <w:p w14:paraId="1DBF5D72" w14:textId="77777777" w:rsidR="00E31C17" w:rsidRPr="006B17A0" w:rsidRDefault="00E31C17" w:rsidP="00E31C17">
      <w:pPr>
        <w:pStyle w:val="Sraopastraipa"/>
        <w:spacing w:before="60" w:after="60"/>
        <w:ind w:left="709"/>
        <w:jc w:val="both"/>
        <w:rPr>
          <w:rFonts w:asciiTheme="minorHAnsi" w:hAnsiTheme="minorHAnsi" w:cstheme="minorHAnsi"/>
          <w:sz w:val="22"/>
          <w:szCs w:val="22"/>
        </w:rPr>
      </w:pPr>
    </w:p>
    <w:p w14:paraId="51709B54" w14:textId="77777777" w:rsidR="00F05AED" w:rsidRPr="006B17A0" w:rsidRDefault="00E31C17" w:rsidP="00E31C17">
      <w:pPr>
        <w:pStyle w:val="Sraopastraipa"/>
        <w:spacing w:before="60" w:after="60"/>
        <w:ind w:left="0" w:firstLine="709"/>
        <w:jc w:val="both"/>
        <w:rPr>
          <w:rFonts w:asciiTheme="minorHAnsi" w:hAnsiTheme="minorHAnsi" w:cstheme="minorHAnsi"/>
          <w:sz w:val="22"/>
          <w:szCs w:val="22"/>
        </w:rPr>
      </w:pPr>
      <w:r w:rsidRPr="006B17A0">
        <w:rPr>
          <w:rFonts w:asciiTheme="minorHAnsi" w:hAnsiTheme="minorHAnsi" w:cstheme="minorHAnsi"/>
          <w:sz w:val="22"/>
          <w:szCs w:val="22"/>
        </w:rPr>
        <w:t xml:space="preserve">Pridedama. </w:t>
      </w:r>
    </w:p>
    <w:p w14:paraId="6803D934" w14:textId="77777777" w:rsidR="00F05AED" w:rsidRPr="006B17A0" w:rsidRDefault="00F05AED" w:rsidP="00E31C17">
      <w:pPr>
        <w:pStyle w:val="Sraopastraipa"/>
        <w:spacing w:before="60" w:after="60"/>
        <w:ind w:left="0" w:firstLine="709"/>
        <w:jc w:val="both"/>
        <w:rPr>
          <w:rFonts w:asciiTheme="minorHAnsi" w:hAnsiTheme="minorHAnsi" w:cstheme="minorHAnsi"/>
          <w:sz w:val="22"/>
          <w:szCs w:val="22"/>
        </w:rPr>
      </w:pPr>
      <w:r w:rsidRPr="006B17A0">
        <w:rPr>
          <w:rFonts w:asciiTheme="minorHAnsi" w:hAnsiTheme="minorHAnsi" w:cstheme="minorHAnsi"/>
          <w:sz w:val="22"/>
          <w:szCs w:val="22"/>
        </w:rPr>
        <w:t xml:space="preserve">1. </w:t>
      </w:r>
      <w:r w:rsidR="00EB2D25">
        <w:rPr>
          <w:rFonts w:asciiTheme="minorHAnsi" w:hAnsiTheme="minorHAnsi" w:cstheme="minorHAnsi"/>
          <w:sz w:val="22"/>
          <w:szCs w:val="22"/>
        </w:rPr>
        <w:t>,,</w:t>
      </w:r>
      <w:r w:rsidRPr="006B17A0">
        <w:rPr>
          <w:rFonts w:asciiTheme="minorHAnsi" w:hAnsiTheme="minorHAnsi" w:cstheme="minorHAnsi"/>
          <w:sz w:val="22"/>
          <w:szCs w:val="22"/>
        </w:rPr>
        <w:t>Teikėjo deklaracija apie paslaugų teikimo valstybę ar teritoriją</w:t>
      </w:r>
      <w:r w:rsidR="00EB2D25">
        <w:rPr>
          <w:rFonts w:asciiTheme="minorHAnsi" w:hAnsiTheme="minorHAnsi" w:cstheme="minorHAnsi"/>
          <w:sz w:val="22"/>
          <w:szCs w:val="22"/>
        </w:rPr>
        <w:t>“</w:t>
      </w:r>
      <w:r w:rsidRPr="006B17A0">
        <w:rPr>
          <w:rFonts w:asciiTheme="minorHAnsi" w:hAnsiTheme="minorHAnsi" w:cstheme="minorHAnsi"/>
          <w:sz w:val="22"/>
          <w:szCs w:val="22"/>
        </w:rPr>
        <w:t xml:space="preserve">, 1 lapas; </w:t>
      </w:r>
    </w:p>
    <w:p w14:paraId="76B08B1C" w14:textId="77777777" w:rsidR="00E31C17" w:rsidRPr="006B17A0" w:rsidRDefault="00F05AED" w:rsidP="00E31C17">
      <w:pPr>
        <w:pStyle w:val="Sraopastraipa"/>
        <w:spacing w:before="60" w:after="60"/>
        <w:ind w:left="0" w:firstLine="709"/>
        <w:jc w:val="both"/>
        <w:rPr>
          <w:rFonts w:asciiTheme="minorHAnsi" w:hAnsiTheme="minorHAnsi" w:cstheme="minorHAnsi"/>
          <w:sz w:val="22"/>
          <w:szCs w:val="22"/>
        </w:rPr>
      </w:pPr>
      <w:r w:rsidRPr="006B17A0">
        <w:rPr>
          <w:rFonts w:asciiTheme="minorHAnsi" w:hAnsiTheme="minorHAnsi" w:cstheme="minorHAnsi"/>
          <w:sz w:val="22"/>
          <w:szCs w:val="22"/>
        </w:rPr>
        <w:t xml:space="preserve">2. </w:t>
      </w:r>
      <w:r w:rsidR="00E31C17" w:rsidRPr="006B17A0">
        <w:rPr>
          <w:rFonts w:asciiTheme="minorHAnsi" w:hAnsiTheme="minorHAnsi" w:cstheme="minorHAnsi"/>
          <w:sz w:val="22"/>
          <w:szCs w:val="22"/>
        </w:rPr>
        <w:t>„Konfidencialumo pasižadėjimo neatskleisti informacijos, kuri taps ž</w:t>
      </w:r>
      <w:r w:rsidR="00EB2D25">
        <w:rPr>
          <w:rFonts w:asciiTheme="minorHAnsi" w:hAnsiTheme="minorHAnsi" w:cstheme="minorHAnsi"/>
          <w:sz w:val="22"/>
          <w:szCs w:val="22"/>
        </w:rPr>
        <w:t>inoma vykdant sutartį, forma“, 2 lapai</w:t>
      </w:r>
      <w:r w:rsidR="00E31C17" w:rsidRPr="006B17A0">
        <w:rPr>
          <w:rFonts w:asciiTheme="minorHAnsi" w:hAnsiTheme="minorHAnsi" w:cstheme="minorHAnsi"/>
          <w:sz w:val="22"/>
          <w:szCs w:val="22"/>
        </w:rPr>
        <w:t xml:space="preserve">. </w:t>
      </w:r>
    </w:p>
    <w:p w14:paraId="6DD5AE99"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p>
    <w:p w14:paraId="3998267C"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p>
    <w:p w14:paraId="1D09231D"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32"/>
        <w:gridCol w:w="2011"/>
        <w:gridCol w:w="237"/>
        <w:gridCol w:w="3047"/>
      </w:tblGrid>
      <w:tr w:rsidR="002A4BE3" w:rsidRPr="006B17A0" w14:paraId="02C7567C" w14:textId="77777777" w:rsidTr="002A4BE3">
        <w:trPr>
          <w:trHeight w:val="158"/>
        </w:trPr>
        <w:tc>
          <w:tcPr>
            <w:tcW w:w="2090" w:type="pct"/>
            <w:tcBorders>
              <w:top w:val="nil"/>
              <w:left w:val="nil"/>
              <w:bottom w:val="single" w:sz="4" w:space="0" w:color="auto"/>
              <w:right w:val="nil"/>
            </w:tcBorders>
          </w:tcPr>
          <w:p w14:paraId="23274B32" w14:textId="53CB6753" w:rsidR="001345BF" w:rsidRPr="001345BF" w:rsidRDefault="002A4BE3" w:rsidP="00DC40DD">
            <w:pPr>
              <w:pStyle w:val="Pagrindinistekstas1"/>
              <w:ind w:right="140" w:firstLine="0"/>
              <w:jc w:val="center"/>
              <w:rPr>
                <w:rFonts w:asciiTheme="minorHAnsi" w:hAnsiTheme="minorHAnsi" w:cstheme="minorHAnsi"/>
                <w:color w:val="000000" w:themeColor="text1"/>
                <w:position w:val="6"/>
                <w:sz w:val="22"/>
                <w:szCs w:val="22"/>
                <w:lang w:val="lt-LT"/>
              </w:rPr>
            </w:pPr>
            <w:r>
              <w:rPr>
                <w:rFonts w:asciiTheme="minorHAnsi" w:hAnsiTheme="minorHAnsi" w:cstheme="minorHAnsi"/>
                <w:color w:val="000000" w:themeColor="text1"/>
                <w:position w:val="6"/>
                <w:sz w:val="22"/>
                <w:szCs w:val="22"/>
                <w:lang w:val="lt-LT"/>
              </w:rPr>
              <w:t>Generalinis direktorius</w:t>
            </w:r>
          </w:p>
        </w:tc>
        <w:tc>
          <w:tcPr>
            <w:tcW w:w="122" w:type="pct"/>
            <w:tcBorders>
              <w:top w:val="nil"/>
              <w:left w:val="nil"/>
              <w:bottom w:val="nil"/>
              <w:right w:val="nil"/>
            </w:tcBorders>
          </w:tcPr>
          <w:p w14:paraId="357C7390" w14:textId="77777777" w:rsidR="001345BF" w:rsidRPr="006B17A0" w:rsidRDefault="001345BF" w:rsidP="00DC40DD">
            <w:pPr>
              <w:pStyle w:val="Pagrindinistekstas1"/>
              <w:ind w:right="140" w:firstLine="0"/>
              <w:rPr>
                <w:rFonts w:asciiTheme="minorHAnsi" w:hAnsiTheme="minorHAnsi" w:cstheme="minorHAnsi"/>
                <w:color w:val="000000" w:themeColor="text1"/>
                <w:sz w:val="22"/>
                <w:szCs w:val="22"/>
                <w:lang w:val="lt-LT"/>
              </w:rPr>
            </w:pPr>
          </w:p>
        </w:tc>
        <w:tc>
          <w:tcPr>
            <w:tcW w:w="1059" w:type="pct"/>
            <w:tcBorders>
              <w:top w:val="nil"/>
              <w:left w:val="nil"/>
              <w:bottom w:val="single" w:sz="4" w:space="0" w:color="auto"/>
              <w:right w:val="nil"/>
            </w:tcBorders>
          </w:tcPr>
          <w:p w14:paraId="026A3036" w14:textId="01CE80D2" w:rsidR="001345BF" w:rsidRPr="001345BF" w:rsidRDefault="001345BF" w:rsidP="00DC40DD">
            <w:pPr>
              <w:pStyle w:val="Pagrindinistekstas1"/>
              <w:ind w:right="140" w:firstLine="0"/>
              <w:jc w:val="center"/>
              <w:rPr>
                <w:rFonts w:asciiTheme="minorHAnsi" w:hAnsiTheme="minorHAnsi" w:cstheme="minorHAnsi"/>
                <w:color w:val="000000" w:themeColor="text1"/>
                <w:position w:val="6"/>
                <w:sz w:val="22"/>
                <w:szCs w:val="22"/>
                <w:lang w:val="lt-LT"/>
              </w:rPr>
            </w:pPr>
          </w:p>
        </w:tc>
        <w:tc>
          <w:tcPr>
            <w:tcW w:w="125" w:type="pct"/>
            <w:tcBorders>
              <w:top w:val="nil"/>
              <w:left w:val="nil"/>
              <w:bottom w:val="nil"/>
              <w:right w:val="nil"/>
            </w:tcBorders>
          </w:tcPr>
          <w:p w14:paraId="3EC83360" w14:textId="77777777" w:rsidR="001345BF" w:rsidRPr="006B17A0" w:rsidRDefault="001345BF" w:rsidP="00DC40DD">
            <w:pPr>
              <w:pStyle w:val="Pagrindinistekstas1"/>
              <w:ind w:right="140" w:firstLine="0"/>
              <w:rPr>
                <w:rFonts w:asciiTheme="minorHAnsi" w:hAnsiTheme="minorHAnsi" w:cstheme="minorHAnsi"/>
                <w:color w:val="000000" w:themeColor="text1"/>
                <w:sz w:val="22"/>
                <w:szCs w:val="22"/>
                <w:lang w:val="lt-LT"/>
              </w:rPr>
            </w:pPr>
          </w:p>
        </w:tc>
        <w:tc>
          <w:tcPr>
            <w:tcW w:w="1605" w:type="pct"/>
            <w:tcBorders>
              <w:top w:val="nil"/>
              <w:left w:val="nil"/>
              <w:bottom w:val="single" w:sz="4" w:space="0" w:color="auto"/>
              <w:right w:val="nil"/>
            </w:tcBorders>
          </w:tcPr>
          <w:p w14:paraId="253F26FC" w14:textId="5B6EF35C" w:rsidR="001345BF" w:rsidRPr="001345BF" w:rsidRDefault="002A4BE3" w:rsidP="001345BF">
            <w:pPr>
              <w:pStyle w:val="Pagrindinistekstas1"/>
              <w:tabs>
                <w:tab w:val="left" w:pos="3969"/>
              </w:tabs>
              <w:ind w:right="140" w:firstLine="0"/>
              <w:jc w:val="center"/>
              <w:rPr>
                <w:rFonts w:asciiTheme="minorHAnsi" w:hAnsiTheme="minorHAnsi" w:cstheme="minorHAnsi"/>
                <w:color w:val="000000" w:themeColor="text1"/>
                <w:position w:val="6"/>
                <w:sz w:val="22"/>
                <w:szCs w:val="22"/>
                <w:lang w:val="lt-LT"/>
              </w:rPr>
            </w:pPr>
            <w:r>
              <w:rPr>
                <w:rFonts w:asciiTheme="minorHAnsi" w:hAnsiTheme="minorHAnsi" w:cstheme="minorHAnsi"/>
                <w:color w:val="000000" w:themeColor="text1"/>
                <w:position w:val="6"/>
                <w:sz w:val="22"/>
                <w:szCs w:val="22"/>
                <w:lang w:val="lt-LT"/>
              </w:rPr>
              <w:t>Albertas Šermokas</w:t>
            </w:r>
          </w:p>
        </w:tc>
      </w:tr>
      <w:tr w:rsidR="00E31C17" w:rsidRPr="002A4BE3" w14:paraId="48787CE8" w14:textId="77777777" w:rsidTr="002A4BE3">
        <w:trPr>
          <w:trHeight w:val="158"/>
        </w:trPr>
        <w:tc>
          <w:tcPr>
            <w:tcW w:w="2090" w:type="pct"/>
            <w:tcBorders>
              <w:top w:val="single" w:sz="4" w:space="0" w:color="auto"/>
              <w:left w:val="nil"/>
              <w:bottom w:val="nil"/>
              <w:right w:val="nil"/>
            </w:tcBorders>
          </w:tcPr>
          <w:p w14:paraId="21C7A7B8" w14:textId="77777777" w:rsidR="00E31C17" w:rsidRPr="002A4BE3" w:rsidRDefault="00E31C17" w:rsidP="002A4BE3">
            <w:pPr>
              <w:pStyle w:val="Pagrindinistekstas1"/>
              <w:ind w:right="-92"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(Tiekėjo arba jo įgalioto asmens pareigų pavadinimas)</w:t>
            </w:r>
          </w:p>
        </w:tc>
        <w:tc>
          <w:tcPr>
            <w:tcW w:w="122" w:type="pct"/>
            <w:tcBorders>
              <w:top w:val="nil"/>
              <w:left w:val="nil"/>
              <w:bottom w:val="nil"/>
              <w:right w:val="nil"/>
            </w:tcBorders>
          </w:tcPr>
          <w:p w14:paraId="0379FE4A" w14:textId="77777777" w:rsidR="00E31C17" w:rsidRPr="002A4BE3" w:rsidRDefault="00E31C17" w:rsidP="00121F93">
            <w:pPr>
              <w:pStyle w:val="Pagrindinistekstas1"/>
              <w:ind w:right="140" w:firstLine="0"/>
              <w:rPr>
                <w:rFonts w:asciiTheme="minorHAnsi" w:hAnsiTheme="minorHAnsi" w:cstheme="minorHAnsi"/>
                <w:color w:val="000000" w:themeColor="text1"/>
                <w:sz w:val="16"/>
                <w:szCs w:val="16"/>
                <w:lang w:val="lt-LT"/>
              </w:rPr>
            </w:pPr>
          </w:p>
        </w:tc>
        <w:tc>
          <w:tcPr>
            <w:tcW w:w="1059" w:type="pct"/>
            <w:tcBorders>
              <w:top w:val="single" w:sz="4" w:space="0" w:color="auto"/>
              <w:left w:val="nil"/>
              <w:bottom w:val="nil"/>
              <w:right w:val="nil"/>
            </w:tcBorders>
          </w:tcPr>
          <w:p w14:paraId="7A1D0916" w14:textId="77777777" w:rsidR="00E31C17" w:rsidRPr="002A4BE3" w:rsidRDefault="00E31C17" w:rsidP="00121F93">
            <w:pPr>
              <w:pStyle w:val="Pagrindinistekstas1"/>
              <w:ind w:right="140"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(Parašas)</w:t>
            </w:r>
          </w:p>
        </w:tc>
        <w:tc>
          <w:tcPr>
            <w:tcW w:w="125" w:type="pct"/>
            <w:tcBorders>
              <w:top w:val="nil"/>
              <w:left w:val="nil"/>
              <w:bottom w:val="nil"/>
              <w:right w:val="nil"/>
            </w:tcBorders>
          </w:tcPr>
          <w:p w14:paraId="46F297A3" w14:textId="77777777" w:rsidR="00E31C17" w:rsidRPr="002A4BE3" w:rsidRDefault="00E31C17" w:rsidP="00121F93">
            <w:pPr>
              <w:pStyle w:val="Pagrindinistekstas1"/>
              <w:ind w:right="140" w:firstLine="0"/>
              <w:rPr>
                <w:rFonts w:asciiTheme="minorHAnsi" w:hAnsiTheme="minorHAnsi" w:cstheme="minorHAnsi"/>
                <w:color w:val="000000" w:themeColor="text1"/>
                <w:sz w:val="16"/>
                <w:szCs w:val="16"/>
                <w:lang w:val="lt-LT"/>
              </w:rPr>
            </w:pPr>
          </w:p>
        </w:tc>
        <w:tc>
          <w:tcPr>
            <w:tcW w:w="1605" w:type="pct"/>
            <w:tcBorders>
              <w:top w:val="single" w:sz="4" w:space="0" w:color="auto"/>
              <w:left w:val="nil"/>
              <w:bottom w:val="nil"/>
              <w:right w:val="nil"/>
            </w:tcBorders>
          </w:tcPr>
          <w:p w14:paraId="63B031C9" w14:textId="77777777" w:rsidR="00E31C17" w:rsidRPr="002A4BE3" w:rsidRDefault="00E31C17" w:rsidP="00121F93">
            <w:pPr>
              <w:pStyle w:val="Pagrindinistekstas1"/>
              <w:tabs>
                <w:tab w:val="left" w:pos="3969"/>
              </w:tabs>
              <w:ind w:right="140"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(Vardas, pavardė)</w:t>
            </w:r>
          </w:p>
          <w:p w14:paraId="7972E999" w14:textId="77777777" w:rsidR="00E31C17" w:rsidRPr="002A4BE3" w:rsidRDefault="00E31C17" w:rsidP="00121F93">
            <w:pPr>
              <w:pStyle w:val="Pagrindinistekstas1"/>
              <w:ind w:right="140" w:firstLine="0"/>
              <w:rPr>
                <w:rFonts w:asciiTheme="minorHAnsi" w:hAnsiTheme="minorHAnsi" w:cstheme="minorHAnsi"/>
                <w:color w:val="000000" w:themeColor="text1"/>
                <w:sz w:val="16"/>
                <w:szCs w:val="16"/>
                <w:lang w:val="lt-LT"/>
              </w:rPr>
            </w:pPr>
          </w:p>
        </w:tc>
      </w:tr>
    </w:tbl>
    <w:p w14:paraId="515CA087"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p>
    <w:p w14:paraId="6987497C" w14:textId="77777777" w:rsidR="00E31C17" w:rsidRPr="006B17A0" w:rsidRDefault="00E31C17" w:rsidP="00E31C17">
      <w:pPr>
        <w:pStyle w:val="Sraopastraipa"/>
        <w:spacing w:before="60" w:after="60"/>
        <w:ind w:left="0" w:firstLine="709"/>
        <w:jc w:val="both"/>
        <w:rPr>
          <w:rFonts w:asciiTheme="minorHAnsi" w:hAnsiTheme="minorHAnsi" w:cstheme="minorHAnsi"/>
          <w:sz w:val="22"/>
          <w:szCs w:val="22"/>
        </w:rPr>
      </w:pPr>
    </w:p>
    <w:sectPr w:rsidR="00E31C17" w:rsidRPr="006B17A0" w:rsidSect="00422F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D4F52"/>
    <w:multiLevelType w:val="multilevel"/>
    <w:tmpl w:val="03426404"/>
    <w:lvl w:ilvl="0">
      <w:start w:val="1"/>
      <w:numFmt w:val="decimal"/>
      <w:lvlText w:val="%1."/>
      <w:lvlJc w:val="left"/>
      <w:pPr>
        <w:ind w:left="2935" w:hanging="360"/>
      </w:pPr>
      <w:rPr>
        <w:rFonts w:hint="default"/>
        <w:b w:val="0"/>
        <w:i w:val="0"/>
      </w:rPr>
    </w:lvl>
    <w:lvl w:ilvl="1">
      <w:start w:val="1"/>
      <w:numFmt w:val="decimal"/>
      <w:isLgl/>
      <w:lvlText w:val="%1.%2."/>
      <w:lvlJc w:val="left"/>
      <w:pPr>
        <w:ind w:left="3077" w:hanging="360"/>
      </w:pPr>
      <w:rPr>
        <w:rFonts w:ascii="Times New Roman" w:hAnsi="Times New Roman" w:cs="Times New Roman" w:hint="default"/>
        <w:i w:val="0"/>
        <w:sz w:val="24"/>
        <w:szCs w:val="24"/>
      </w:rPr>
    </w:lvl>
    <w:lvl w:ilvl="2">
      <w:start w:val="1"/>
      <w:numFmt w:val="decimal"/>
      <w:isLgl/>
      <w:lvlText w:val="%1.%2.%3."/>
      <w:lvlJc w:val="left"/>
      <w:pPr>
        <w:ind w:left="3153" w:hanging="720"/>
      </w:pPr>
      <w:rPr>
        <w:rFonts w:hint="default"/>
        <w:sz w:val="24"/>
      </w:rPr>
    </w:lvl>
    <w:lvl w:ilvl="3">
      <w:start w:val="1"/>
      <w:numFmt w:val="decimal"/>
      <w:isLgl/>
      <w:lvlText w:val="%1.%2.%3.%4."/>
      <w:lvlJc w:val="left"/>
      <w:pPr>
        <w:ind w:left="280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440"/>
      </w:pPr>
      <w:rPr>
        <w:rFonts w:hint="default"/>
      </w:rPr>
    </w:lvl>
    <w:lvl w:ilvl="7">
      <w:start w:val="1"/>
      <w:numFmt w:val="decimal"/>
      <w:isLgl/>
      <w:lvlText w:val="%1.%2.%3.%4.%5.%6.%7.%8."/>
      <w:lvlJc w:val="left"/>
      <w:pPr>
        <w:ind w:left="3524" w:hanging="1440"/>
      </w:pPr>
      <w:rPr>
        <w:rFonts w:hint="default"/>
      </w:rPr>
    </w:lvl>
    <w:lvl w:ilvl="8">
      <w:start w:val="1"/>
      <w:numFmt w:val="decimal"/>
      <w:isLgl/>
      <w:lvlText w:val="%1.%2.%3.%4.%5.%6.%7.%8.%9."/>
      <w:lvlJc w:val="left"/>
      <w:pPr>
        <w:ind w:left="3884" w:hanging="1800"/>
      </w:pPr>
      <w:rPr>
        <w:rFonts w:hint="default"/>
      </w:rPr>
    </w:lvl>
  </w:abstractNum>
  <w:abstractNum w:abstractNumId="4"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DA400A"/>
    <w:multiLevelType w:val="hybridMultilevel"/>
    <w:tmpl w:val="123C0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59"/>
    <w:rsid w:val="00046C5D"/>
    <w:rsid w:val="000C4A39"/>
    <w:rsid w:val="00121507"/>
    <w:rsid w:val="001321A7"/>
    <w:rsid w:val="001345BF"/>
    <w:rsid w:val="0016343C"/>
    <w:rsid w:val="001934A7"/>
    <w:rsid w:val="001973B2"/>
    <w:rsid w:val="001A1C9B"/>
    <w:rsid w:val="001B5894"/>
    <w:rsid w:val="001B5A94"/>
    <w:rsid w:val="00241EAB"/>
    <w:rsid w:val="00242B94"/>
    <w:rsid w:val="002477F3"/>
    <w:rsid w:val="002A4BE3"/>
    <w:rsid w:val="002D28FD"/>
    <w:rsid w:val="00336BD2"/>
    <w:rsid w:val="00370999"/>
    <w:rsid w:val="003731D7"/>
    <w:rsid w:val="004047E9"/>
    <w:rsid w:val="00422F37"/>
    <w:rsid w:val="00573D9C"/>
    <w:rsid w:val="00591AC1"/>
    <w:rsid w:val="00607EB6"/>
    <w:rsid w:val="00620998"/>
    <w:rsid w:val="006452B3"/>
    <w:rsid w:val="006B17A0"/>
    <w:rsid w:val="00794499"/>
    <w:rsid w:val="0092123C"/>
    <w:rsid w:val="00945D4A"/>
    <w:rsid w:val="009A3E25"/>
    <w:rsid w:val="00A33218"/>
    <w:rsid w:val="00A55AE1"/>
    <w:rsid w:val="00A9590D"/>
    <w:rsid w:val="00AA150C"/>
    <w:rsid w:val="00AC201B"/>
    <w:rsid w:val="00AD5C0F"/>
    <w:rsid w:val="00AE578A"/>
    <w:rsid w:val="00B4337C"/>
    <w:rsid w:val="00B46A6F"/>
    <w:rsid w:val="00BF0C94"/>
    <w:rsid w:val="00C005DA"/>
    <w:rsid w:val="00C36E59"/>
    <w:rsid w:val="00C55B71"/>
    <w:rsid w:val="00C70E0C"/>
    <w:rsid w:val="00D34CC7"/>
    <w:rsid w:val="00D4468F"/>
    <w:rsid w:val="00D61799"/>
    <w:rsid w:val="00D61A70"/>
    <w:rsid w:val="00E24F8F"/>
    <w:rsid w:val="00E31C17"/>
    <w:rsid w:val="00EB2D25"/>
    <w:rsid w:val="00ED274B"/>
    <w:rsid w:val="00F05AED"/>
    <w:rsid w:val="00F2541E"/>
    <w:rsid w:val="00F9173B"/>
    <w:rsid w:val="00FC1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25DD"/>
  <w15:chartTrackingRefBased/>
  <w15:docId w15:val="{CEDAD40E-E194-45B1-81B2-CF6B5A4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E59"/>
    <w:pPr>
      <w:spacing w:after="0" w:line="240" w:lineRule="auto"/>
    </w:pPr>
    <w:rPr>
      <w:rFonts w:ascii="Calibri" w:hAnsi="Calibri" w:cs="Times New Roman"/>
    </w:rPr>
  </w:style>
  <w:style w:type="paragraph" w:styleId="Antrat1">
    <w:name w:val="heading 1"/>
    <w:basedOn w:val="prastasis"/>
    <w:next w:val="prastasis"/>
    <w:link w:val="Antrat1Diagrama"/>
    <w:qFormat/>
    <w:rsid w:val="00F05AED"/>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B46A6F"/>
    <w:pPr>
      <w:ind w:left="720"/>
      <w:contextualSpacing/>
    </w:pPr>
    <w:rPr>
      <w:rFonts w:ascii="Times New Roman" w:eastAsia="Times New Roman" w:hAnsi="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46A6F"/>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B46A6F"/>
  </w:style>
  <w:style w:type="character" w:styleId="Emfaz">
    <w:name w:val="Emphasis"/>
    <w:uiPriority w:val="20"/>
    <w:qFormat/>
    <w:rsid w:val="00B46A6F"/>
    <w:rPr>
      <w:rFonts w:cs="Times New Roman"/>
      <w:i/>
    </w:rPr>
  </w:style>
  <w:style w:type="paragraph" w:styleId="Betarp">
    <w:name w:val="No Spacing"/>
    <w:uiPriority w:val="1"/>
    <w:qFormat/>
    <w:rsid w:val="00FC1D5A"/>
    <w:pPr>
      <w:spacing w:after="0" w:line="240" w:lineRule="auto"/>
    </w:pPr>
  </w:style>
  <w:style w:type="table" w:styleId="Lentelstinklelis">
    <w:name w:val="Table Grid"/>
    <w:basedOn w:val="prastojilentel"/>
    <w:uiPriority w:val="39"/>
    <w:rsid w:val="00F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91AC1"/>
    <w:pPr>
      <w:spacing w:before="100" w:beforeAutospacing="1" w:after="100" w:afterAutospacing="1"/>
    </w:pPr>
    <w:rPr>
      <w:rFonts w:ascii="Arial" w:eastAsia="Times New Roman" w:hAnsi="Arial" w:cs="Arial"/>
      <w:sz w:val="24"/>
      <w:szCs w:val="24"/>
      <w:lang w:val="en-US"/>
    </w:rPr>
  </w:style>
  <w:style w:type="paragraph" w:customStyle="1" w:styleId="prastasis1">
    <w:name w:val="Įprastasis1"/>
    <w:rsid w:val="00591AC1"/>
    <w:pPr>
      <w:widowControl w:val="0"/>
      <w:suppressAutoHyphens/>
      <w:autoSpaceDE w:val="0"/>
      <w:autoSpaceDN w:val="0"/>
      <w:spacing w:after="0" w:line="240" w:lineRule="auto"/>
    </w:pPr>
    <w:rPr>
      <w:rFonts w:ascii="Arial" w:eastAsia="Times New Roman" w:hAnsi="Arial" w:cs="Arial"/>
      <w:sz w:val="20"/>
      <w:szCs w:val="20"/>
      <w:lang w:val="en-US"/>
    </w:rPr>
  </w:style>
  <w:style w:type="table" w:customStyle="1" w:styleId="TableNormal1">
    <w:name w:val="Table Normal1"/>
    <w:uiPriority w:val="99"/>
    <w:semiHidden/>
    <w:rsid w:val="00591AC1"/>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customStyle="1" w:styleId="Pagrindinistekstas1">
    <w:name w:val="Pagrindinis tekstas1"/>
    <w:uiPriority w:val="99"/>
    <w:rsid w:val="00E31C1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basedOn w:val="Numatytasispastraiposriftas"/>
    <w:link w:val="Antrat1"/>
    <w:rsid w:val="00F05AED"/>
    <w:rPr>
      <w:rFonts w:asciiTheme="majorHAnsi" w:eastAsiaTheme="majorEastAsia" w:hAnsiTheme="majorHAnsi" w:cstheme="majorBidi"/>
      <w:b/>
      <w:bCs/>
      <w:caps/>
      <w:spacing w:val="4"/>
      <w:sz w:val="28"/>
      <w:szCs w:val="28"/>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F05AED"/>
    <w:rPr>
      <w:sz w:val="24"/>
      <w:szCs w:val="24"/>
      <w:lang w:val="en-US" w:bidi="en-US"/>
    </w:rPr>
  </w:style>
  <w:style w:type="character" w:styleId="Hipersaitas">
    <w:name w:val="Hyperlink"/>
    <w:basedOn w:val="Numatytasispastraiposriftas"/>
    <w:uiPriority w:val="99"/>
    <w:unhideWhenUsed/>
    <w:rsid w:val="00D61A70"/>
    <w:rPr>
      <w:color w:val="0563C1" w:themeColor="hyperlink"/>
      <w:u w:val="single"/>
    </w:rPr>
  </w:style>
  <w:style w:type="character" w:customStyle="1" w:styleId="UnresolvedMention">
    <w:name w:val="Unresolved Mention"/>
    <w:basedOn w:val="Numatytasispastraiposriftas"/>
    <w:uiPriority w:val="99"/>
    <w:semiHidden/>
    <w:unhideWhenUsed/>
    <w:rsid w:val="00D61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zas.ceglys@asseco.lt" TargetMode="External"/><Relationship Id="rId3" Type="http://schemas.openxmlformats.org/officeDocument/2006/relationships/settings" Target="settings.xml"/><Relationship Id="rId7" Type="http://schemas.openxmlformats.org/officeDocument/2006/relationships/hyperlink" Target="mailto:info@assec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t.assec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11856</Words>
  <Characters>6759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Grinienė</dc:creator>
  <cp:lastModifiedBy>Česlava Grinienė</cp:lastModifiedBy>
  <cp:revision>2</cp:revision>
  <dcterms:created xsi:type="dcterms:W3CDTF">2022-08-25T07:08:00Z</dcterms:created>
  <dcterms:modified xsi:type="dcterms:W3CDTF">2022-08-25T07:08:00Z</dcterms:modified>
</cp:coreProperties>
</file>