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666D7ABA" w:rsidR="00DD48CC" w:rsidRDefault="00DD48CC" w:rsidP="00B20ABB">
      <w:pPr>
        <w:jc w:val="center"/>
      </w:pPr>
      <w:r w:rsidRPr="001C29DB">
        <w:rPr>
          <w:b/>
        </w:rPr>
        <w:t>SUSITARIMAS</w:t>
      </w:r>
    </w:p>
    <w:p w14:paraId="6A424973" w14:textId="7B543755" w:rsidR="00C34A5C" w:rsidRDefault="00971496" w:rsidP="00C34A5C">
      <w:pPr>
        <w:jc w:val="center"/>
        <w:rPr>
          <w:b/>
        </w:rPr>
      </w:pPr>
      <w:r w:rsidRPr="00971496">
        <w:rPr>
          <w:b/>
        </w:rPr>
        <w:t xml:space="preserve">DĖL 2021 </w:t>
      </w:r>
      <w:r>
        <w:rPr>
          <w:b/>
        </w:rPr>
        <w:t xml:space="preserve">M. </w:t>
      </w:r>
      <w:r w:rsidR="00614C12">
        <w:rPr>
          <w:b/>
        </w:rPr>
        <w:t>SPAL</w:t>
      </w:r>
      <w:r>
        <w:rPr>
          <w:b/>
        </w:rPr>
        <w:t xml:space="preserve">IO </w:t>
      </w:r>
      <w:r w:rsidR="00614C12">
        <w:rPr>
          <w:b/>
        </w:rPr>
        <w:t>4</w:t>
      </w:r>
      <w:r>
        <w:rPr>
          <w:b/>
        </w:rPr>
        <w:t xml:space="preserve"> D</w:t>
      </w:r>
      <w:r w:rsidRPr="00971496">
        <w:rPr>
          <w:b/>
        </w:rPr>
        <w:t xml:space="preserve">. </w:t>
      </w:r>
      <w:r w:rsidR="00614C12">
        <w:rPr>
          <w:b/>
        </w:rPr>
        <w:t>VETERINARŲ GATVĖS DALIES STATYBOS IR VETERINARŲ GATVĖS DALIES KAPITALINIO REMONTO RANGOS</w:t>
      </w:r>
      <w:r>
        <w:rPr>
          <w:b/>
        </w:rPr>
        <w:t xml:space="preserve"> SUTARTIES </w:t>
      </w:r>
      <w:r w:rsidR="0027001D">
        <w:rPr>
          <w:b/>
        </w:rPr>
        <w:br/>
      </w:r>
      <w:r w:rsidR="00614C12">
        <w:rPr>
          <w:b/>
        </w:rPr>
        <w:t xml:space="preserve">NR. </w:t>
      </w:r>
      <w:r>
        <w:rPr>
          <w:b/>
        </w:rPr>
        <w:t>S-1</w:t>
      </w:r>
      <w:r w:rsidR="00614C12">
        <w:rPr>
          <w:b/>
        </w:rPr>
        <w:t>122</w:t>
      </w:r>
      <w:r>
        <w:rPr>
          <w:b/>
        </w:rPr>
        <w:t xml:space="preserve"> </w:t>
      </w:r>
      <w:r w:rsidR="00B20ABB">
        <w:rPr>
          <w:b/>
        </w:rPr>
        <w:t xml:space="preserve">SĄLYGŲ PAKEITIMO </w:t>
      </w:r>
    </w:p>
    <w:p w14:paraId="3ABB2D8C" w14:textId="77777777" w:rsidR="009B1FA5" w:rsidRDefault="009B1FA5" w:rsidP="00B20ABB"/>
    <w:p w14:paraId="39CF1D98" w14:textId="23357A47" w:rsidR="00DD48CC" w:rsidRDefault="00DD48CC" w:rsidP="00DD48CC">
      <w:pPr>
        <w:jc w:val="center"/>
      </w:pPr>
      <w:r>
        <w:t>20</w:t>
      </w:r>
      <w:r w:rsidR="00035DD4">
        <w:t>2</w:t>
      </w:r>
      <w:r w:rsidR="00CA112F">
        <w:t>2</w:t>
      </w:r>
      <w:r>
        <w:t xml:space="preserve"> m.</w:t>
      </w:r>
      <w:r w:rsidR="003010F2">
        <w:t xml:space="preserve"> </w:t>
      </w:r>
      <w:r w:rsidR="00614C12">
        <w:t>rugpjūčio</w:t>
      </w:r>
      <w:r w:rsidR="00504F97">
        <w:t xml:space="preserve"> </w:t>
      </w:r>
      <w:r w:rsidR="00614C12">
        <w:t xml:space="preserve">    </w:t>
      </w:r>
      <w:r w:rsidR="00504F97">
        <w:t xml:space="preserve"> 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1E6AADE0" w:rsidR="00B20ABB" w:rsidRDefault="00DD48CC" w:rsidP="00451072">
      <w:pPr>
        <w:spacing w:line="360" w:lineRule="auto"/>
        <w:ind w:firstLine="567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614C12">
        <w:rPr>
          <w:b/>
        </w:rPr>
        <w:t>Užsakovu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E9B860A" w14:textId="34F645BA" w:rsidR="00B20ABB" w:rsidRDefault="0093327F" w:rsidP="00451072">
      <w:pPr>
        <w:spacing w:line="360" w:lineRule="auto"/>
        <w:ind w:firstLine="567"/>
        <w:jc w:val="both"/>
      </w:pPr>
      <w:r>
        <w:rPr>
          <w:b/>
        </w:rPr>
        <w:t>UAB „</w:t>
      </w:r>
      <w:r w:rsidR="00614C12">
        <w:rPr>
          <w:b/>
        </w:rPr>
        <w:t>Kauno keliai</w:t>
      </w:r>
      <w:r>
        <w:rPr>
          <w:b/>
        </w:rPr>
        <w:t>“</w:t>
      </w:r>
      <w:r w:rsidR="00953F0B">
        <w:rPr>
          <w:b/>
        </w:rPr>
        <w:t xml:space="preserve">, </w:t>
      </w:r>
      <w:r w:rsidR="00DD48CC">
        <w:t xml:space="preserve">toliau </w:t>
      </w:r>
      <w:r w:rsidR="00322AB0">
        <w:t xml:space="preserve">vadinama </w:t>
      </w:r>
      <w:r w:rsidR="00614C12">
        <w:rPr>
          <w:b/>
        </w:rPr>
        <w:t>Rangov</w:t>
      </w:r>
      <w:r w:rsidR="00953F0B">
        <w:rPr>
          <w:b/>
        </w:rPr>
        <w:t>u</w:t>
      </w:r>
      <w:r w:rsidR="00DD48CC">
        <w:t xml:space="preserve">, </w:t>
      </w:r>
      <w:r w:rsidR="00953F0B" w:rsidRPr="00953F0B">
        <w:t>juridinio asmens kodas</w:t>
      </w:r>
      <w:r w:rsidR="00B20ABB">
        <w:t xml:space="preserve"> </w:t>
      </w:r>
      <w:r w:rsidR="00B20ABB" w:rsidRPr="00B20ABB">
        <w:t>1</w:t>
      </w:r>
      <w:r w:rsidR="00614C12">
        <w:t>35640993</w:t>
      </w:r>
      <w:r w:rsidR="00953F0B" w:rsidRPr="00953F0B">
        <w:t xml:space="preserve">, atstovaujama </w:t>
      </w:r>
      <w:r w:rsidR="00614C12">
        <w:t>generalinio direktoriaus</w:t>
      </w:r>
      <w:r w:rsidR="003D2B8F" w:rsidRPr="003D2B8F">
        <w:t xml:space="preserve"> </w:t>
      </w:r>
      <w:r w:rsidR="00614C12">
        <w:t>Ramūno Šilinio</w:t>
      </w:r>
      <w:r w:rsidR="00DD51D8" w:rsidRPr="00DD51D8">
        <w:t>,</w:t>
      </w:r>
      <w:r w:rsidR="00AD6535">
        <w:t xml:space="preserve"> toliau kartu vadinami Šalimis, o kiekvienas atskirai – Šalimi,</w:t>
      </w:r>
      <w:r w:rsidR="00737856">
        <w:t xml:space="preserve"> </w:t>
      </w:r>
      <w:r w:rsidR="00DC2094">
        <w:t>dėl 2021</w:t>
      </w:r>
      <w:r w:rsidR="00B20ABB">
        <w:t xml:space="preserve"> </w:t>
      </w:r>
      <w:r w:rsidR="00DC2094">
        <w:t xml:space="preserve">m. </w:t>
      </w:r>
      <w:r w:rsidR="00614C12">
        <w:t>spal</w:t>
      </w:r>
      <w:r w:rsidR="00971496">
        <w:t>io</w:t>
      </w:r>
      <w:r w:rsidR="00DC2094">
        <w:t xml:space="preserve"> </w:t>
      </w:r>
      <w:r w:rsidR="00614C12">
        <w:t>4</w:t>
      </w:r>
      <w:r w:rsidR="00DC2094">
        <w:t xml:space="preserve"> d.</w:t>
      </w:r>
      <w:r w:rsidR="00DC2094" w:rsidRPr="00DC2094">
        <w:t xml:space="preserve"> </w:t>
      </w:r>
      <w:r w:rsidR="00614C12">
        <w:t>Veterinarų gatvės dalies statybos ir Veterinarų gatvės dalies kapitalinio remonto rangos</w:t>
      </w:r>
      <w:r w:rsidR="00DC2094">
        <w:t xml:space="preserve"> sutarties Nr. S-</w:t>
      </w:r>
      <w:r w:rsidR="00614C12">
        <w:t>112</w:t>
      </w:r>
      <w:r w:rsidR="00971496">
        <w:t>2</w:t>
      </w:r>
      <w:r w:rsidR="00DC2094">
        <w:t xml:space="preserve"> (toliau – Sutartis) </w:t>
      </w:r>
      <w:r w:rsidR="009E491B">
        <w:t>sąlygų keitimo sudarė šį susitarimą (toliau – Susitarimas):</w:t>
      </w:r>
    </w:p>
    <w:p w14:paraId="1B415F0B" w14:textId="474CF896" w:rsidR="009B1FA5" w:rsidRDefault="00B20ABB" w:rsidP="00451072">
      <w:pPr>
        <w:spacing w:line="360" w:lineRule="auto"/>
        <w:ind w:firstLine="567"/>
        <w:jc w:val="both"/>
      </w:pPr>
      <w:r>
        <w:t xml:space="preserve">1. </w:t>
      </w:r>
      <w:r w:rsidR="009E491B">
        <w:t xml:space="preserve">Šalys, vadovaudamosi Lietuvos Respublikos viešųjų pirkimų įstatymo 89 straipsnio 1 dalies </w:t>
      </w:r>
      <w:r w:rsidR="00A51396">
        <w:t>3</w:t>
      </w:r>
      <w:r w:rsidR="009E491B">
        <w:t xml:space="preserve"> punkto ir Sutarties</w:t>
      </w:r>
      <w:r w:rsidR="00C34A5C">
        <w:t xml:space="preserve"> </w:t>
      </w:r>
      <w:r w:rsidR="00614C12">
        <w:t>13</w:t>
      </w:r>
      <w:r w:rsidR="00C34A5C">
        <w:t>.</w:t>
      </w:r>
      <w:r w:rsidR="00614C12">
        <w:t>1</w:t>
      </w:r>
      <w:r w:rsidR="00C34A5C">
        <w:t xml:space="preserve"> punkt</w:t>
      </w:r>
      <w:r w:rsidR="009E491B">
        <w:t>o nuostatomis</w:t>
      </w:r>
      <w:r w:rsidR="00C34A5C">
        <w:t xml:space="preserve">, </w:t>
      </w:r>
      <w:r w:rsidR="003569AD">
        <w:t xml:space="preserve">atsižvelgdamos į </w:t>
      </w:r>
      <w:r w:rsidR="003569AD" w:rsidRPr="00935E19">
        <w:t xml:space="preserve">2022 m. </w:t>
      </w:r>
      <w:r w:rsidR="00FE4FF1" w:rsidRPr="00935E19">
        <w:t xml:space="preserve">ženkliai </w:t>
      </w:r>
      <w:r w:rsidR="003569AD" w:rsidRPr="00935E19">
        <w:t xml:space="preserve">kylančią infliaciją bei į </w:t>
      </w:r>
      <w:r w:rsidR="00DB3F5F">
        <w:t>Rangovo</w:t>
      </w:r>
      <w:r w:rsidR="00FE4FF1" w:rsidRPr="00935E19">
        <w:t xml:space="preserve"> 2022 m. </w:t>
      </w:r>
      <w:r w:rsidR="00D44F96">
        <w:t>b</w:t>
      </w:r>
      <w:r w:rsidR="00DB3F5F">
        <w:t>irželio</w:t>
      </w:r>
      <w:r w:rsidR="00935E19" w:rsidRPr="00935E19">
        <w:t xml:space="preserve"> </w:t>
      </w:r>
      <w:r w:rsidR="00DB3F5F">
        <w:t>13</w:t>
      </w:r>
      <w:r w:rsidR="00935E19" w:rsidRPr="00935E19">
        <w:t xml:space="preserve"> d.</w:t>
      </w:r>
      <w:r w:rsidR="00DB3F5F">
        <w:t xml:space="preserve"> ir 2022 m. liepos 7 d.</w:t>
      </w:r>
      <w:r w:rsidR="00FE4FF1" w:rsidRPr="00935E19">
        <w:t xml:space="preserve"> rašt</w:t>
      </w:r>
      <w:r w:rsidR="00DB3F5F">
        <w:t>uose</w:t>
      </w:r>
      <w:r w:rsidR="00FE4FF1" w:rsidRPr="00935E19">
        <w:t xml:space="preserve"> nurodytas aplinkybes, jog dėl Rusijos Federacijos pradėto karo prieš Ukrainos Respubliką Pardavėjas susiduria su sunkumais</w:t>
      </w:r>
      <w:r w:rsidR="00935E19" w:rsidRPr="00935E19">
        <w:t>,</w:t>
      </w:r>
      <w:r w:rsidR="00FE4FF1" w:rsidRPr="00935E19">
        <w:t xml:space="preserve"> vykdant sudarytą viešojo pirkimo sutartį, ženkliai pabrangus įvairiems resursams ir pakilus infliacijai,</w:t>
      </w:r>
      <w:r w:rsidR="00FE4FF1">
        <w:t xml:space="preserve"> </w:t>
      </w:r>
      <w:r w:rsidR="009E491B">
        <w:t>susitaria</w:t>
      </w:r>
      <w:r w:rsidR="00451072">
        <w:t xml:space="preserve"> p</w:t>
      </w:r>
      <w:r w:rsidR="00FE4FF1">
        <w:t>akeisti S</w:t>
      </w:r>
      <w:r w:rsidR="00555B23">
        <w:t xml:space="preserve">utarties </w:t>
      </w:r>
      <w:r w:rsidR="00DB3F5F">
        <w:t>13</w:t>
      </w:r>
      <w:r w:rsidR="009B1FA5" w:rsidRPr="009B1FA5">
        <w:t>.</w:t>
      </w:r>
      <w:r w:rsidR="00DB3F5F">
        <w:t>8</w:t>
      </w:r>
      <w:r w:rsidR="009B1FA5" w:rsidRPr="009B1FA5">
        <w:t xml:space="preserve"> </w:t>
      </w:r>
      <w:r w:rsidR="00555B23">
        <w:t>p</w:t>
      </w:r>
      <w:r w:rsidR="00C63708">
        <w:t>unktą</w:t>
      </w:r>
      <w:r w:rsidR="009B1FA5" w:rsidRPr="009B1FA5">
        <w:t xml:space="preserve"> ir išdėstyti jį taip:</w:t>
      </w:r>
    </w:p>
    <w:p w14:paraId="51521D1F" w14:textId="38D7F0F9" w:rsidR="00C63708" w:rsidRPr="00C63708" w:rsidRDefault="00002421" w:rsidP="00451072">
      <w:pPr>
        <w:spacing w:line="360" w:lineRule="auto"/>
        <w:ind w:firstLine="567"/>
        <w:jc w:val="both"/>
        <w:rPr>
          <w:b/>
          <w:bCs/>
        </w:rPr>
      </w:pPr>
      <w:r>
        <w:t>„</w:t>
      </w:r>
      <w:r w:rsidR="00DB3F5F" w:rsidRPr="00C63708">
        <w:rPr>
          <w:b/>
          <w:bCs/>
        </w:rPr>
        <w:t>13</w:t>
      </w:r>
      <w:r w:rsidR="00D36485">
        <w:rPr>
          <w:b/>
          <w:bCs/>
        </w:rPr>
        <w:t>.</w:t>
      </w:r>
      <w:r w:rsidR="00DB3F5F" w:rsidRPr="00C63708">
        <w:rPr>
          <w:b/>
          <w:bCs/>
        </w:rPr>
        <w:t>8</w:t>
      </w:r>
      <w:r w:rsidR="00555B23" w:rsidRPr="00C63708">
        <w:rPr>
          <w:b/>
          <w:bCs/>
        </w:rPr>
        <w:t>.</w:t>
      </w:r>
      <w:r w:rsidR="00C63708" w:rsidRPr="00C63708">
        <w:rPr>
          <w:b/>
          <w:bCs/>
        </w:rPr>
        <w:t xml:space="preserve"> punktas Pataisymai dėl kainos pakeitimo</w:t>
      </w:r>
    </w:p>
    <w:p w14:paraId="5633FD03" w14:textId="77777777" w:rsidR="00C63708" w:rsidRPr="00C63708" w:rsidRDefault="00C63708" w:rsidP="00451072">
      <w:pPr>
        <w:spacing w:line="360" w:lineRule="auto"/>
        <w:ind w:firstLine="567"/>
        <w:jc w:val="both"/>
        <w:rPr>
          <w:b/>
          <w:bCs/>
        </w:rPr>
      </w:pPr>
      <w:r w:rsidRPr="00C63708">
        <w:rPr>
          <w:b/>
          <w:bCs/>
        </w:rPr>
        <w:t>Pakeisti punktą:</w:t>
      </w:r>
    </w:p>
    <w:p w14:paraId="3B5AE378" w14:textId="29957278" w:rsidR="00C63708" w:rsidRDefault="00C63708" w:rsidP="00451072">
      <w:pPr>
        <w:spacing w:line="360" w:lineRule="auto"/>
        <w:ind w:firstLine="567"/>
        <w:jc w:val="both"/>
      </w:pPr>
      <w:r>
        <w:t>Sutarties Įkainuotuose sąnaudų žiniaraščiuose nustatyti įkainiai ar kainos gali būti perskaičiuojami šiame punkte nustatyta tvarka:</w:t>
      </w:r>
    </w:p>
    <w:p w14:paraId="75326228" w14:textId="382B8FF0" w:rsidR="00451072" w:rsidRDefault="00C63708" w:rsidP="00451072">
      <w:pPr>
        <w:spacing w:line="360" w:lineRule="auto"/>
        <w:ind w:firstLine="567"/>
        <w:jc w:val="both"/>
      </w:pPr>
      <w:r>
        <w:t xml:space="preserve">(a) Įkainis perskaičiuojamas ne vėliau kaip kiekvienų metų </w:t>
      </w:r>
      <w:r w:rsidR="00D36485">
        <w:t>rugsėjo</w:t>
      </w:r>
      <w:r>
        <w:t xml:space="preserve"> 30 d., taikant Statistikos departamento prie Lietuvos Respublikos Vyriausybės paskelbtus statybos sąnaudų kainų indeksus (http://www.stat.gov.lt), vadovaujantis Viešųjų pirkimų tarnybos prie Lietuvos Respublikos Vyriausybės direktoriaus 2017 m. birželio 28 d. įsakymu Nr. 1S-95 patvirtinta „Kainodaros taisyklių nustatymo metodika“, jeigu nuo pasiūlymo pateikimo dienos arba nuo kainos paskutinio indeksavimo statybos sąnaudų kainų pokytis yra lygus arba didesnis kaip 5 procentai. Toks perskaičiavimas gali būti atliekamas ne anksčiau kaip po </w:t>
      </w:r>
      <w:r w:rsidRPr="002C3C60">
        <w:rPr>
          <w:i/>
          <w:iCs/>
        </w:rPr>
        <w:t>6 mėn.</w:t>
      </w:r>
      <w:r>
        <w:t xml:space="preserve"> nuo darbų pradžios datos;</w:t>
      </w:r>
    </w:p>
    <w:p w14:paraId="1E4A1510" w14:textId="164CFBF9" w:rsidR="00C63708" w:rsidRDefault="00C63708" w:rsidP="00451072">
      <w:pPr>
        <w:spacing w:line="360" w:lineRule="auto"/>
        <w:ind w:firstLine="567"/>
        <w:jc w:val="both"/>
      </w:pPr>
      <w:r>
        <w:t xml:space="preserve">perskaičiavimas </w:t>
      </w:r>
      <w:r w:rsidR="00D36485">
        <w:t>kiekvienais metais</w:t>
      </w:r>
      <w:r>
        <w:t xml:space="preserve"> atliekamas kainą dauginant iš</w:t>
      </w:r>
      <w:r w:rsidR="00451072">
        <w:t xml:space="preserve"> </w:t>
      </w:r>
      <w:r>
        <w:t>perskaičiavimo koeficiento, gauto praėjusių metų gruodžio mėnesio kainų indeksą</w:t>
      </w:r>
      <w:r w:rsidR="00451072">
        <w:t xml:space="preserve"> </w:t>
      </w:r>
      <w:r>
        <w:t>dalijant iš paskutinio indeksavimo metu naudoto kainų indekso, t. y. iš už praėjusių</w:t>
      </w:r>
      <w:r w:rsidR="00451072">
        <w:t xml:space="preserve"> </w:t>
      </w:r>
      <w:r>
        <w:t>metų gruodžio mėnesio kainų indekso;</w:t>
      </w:r>
    </w:p>
    <w:p w14:paraId="01BF5C38" w14:textId="78711D54" w:rsidR="00C63708" w:rsidRDefault="00C63708" w:rsidP="00451072">
      <w:pPr>
        <w:spacing w:line="360" w:lineRule="auto"/>
        <w:ind w:firstLine="567"/>
        <w:jc w:val="both"/>
      </w:pPr>
      <w:r>
        <w:t>statybos sąnaudų kainų indeksai skelbiami Statistikos departamento interneto</w:t>
      </w:r>
      <w:r w:rsidR="00451072">
        <w:t xml:space="preserve"> </w:t>
      </w:r>
      <w:r>
        <w:t>svetainėje adresu http://www.stat.gov.lt ir publikuojami Statistikos departamento</w:t>
      </w:r>
      <w:r w:rsidR="00451072">
        <w:t xml:space="preserve"> </w:t>
      </w:r>
      <w:r>
        <w:t xml:space="preserve">informaciniuose leidiniuose </w:t>
      </w:r>
      <w:r>
        <w:lastRenderedPageBreak/>
        <w:t>„Mėnesinė informacija apie statybos sąnaudų pokyčius“</w:t>
      </w:r>
      <w:r w:rsidR="00451072">
        <w:t xml:space="preserve"> </w:t>
      </w:r>
      <w:r>
        <w:t>bei „Vartotojų ir gamintojų kainų indeksai“. Tikslinant kainą, pirmenybė teikiama</w:t>
      </w:r>
      <w:r w:rsidR="00451072">
        <w:t xml:space="preserve"> </w:t>
      </w:r>
      <w:r>
        <w:t>informaciniam leidiniui – „Mėnesinė informacija apie statybos sąnaudų pokyčius“;</w:t>
      </w:r>
    </w:p>
    <w:p w14:paraId="07A4B49B" w14:textId="5833B4DE" w:rsidR="00C63708" w:rsidRDefault="00C63708" w:rsidP="00451072">
      <w:pPr>
        <w:spacing w:line="360" w:lineRule="auto"/>
        <w:ind w:firstLine="567"/>
        <w:jc w:val="both"/>
      </w:pPr>
      <w:r>
        <w:t>Įkainių pakeitimas įforminamas dvišaliu pirkimo sutarties šalių aktu ir papildomu susitarimu</w:t>
      </w:r>
      <w:r w:rsidR="00451072">
        <w:t xml:space="preserve"> </w:t>
      </w:r>
      <w:r>
        <w:t>prie pirkimo sutarties. Indeksuojami įkainiai įsigalioja nuo akto ir papildomo susitarimo</w:t>
      </w:r>
      <w:r w:rsidR="00451072">
        <w:t xml:space="preserve"> </w:t>
      </w:r>
      <w:r>
        <w:t>pasirašymo tarp abiejų Šalių atstovų dienos. Nauji įkainiai taikomi tik Užsakovo mokėjimams</w:t>
      </w:r>
      <w:r w:rsidR="00451072">
        <w:t xml:space="preserve"> </w:t>
      </w:r>
      <w:r>
        <w:t>pagal Sutartį už atliktus po indeksavimo darbus.</w:t>
      </w:r>
    </w:p>
    <w:p w14:paraId="35E7EADC" w14:textId="2F11473F" w:rsidR="0000646A" w:rsidRDefault="00C63708" w:rsidP="00451072">
      <w:pPr>
        <w:spacing w:line="360" w:lineRule="auto"/>
        <w:ind w:firstLine="567"/>
        <w:jc w:val="both"/>
      </w:pPr>
      <w:r>
        <w:t>Įkainių indeksavimas negalimas, jeigu Rangovas nesilaikė darbų vykdymo grafike nustatytų</w:t>
      </w:r>
      <w:r w:rsidR="00451072">
        <w:t xml:space="preserve"> </w:t>
      </w:r>
      <w:r>
        <w:t>darbų atlikimo terminų ir jei terminų keitimas nebuvo raštu suderintas su Užsakovu, t. y. įkainių</w:t>
      </w:r>
      <w:r w:rsidR="00451072">
        <w:t xml:space="preserve"> </w:t>
      </w:r>
      <w:r>
        <w:t>keitimas negalimas dėl tų darbų, kurių atlikimo terminų nebuvo laikomasi, o rašytinio</w:t>
      </w:r>
      <w:r w:rsidR="00451072">
        <w:t xml:space="preserve"> </w:t>
      </w:r>
      <w:r>
        <w:t>suderinimo dėl darbų vykdymo terminų pakeitimo nebuvo</w:t>
      </w:r>
      <w:r w:rsidR="00002421">
        <w:t>“</w:t>
      </w:r>
      <w:r w:rsidR="00963D82">
        <w:t>.</w:t>
      </w:r>
    </w:p>
    <w:p w14:paraId="06F706EC" w14:textId="74E1CE53" w:rsidR="002D2727" w:rsidRPr="00451072" w:rsidRDefault="00451072" w:rsidP="00451072">
      <w:pPr>
        <w:tabs>
          <w:tab w:val="left" w:pos="567"/>
          <w:tab w:val="left" w:pos="1276"/>
        </w:tabs>
        <w:spacing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2D2727" w:rsidRPr="00451072">
        <w:rPr>
          <w:rFonts w:eastAsia="Calibri"/>
          <w:lang w:eastAsia="en-US"/>
        </w:rPr>
        <w:t>Kitos Sutarties sąlygos ir priedai, nepaminėti šiame Susitarime, išlieka nepakitę.</w:t>
      </w:r>
    </w:p>
    <w:p w14:paraId="1D29C6CD" w14:textId="096CFB7A" w:rsidR="00DD48CC" w:rsidRPr="00451072" w:rsidRDefault="00451072" w:rsidP="00451072">
      <w:pPr>
        <w:spacing w:line="360" w:lineRule="auto"/>
        <w:ind w:firstLine="567"/>
        <w:jc w:val="both"/>
        <w:rPr>
          <w:rFonts w:eastAsia="Calibri"/>
        </w:rPr>
      </w:pPr>
      <w:r>
        <w:t xml:space="preserve">3. </w:t>
      </w:r>
      <w:r w:rsidR="00963D82" w:rsidRPr="00C27857">
        <w:t>Susitarimas sudarytas dviem vienodą juridinę galią turinčiais egzemplioriais – po vieną kiekvienai Susitarimo Šaliai. Susitarimas įsigalioja nuo jo pasirašymo dienos ir yra laikomas neatskiriama Sutarties dalimi.</w:t>
      </w:r>
    </w:p>
    <w:p w14:paraId="66BC67E2" w14:textId="62EF9224" w:rsidR="00DD48CC" w:rsidRPr="00451072" w:rsidRDefault="00451072" w:rsidP="00451072">
      <w:pPr>
        <w:shd w:val="clear" w:color="auto" w:fill="FFFFFF"/>
        <w:tabs>
          <w:tab w:val="left" w:leader="underscore" w:pos="9586"/>
        </w:tabs>
        <w:spacing w:line="360" w:lineRule="auto"/>
        <w:ind w:firstLine="567"/>
        <w:jc w:val="both"/>
        <w:rPr>
          <w:lang w:val="es-ES"/>
        </w:rPr>
      </w:pPr>
      <w:r>
        <w:rPr>
          <w:lang w:val="es-ES"/>
        </w:rPr>
        <w:t xml:space="preserve">4. </w:t>
      </w:r>
      <w:r w:rsidR="00AD6535" w:rsidRPr="00451072">
        <w:rPr>
          <w:lang w:val="es-ES"/>
        </w:rPr>
        <w:t>Juridiniai Š</w:t>
      </w:r>
      <w:r w:rsidR="00DD48CC" w:rsidRPr="00451072">
        <w:rPr>
          <w:lang w:val="es-ES"/>
        </w:rPr>
        <w:t>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</w:p>
          <w:p w14:paraId="08958355" w14:textId="36F64A39" w:rsidR="00DD48CC" w:rsidRPr="00C64823" w:rsidRDefault="002A2DB1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UŽSAKOVAS</w:t>
            </w:r>
          </w:p>
        </w:tc>
        <w:tc>
          <w:tcPr>
            <w:tcW w:w="4775" w:type="dxa"/>
          </w:tcPr>
          <w:p w14:paraId="6ADC1B0F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</w:p>
          <w:p w14:paraId="1906FDB8" w14:textId="3348D94A" w:rsidR="00DD48CC" w:rsidRPr="00C64823" w:rsidRDefault="002A2DB1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RANGOVAS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5FAAA4D9" w14:textId="0D55568C" w:rsidR="00DD48CC" w:rsidRPr="00AE1332" w:rsidRDefault="00F606A4" w:rsidP="00B36FDC">
            <w:pPr>
              <w:tabs>
                <w:tab w:val="left" w:pos="1080"/>
              </w:tabs>
              <w:spacing w:line="360" w:lineRule="auto"/>
              <w:rPr>
                <w:rStyle w:val="Grietas"/>
              </w:rPr>
            </w:pPr>
            <w:r w:rsidRPr="00AE1332">
              <w:rPr>
                <w:rStyle w:val="Grietas"/>
              </w:rPr>
              <w:t>UAB „</w:t>
            </w:r>
            <w:r w:rsidR="002A2DB1">
              <w:rPr>
                <w:rStyle w:val="Grietas"/>
              </w:rPr>
              <w:t>Kauno keliai</w:t>
            </w:r>
            <w:r w:rsidRPr="00AE1332">
              <w:rPr>
                <w:rStyle w:val="Grietas"/>
              </w:rPr>
              <w:t>“</w:t>
            </w:r>
          </w:p>
          <w:p w14:paraId="3082F020" w14:textId="78B381C9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B46F45">
              <w:t xml:space="preserve">Juridinio asmens kodas </w:t>
            </w:r>
            <w:r w:rsidR="002A2DB1">
              <w:t>135640993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3F0BA625" w:rsidR="00DD48CC" w:rsidRPr="004D523E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</w:p>
          <w:p w14:paraId="55030693" w14:textId="77777777" w:rsidR="00DD48CC" w:rsidRPr="00AA090D" w:rsidRDefault="00DD48CC" w:rsidP="00B36FDC">
            <w:pPr>
              <w:spacing w:line="360" w:lineRule="auto"/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6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14:paraId="70200B6B" w14:textId="084DF258" w:rsidR="00DD48CC" w:rsidRDefault="00F606A4" w:rsidP="00B36FDC">
            <w:pPr>
              <w:spacing w:line="360" w:lineRule="auto"/>
            </w:pPr>
            <w:r w:rsidRPr="00B46F45">
              <w:t>R</w:t>
            </w:r>
            <w:r w:rsidR="002A2DB1">
              <w:t>. Kalantos g.</w:t>
            </w:r>
            <w:r w:rsidRPr="00B46F45">
              <w:t xml:space="preserve"> </w:t>
            </w:r>
            <w:r w:rsidR="002A2DB1">
              <w:t>85</w:t>
            </w:r>
            <w:r w:rsidRPr="00B46F45">
              <w:t>, Kaunas</w:t>
            </w:r>
          </w:p>
          <w:p w14:paraId="14833071" w14:textId="5E7C24CC" w:rsidR="00A96553" w:rsidRDefault="00F606A4" w:rsidP="00B36FDC">
            <w:pPr>
              <w:spacing w:line="360" w:lineRule="auto"/>
            </w:pPr>
            <w:r w:rsidRPr="00B46F45">
              <w:t xml:space="preserve">Tel.: </w:t>
            </w:r>
            <w:r w:rsidR="00A96553">
              <w:t>+370 614 92158</w:t>
            </w:r>
          </w:p>
          <w:p w14:paraId="1862F5CB" w14:textId="3AF9EC17" w:rsidR="00F606A4" w:rsidRPr="00823DEC" w:rsidRDefault="00F606A4" w:rsidP="00B36FDC">
            <w:pPr>
              <w:spacing w:line="360" w:lineRule="auto"/>
            </w:pPr>
            <w:r w:rsidRPr="00B46F45">
              <w:t>E</w:t>
            </w:r>
            <w:r w:rsidR="00A96553">
              <w:t xml:space="preserve">l. p. </w:t>
            </w:r>
            <w:hyperlink r:id="rId7" w:history="1">
              <w:r w:rsidR="00C57A6B" w:rsidRPr="00CD00D8">
                <w:rPr>
                  <w:rStyle w:val="Hipersaitas"/>
                </w:rPr>
                <w:t>info@kaunokeliai.lt</w:t>
              </w:r>
            </w:hyperlink>
          </w:p>
        </w:tc>
      </w:tr>
      <w:tr w:rsidR="00DD48CC" w:rsidRPr="00C64823" w14:paraId="528C5F52" w14:textId="77777777" w:rsidTr="006F3CD6">
        <w:trPr>
          <w:trHeight w:val="260"/>
        </w:trPr>
        <w:tc>
          <w:tcPr>
            <w:tcW w:w="5068" w:type="dxa"/>
          </w:tcPr>
          <w:p w14:paraId="629EDD57" w14:textId="77777777" w:rsidR="00467451" w:rsidRDefault="00467451" w:rsidP="00B36FDC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B36FDC">
            <w:pPr>
              <w:tabs>
                <w:tab w:val="left" w:pos="709"/>
              </w:tabs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775" w:type="dxa"/>
          </w:tcPr>
          <w:p w14:paraId="674C9560" w14:textId="0AB0DB20" w:rsidR="00467451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 xml:space="preserve">. Nr.: LT </w:t>
            </w:r>
            <w:r w:rsidR="00C57A6B">
              <w:t>51 7044 0600 0389 7125</w:t>
            </w:r>
          </w:p>
          <w:p w14:paraId="000B74CC" w14:textId="77777777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B46F45">
              <w:t xml:space="preserve">AB SEB bankas, </w:t>
            </w:r>
          </w:p>
        </w:tc>
      </w:tr>
      <w:tr w:rsidR="00DD48CC" w:rsidRPr="00C64823" w14:paraId="723EB85C" w14:textId="77777777" w:rsidTr="006F3CD6">
        <w:trPr>
          <w:trHeight w:val="260"/>
        </w:trPr>
        <w:tc>
          <w:tcPr>
            <w:tcW w:w="5068" w:type="dxa"/>
          </w:tcPr>
          <w:p w14:paraId="6E31A2E1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14:paraId="01429444" w14:textId="77777777" w:rsidR="00DD48CC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14:paraId="14D2CC75" w14:textId="77777777" w:rsidTr="006F3CD6">
        <w:trPr>
          <w:trHeight w:val="86"/>
        </w:trPr>
        <w:tc>
          <w:tcPr>
            <w:tcW w:w="5068" w:type="dxa"/>
          </w:tcPr>
          <w:p w14:paraId="6B33A272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14:paraId="36EBF2EA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</w:p>
        </w:tc>
      </w:tr>
    </w:tbl>
    <w:p w14:paraId="75FA68FC" w14:textId="17A5180D" w:rsidR="00F606A4" w:rsidRPr="00B46F45" w:rsidRDefault="00DD48CC" w:rsidP="00B36FDC">
      <w:pPr>
        <w:spacing w:line="360" w:lineRule="auto"/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</w:t>
      </w:r>
      <w:r w:rsidR="00B36FDC">
        <w:rPr>
          <w:iCs/>
        </w:rPr>
        <w:t xml:space="preserve"> </w:t>
      </w:r>
      <w:r w:rsidR="0093327F">
        <w:rPr>
          <w:iCs/>
        </w:rPr>
        <w:t xml:space="preserve">        </w:t>
      </w:r>
      <w:r w:rsidR="00C57A6B">
        <w:t>Generalinis direktorius</w:t>
      </w:r>
    </w:p>
    <w:p w14:paraId="229A8C80" w14:textId="100E9928" w:rsidR="00DD48CC" w:rsidRDefault="00E738D5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>Šarūnas Šukevičius</w:t>
      </w:r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</w:t>
      </w:r>
      <w:r w:rsidR="00B36FDC">
        <w:rPr>
          <w:iCs/>
        </w:rPr>
        <w:t xml:space="preserve"> </w:t>
      </w:r>
      <w:r w:rsidR="00F606A4">
        <w:rPr>
          <w:iCs/>
        </w:rPr>
        <w:t xml:space="preserve">                </w:t>
      </w:r>
      <w:r w:rsidR="00C57A6B">
        <w:t>Ramūnas Šilinis</w:t>
      </w:r>
    </w:p>
    <w:p w14:paraId="1E0CD535" w14:textId="77777777" w:rsidR="00655F64" w:rsidRDefault="00655F64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 xml:space="preserve">            </w:t>
      </w:r>
      <w:r w:rsidR="00DD48CC">
        <w:rPr>
          <w:iCs/>
        </w:rPr>
        <w:t xml:space="preserve"> </w:t>
      </w: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023788">
    <w:abstractNumId w:val="0"/>
  </w:num>
  <w:num w:numId="2" w16cid:durableId="2049646391">
    <w:abstractNumId w:val="1"/>
  </w:num>
  <w:num w:numId="3" w16cid:durableId="275447810">
    <w:abstractNumId w:val="3"/>
  </w:num>
  <w:num w:numId="4" w16cid:durableId="126414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60F7F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7001D"/>
    <w:rsid w:val="00295392"/>
    <w:rsid w:val="002963A2"/>
    <w:rsid w:val="002A2DB1"/>
    <w:rsid w:val="002A3E42"/>
    <w:rsid w:val="002C3C60"/>
    <w:rsid w:val="002D2727"/>
    <w:rsid w:val="002F0859"/>
    <w:rsid w:val="003010F2"/>
    <w:rsid w:val="00314BC2"/>
    <w:rsid w:val="00322AB0"/>
    <w:rsid w:val="00343272"/>
    <w:rsid w:val="003569AD"/>
    <w:rsid w:val="00362156"/>
    <w:rsid w:val="003A0E8F"/>
    <w:rsid w:val="003D2B8F"/>
    <w:rsid w:val="003F1281"/>
    <w:rsid w:val="003F42E7"/>
    <w:rsid w:val="00441E04"/>
    <w:rsid w:val="0044417C"/>
    <w:rsid w:val="00451072"/>
    <w:rsid w:val="00467451"/>
    <w:rsid w:val="00473C5D"/>
    <w:rsid w:val="0049791C"/>
    <w:rsid w:val="004D26BC"/>
    <w:rsid w:val="004F133B"/>
    <w:rsid w:val="004F1C06"/>
    <w:rsid w:val="00504F97"/>
    <w:rsid w:val="00552B2C"/>
    <w:rsid w:val="00555B23"/>
    <w:rsid w:val="0056777A"/>
    <w:rsid w:val="005B2822"/>
    <w:rsid w:val="005D38CB"/>
    <w:rsid w:val="005E2BB1"/>
    <w:rsid w:val="00614C12"/>
    <w:rsid w:val="00624645"/>
    <w:rsid w:val="00655F64"/>
    <w:rsid w:val="006657BF"/>
    <w:rsid w:val="006A61A7"/>
    <w:rsid w:val="006D25E7"/>
    <w:rsid w:val="006F3CD6"/>
    <w:rsid w:val="00724429"/>
    <w:rsid w:val="00737856"/>
    <w:rsid w:val="007C30ED"/>
    <w:rsid w:val="00832457"/>
    <w:rsid w:val="00843D94"/>
    <w:rsid w:val="00850843"/>
    <w:rsid w:val="00860A6F"/>
    <w:rsid w:val="00893532"/>
    <w:rsid w:val="008D50AA"/>
    <w:rsid w:val="0090346B"/>
    <w:rsid w:val="009264F4"/>
    <w:rsid w:val="0093327F"/>
    <w:rsid w:val="00935E19"/>
    <w:rsid w:val="009476B8"/>
    <w:rsid w:val="00953F0B"/>
    <w:rsid w:val="00963D82"/>
    <w:rsid w:val="00964EE3"/>
    <w:rsid w:val="00971496"/>
    <w:rsid w:val="00987630"/>
    <w:rsid w:val="009B1FA5"/>
    <w:rsid w:val="009D00AF"/>
    <w:rsid w:val="009E18F0"/>
    <w:rsid w:val="009E491B"/>
    <w:rsid w:val="00A4555F"/>
    <w:rsid w:val="00A51396"/>
    <w:rsid w:val="00A60B42"/>
    <w:rsid w:val="00A939E0"/>
    <w:rsid w:val="00A96553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141E6"/>
    <w:rsid w:val="00C34A5C"/>
    <w:rsid w:val="00C57A6B"/>
    <w:rsid w:val="00C63708"/>
    <w:rsid w:val="00CA112F"/>
    <w:rsid w:val="00CE3D77"/>
    <w:rsid w:val="00D13859"/>
    <w:rsid w:val="00D36485"/>
    <w:rsid w:val="00D44F96"/>
    <w:rsid w:val="00D73853"/>
    <w:rsid w:val="00D905F6"/>
    <w:rsid w:val="00DB3F5F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C5B45"/>
    <w:rsid w:val="00ED1B9B"/>
    <w:rsid w:val="00EE6C35"/>
    <w:rsid w:val="00F606A4"/>
    <w:rsid w:val="00F633E8"/>
    <w:rsid w:val="00FC38E1"/>
    <w:rsid w:val="00FD2AF2"/>
    <w:rsid w:val="00FE4FF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8105DD16-7D4B-4100-B8A9-AD1E1D1D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7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aunokeliai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ius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490B12E-B8A8-4E02-A874-6FA491A4FD7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E6F3-3ED6-41BC-9C33-3E69E490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2928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Violeta Ambrazevičienė</cp:lastModifiedBy>
  <cp:revision>2</cp:revision>
  <cp:lastPrinted>2022-08-24T13:06:00Z</cp:lastPrinted>
  <dcterms:created xsi:type="dcterms:W3CDTF">2022-08-29T10:31:00Z</dcterms:created>
  <dcterms:modified xsi:type="dcterms:W3CDTF">2022-08-29T10:31:00Z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