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7E0D2108"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D6130D">
        <w:rPr>
          <w:b/>
        </w:rPr>
        <w:t>SUTARTI</w:t>
      </w:r>
      <w:r w:rsidR="00703462">
        <w:rPr>
          <w:b/>
        </w:rPr>
        <w:t>S</w:t>
      </w:r>
    </w:p>
    <w:p w14:paraId="7A0550AA" w14:textId="77777777" w:rsidR="00E520D1" w:rsidRDefault="00E520D1" w:rsidP="00E520D1">
      <w:pPr>
        <w:rPr>
          <w:sz w:val="22"/>
          <w:szCs w:val="22"/>
        </w:rPr>
      </w:pPr>
    </w:p>
    <w:p w14:paraId="38F48BE9" w14:textId="73A64F49" w:rsidR="0046345B" w:rsidRPr="00E040E8" w:rsidRDefault="0046345B" w:rsidP="00703462">
      <w:pPr>
        <w:ind w:left="2880" w:firstLine="720"/>
      </w:pPr>
      <w:r w:rsidRPr="00E040E8">
        <w:t>20</w:t>
      </w:r>
      <w:r w:rsidR="00B1216C">
        <w:t>2</w:t>
      </w:r>
      <w:r w:rsidR="00BB1420">
        <w:t>2</w:t>
      </w:r>
      <w:r w:rsidR="00C0219A">
        <w:t xml:space="preserve"> m. rugpjūčio 26</w:t>
      </w:r>
      <w:r w:rsidR="00703462">
        <w:t xml:space="preserve"> d. Nr.</w:t>
      </w:r>
      <w:r w:rsidR="00C0219A">
        <w:t xml:space="preserve"> DPS-498</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4A64E72" w14:textId="07D07CAF" w:rsidR="00D6130D" w:rsidRPr="0028680C" w:rsidRDefault="00D6130D" w:rsidP="00D6130D">
      <w:pPr>
        <w:spacing w:line="267" w:lineRule="auto"/>
        <w:ind w:left="10" w:right="8" w:hanging="10"/>
        <w:jc w:val="both"/>
        <w:rPr>
          <w:color w:val="000000"/>
        </w:rPr>
      </w:pPr>
      <w:r w:rsidRPr="005F4CF5">
        <w:rPr>
          <w:b/>
        </w:rPr>
        <w:t xml:space="preserve">Gynybos resursų agentūra prie Krašto apsaugos ministerijos </w:t>
      </w:r>
      <w:r w:rsidRPr="001D6E29">
        <w:t>(toliau – GRA)</w:t>
      </w:r>
      <w:r w:rsidRPr="005F4CF5">
        <w:rPr>
          <w:b/>
        </w:rPr>
        <w:t>,</w:t>
      </w:r>
      <w:r w:rsidRPr="001D6E29">
        <w:t xml:space="preserve"> </w:t>
      </w:r>
      <w:r w:rsidRPr="005F4CF5">
        <w:t xml:space="preserve">atstovaujama </w:t>
      </w:r>
      <w:r w:rsidRPr="001D6E29">
        <w:t xml:space="preserve">GRA direktoriaus Sigito </w:t>
      </w:r>
      <w:proofErr w:type="spellStart"/>
      <w:r w:rsidRPr="001D6E29">
        <w:t>Dzekunsko</w:t>
      </w:r>
      <w:proofErr w:type="spellEnd"/>
      <w:r w:rsidRPr="001D6E29">
        <w:t xml:space="preserve">, </w:t>
      </w:r>
      <w:r w:rsidRPr="005F4CF5">
        <w:t>veikiančio pagal</w:t>
      </w:r>
      <w:r w:rsidRPr="005F4CF5">
        <w:rPr>
          <w:i/>
        </w:rPr>
        <w:t xml:space="preserve"> </w:t>
      </w:r>
      <w:r w:rsidRPr="005F4CF5">
        <w:t xml:space="preserve">GRA nuostatus (toliau – </w:t>
      </w:r>
      <w:r w:rsidRPr="005F4CF5">
        <w:rPr>
          <w:b/>
        </w:rPr>
        <w:t>Pirkėjas</w:t>
      </w:r>
      <w:r w:rsidRPr="005F4CF5">
        <w:t xml:space="preserve">), ir </w:t>
      </w:r>
      <w:r w:rsidRPr="001D6E29">
        <w:rPr>
          <w:b/>
        </w:rPr>
        <w:t>UAB „</w:t>
      </w:r>
      <w:proofErr w:type="spellStart"/>
      <w:r w:rsidR="004D463D">
        <w:rPr>
          <w:b/>
        </w:rPr>
        <w:t>Armila</w:t>
      </w:r>
      <w:proofErr w:type="spellEnd"/>
      <w:r>
        <w:rPr>
          <w:b/>
        </w:rPr>
        <w:t>“</w:t>
      </w:r>
      <w:r w:rsidRPr="001D6E29">
        <w:rPr>
          <w:b/>
        </w:rPr>
        <w:t>,</w:t>
      </w:r>
      <w:r w:rsidRPr="001D6E29">
        <w:t xml:space="preserve"> atstovaujama </w:t>
      </w:r>
      <w:r w:rsidR="004D463D">
        <w:t>direktoriaus Remigijaus Mielinio</w:t>
      </w:r>
      <w:r>
        <w:t xml:space="preserve">, </w:t>
      </w:r>
      <w:r w:rsidRPr="000116FC">
        <w:t>veikiančio</w:t>
      </w:r>
      <w:r w:rsidR="004D463D">
        <w:t xml:space="preserve"> pagal įmonės įstatus</w:t>
      </w:r>
      <w:r>
        <w:rPr>
          <w:szCs w:val="22"/>
        </w:rPr>
        <w:t xml:space="preserve"> </w:t>
      </w:r>
      <w:r w:rsidRPr="00755B3F">
        <w:rPr>
          <w:szCs w:val="22"/>
        </w:rPr>
        <w:t xml:space="preserve">(toliau – </w:t>
      </w:r>
      <w:r w:rsidRPr="00755B3F">
        <w:rPr>
          <w:b/>
          <w:szCs w:val="22"/>
        </w:rPr>
        <w:t>Pardavėjas</w:t>
      </w:r>
      <w:r w:rsidRPr="00755B3F">
        <w:rPr>
          <w:szCs w:val="22"/>
        </w:rP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087EDF">
        <w:t>Lietuvos Respublikos viešųjų pirkimų įstatymu</w:t>
      </w:r>
      <w:r w:rsidRPr="0028680C">
        <w:rPr>
          <w:i/>
        </w:rPr>
        <w:t xml:space="preserve"> </w:t>
      </w:r>
      <w:r w:rsidRPr="00351DA0">
        <w:t>(toliau – V</w:t>
      </w:r>
      <w:r>
        <w:t>iešųjų pirkimų įstatymas</w:t>
      </w:r>
      <w:r w:rsidRPr="00351DA0">
        <w:t>)</w:t>
      </w:r>
      <w:r>
        <w:rPr>
          <w:i/>
        </w:rPr>
        <w:t xml:space="preserve"> </w:t>
      </w:r>
      <w:r w:rsidRPr="0028680C">
        <w:t xml:space="preserve">ir atsižvelgdamos į tai, kad </w:t>
      </w:r>
      <w:r>
        <w:rPr>
          <w:b/>
        </w:rPr>
        <w:t xml:space="preserve">Pirkėjui </w:t>
      </w:r>
      <w:r w:rsidRPr="0028680C">
        <w:t xml:space="preserve">Lietuvos Respublikos krašto apsaugos sistemos organizavimo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5B1C57E9" w14:textId="77777777" w:rsidR="00D6130D" w:rsidRPr="0028680C" w:rsidRDefault="00D6130D" w:rsidP="00D6130D">
      <w:pPr>
        <w:jc w:val="both"/>
      </w:pPr>
      <w:r w:rsidRPr="0028680C">
        <w:t xml:space="preserve">sudarė šią prekių </w:t>
      </w:r>
      <w:r>
        <w:t xml:space="preserve">viešojo </w:t>
      </w:r>
      <w:r w:rsidRPr="0028680C">
        <w:t>pirkimo-pardavimo sutartį, toliau vadinamą „Sutartimi“, ir susitarė dėl toliau išvardintų sąlygų.</w:t>
      </w:r>
    </w:p>
    <w:p w14:paraId="0D118115" w14:textId="77777777" w:rsidR="00D6130D" w:rsidRDefault="00D6130D" w:rsidP="00F135FB">
      <w:pPr>
        <w:spacing w:line="267" w:lineRule="auto"/>
        <w:ind w:left="10" w:right="8" w:hanging="10"/>
        <w:jc w:val="both"/>
        <w:rPr>
          <w:b/>
          <w:szCs w:val="22"/>
        </w:rPr>
      </w:pPr>
    </w:p>
    <w:tbl>
      <w:tblPr>
        <w:tblW w:w="54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
        <w:gridCol w:w="40"/>
        <w:gridCol w:w="3290"/>
        <w:gridCol w:w="3250"/>
        <w:gridCol w:w="115"/>
        <w:gridCol w:w="2979"/>
        <w:gridCol w:w="736"/>
      </w:tblGrid>
      <w:tr w:rsidR="00755B3F" w:rsidRPr="00755B3F" w14:paraId="1765FB75" w14:textId="77777777" w:rsidTr="00DB306B">
        <w:trPr>
          <w:gridBefore w:val="2"/>
          <w:gridAfter w:val="1"/>
          <w:wBefore w:w="54" w:type="pct"/>
          <w:wAfter w:w="351" w:type="pct"/>
          <w:trHeight w:val="702"/>
        </w:trPr>
        <w:tc>
          <w:tcPr>
            <w:tcW w:w="4595" w:type="pct"/>
            <w:gridSpan w:val="4"/>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146580C0"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5E428B">
              <w:rPr>
                <w:b/>
              </w:rPr>
              <w:t>vaistus</w:t>
            </w:r>
            <w:r w:rsidR="00744B37" w:rsidRPr="00EB4422">
              <w:t xml:space="preserve"> </w:t>
            </w:r>
            <w:r w:rsidR="00830423" w:rsidRPr="00EB4422">
              <w:t>(toliau – Prek</w:t>
            </w:r>
            <w:r w:rsidR="00B43B46">
              <w:t>ės), atitinkančiu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DB306B">
        <w:trPr>
          <w:gridBefore w:val="2"/>
          <w:gridAfter w:val="1"/>
          <w:wBefore w:w="54" w:type="pct"/>
          <w:wAfter w:w="351" w:type="pct"/>
          <w:trHeight w:val="702"/>
        </w:trPr>
        <w:tc>
          <w:tcPr>
            <w:tcW w:w="4595" w:type="pct"/>
            <w:gridSpan w:val="4"/>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74766156"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806EF8">
              <w:rPr>
                <w:b/>
              </w:rPr>
              <w:t>4 353,30</w:t>
            </w:r>
            <w:r w:rsidRPr="00C60848">
              <w:rPr>
                <w:b/>
              </w:rPr>
              <w:t xml:space="preserve"> </w:t>
            </w:r>
            <w:proofErr w:type="spellStart"/>
            <w:r w:rsidRPr="00C60848">
              <w:rPr>
                <w:b/>
              </w:rPr>
              <w:t>Eur</w:t>
            </w:r>
            <w:proofErr w:type="spellEnd"/>
            <w:r w:rsidR="00806EF8">
              <w:t xml:space="preserve"> (keturi tūkstančiai trys šimtai penkiasdešimt trys eurai 30</w:t>
            </w:r>
            <w:r w:rsidR="002D0287">
              <w:t xml:space="preserve"> </w:t>
            </w:r>
            <w:r w:rsidR="00806EF8">
              <w:t>centų</w:t>
            </w:r>
            <w:r w:rsidRPr="00C60848">
              <w:t xml:space="preserve">) įskaitant </w:t>
            </w:r>
            <w:r w:rsidR="003640B3">
              <w:t>pridėtinės vertės mokestį (toliau – PVM)</w:t>
            </w:r>
            <w:r w:rsidRPr="00C60848">
              <w:t xml:space="preserve">. </w:t>
            </w:r>
          </w:p>
          <w:p w14:paraId="52970B00" w14:textId="21ACF136"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806EF8">
              <w:rPr>
                <w:b/>
              </w:rPr>
              <w:t>3 047,31</w:t>
            </w:r>
            <w:r w:rsidR="004820D1" w:rsidRPr="00C60848">
              <w:rPr>
                <w:b/>
              </w:rPr>
              <w:t xml:space="preserve"> </w:t>
            </w:r>
            <w:proofErr w:type="spellStart"/>
            <w:r w:rsidR="004820D1" w:rsidRPr="00C60848">
              <w:rPr>
                <w:b/>
              </w:rPr>
              <w:t>Eur</w:t>
            </w:r>
            <w:proofErr w:type="spellEnd"/>
            <w:r w:rsidR="004820D1" w:rsidRPr="00C60848">
              <w:t xml:space="preserve"> (</w:t>
            </w:r>
            <w:r w:rsidR="00806EF8">
              <w:t>trys tūkstančiai keturiasdešimt septyni eurai 31 centas</w:t>
            </w:r>
            <w:r w:rsidR="004820D1" w:rsidRPr="00C60848">
              <w:t>) įskaitant PVM</w:t>
            </w:r>
            <w:r w:rsidR="00806EF8">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C484E5A" w14:textId="5BE1C60B" w:rsidR="004E4608" w:rsidRPr="00792126" w:rsidRDefault="001B356C" w:rsidP="002E329B">
            <w:pPr>
              <w:jc w:val="both"/>
            </w:pPr>
            <w:r>
              <w:t>2.5. Peržiūros atvejis numatytas Sutarties bendrosios dalies 2.2 ir 2.3 papunkčiuose.</w:t>
            </w:r>
          </w:p>
        </w:tc>
      </w:tr>
      <w:tr w:rsidR="00755B3F" w:rsidRPr="00755B3F" w14:paraId="1E7AF616" w14:textId="77777777" w:rsidTr="00DB306B">
        <w:trPr>
          <w:gridBefore w:val="2"/>
          <w:gridAfter w:val="1"/>
          <w:wBefore w:w="54" w:type="pct"/>
          <w:wAfter w:w="351" w:type="pct"/>
          <w:trHeight w:val="274"/>
        </w:trPr>
        <w:tc>
          <w:tcPr>
            <w:tcW w:w="4595" w:type="pct"/>
            <w:gridSpan w:val="4"/>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39D2FE12"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81055A">
              <w:t>info@armila.com</w:t>
            </w:r>
            <w:r>
              <w:t xml:space="preserve"> </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3571CA54"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rPr>
                <w:b/>
              </w:rPr>
              <w:t xml:space="preserve"> </w:t>
            </w:r>
            <w:r w:rsidR="00806D9A" w:rsidRPr="00F9388E">
              <w:t xml:space="preserve">ne vėliau kaip per </w:t>
            </w:r>
            <w:r w:rsidR="00C3027E">
              <w:t>20</w:t>
            </w:r>
            <w:r w:rsidR="00806D9A" w:rsidRPr="00F9388E">
              <w:t xml:space="preserve"> (</w:t>
            </w:r>
            <w:r w:rsidR="00C3027E">
              <w:t>dvi</w:t>
            </w:r>
            <w:r w:rsidR="00B85C2F">
              <w:t>dešimt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81055A">
              <w:t>.</w:t>
            </w:r>
          </w:p>
          <w:p w14:paraId="309CFAEC" w14:textId="40990127"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xml:space="preserve">. </w:t>
            </w:r>
            <w:r w:rsidR="001170AF" w:rsidRPr="001170AF">
              <w:lastRenderedPageBreak/>
              <w:t>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5385CAC5" w14:textId="414B7855" w:rsidR="000F7C80" w:rsidRDefault="000F7C80" w:rsidP="002E329B">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1FA1D527" w14:textId="7C59387C" w:rsidR="000F7C80" w:rsidRPr="00284BB0" w:rsidRDefault="000F7C80" w:rsidP="00E0297D">
            <w:pPr>
              <w:jc w:val="both"/>
            </w:pPr>
          </w:p>
        </w:tc>
      </w:tr>
      <w:tr w:rsidR="00755B3F" w:rsidRPr="00755B3F" w14:paraId="28B38DDD" w14:textId="77777777" w:rsidTr="00DB306B">
        <w:trPr>
          <w:gridBefore w:val="2"/>
          <w:gridAfter w:val="1"/>
          <w:wBefore w:w="54" w:type="pct"/>
          <w:wAfter w:w="351" w:type="pct"/>
          <w:trHeight w:val="272"/>
        </w:trPr>
        <w:tc>
          <w:tcPr>
            <w:tcW w:w="4595" w:type="pct"/>
            <w:gridSpan w:val="4"/>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DB306B">
        <w:trPr>
          <w:gridBefore w:val="2"/>
          <w:gridAfter w:val="1"/>
          <w:wBefore w:w="54" w:type="pct"/>
          <w:wAfter w:w="351" w:type="pct"/>
          <w:trHeight w:val="274"/>
        </w:trPr>
        <w:tc>
          <w:tcPr>
            <w:tcW w:w="4595" w:type="pct"/>
            <w:gridSpan w:val="4"/>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DB306B">
        <w:trPr>
          <w:gridBefore w:val="2"/>
          <w:gridAfter w:val="1"/>
          <w:wBefore w:w="54" w:type="pct"/>
          <w:wAfter w:w="351" w:type="pct"/>
          <w:trHeight w:val="1095"/>
        </w:trPr>
        <w:tc>
          <w:tcPr>
            <w:tcW w:w="4595" w:type="pct"/>
            <w:gridSpan w:val="4"/>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DB306B">
        <w:trPr>
          <w:gridBefore w:val="2"/>
          <w:gridAfter w:val="1"/>
          <w:wBefore w:w="54" w:type="pct"/>
          <w:wAfter w:w="351" w:type="pct"/>
          <w:trHeight w:val="1125"/>
        </w:trPr>
        <w:tc>
          <w:tcPr>
            <w:tcW w:w="4595" w:type="pct"/>
            <w:gridSpan w:val="4"/>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DB306B">
        <w:trPr>
          <w:gridBefore w:val="2"/>
          <w:gridAfter w:val="1"/>
          <w:wBefore w:w="54" w:type="pct"/>
          <w:wAfter w:w="351" w:type="pct"/>
          <w:trHeight w:val="551"/>
        </w:trPr>
        <w:tc>
          <w:tcPr>
            <w:tcW w:w="4595" w:type="pct"/>
            <w:gridSpan w:val="4"/>
            <w:tcBorders>
              <w:top w:val="single" w:sz="4" w:space="0" w:color="auto"/>
              <w:left w:val="single" w:sz="4" w:space="0" w:color="auto"/>
              <w:bottom w:val="single" w:sz="4" w:space="0" w:color="auto"/>
              <w:right w:val="single" w:sz="4" w:space="0" w:color="auto"/>
            </w:tcBorders>
            <w:hideMark/>
          </w:tcPr>
          <w:p w14:paraId="32B936AB" w14:textId="07E321E0" w:rsidR="001A7C08" w:rsidRDefault="001A7C08" w:rsidP="009D3494">
            <w:pPr>
              <w:pStyle w:val="ListParagraph"/>
              <w:spacing w:after="0"/>
              <w:ind w:left="0"/>
              <w:jc w:val="both"/>
              <w:rPr>
                <w:b/>
              </w:rPr>
            </w:pPr>
            <w:r w:rsidRPr="007576CD">
              <w:rPr>
                <w:b/>
              </w:rPr>
              <w:t>8. Papildomas prievolių įvykdymo užtikrinimas</w:t>
            </w:r>
            <w:r w:rsidR="007A036E">
              <w:rPr>
                <w:b/>
              </w:rPr>
              <w:t>.</w:t>
            </w:r>
          </w:p>
          <w:p w14:paraId="2F9736FD" w14:textId="57F94DB4" w:rsidR="00D6130D" w:rsidRPr="00D6130D" w:rsidRDefault="00D6130D" w:rsidP="009D3494">
            <w:pPr>
              <w:pStyle w:val="ListParagraph"/>
              <w:spacing w:after="0"/>
              <w:ind w:left="0"/>
              <w:jc w:val="both"/>
            </w:pPr>
            <w:r w:rsidRPr="00D6130D">
              <w:t>Netaikoma.</w:t>
            </w:r>
          </w:p>
          <w:p w14:paraId="4FFCCB2A" w14:textId="59C585C9" w:rsidR="009D3494" w:rsidRPr="007576CD" w:rsidRDefault="009D3494" w:rsidP="00CA1FE8">
            <w:pPr>
              <w:pStyle w:val="ListParagraph"/>
              <w:spacing w:after="0" w:line="240" w:lineRule="auto"/>
              <w:ind w:left="0"/>
              <w:jc w:val="both"/>
            </w:pPr>
          </w:p>
        </w:tc>
      </w:tr>
      <w:tr w:rsidR="007576CD" w:rsidRPr="007576CD" w14:paraId="001629E3" w14:textId="77777777" w:rsidTr="00DB306B">
        <w:trPr>
          <w:gridBefore w:val="2"/>
          <w:gridAfter w:val="1"/>
          <w:wBefore w:w="54" w:type="pct"/>
          <w:wAfter w:w="351" w:type="pct"/>
          <w:trHeight w:val="699"/>
        </w:trPr>
        <w:tc>
          <w:tcPr>
            <w:tcW w:w="4595" w:type="pct"/>
            <w:gridSpan w:val="4"/>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1C63DAD0" w:rsidR="001823F0" w:rsidRPr="00D6130D" w:rsidRDefault="001823F0" w:rsidP="001823F0">
            <w:pPr>
              <w:jc w:val="both"/>
              <w:rPr>
                <w:bCs/>
              </w:rPr>
            </w:pPr>
            <w:r w:rsidRPr="007E73F1">
              <w:t xml:space="preserve">9.2. Sutarties bendrosios dalies 11.4 punkte nurodytų Šalių iš anksto sutartų minimalių nuostolių dydis yra </w:t>
            </w:r>
            <w:r w:rsidRPr="00D6130D">
              <w:t xml:space="preserve">– </w:t>
            </w:r>
            <w:r w:rsidRPr="00D6130D">
              <w:rPr>
                <w:bCs/>
              </w:rPr>
              <w:t>7</w:t>
            </w:r>
            <w:r w:rsidRPr="00D6130D">
              <w:t>%</w:t>
            </w:r>
            <w:r w:rsidRPr="00D6130D">
              <w:rPr>
                <w:bCs/>
              </w:rPr>
              <w:t xml:space="preserve"> nuo minimalios Sutarties kainos be PVM.</w:t>
            </w:r>
          </w:p>
          <w:p w14:paraId="24B18D5D" w14:textId="50161134" w:rsidR="00A056C7" w:rsidRPr="00643642" w:rsidRDefault="00A056C7" w:rsidP="00A056C7">
            <w:pPr>
              <w:jc w:val="both"/>
            </w:pPr>
            <w:r>
              <w:lastRenderedPageBreak/>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15 (penkiolika) </w:t>
            </w:r>
            <w:r w:rsidRPr="007E73F1">
              <w:t>%</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3FE98958"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D6130D">
              <w:t>.</w:t>
            </w:r>
          </w:p>
          <w:p w14:paraId="480225C8" w14:textId="6E9C2A7A" w:rsidR="00D6130D" w:rsidRPr="00D6130D" w:rsidRDefault="0081055A" w:rsidP="00D6130D">
            <w:pPr>
              <w:jc w:val="both"/>
            </w:pPr>
            <w:r>
              <w:t xml:space="preserve">9.6. </w:t>
            </w:r>
            <w:r w:rsidRPr="00DB306B">
              <w:rPr>
                <w:b/>
              </w:rPr>
              <w:t>Pardavėjo</w:t>
            </w:r>
            <w:r>
              <w:t xml:space="preserve"> atstovas – </w:t>
            </w:r>
          </w:p>
          <w:p w14:paraId="157043CC" w14:textId="747BF6AD" w:rsidR="00D6130D" w:rsidRPr="00D6130D" w:rsidRDefault="00D6130D" w:rsidP="00D6130D">
            <w:pPr>
              <w:jc w:val="both"/>
              <w:rPr>
                <w:lang w:val="en-US"/>
              </w:rPr>
            </w:pPr>
            <w:r w:rsidRPr="00D6130D">
              <w:t xml:space="preserve">9.7. </w:t>
            </w:r>
            <w:r w:rsidRPr="00D6130D">
              <w:rPr>
                <w:b/>
              </w:rPr>
              <w:t>Pirkėjo</w:t>
            </w:r>
            <w:r w:rsidRPr="00D6130D">
              <w:t xml:space="preserve"> atstovas – </w:t>
            </w:r>
          </w:p>
          <w:p w14:paraId="0EE5B04B" w14:textId="2FA88A58" w:rsidR="00D6130D" w:rsidRPr="00D6130D" w:rsidRDefault="00D6130D" w:rsidP="00D6130D">
            <w:pPr>
              <w:jc w:val="both"/>
            </w:pPr>
            <w:r w:rsidRPr="00D6130D">
              <w:t xml:space="preserve">9.8. </w:t>
            </w:r>
            <w:r w:rsidRPr="00D6130D">
              <w:rPr>
                <w:b/>
              </w:rPr>
              <w:t>Gavėjo</w:t>
            </w:r>
            <w:r w:rsidRPr="00D6130D">
              <w:t xml:space="preserve"> atstovas –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58127B36"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D6130D">
              <w:t>1</w:t>
            </w:r>
            <w:r w:rsidR="00B85C2F">
              <w:t xml:space="preserve"> </w:t>
            </w:r>
            <w:r w:rsidR="007461E3" w:rsidRPr="00941B65">
              <w:t>lap</w:t>
            </w:r>
            <w:r w:rsidR="00E84710">
              <w:t>a</w:t>
            </w:r>
            <w:r w:rsidR="00D6130D">
              <w:t>s</w:t>
            </w:r>
            <w:r w:rsidR="007461E3" w:rsidRPr="00941B65">
              <w:t>;</w:t>
            </w:r>
          </w:p>
          <w:p w14:paraId="3D712ACD" w14:textId="75552804"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D6130D">
              <w:t>1</w:t>
            </w:r>
            <w:r w:rsidR="007461E3" w:rsidRPr="00941B65">
              <w:t xml:space="preserve"> lapa</w:t>
            </w:r>
            <w:r w:rsidR="00D6130D">
              <w:t>s</w:t>
            </w:r>
            <w:r w:rsidR="007E3154">
              <w:t>;</w:t>
            </w:r>
          </w:p>
          <w:p w14:paraId="48C59247" w14:textId="03B870DF" w:rsidR="007E3154" w:rsidRPr="00F91011" w:rsidRDefault="00A056C7" w:rsidP="007E3154">
            <w:pPr>
              <w:jc w:val="both"/>
            </w:pPr>
            <w:r>
              <w:t>9.9</w:t>
            </w:r>
            <w:r w:rsidR="003C6E5B">
              <w:t xml:space="preserve">.3. </w:t>
            </w:r>
            <w:r w:rsidR="007E3154" w:rsidRPr="00F91011">
              <w:t>3 priedas „</w:t>
            </w:r>
            <w:r w:rsidR="00797139">
              <w:t>P</w:t>
            </w:r>
            <w:r w:rsidR="007E3154" w:rsidRPr="00F91011">
              <w:t xml:space="preserve">rekių </w:t>
            </w:r>
            <w:r w:rsidR="00321E05">
              <w:t>užsakymo lapas“, 1 lapas.</w:t>
            </w:r>
          </w:p>
          <w:p w14:paraId="351E477F" w14:textId="77777777" w:rsidR="00C0219A" w:rsidRDefault="00D6130D" w:rsidP="00C0219A">
            <w:pPr>
              <w:jc w:val="both"/>
            </w:pPr>
            <w:r w:rsidRPr="00D6130D">
              <w:t xml:space="preserve">9.10. Asmuo, atsakingas už Sutarties paskelbimą – vyr. specialistė </w:t>
            </w:r>
          </w:p>
          <w:p w14:paraId="7EFE6283" w14:textId="185F6A4B" w:rsidR="00B01BDD" w:rsidRPr="00B85C2F" w:rsidRDefault="00D6130D" w:rsidP="00C0219A">
            <w:pPr>
              <w:jc w:val="both"/>
              <w:rPr>
                <w:color w:val="000000"/>
              </w:rPr>
            </w:pPr>
            <w:r w:rsidRPr="00D6130D">
              <w:t xml:space="preserve">9.11. Asmuo, atsakingas už Sutarties pakeitimų paskelbimą – vyr. vaistininkė </w:t>
            </w:r>
            <w:bookmarkStart w:id="0" w:name="_GoBack"/>
            <w:bookmarkEnd w:id="0"/>
          </w:p>
        </w:tc>
      </w:tr>
      <w:tr w:rsidR="007576CD" w:rsidRPr="007576CD" w14:paraId="6D652BE3" w14:textId="77777777" w:rsidTr="00DB306B">
        <w:trPr>
          <w:gridBefore w:val="2"/>
          <w:gridAfter w:val="1"/>
          <w:wBefore w:w="54" w:type="pct"/>
          <w:wAfter w:w="351" w:type="pct"/>
          <w:trHeight w:val="794"/>
        </w:trPr>
        <w:tc>
          <w:tcPr>
            <w:tcW w:w="4595" w:type="pct"/>
            <w:gridSpan w:val="4"/>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DB306B">
        <w:trPr>
          <w:gridBefore w:val="2"/>
          <w:gridAfter w:val="1"/>
          <w:wBefore w:w="54" w:type="pct"/>
          <w:wAfter w:w="351" w:type="pct"/>
          <w:trHeight w:val="447"/>
        </w:trPr>
        <w:tc>
          <w:tcPr>
            <w:tcW w:w="4595" w:type="pct"/>
            <w:gridSpan w:val="4"/>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4D7D75F" w:rsidR="00B01BDD" w:rsidRPr="007576CD" w:rsidRDefault="003C2F33" w:rsidP="00B01BDD">
            <w:pPr>
              <w:tabs>
                <w:tab w:val="left" w:pos="2595"/>
              </w:tabs>
            </w:pPr>
            <w:r>
              <w:t>Giedraičių g. 41</w:t>
            </w:r>
            <w:r w:rsidR="00B01BDD" w:rsidRPr="007576CD">
              <w:t>, LT-</w:t>
            </w:r>
            <w:r>
              <w:t>09303</w:t>
            </w:r>
            <w:r w:rsidR="00B01BDD" w:rsidRPr="007576CD">
              <w:t xml:space="preserve"> Vilnius</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DB306B">
        <w:trPr>
          <w:gridBefore w:val="2"/>
          <w:gridAfter w:val="1"/>
          <w:wBefore w:w="54" w:type="pct"/>
          <w:wAfter w:w="351" w:type="pct"/>
          <w:trHeight w:val="447"/>
        </w:trPr>
        <w:tc>
          <w:tcPr>
            <w:tcW w:w="4595" w:type="pct"/>
            <w:gridSpan w:val="4"/>
            <w:tcBorders>
              <w:top w:val="single" w:sz="4" w:space="0" w:color="auto"/>
              <w:left w:val="single" w:sz="4" w:space="0" w:color="auto"/>
              <w:bottom w:val="single" w:sz="4" w:space="0" w:color="auto"/>
              <w:right w:val="single" w:sz="4" w:space="0" w:color="auto"/>
            </w:tcBorders>
          </w:tcPr>
          <w:p w14:paraId="100D6AD5" w14:textId="77777777" w:rsidR="00527E91" w:rsidRDefault="00527E91" w:rsidP="00527E91">
            <w:pPr>
              <w:rPr>
                <w:b/>
              </w:rPr>
            </w:pPr>
            <w:r w:rsidRPr="007576CD">
              <w:rPr>
                <w:b/>
              </w:rPr>
              <w:t>1</w:t>
            </w:r>
            <w:r w:rsidR="009D3494">
              <w:rPr>
                <w:b/>
              </w:rPr>
              <w:t>2</w:t>
            </w:r>
            <w:r w:rsidRPr="007576CD">
              <w:rPr>
                <w:b/>
              </w:rPr>
              <w:t>. Pardavėjo rekvizitai</w:t>
            </w:r>
          </w:p>
          <w:p w14:paraId="16B4BDB6" w14:textId="02E92DB6" w:rsidR="00A17207" w:rsidRPr="00820DC1" w:rsidRDefault="00A17207" w:rsidP="00A17207">
            <w:pPr>
              <w:tabs>
                <w:tab w:val="left" w:pos="5832"/>
              </w:tabs>
              <w:ind w:right="-476"/>
              <w:rPr>
                <w:bCs/>
              </w:rPr>
            </w:pPr>
            <w:r w:rsidRPr="00820DC1">
              <w:rPr>
                <w:b/>
                <w:bCs/>
              </w:rPr>
              <w:t xml:space="preserve">UAB </w:t>
            </w:r>
            <w:r>
              <w:rPr>
                <w:b/>
                <w:bCs/>
              </w:rPr>
              <w:t>„</w:t>
            </w:r>
            <w:proofErr w:type="spellStart"/>
            <w:r w:rsidR="00DB306B">
              <w:rPr>
                <w:b/>
                <w:bCs/>
              </w:rPr>
              <w:t>Armila</w:t>
            </w:r>
            <w:proofErr w:type="spellEnd"/>
            <w:r>
              <w:rPr>
                <w:b/>
                <w:bCs/>
              </w:rPr>
              <w:t>“</w:t>
            </w:r>
          </w:p>
          <w:p w14:paraId="4D6D6146" w14:textId="77777777" w:rsidR="00DB306B" w:rsidRPr="00FB1E58" w:rsidRDefault="00DB306B" w:rsidP="00DB306B">
            <w:pPr>
              <w:tabs>
                <w:tab w:val="left" w:pos="5832"/>
              </w:tabs>
              <w:ind w:right="-476"/>
              <w:rPr>
                <w:bCs/>
              </w:rPr>
            </w:pPr>
            <w:r>
              <w:rPr>
                <w:bCs/>
              </w:rPr>
              <w:t>Molėtų pl. 75, LT-14259,</w:t>
            </w:r>
            <w:r w:rsidRPr="00FB1E58">
              <w:rPr>
                <w:bCs/>
              </w:rPr>
              <w:t xml:space="preserve"> Vilnius</w:t>
            </w:r>
            <w:r w:rsidRPr="00FB1E58">
              <w:rPr>
                <w:b/>
                <w:bCs/>
              </w:rPr>
              <w:t xml:space="preserve"> </w:t>
            </w:r>
          </w:p>
          <w:p w14:paraId="7839A174" w14:textId="77777777" w:rsidR="00DB306B" w:rsidRPr="00FB1E58" w:rsidRDefault="00DB306B" w:rsidP="00DB306B">
            <w:pPr>
              <w:tabs>
                <w:tab w:val="left" w:pos="5832"/>
              </w:tabs>
              <w:ind w:right="-476"/>
              <w:rPr>
                <w:bCs/>
              </w:rPr>
            </w:pPr>
            <w:r>
              <w:rPr>
                <w:bCs/>
              </w:rPr>
              <w:t>Įmonės kodas 123813957</w:t>
            </w:r>
            <w:r w:rsidRPr="00FB1E58">
              <w:rPr>
                <w:bCs/>
              </w:rPr>
              <w:t xml:space="preserve"> </w:t>
            </w:r>
          </w:p>
          <w:p w14:paraId="55F3D5FA" w14:textId="77777777" w:rsidR="00DB306B" w:rsidRPr="00FB1E58" w:rsidRDefault="00DB306B" w:rsidP="00DB306B">
            <w:pPr>
              <w:tabs>
                <w:tab w:val="left" w:pos="5832"/>
              </w:tabs>
              <w:ind w:right="-476"/>
              <w:rPr>
                <w:bCs/>
              </w:rPr>
            </w:pPr>
            <w:r>
              <w:rPr>
                <w:bCs/>
              </w:rPr>
              <w:t>PVM mokėtojo kodas LT238139515</w:t>
            </w:r>
          </w:p>
          <w:p w14:paraId="0664B4F6" w14:textId="77777777" w:rsidR="00DB306B" w:rsidRPr="00FB1E58" w:rsidRDefault="00DB306B" w:rsidP="00DB306B">
            <w:pPr>
              <w:tabs>
                <w:tab w:val="left" w:pos="5832"/>
              </w:tabs>
              <w:ind w:right="-476"/>
              <w:rPr>
                <w:bCs/>
              </w:rPr>
            </w:pPr>
            <w:r w:rsidRPr="00FB1E58">
              <w:rPr>
                <w:bCs/>
              </w:rPr>
              <w:t xml:space="preserve">AB </w:t>
            </w:r>
            <w:proofErr w:type="spellStart"/>
            <w:r>
              <w:rPr>
                <w:bCs/>
              </w:rPr>
              <w:t>Luminor</w:t>
            </w:r>
            <w:proofErr w:type="spellEnd"/>
            <w:r w:rsidRPr="00FB1E58">
              <w:rPr>
                <w:bCs/>
              </w:rPr>
              <w:t xml:space="preserve"> bank, </w:t>
            </w:r>
            <w:proofErr w:type="spellStart"/>
            <w:r w:rsidRPr="00FB1E58">
              <w:rPr>
                <w:bCs/>
              </w:rPr>
              <w:t>b.k</w:t>
            </w:r>
            <w:proofErr w:type="spellEnd"/>
            <w:r w:rsidRPr="00FB1E58">
              <w:rPr>
                <w:bCs/>
              </w:rPr>
              <w:t xml:space="preserve">. </w:t>
            </w:r>
            <w:r>
              <w:rPr>
                <w:bCs/>
              </w:rPr>
              <w:t>40100</w:t>
            </w:r>
            <w:r w:rsidRPr="00FB1E58">
              <w:rPr>
                <w:bCs/>
              </w:rPr>
              <w:t xml:space="preserve"> </w:t>
            </w:r>
          </w:p>
          <w:p w14:paraId="498840CF" w14:textId="719415E2" w:rsidR="00A17207" w:rsidRPr="007576CD" w:rsidRDefault="00DB306B" w:rsidP="00DB306B">
            <w:pPr>
              <w:rPr>
                <w:b/>
              </w:rPr>
            </w:pPr>
            <w:r>
              <w:rPr>
                <w:bCs/>
                <w:lang w:val="en-US"/>
              </w:rPr>
              <w:t>A/s LT454010042400030802</w:t>
            </w:r>
          </w:p>
        </w:tc>
      </w:tr>
      <w:tr w:rsidR="007576CD" w:rsidRPr="007576CD" w14:paraId="1BB90292" w14:textId="77777777" w:rsidTr="00DB306B">
        <w:trPr>
          <w:gridBefore w:val="2"/>
          <w:gridAfter w:val="1"/>
          <w:wBefore w:w="54" w:type="pct"/>
          <w:wAfter w:w="351" w:type="pct"/>
          <w:trHeight w:val="441"/>
        </w:trPr>
        <w:tc>
          <w:tcPr>
            <w:tcW w:w="4595" w:type="pct"/>
            <w:gridSpan w:val="4"/>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r w:rsidR="007576CD" w:rsidRPr="007576CD" w14:paraId="4127A19D" w14:textId="77777777" w:rsidTr="00DB30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5" w:type="pct"/>
          <w:wAfter w:w="351" w:type="pct"/>
        </w:trPr>
        <w:tc>
          <w:tcPr>
            <w:tcW w:w="1588" w:type="pct"/>
            <w:gridSpan w:val="2"/>
            <w:shd w:val="clear" w:color="auto" w:fill="auto"/>
          </w:tcPr>
          <w:p w14:paraId="609A7E3E" w14:textId="09A3C06F"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1550" w:type="pct"/>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1476" w:type="pct"/>
            <w:gridSpan w:val="2"/>
            <w:shd w:val="clear" w:color="auto" w:fill="auto"/>
          </w:tcPr>
          <w:p w14:paraId="2626FF94" w14:textId="6CEE740B" w:rsidR="003D3BB4" w:rsidRPr="007576CD" w:rsidRDefault="003D3BB4" w:rsidP="00264C29">
            <w:pPr>
              <w:pStyle w:val="BodyText1"/>
              <w:ind w:firstLine="0"/>
              <w:rPr>
                <w:rFonts w:ascii="Times New Roman" w:eastAsia="Times New Roman" w:hAnsi="Times New Roman"/>
                <w:b/>
                <w:sz w:val="24"/>
                <w:szCs w:val="24"/>
                <w:lang w:val="lt-LT" w:eastAsia="en-US"/>
              </w:rPr>
            </w:pPr>
          </w:p>
        </w:tc>
      </w:tr>
      <w:tr w:rsidR="00DB306B" w:rsidRPr="00C70465" w14:paraId="2569FF64" w14:textId="77777777" w:rsidTr="00A1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23" w:type="pct"/>
            <w:gridSpan w:val="3"/>
            <w:shd w:val="clear" w:color="auto" w:fill="auto"/>
          </w:tcPr>
          <w:p w14:paraId="351BCD14" w14:textId="77777777" w:rsidR="00DB306B" w:rsidRPr="00C70465" w:rsidRDefault="00DB306B" w:rsidP="00DB306B">
            <w:pPr>
              <w:suppressAutoHyphens/>
              <w:jc w:val="both"/>
              <w:rPr>
                <w:b/>
                <w:lang w:eastAsia="en-US"/>
              </w:rPr>
            </w:pPr>
            <w:r w:rsidRPr="00C70465">
              <w:rPr>
                <w:b/>
                <w:lang w:eastAsia="en-US"/>
              </w:rPr>
              <w:t>PIRKĖJAS</w:t>
            </w:r>
          </w:p>
          <w:p w14:paraId="06973A35" w14:textId="77777777" w:rsidR="00DB306B" w:rsidRPr="00C70465" w:rsidRDefault="00DB306B" w:rsidP="00DB306B">
            <w:pPr>
              <w:suppressAutoHyphens/>
              <w:jc w:val="both"/>
              <w:rPr>
                <w:b/>
                <w:lang w:eastAsia="en-US"/>
              </w:rPr>
            </w:pPr>
          </w:p>
          <w:p w14:paraId="72A0B0BC" w14:textId="77777777" w:rsidR="00DB306B" w:rsidRPr="00C70465" w:rsidRDefault="00DB306B" w:rsidP="00DB306B">
            <w:pPr>
              <w:tabs>
                <w:tab w:val="left" w:pos="2595"/>
              </w:tabs>
              <w:rPr>
                <w:rFonts w:eastAsia="Tahoma"/>
                <w:b/>
                <w:bCs/>
              </w:rPr>
            </w:pPr>
            <w:r w:rsidRPr="00C70465">
              <w:rPr>
                <w:rFonts w:eastAsia="Tahoma"/>
                <w:b/>
                <w:bCs/>
              </w:rPr>
              <w:t>Gynybos resursų agentūra prie Krašto apsaugos ministerijos</w:t>
            </w:r>
          </w:p>
          <w:p w14:paraId="19A8FFF4" w14:textId="77777777" w:rsidR="00DB306B" w:rsidRPr="00C70465" w:rsidRDefault="00DB306B" w:rsidP="00DB306B">
            <w:pPr>
              <w:tabs>
                <w:tab w:val="left" w:pos="2595"/>
              </w:tabs>
              <w:rPr>
                <w:rFonts w:eastAsia="Tahoma"/>
                <w:b/>
                <w:bCs/>
              </w:rPr>
            </w:pPr>
          </w:p>
          <w:p w14:paraId="036FFD99" w14:textId="77777777" w:rsidR="00DB306B" w:rsidRPr="00C70465" w:rsidRDefault="00DB306B" w:rsidP="00DB306B">
            <w:pPr>
              <w:tabs>
                <w:tab w:val="left" w:pos="2595"/>
              </w:tabs>
              <w:rPr>
                <w:rFonts w:eastAsia="Tahoma"/>
                <w:bCs/>
              </w:rPr>
            </w:pPr>
            <w:r w:rsidRPr="00C70465">
              <w:rPr>
                <w:rFonts w:eastAsia="Tahoma"/>
                <w:bCs/>
              </w:rPr>
              <w:t>Direktorius</w:t>
            </w:r>
          </w:p>
          <w:p w14:paraId="7A6094C5" w14:textId="77777777" w:rsidR="00DB306B" w:rsidRPr="00C70465" w:rsidRDefault="00DB306B" w:rsidP="00DB306B">
            <w:pPr>
              <w:pStyle w:val="BodyText4"/>
              <w:ind w:firstLine="0"/>
              <w:rPr>
                <w:rFonts w:ascii="Times New Roman" w:eastAsia="Tahoma" w:hAnsi="Times New Roman"/>
                <w:bCs/>
                <w:sz w:val="24"/>
                <w:szCs w:val="24"/>
                <w:lang w:val="lt-LT" w:eastAsia="lt-LT"/>
              </w:rPr>
            </w:pPr>
            <w:r w:rsidRPr="00C70465">
              <w:rPr>
                <w:rFonts w:ascii="Times New Roman" w:eastAsia="Tahoma" w:hAnsi="Times New Roman"/>
                <w:bCs/>
                <w:sz w:val="24"/>
                <w:szCs w:val="24"/>
                <w:lang w:val="lt-LT" w:eastAsia="lt-LT"/>
              </w:rPr>
              <w:t xml:space="preserve">Sigitas </w:t>
            </w:r>
            <w:proofErr w:type="spellStart"/>
            <w:r w:rsidRPr="00C70465">
              <w:rPr>
                <w:rFonts w:ascii="Times New Roman" w:eastAsia="Tahoma" w:hAnsi="Times New Roman"/>
                <w:bCs/>
                <w:sz w:val="24"/>
                <w:szCs w:val="24"/>
                <w:lang w:val="lt-LT" w:eastAsia="lt-LT"/>
              </w:rPr>
              <w:t>Dzekunskas</w:t>
            </w:r>
            <w:proofErr w:type="spellEnd"/>
          </w:p>
          <w:p w14:paraId="663840A0" w14:textId="77777777" w:rsidR="00DB306B" w:rsidRPr="00C70465" w:rsidRDefault="00DB306B" w:rsidP="00DB306B">
            <w:pPr>
              <w:pStyle w:val="BodyText4"/>
              <w:ind w:firstLine="0"/>
              <w:rPr>
                <w:rFonts w:ascii="Times New Roman" w:eastAsia="Tahoma" w:hAnsi="Times New Roman"/>
                <w:bCs/>
                <w:sz w:val="24"/>
                <w:szCs w:val="24"/>
                <w:lang w:val="lt-LT" w:eastAsia="lt-LT"/>
              </w:rPr>
            </w:pPr>
          </w:p>
          <w:p w14:paraId="17142C18" w14:textId="77777777" w:rsidR="00DB306B" w:rsidRPr="00615146" w:rsidRDefault="00DB306B" w:rsidP="00DB306B">
            <w:pPr>
              <w:suppressAutoHyphens/>
              <w:jc w:val="both"/>
              <w:rPr>
                <w:rFonts w:eastAsia="Cambria Math"/>
                <w:lang w:eastAsia="ar-SA"/>
              </w:rPr>
            </w:pPr>
            <w:r w:rsidRPr="00615146">
              <w:rPr>
                <w:rFonts w:eastAsia="Cambria Math"/>
                <w:lang w:eastAsia="ar-SA"/>
              </w:rPr>
              <w:lastRenderedPageBreak/>
              <w:t xml:space="preserve">A.V.                                                                                                                                                </w:t>
            </w:r>
          </w:p>
          <w:p w14:paraId="39A94EAF" w14:textId="77777777" w:rsidR="00DB306B" w:rsidRPr="00C70465" w:rsidRDefault="00DB306B" w:rsidP="00DB306B">
            <w:pPr>
              <w:pStyle w:val="BodyText4"/>
              <w:ind w:firstLine="0"/>
              <w:rPr>
                <w:rFonts w:ascii="Times New Roman" w:eastAsia="Times New Roman" w:hAnsi="Times New Roman"/>
                <w:b/>
                <w:sz w:val="24"/>
                <w:szCs w:val="24"/>
                <w:lang w:val="lt-LT" w:eastAsia="en-US"/>
              </w:rPr>
            </w:pPr>
          </w:p>
        </w:tc>
        <w:tc>
          <w:tcPr>
            <w:tcW w:w="1605" w:type="pct"/>
            <w:gridSpan w:val="2"/>
            <w:shd w:val="clear" w:color="auto" w:fill="auto"/>
          </w:tcPr>
          <w:p w14:paraId="2F3C4FDD" w14:textId="77777777" w:rsidR="00DB306B" w:rsidRPr="00C70465" w:rsidRDefault="00DB306B" w:rsidP="00DB306B">
            <w:pPr>
              <w:pStyle w:val="BodyText4"/>
              <w:ind w:firstLine="0"/>
              <w:rPr>
                <w:rFonts w:ascii="Times New Roman" w:eastAsia="Times New Roman" w:hAnsi="Times New Roman"/>
                <w:b/>
                <w:sz w:val="24"/>
                <w:szCs w:val="24"/>
                <w:lang w:val="lt-LT" w:eastAsia="en-US"/>
              </w:rPr>
            </w:pPr>
          </w:p>
        </w:tc>
        <w:tc>
          <w:tcPr>
            <w:tcW w:w="1772" w:type="pct"/>
            <w:gridSpan w:val="2"/>
            <w:shd w:val="clear" w:color="auto" w:fill="auto"/>
          </w:tcPr>
          <w:p w14:paraId="342FC59A" w14:textId="77777777" w:rsidR="00DB306B" w:rsidRPr="00C70465" w:rsidRDefault="00DB306B" w:rsidP="00DB306B">
            <w:pPr>
              <w:suppressAutoHyphens/>
              <w:ind w:left="119" w:firstLine="142"/>
              <w:jc w:val="both"/>
              <w:rPr>
                <w:b/>
                <w:lang w:eastAsia="en-US"/>
              </w:rPr>
            </w:pPr>
            <w:r w:rsidRPr="00C70465">
              <w:rPr>
                <w:b/>
                <w:lang w:eastAsia="en-US"/>
              </w:rPr>
              <w:t>PARDAVĖJAS</w:t>
            </w:r>
          </w:p>
          <w:p w14:paraId="27BC78CB" w14:textId="77777777" w:rsidR="00DB306B" w:rsidRPr="00C70465" w:rsidRDefault="00DB306B" w:rsidP="00DB306B">
            <w:pPr>
              <w:suppressAutoHyphens/>
              <w:ind w:left="119" w:firstLine="142"/>
              <w:jc w:val="both"/>
              <w:rPr>
                <w:b/>
                <w:lang w:eastAsia="en-US"/>
              </w:rPr>
            </w:pPr>
          </w:p>
          <w:p w14:paraId="0472C10B" w14:textId="77777777" w:rsidR="00DB306B" w:rsidRPr="00E51916" w:rsidRDefault="00DB306B" w:rsidP="00DB306B">
            <w:pPr>
              <w:tabs>
                <w:tab w:val="left" w:pos="5832"/>
              </w:tabs>
              <w:ind w:left="119" w:right="-476" w:firstLine="142"/>
              <w:rPr>
                <w:b/>
                <w:bCs/>
              </w:rPr>
            </w:pPr>
            <w:r>
              <w:rPr>
                <w:b/>
                <w:bCs/>
              </w:rPr>
              <w:t>UAB „</w:t>
            </w:r>
            <w:proofErr w:type="spellStart"/>
            <w:r>
              <w:rPr>
                <w:b/>
                <w:bCs/>
              </w:rPr>
              <w:t>Armila</w:t>
            </w:r>
            <w:proofErr w:type="spellEnd"/>
            <w:r w:rsidRPr="00E51916">
              <w:rPr>
                <w:b/>
                <w:bCs/>
              </w:rPr>
              <w:t>“</w:t>
            </w:r>
          </w:p>
          <w:p w14:paraId="41646670" w14:textId="77777777" w:rsidR="00DB306B" w:rsidRPr="00E51916" w:rsidRDefault="00DB306B" w:rsidP="00DB306B">
            <w:pPr>
              <w:tabs>
                <w:tab w:val="left" w:pos="5832"/>
              </w:tabs>
              <w:ind w:left="119" w:right="-476" w:firstLine="142"/>
              <w:rPr>
                <w:b/>
                <w:bCs/>
              </w:rPr>
            </w:pPr>
          </w:p>
          <w:p w14:paraId="43BAAD4E" w14:textId="77777777" w:rsidR="00DB306B" w:rsidRPr="00E51916" w:rsidRDefault="00DB306B" w:rsidP="00DB306B">
            <w:pPr>
              <w:tabs>
                <w:tab w:val="left" w:pos="5832"/>
              </w:tabs>
              <w:ind w:left="119" w:right="-476" w:firstLine="142"/>
              <w:rPr>
                <w:b/>
                <w:bCs/>
              </w:rPr>
            </w:pPr>
          </w:p>
          <w:p w14:paraId="6B976246" w14:textId="77777777" w:rsidR="00DB306B" w:rsidRPr="00E51916" w:rsidRDefault="00DB306B" w:rsidP="00DB306B">
            <w:pPr>
              <w:tabs>
                <w:tab w:val="left" w:pos="5832"/>
              </w:tabs>
              <w:ind w:left="119" w:right="-476" w:firstLine="142"/>
            </w:pPr>
            <w:r>
              <w:t>D</w:t>
            </w:r>
            <w:r w:rsidRPr="00E51916">
              <w:t>irektorius</w:t>
            </w:r>
          </w:p>
          <w:p w14:paraId="29A20893" w14:textId="77777777" w:rsidR="00DB306B" w:rsidRPr="00571EED" w:rsidRDefault="00DB306B" w:rsidP="00DB306B">
            <w:r>
              <w:t xml:space="preserve">     Remigijus Mielinis</w:t>
            </w:r>
          </w:p>
          <w:p w14:paraId="482FADAB" w14:textId="77777777" w:rsidR="00DB306B" w:rsidRPr="00C70465" w:rsidRDefault="00DB306B" w:rsidP="00DB306B">
            <w:pPr>
              <w:pStyle w:val="BodyText4"/>
              <w:ind w:firstLine="0"/>
              <w:rPr>
                <w:rFonts w:ascii="Times New Roman" w:eastAsia="Times New Roman" w:hAnsi="Times New Roman"/>
                <w:b/>
                <w:sz w:val="24"/>
                <w:szCs w:val="24"/>
                <w:lang w:val="lt-LT" w:eastAsia="en-US"/>
              </w:rPr>
            </w:pPr>
          </w:p>
          <w:p w14:paraId="40A56D97" w14:textId="682650C9" w:rsidR="00DB306B" w:rsidRPr="00C70465" w:rsidRDefault="00DB306B" w:rsidP="00DB306B">
            <w:pPr>
              <w:pStyle w:val="BodyText4"/>
              <w:ind w:firstLine="0"/>
              <w:rPr>
                <w:rFonts w:ascii="Times New Roman" w:eastAsia="Times New Roman" w:hAnsi="Times New Roman"/>
                <w:b/>
                <w:sz w:val="24"/>
                <w:szCs w:val="24"/>
                <w:lang w:val="lt-LT" w:eastAsia="en-US"/>
              </w:rPr>
            </w:pPr>
            <w:r w:rsidRPr="00615146">
              <w:rPr>
                <w:rFonts w:ascii="Times New Roman" w:eastAsia="Cambria Math" w:hAnsi="Times New Roman"/>
                <w:sz w:val="24"/>
                <w:szCs w:val="24"/>
              </w:rPr>
              <w:t xml:space="preserve">     A.V</w:t>
            </w:r>
            <w:r w:rsidRPr="00FB1E58">
              <w:rPr>
                <w:rFonts w:ascii="Times New Roman" w:eastAsia="Cambria Math" w:hAnsi="Times New Roman"/>
                <w:b/>
                <w:sz w:val="24"/>
                <w:szCs w:val="24"/>
              </w:rPr>
              <w:t>.</w:t>
            </w:r>
          </w:p>
        </w:tc>
      </w:tr>
    </w:tbl>
    <w:p w14:paraId="49A210FA" w14:textId="70102F27" w:rsidR="00284BB0" w:rsidRDefault="00284BB0" w:rsidP="003D3BB4">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w:t>
      </w:r>
      <w:r w:rsidRPr="007461E3">
        <w:lastRenderedPageBreak/>
        <w:t xml:space="preserve">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lastRenderedPageBreak/>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tbl>
      <w:tblPr>
        <w:tblW w:w="5018" w:type="pct"/>
        <w:tblInd w:w="-34" w:type="dxa"/>
        <w:tblLook w:val="04A0" w:firstRow="1" w:lastRow="0" w:firstColumn="1" w:lastColumn="0" w:noHBand="0" w:noVBand="1"/>
      </w:tblPr>
      <w:tblGrid>
        <w:gridCol w:w="3328"/>
        <w:gridCol w:w="3252"/>
        <w:gridCol w:w="3093"/>
      </w:tblGrid>
      <w:tr w:rsidR="00DB306B" w:rsidRPr="007576CD" w14:paraId="74ADA6F7" w14:textId="77777777" w:rsidTr="00507E6B">
        <w:tc>
          <w:tcPr>
            <w:tcW w:w="1720" w:type="pct"/>
            <w:shd w:val="clear" w:color="auto" w:fill="auto"/>
          </w:tcPr>
          <w:p w14:paraId="7D67D509" w14:textId="77777777" w:rsidR="00DB306B" w:rsidRPr="00C70465" w:rsidRDefault="00DB306B" w:rsidP="00A37B68">
            <w:pPr>
              <w:suppressAutoHyphens/>
              <w:jc w:val="both"/>
              <w:rPr>
                <w:b/>
                <w:lang w:eastAsia="en-US"/>
              </w:rPr>
            </w:pPr>
            <w:r w:rsidRPr="00C70465">
              <w:rPr>
                <w:b/>
                <w:lang w:eastAsia="en-US"/>
              </w:rPr>
              <w:t>PIRKĖJAS</w:t>
            </w:r>
          </w:p>
          <w:p w14:paraId="1364A4F8" w14:textId="77777777" w:rsidR="00DB306B" w:rsidRPr="00C70465" w:rsidRDefault="00DB306B" w:rsidP="00A37B68">
            <w:pPr>
              <w:suppressAutoHyphens/>
              <w:jc w:val="both"/>
              <w:rPr>
                <w:b/>
                <w:lang w:eastAsia="en-US"/>
              </w:rPr>
            </w:pPr>
          </w:p>
          <w:p w14:paraId="17198AC0" w14:textId="77777777" w:rsidR="00DB306B" w:rsidRPr="00C70465" w:rsidRDefault="00DB306B" w:rsidP="00A37B68">
            <w:pPr>
              <w:tabs>
                <w:tab w:val="left" w:pos="2595"/>
              </w:tabs>
              <w:rPr>
                <w:rFonts w:eastAsia="Tahoma"/>
                <w:b/>
                <w:bCs/>
              </w:rPr>
            </w:pPr>
            <w:r w:rsidRPr="00C70465">
              <w:rPr>
                <w:rFonts w:eastAsia="Tahoma"/>
                <w:b/>
                <w:bCs/>
              </w:rPr>
              <w:lastRenderedPageBreak/>
              <w:t>Gynybos resursų agentūra prie Krašto apsaugos ministerijos</w:t>
            </w:r>
          </w:p>
          <w:p w14:paraId="49EC9442" w14:textId="77777777" w:rsidR="00DB306B" w:rsidRPr="00C70465" w:rsidRDefault="00DB306B" w:rsidP="00A37B68">
            <w:pPr>
              <w:tabs>
                <w:tab w:val="left" w:pos="2595"/>
              </w:tabs>
              <w:rPr>
                <w:rFonts w:eastAsia="Tahoma"/>
                <w:b/>
                <w:bCs/>
              </w:rPr>
            </w:pPr>
          </w:p>
          <w:p w14:paraId="14007DC6" w14:textId="77777777" w:rsidR="00DB306B" w:rsidRPr="00C70465" w:rsidRDefault="00DB306B" w:rsidP="00A37B68">
            <w:pPr>
              <w:tabs>
                <w:tab w:val="left" w:pos="2595"/>
              </w:tabs>
              <w:rPr>
                <w:rFonts w:eastAsia="Tahoma"/>
                <w:bCs/>
              </w:rPr>
            </w:pPr>
            <w:r w:rsidRPr="00C70465">
              <w:rPr>
                <w:rFonts w:eastAsia="Tahoma"/>
                <w:bCs/>
              </w:rPr>
              <w:t>Direktorius</w:t>
            </w:r>
          </w:p>
          <w:p w14:paraId="71E5C794" w14:textId="77777777" w:rsidR="00DB306B" w:rsidRPr="00C70465" w:rsidRDefault="00DB306B" w:rsidP="00A37B68">
            <w:pPr>
              <w:pStyle w:val="BodyText4"/>
              <w:ind w:firstLine="0"/>
              <w:rPr>
                <w:rFonts w:ascii="Times New Roman" w:eastAsia="Tahoma" w:hAnsi="Times New Roman"/>
                <w:bCs/>
                <w:sz w:val="24"/>
                <w:szCs w:val="24"/>
                <w:lang w:val="lt-LT" w:eastAsia="lt-LT"/>
              </w:rPr>
            </w:pPr>
            <w:r w:rsidRPr="00C70465">
              <w:rPr>
                <w:rFonts w:ascii="Times New Roman" w:eastAsia="Tahoma" w:hAnsi="Times New Roman"/>
                <w:bCs/>
                <w:sz w:val="24"/>
                <w:szCs w:val="24"/>
                <w:lang w:val="lt-LT" w:eastAsia="lt-LT"/>
              </w:rPr>
              <w:t xml:space="preserve">Sigitas </w:t>
            </w:r>
            <w:proofErr w:type="spellStart"/>
            <w:r w:rsidRPr="00C70465">
              <w:rPr>
                <w:rFonts w:ascii="Times New Roman" w:eastAsia="Tahoma" w:hAnsi="Times New Roman"/>
                <w:bCs/>
                <w:sz w:val="24"/>
                <w:szCs w:val="24"/>
                <w:lang w:val="lt-LT" w:eastAsia="lt-LT"/>
              </w:rPr>
              <w:t>Dzekunskas</w:t>
            </w:r>
            <w:proofErr w:type="spellEnd"/>
          </w:p>
          <w:p w14:paraId="172670E1" w14:textId="77777777" w:rsidR="00DB306B" w:rsidRPr="00C70465" w:rsidRDefault="00DB306B" w:rsidP="00A37B68">
            <w:pPr>
              <w:pStyle w:val="BodyText4"/>
              <w:ind w:firstLine="0"/>
              <w:rPr>
                <w:rFonts w:ascii="Times New Roman" w:eastAsia="Tahoma" w:hAnsi="Times New Roman"/>
                <w:bCs/>
                <w:sz w:val="24"/>
                <w:szCs w:val="24"/>
                <w:lang w:val="lt-LT" w:eastAsia="lt-LT"/>
              </w:rPr>
            </w:pPr>
          </w:p>
          <w:p w14:paraId="38C521CF" w14:textId="77777777" w:rsidR="00DB306B" w:rsidRPr="00615146" w:rsidRDefault="00DB306B" w:rsidP="00A37B68">
            <w:pPr>
              <w:suppressAutoHyphens/>
              <w:jc w:val="both"/>
              <w:rPr>
                <w:rFonts w:eastAsia="Cambria Math"/>
                <w:lang w:eastAsia="ar-SA"/>
              </w:rPr>
            </w:pPr>
            <w:r w:rsidRPr="00615146">
              <w:rPr>
                <w:rFonts w:eastAsia="Cambria Math"/>
                <w:lang w:eastAsia="ar-SA"/>
              </w:rPr>
              <w:t xml:space="preserve">A.V.                                                                                                                                                </w:t>
            </w:r>
          </w:p>
          <w:p w14:paraId="7DAED345" w14:textId="77777777" w:rsidR="00DB306B" w:rsidRPr="007576CD" w:rsidRDefault="00DB306B" w:rsidP="00A37B68">
            <w:pPr>
              <w:pStyle w:val="BodyText1"/>
              <w:ind w:firstLine="0"/>
              <w:rPr>
                <w:rFonts w:ascii="Times New Roman" w:eastAsia="Times New Roman" w:hAnsi="Times New Roman"/>
                <w:b/>
                <w:sz w:val="24"/>
                <w:szCs w:val="24"/>
                <w:lang w:val="lt-LT" w:eastAsia="en-US"/>
              </w:rPr>
            </w:pPr>
          </w:p>
        </w:tc>
        <w:tc>
          <w:tcPr>
            <w:tcW w:w="1681" w:type="pct"/>
            <w:shd w:val="clear" w:color="auto" w:fill="auto"/>
          </w:tcPr>
          <w:p w14:paraId="36EBEC70" w14:textId="77777777" w:rsidR="00DB306B" w:rsidRPr="007576CD" w:rsidRDefault="00DB306B" w:rsidP="00A37B68">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13DA4D99" w14:textId="77777777" w:rsidR="00DB306B" w:rsidRPr="00C70465" w:rsidRDefault="00DB306B" w:rsidP="00A37B68">
            <w:pPr>
              <w:suppressAutoHyphens/>
              <w:ind w:left="119" w:firstLine="142"/>
              <w:jc w:val="both"/>
              <w:rPr>
                <w:b/>
                <w:lang w:eastAsia="en-US"/>
              </w:rPr>
            </w:pPr>
            <w:r w:rsidRPr="00C70465">
              <w:rPr>
                <w:b/>
                <w:lang w:eastAsia="en-US"/>
              </w:rPr>
              <w:t>PARDAVĖJAS</w:t>
            </w:r>
          </w:p>
          <w:p w14:paraId="38DF8FF1" w14:textId="77777777" w:rsidR="00DB306B" w:rsidRPr="00C70465" w:rsidRDefault="00DB306B" w:rsidP="00A37B68">
            <w:pPr>
              <w:suppressAutoHyphens/>
              <w:ind w:left="119" w:firstLine="142"/>
              <w:jc w:val="both"/>
              <w:rPr>
                <w:b/>
                <w:lang w:eastAsia="en-US"/>
              </w:rPr>
            </w:pPr>
          </w:p>
          <w:p w14:paraId="73A1F494" w14:textId="77777777" w:rsidR="00DB306B" w:rsidRPr="00E51916" w:rsidRDefault="00DB306B" w:rsidP="00A37B68">
            <w:pPr>
              <w:tabs>
                <w:tab w:val="left" w:pos="5832"/>
              </w:tabs>
              <w:ind w:left="119" w:right="-476" w:firstLine="142"/>
              <w:rPr>
                <w:b/>
                <w:bCs/>
              </w:rPr>
            </w:pPr>
            <w:r>
              <w:rPr>
                <w:b/>
                <w:bCs/>
              </w:rPr>
              <w:lastRenderedPageBreak/>
              <w:t>UAB „</w:t>
            </w:r>
            <w:proofErr w:type="spellStart"/>
            <w:r>
              <w:rPr>
                <w:b/>
                <w:bCs/>
              </w:rPr>
              <w:t>Armila</w:t>
            </w:r>
            <w:proofErr w:type="spellEnd"/>
            <w:r w:rsidRPr="00E51916">
              <w:rPr>
                <w:b/>
                <w:bCs/>
              </w:rPr>
              <w:t>“</w:t>
            </w:r>
          </w:p>
          <w:p w14:paraId="2730BE6A" w14:textId="77777777" w:rsidR="00DB306B" w:rsidRPr="00E51916" w:rsidRDefault="00DB306B" w:rsidP="00A37B68">
            <w:pPr>
              <w:tabs>
                <w:tab w:val="left" w:pos="5832"/>
              </w:tabs>
              <w:ind w:left="119" w:right="-476" w:firstLine="142"/>
              <w:rPr>
                <w:b/>
                <w:bCs/>
              </w:rPr>
            </w:pPr>
          </w:p>
          <w:p w14:paraId="1405AAAC" w14:textId="77777777" w:rsidR="00DB306B" w:rsidRPr="00E51916" w:rsidRDefault="00DB306B" w:rsidP="00A37B68">
            <w:pPr>
              <w:tabs>
                <w:tab w:val="left" w:pos="5832"/>
              </w:tabs>
              <w:ind w:left="119" w:right="-476" w:firstLine="142"/>
              <w:rPr>
                <w:b/>
                <w:bCs/>
              </w:rPr>
            </w:pPr>
          </w:p>
          <w:p w14:paraId="38714ADF" w14:textId="77777777" w:rsidR="00DB306B" w:rsidRPr="00E51916" w:rsidRDefault="00DB306B" w:rsidP="00A37B68">
            <w:pPr>
              <w:tabs>
                <w:tab w:val="left" w:pos="5832"/>
              </w:tabs>
              <w:ind w:left="119" w:right="-476" w:firstLine="142"/>
            </w:pPr>
            <w:r>
              <w:t>D</w:t>
            </w:r>
            <w:r w:rsidRPr="00E51916">
              <w:t>irektorius</w:t>
            </w:r>
          </w:p>
          <w:p w14:paraId="6D52244D" w14:textId="77777777" w:rsidR="00DB306B" w:rsidRPr="00571EED" w:rsidRDefault="00DB306B" w:rsidP="00A37B68">
            <w:r>
              <w:t xml:space="preserve">     Remigijus Mielinis</w:t>
            </w:r>
          </w:p>
          <w:p w14:paraId="03478F45" w14:textId="77777777" w:rsidR="00DB306B" w:rsidRPr="00C70465" w:rsidRDefault="00DB306B" w:rsidP="00A37B68">
            <w:pPr>
              <w:pStyle w:val="BodyText4"/>
              <w:ind w:firstLine="0"/>
              <w:rPr>
                <w:rFonts w:ascii="Times New Roman" w:eastAsia="Times New Roman" w:hAnsi="Times New Roman"/>
                <w:b/>
                <w:sz w:val="24"/>
                <w:szCs w:val="24"/>
                <w:lang w:val="lt-LT" w:eastAsia="en-US"/>
              </w:rPr>
            </w:pPr>
          </w:p>
          <w:p w14:paraId="6B4FEFC1" w14:textId="77777777" w:rsidR="00DB306B" w:rsidRPr="007576CD" w:rsidRDefault="00DB306B" w:rsidP="00A37B68">
            <w:pPr>
              <w:pStyle w:val="BodyText1"/>
              <w:ind w:firstLine="0"/>
              <w:rPr>
                <w:rFonts w:ascii="Times New Roman" w:eastAsia="Times New Roman" w:hAnsi="Times New Roman"/>
                <w:b/>
                <w:sz w:val="24"/>
                <w:szCs w:val="24"/>
                <w:lang w:val="lt-LT" w:eastAsia="en-US"/>
              </w:rPr>
            </w:pPr>
            <w:r w:rsidRPr="00615146">
              <w:rPr>
                <w:rFonts w:ascii="Times New Roman" w:eastAsia="Cambria Math" w:hAnsi="Times New Roman"/>
                <w:sz w:val="24"/>
                <w:szCs w:val="24"/>
              </w:rPr>
              <w:t xml:space="preserve">     A.V</w:t>
            </w:r>
            <w:r w:rsidRPr="00FB1E58">
              <w:rPr>
                <w:rFonts w:ascii="Times New Roman" w:eastAsia="Cambria Math" w:hAnsi="Times New Roman"/>
                <w:b/>
                <w:sz w:val="24"/>
                <w:szCs w:val="24"/>
              </w:rPr>
              <w:t>.</w:t>
            </w:r>
          </w:p>
        </w:tc>
      </w:tr>
    </w:tbl>
    <w:p w14:paraId="37279AE4" w14:textId="77777777" w:rsidR="007461E3" w:rsidRPr="007461E3" w:rsidRDefault="007461E3" w:rsidP="007461E3">
      <w:pPr>
        <w:suppressAutoHyphens/>
        <w:jc w:val="both"/>
        <w:rPr>
          <w:rFonts w:ascii="TimesLT" w:eastAsia="Arial" w:hAnsi="TimesLT"/>
          <w:b/>
          <w:sz w:val="20"/>
          <w:szCs w:val="20"/>
          <w:lang w:val="en-GB" w:eastAsia="ar-SA"/>
        </w:rPr>
      </w:pPr>
    </w:p>
    <w:p w14:paraId="313987E1" w14:textId="3799F9EA" w:rsidR="00405DAA" w:rsidRPr="002C515E" w:rsidRDefault="00405DAA" w:rsidP="002C515E">
      <w:pPr>
        <w:suppressAutoHyphens/>
        <w:jc w:val="both"/>
        <w:rPr>
          <w:rFonts w:ascii="TimesLT" w:eastAsia="Arial" w:hAnsi="TimesLT"/>
          <w:sz w:val="20"/>
          <w:szCs w:val="20"/>
          <w:lang w:val="en-GB" w:eastAsia="ar-SA"/>
        </w:rPr>
      </w:pPr>
    </w:p>
    <w:sectPr w:rsidR="00405DAA" w:rsidRPr="002C515E"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21E12752" w:rsidR="003822DC" w:rsidRDefault="003822DC">
        <w:pPr>
          <w:pStyle w:val="Footer"/>
          <w:jc w:val="center"/>
        </w:pPr>
        <w:r>
          <w:fldChar w:fldCharType="begin"/>
        </w:r>
        <w:r>
          <w:instrText xml:space="preserve"> PAGE   \* MERGEFORMAT </w:instrText>
        </w:r>
        <w:r>
          <w:fldChar w:fldCharType="separate"/>
        </w:r>
        <w:r w:rsidR="00C0219A">
          <w:rPr>
            <w:noProof/>
          </w:rPr>
          <w:t>4</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207E"/>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0287"/>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2F33"/>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6F3F"/>
    <w:rsid w:val="0049714F"/>
    <w:rsid w:val="004A0CAE"/>
    <w:rsid w:val="004A391B"/>
    <w:rsid w:val="004A3DBE"/>
    <w:rsid w:val="004A6DBB"/>
    <w:rsid w:val="004B138D"/>
    <w:rsid w:val="004B2A04"/>
    <w:rsid w:val="004B4FFE"/>
    <w:rsid w:val="004C6623"/>
    <w:rsid w:val="004C6B74"/>
    <w:rsid w:val="004D1FC2"/>
    <w:rsid w:val="004D463D"/>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07E6B"/>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EF8"/>
    <w:rsid w:val="00806F63"/>
    <w:rsid w:val="00810059"/>
    <w:rsid w:val="0081055A"/>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24AA"/>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934"/>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207"/>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19A"/>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5194"/>
    <w:rsid w:val="00C91844"/>
    <w:rsid w:val="00C92022"/>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130D"/>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82E"/>
    <w:rsid w:val="00DB173D"/>
    <w:rsid w:val="00DB2A11"/>
    <w:rsid w:val="00DB306B"/>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BodyText4">
    <w:name w:val="Body Text4"/>
    <w:rsid w:val="00A17207"/>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C027-43BE-4F53-83A0-2181577E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6774</Words>
  <Characters>48845</Characters>
  <Application>Microsoft Office Word</Application>
  <DocSecurity>0</DocSecurity>
  <Lines>407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35</cp:revision>
  <cp:lastPrinted>2020-10-28T13:49:00Z</cp:lastPrinted>
  <dcterms:created xsi:type="dcterms:W3CDTF">2022-04-29T08:01:00Z</dcterms:created>
  <dcterms:modified xsi:type="dcterms:W3CDTF">2022-09-09T07:43:00Z</dcterms:modified>
</cp:coreProperties>
</file>