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9DDFC" w14:textId="12E4EDEE" w:rsidR="005743B1" w:rsidRPr="005A0890" w:rsidRDefault="005743B1" w:rsidP="00341DC0">
      <w:pPr>
        <w:pStyle w:val="Pavadinimas"/>
        <w:jc w:val="center"/>
        <w:rPr>
          <w:rFonts w:ascii="Arial" w:hAnsi="Arial" w:cs="Arial"/>
          <w:szCs w:val="24"/>
        </w:rPr>
      </w:pPr>
      <w:bookmarkStart w:id="0" w:name="_Toc30155449"/>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lastRenderedPageBreak/>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proofErr w:type="spellStart"/>
      <w:r w:rsidRPr="00761E91">
        <w:rPr>
          <w:rFonts w:ascii="Arial" w:hAnsi="Arial" w:cs="Arial"/>
          <w:sz w:val="22"/>
          <w:szCs w:val="22"/>
        </w:rPr>
        <w:t>os</w:t>
      </w:r>
      <w:proofErr w:type="spellEnd"/>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w:t>
      </w:r>
      <w:proofErr w:type="spellStart"/>
      <w:r w:rsidR="0059628C" w:rsidRPr="00761E91">
        <w:rPr>
          <w:rFonts w:ascii="Arial" w:eastAsia="Calibri" w:hAnsi="Arial" w:cs="Arial"/>
          <w:sz w:val="22"/>
          <w:szCs w:val="22"/>
        </w:rPr>
        <w:t>iai</w:t>
      </w:r>
      <w:proofErr w:type="spellEnd"/>
      <w:r w:rsidR="0059628C" w:rsidRPr="00761E91">
        <w:rPr>
          <w:rFonts w:ascii="Arial" w:eastAsia="Calibri" w:hAnsi="Arial" w:cs="Arial"/>
          <w:sz w:val="22"/>
          <w:szCs w:val="22"/>
        </w:rPr>
        <w:t>)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w:t>
      </w:r>
      <w:proofErr w:type="spellStart"/>
      <w:r w:rsidR="00106852" w:rsidRPr="00761E91">
        <w:rPr>
          <w:rFonts w:ascii="Arial" w:eastAsia="Calibri" w:hAnsi="Arial" w:cs="Arial"/>
          <w:sz w:val="22"/>
          <w:szCs w:val="22"/>
        </w:rPr>
        <w:t>ose</w:t>
      </w:r>
      <w:proofErr w:type="spellEnd"/>
      <w:r w:rsidR="00106852" w:rsidRPr="00761E91">
        <w:rPr>
          <w:rFonts w:ascii="Arial" w:eastAsia="Calibri" w:hAnsi="Arial" w:cs="Arial"/>
          <w:sz w:val="22"/>
          <w:szCs w:val="22"/>
        </w:rPr>
        <w:t>)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w:t>
      </w:r>
      <w:proofErr w:type="spellStart"/>
      <w:r w:rsidR="0056603C">
        <w:rPr>
          <w:rFonts w:ascii="Arial" w:eastAsia="Calibri" w:hAnsi="Arial" w:cs="Arial"/>
          <w:sz w:val="22"/>
          <w:szCs w:val="22"/>
        </w:rPr>
        <w:t>ose</w:t>
      </w:r>
      <w:proofErr w:type="spellEnd"/>
      <w:r w:rsidR="0056603C">
        <w:rPr>
          <w:rFonts w:ascii="Arial" w:eastAsia="Calibri" w:hAnsi="Arial" w:cs="Arial"/>
          <w:sz w:val="22"/>
          <w:szCs w:val="22"/>
        </w:rPr>
        <w:t>)</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w:t>
      </w:r>
      <w:proofErr w:type="spellStart"/>
      <w:r w:rsidR="0056603C">
        <w:rPr>
          <w:rFonts w:ascii="Arial" w:hAnsi="Arial" w:cs="Arial"/>
          <w:sz w:val="22"/>
          <w:szCs w:val="22"/>
        </w:rPr>
        <w:t>ais</w:t>
      </w:r>
      <w:proofErr w:type="spellEnd"/>
      <w:r w:rsidR="0056603C">
        <w:rPr>
          <w:rFonts w:ascii="Arial" w:hAnsi="Arial" w:cs="Arial"/>
          <w:sz w:val="22"/>
          <w:szCs w:val="22"/>
        </w:rPr>
        <w:t xml:space="preserve">) </w:t>
      </w:r>
      <w:r w:rsidR="00106852" w:rsidRPr="00761E91">
        <w:rPr>
          <w:rFonts w:ascii="Arial" w:hAnsi="Arial" w:cs="Arial"/>
          <w:sz w:val="22"/>
          <w:szCs w:val="22"/>
        </w:rPr>
        <w:t>adresu</w:t>
      </w:r>
      <w:r w:rsidR="0056603C">
        <w:rPr>
          <w:rFonts w:ascii="Arial" w:hAnsi="Arial" w:cs="Arial"/>
          <w:sz w:val="22"/>
          <w:szCs w:val="22"/>
        </w:rPr>
        <w:t xml:space="preserve"> (-</w:t>
      </w:r>
      <w:proofErr w:type="spellStart"/>
      <w:r w:rsidR="0056603C">
        <w:rPr>
          <w:rFonts w:ascii="Arial" w:hAnsi="Arial" w:cs="Arial"/>
          <w:sz w:val="22"/>
          <w:szCs w:val="22"/>
        </w:rPr>
        <w:t>a</w:t>
      </w:r>
      <w:r w:rsidR="00106852" w:rsidRPr="00761E91">
        <w:rPr>
          <w:rFonts w:ascii="Arial" w:hAnsi="Arial" w:cs="Arial"/>
          <w:sz w:val="22"/>
          <w:szCs w:val="22"/>
        </w:rPr>
        <w:t>is</w:t>
      </w:r>
      <w:proofErr w:type="spellEnd"/>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00106852"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lastRenderedPageBreak/>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proofErr w:type="spellStart"/>
      <w:r w:rsidR="0088240F" w:rsidRPr="00761E91">
        <w:rPr>
          <w:rFonts w:ascii="Arial" w:hAnsi="Arial" w:cs="Arial"/>
          <w:i/>
          <w:sz w:val="22"/>
          <w:szCs w:val="22"/>
        </w:rPr>
        <w:t>The</w:t>
      </w:r>
      <w:proofErr w:type="spellEnd"/>
      <w:r w:rsidR="0088240F" w:rsidRPr="00761E91">
        <w:rPr>
          <w:rFonts w:ascii="Arial" w:hAnsi="Arial" w:cs="Arial"/>
          <w:i/>
          <w:sz w:val="22"/>
          <w:szCs w:val="22"/>
        </w:rPr>
        <w:t xml:space="preserve"> ICC </w:t>
      </w:r>
      <w:proofErr w:type="spellStart"/>
      <w:r w:rsidR="0088240F" w:rsidRPr="00761E91">
        <w:rPr>
          <w:rFonts w:ascii="Arial" w:hAnsi="Arial" w:cs="Arial"/>
          <w:i/>
          <w:sz w:val="22"/>
          <w:szCs w:val="22"/>
        </w:rPr>
        <w:t>Uniform</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rules</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for</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demand</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guarantees</w:t>
      </w:r>
      <w:proofErr w:type="spellEnd"/>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w:t>
      </w:r>
      <w:proofErr w:type="spellStart"/>
      <w:r w:rsidR="0088240F" w:rsidRPr="00761E91">
        <w:rPr>
          <w:rFonts w:ascii="Arial" w:hAnsi="Arial" w:cs="Arial"/>
          <w:spacing w:val="1"/>
          <w:sz w:val="22"/>
          <w:szCs w:val="22"/>
        </w:rPr>
        <w:t>usi</w:t>
      </w:r>
      <w:proofErr w:type="spellEnd"/>
      <w:r w:rsidR="0088240F" w:rsidRPr="00761E91">
        <w:rPr>
          <w:rFonts w:ascii="Arial" w:hAnsi="Arial" w:cs="Arial"/>
          <w:spacing w:val="1"/>
          <w:sz w:val="22"/>
          <w:szCs w:val="22"/>
        </w:rPr>
        <w:t xml:space="preserve">)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proofErr w:type="spellStart"/>
      <w:r w:rsidR="005743B1" w:rsidRPr="00761E91">
        <w:rPr>
          <w:rFonts w:ascii="Arial" w:hAnsi="Arial" w:cs="Arial"/>
          <w:i/>
          <w:iCs/>
          <w:sz w:val="22"/>
          <w:szCs w:val="22"/>
        </w:rPr>
        <w:t>mutatis</w:t>
      </w:r>
      <w:proofErr w:type="spellEnd"/>
      <w:r w:rsidR="005743B1" w:rsidRPr="00761E91">
        <w:rPr>
          <w:rFonts w:ascii="Arial" w:hAnsi="Arial" w:cs="Arial"/>
          <w:i/>
          <w:iCs/>
          <w:sz w:val="22"/>
          <w:szCs w:val="22"/>
        </w:rPr>
        <w:t xml:space="preserve"> </w:t>
      </w:r>
      <w:proofErr w:type="spellStart"/>
      <w:r w:rsidR="005743B1" w:rsidRPr="00761E91">
        <w:rPr>
          <w:rFonts w:ascii="Arial" w:hAnsi="Arial" w:cs="Arial"/>
          <w:i/>
          <w:iCs/>
          <w:sz w:val="22"/>
          <w:szCs w:val="22"/>
        </w:rPr>
        <w:t>mutandis</w:t>
      </w:r>
      <w:proofErr w:type="spellEnd"/>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w:t>
      </w:r>
      <w:proofErr w:type="spellStart"/>
      <w:r w:rsidR="00BE29A0">
        <w:rPr>
          <w:rFonts w:ascii="Arial" w:hAnsi="Arial" w:cs="Arial"/>
          <w:sz w:val="22"/>
          <w:szCs w:val="22"/>
          <w:lang w:val="en-US"/>
        </w:rPr>
        <w:t>trij</w:t>
      </w:r>
      <w:proofErr w:type="spellEnd"/>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w:t>
      </w:r>
      <w:r w:rsidR="005743B1" w:rsidRPr="00761E91">
        <w:rPr>
          <w:rFonts w:ascii="Arial" w:hAnsi="Arial" w:cs="Arial"/>
          <w:sz w:val="22"/>
          <w:szCs w:val="22"/>
        </w:rPr>
        <w:lastRenderedPageBreak/>
        <w:t xml:space="preserve">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1027A" w14:textId="77777777" w:rsidR="007875E8" w:rsidRDefault="007875E8" w:rsidP="005743B1">
      <w:r>
        <w:separator/>
      </w:r>
    </w:p>
  </w:endnote>
  <w:endnote w:type="continuationSeparator" w:id="0">
    <w:p w14:paraId="126BD934" w14:textId="77777777" w:rsidR="007875E8" w:rsidRDefault="007875E8"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C4FCB" w14:textId="77777777" w:rsidR="007875E8" w:rsidRDefault="007875E8" w:rsidP="005743B1">
      <w:r>
        <w:separator/>
      </w:r>
    </w:p>
  </w:footnote>
  <w:footnote w:type="continuationSeparator" w:id="0">
    <w:p w14:paraId="7BD08F9D" w14:textId="77777777" w:rsidR="007875E8" w:rsidRDefault="007875E8"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0F40-B692-4D86-B082-0E405B7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48221</Words>
  <Characters>27487</Characters>
  <Application>Microsoft Office Word</Application>
  <DocSecurity>0</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Audronė Vaitekūnienė | VMU</cp:lastModifiedBy>
  <cp:revision>2</cp:revision>
  <dcterms:created xsi:type="dcterms:W3CDTF">2021-03-17T06:17:00Z</dcterms:created>
  <dcterms:modified xsi:type="dcterms:W3CDTF">2021-03-17T06:17:00Z</dcterms:modified>
</cp:coreProperties>
</file>