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5AF5" w14:textId="77777777" w:rsidR="000F5445" w:rsidRDefault="000F5445" w:rsidP="000F5445">
      <w:pPr>
        <w:jc w:val="center"/>
        <w:rPr>
          <w:b/>
        </w:rPr>
      </w:pPr>
    </w:p>
    <w:p w14:paraId="3E1C599F" w14:textId="77777777" w:rsidR="000F5445" w:rsidRPr="008E5BF4" w:rsidRDefault="000F5445" w:rsidP="000F5445">
      <w:pPr>
        <w:jc w:val="center"/>
        <w:rPr>
          <w:b/>
        </w:rPr>
      </w:pPr>
      <w:r w:rsidRPr="008E5BF4">
        <w:rPr>
          <w:b/>
        </w:rPr>
        <w:t xml:space="preserve">NUOMOS SUTARTIS </w:t>
      </w:r>
    </w:p>
    <w:p w14:paraId="60A702E6" w14:textId="77777777" w:rsidR="000F5445" w:rsidRPr="008E5BF4" w:rsidRDefault="000F5445" w:rsidP="000F5445">
      <w:pPr>
        <w:jc w:val="center"/>
        <w:rPr>
          <w:b/>
        </w:rPr>
      </w:pPr>
    </w:p>
    <w:p w14:paraId="02271F1B" w14:textId="77777777" w:rsidR="000F5445" w:rsidRPr="008E5BF4" w:rsidRDefault="000F5445" w:rsidP="000F5445">
      <w:pPr>
        <w:numPr>
          <w:ilvl w:val="0"/>
          <w:numId w:val="8"/>
        </w:numPr>
        <w:jc w:val="center"/>
        <w:rPr>
          <w:b/>
        </w:rPr>
      </w:pPr>
      <w:r w:rsidRPr="008E5BF4">
        <w:rPr>
          <w:b/>
        </w:rPr>
        <w:t>SPECIALIOJI DALIS</w:t>
      </w:r>
    </w:p>
    <w:p w14:paraId="31E0F15A" w14:textId="77777777" w:rsidR="000F5445" w:rsidRPr="008E5BF4" w:rsidRDefault="000F5445" w:rsidP="000F5445"/>
    <w:p w14:paraId="1D97D96C" w14:textId="77777777" w:rsidR="000F5445" w:rsidRPr="008E5BF4" w:rsidRDefault="006B507A" w:rsidP="000F5445">
      <w:pPr>
        <w:jc w:val="center"/>
      </w:pPr>
      <w:r w:rsidRPr="008E5BF4">
        <w:t>2022</w:t>
      </w:r>
      <w:r w:rsidR="000F5445" w:rsidRPr="008E5BF4">
        <w:t xml:space="preserve"> m.                                       d. Nr. </w:t>
      </w:r>
    </w:p>
    <w:p w14:paraId="657CD8E7" w14:textId="77777777" w:rsidR="000F5445" w:rsidRPr="008E5BF4" w:rsidRDefault="000F5445" w:rsidP="000F5445">
      <w:pPr>
        <w:jc w:val="center"/>
      </w:pPr>
      <w:r w:rsidRPr="008E5BF4">
        <w:t>Vilnius</w:t>
      </w:r>
    </w:p>
    <w:p w14:paraId="0199F980" w14:textId="77777777" w:rsidR="000F5445" w:rsidRPr="008E5BF4" w:rsidRDefault="000F5445" w:rsidP="000F5445">
      <w:pPr>
        <w:jc w:val="both"/>
        <w:rPr>
          <w:i/>
          <w:highlight w:val="yellow"/>
        </w:rPr>
      </w:pPr>
    </w:p>
    <w:p w14:paraId="0B056657" w14:textId="77777777" w:rsidR="006B507A" w:rsidRPr="008E5BF4" w:rsidRDefault="006B507A" w:rsidP="000F5445">
      <w:pPr>
        <w:jc w:val="both"/>
        <w:rPr>
          <w:spacing w:val="-4"/>
        </w:rPr>
      </w:pPr>
      <w:r w:rsidRPr="008E5BF4">
        <w:t xml:space="preserve">Kertinis valstybės telekomunikacijų centras, atstovaujamas direktoriaus Evaldo Serbentos, veikiančio pagal įstaigos nuostatus </w:t>
      </w:r>
      <w:r w:rsidR="000F5445" w:rsidRPr="008E5BF4">
        <w:rPr>
          <w:spacing w:val="-4"/>
        </w:rPr>
        <w:t xml:space="preserve">(toliau – </w:t>
      </w:r>
      <w:r w:rsidR="000F5445" w:rsidRPr="008E5BF4">
        <w:rPr>
          <w:b/>
          <w:spacing w:val="-4"/>
        </w:rPr>
        <w:t>Nuomininkas</w:t>
      </w:r>
      <w:r w:rsidR="000F5445" w:rsidRPr="008E5BF4">
        <w:rPr>
          <w:spacing w:val="-4"/>
        </w:rPr>
        <w:t xml:space="preserve">), ir </w:t>
      </w:r>
    </w:p>
    <w:p w14:paraId="6933CBFB" w14:textId="77777777" w:rsidR="006B507A" w:rsidRPr="008E5BF4" w:rsidRDefault="006B507A" w:rsidP="000F5445">
      <w:pPr>
        <w:jc w:val="both"/>
        <w:rPr>
          <w:spacing w:val="-4"/>
          <w:highlight w:val="yellow"/>
        </w:rPr>
      </w:pPr>
    </w:p>
    <w:p w14:paraId="03254041" w14:textId="0B1B690E" w:rsidR="006B507A" w:rsidRPr="004E6F83" w:rsidRDefault="007239E1" w:rsidP="000F5445">
      <w:pPr>
        <w:jc w:val="both"/>
        <w:rPr>
          <w:spacing w:val="-4"/>
        </w:rPr>
      </w:pPr>
      <w:r>
        <w:rPr>
          <w:spacing w:val="-4"/>
          <w:highlight w:val="yellow"/>
        </w:rPr>
        <w:t>UAB „</w:t>
      </w:r>
      <w:proofErr w:type="spellStart"/>
      <w:r>
        <w:rPr>
          <w:spacing w:val="-4"/>
          <w:highlight w:val="yellow"/>
        </w:rPr>
        <w:t>Avedus</w:t>
      </w:r>
      <w:proofErr w:type="spellEnd"/>
      <w:r>
        <w:rPr>
          <w:spacing w:val="-4"/>
          <w:highlight w:val="yellow"/>
        </w:rPr>
        <w:t>“</w:t>
      </w:r>
      <w:r w:rsidR="000F5445" w:rsidRPr="0092560D">
        <w:rPr>
          <w:spacing w:val="-4"/>
          <w:highlight w:val="yellow"/>
        </w:rPr>
        <w:t>,</w:t>
      </w:r>
      <w:r w:rsidR="000F5445" w:rsidRPr="0092560D">
        <w:rPr>
          <w:i/>
          <w:spacing w:val="-4"/>
          <w:highlight w:val="yellow"/>
        </w:rPr>
        <w:t xml:space="preserve"> </w:t>
      </w:r>
      <w:r w:rsidR="000F5445" w:rsidRPr="0092560D">
        <w:rPr>
          <w:spacing w:val="-4"/>
          <w:highlight w:val="yellow"/>
        </w:rPr>
        <w:t>atstovaujama</w:t>
      </w:r>
      <w:r w:rsidR="000F5445" w:rsidRPr="004E6F83">
        <w:rPr>
          <w:spacing w:val="-4"/>
        </w:rPr>
        <w:t xml:space="preserve"> </w:t>
      </w:r>
      <w:r>
        <w:rPr>
          <w:spacing w:val="-4"/>
        </w:rPr>
        <w:t xml:space="preserve">generalinio direktoriaus Andriaus </w:t>
      </w:r>
      <w:proofErr w:type="spellStart"/>
      <w:r>
        <w:rPr>
          <w:spacing w:val="-4"/>
        </w:rPr>
        <w:t>Danilaičio</w:t>
      </w:r>
      <w:proofErr w:type="spellEnd"/>
      <w:r w:rsidR="000F5445" w:rsidRPr="004E6F83">
        <w:rPr>
          <w:spacing w:val="-4"/>
        </w:rPr>
        <w:t>, veikiančio pagal</w:t>
      </w:r>
      <w:r>
        <w:rPr>
          <w:spacing w:val="-4"/>
        </w:rPr>
        <w:t xml:space="preserve"> įmonės įstatus</w:t>
      </w:r>
      <w:r w:rsidR="000F5445" w:rsidRPr="004E6F83">
        <w:rPr>
          <w:spacing w:val="-4"/>
        </w:rPr>
        <w:t xml:space="preserve"> (toliau – </w:t>
      </w:r>
      <w:r w:rsidR="000F5445" w:rsidRPr="004E6F83">
        <w:rPr>
          <w:b/>
          <w:spacing w:val="-4"/>
        </w:rPr>
        <w:t>Nuomotojas</w:t>
      </w:r>
      <w:r w:rsidR="000F5445" w:rsidRPr="004E6F83">
        <w:rPr>
          <w:spacing w:val="-4"/>
        </w:rPr>
        <w:t xml:space="preserve">), </w:t>
      </w:r>
    </w:p>
    <w:p w14:paraId="471EB429" w14:textId="77777777" w:rsidR="006B507A" w:rsidRPr="008E5BF4" w:rsidRDefault="006B507A" w:rsidP="000F5445">
      <w:pPr>
        <w:jc w:val="both"/>
        <w:rPr>
          <w:spacing w:val="-4"/>
          <w:highlight w:val="yellow"/>
        </w:rPr>
      </w:pPr>
    </w:p>
    <w:p w14:paraId="7FF26BB9" w14:textId="77777777" w:rsidR="000F5445" w:rsidRPr="008E5BF4" w:rsidRDefault="000F5445" w:rsidP="000F5445">
      <w:pPr>
        <w:jc w:val="both"/>
        <w:rPr>
          <w:spacing w:val="-4"/>
        </w:rPr>
      </w:pPr>
      <w:r w:rsidRPr="008E5BF4">
        <w:rPr>
          <w:spacing w:val="-4"/>
        </w:rPr>
        <w:t>toliau kartu šioje sutartyje vadinami „Šalimis“, o kiekvienas atskirai – „Šalimi“, vadovaudamosi Mažos vertės pirkimų tvarkos aprašu sudarė šią nuomos sutartį, toliau vadinamą „Sutartimi“, ir susitarė dėl toliau išvardintų sąlygų:</w:t>
      </w:r>
    </w:p>
    <w:p w14:paraId="121B9F75" w14:textId="77777777" w:rsidR="006B507A" w:rsidRPr="008E5BF4" w:rsidRDefault="006B507A" w:rsidP="000F5445">
      <w:pPr>
        <w:jc w:val="both"/>
        <w:rPr>
          <w:spacing w:val="-4"/>
          <w:highlight w:val="yellow"/>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8E5BF4" w14:paraId="6EA01A99" w14:textId="77777777" w:rsidTr="004C4E7C">
        <w:tc>
          <w:tcPr>
            <w:tcW w:w="9854" w:type="dxa"/>
            <w:gridSpan w:val="2"/>
          </w:tcPr>
          <w:p w14:paraId="48C0F9BC" w14:textId="359A02A5" w:rsidR="000F5445" w:rsidRPr="007239E1" w:rsidRDefault="000F5445" w:rsidP="007239E1">
            <w:pPr>
              <w:pStyle w:val="ListParagraph"/>
              <w:numPr>
                <w:ilvl w:val="0"/>
                <w:numId w:val="17"/>
              </w:numPr>
              <w:jc w:val="both"/>
              <w:rPr>
                <w:b/>
              </w:rPr>
            </w:pPr>
            <w:r w:rsidRPr="007239E1">
              <w:rPr>
                <w:b/>
              </w:rPr>
              <w:t>Sutarties objektas.</w:t>
            </w:r>
          </w:p>
          <w:p w14:paraId="2E397DE9" w14:textId="7064557F" w:rsidR="000F5445" w:rsidRPr="008E5BF4" w:rsidRDefault="000F5445" w:rsidP="003B0FCA">
            <w:pPr>
              <w:pStyle w:val="CommentText"/>
              <w:jc w:val="both"/>
              <w:rPr>
                <w:sz w:val="24"/>
                <w:szCs w:val="24"/>
                <w:highlight w:val="yellow"/>
              </w:rPr>
            </w:pPr>
            <w:r w:rsidRPr="0092560D">
              <w:rPr>
                <w:b/>
                <w:spacing w:val="-4"/>
                <w:sz w:val="24"/>
                <w:szCs w:val="24"/>
              </w:rPr>
              <w:t>Nuomotojas</w:t>
            </w:r>
            <w:r w:rsidRPr="0092560D">
              <w:rPr>
                <w:sz w:val="24"/>
                <w:szCs w:val="24"/>
              </w:rPr>
              <w:t xml:space="preserve"> įsipareigoja išnuomoti </w:t>
            </w:r>
            <w:r w:rsidR="00F17EA0" w:rsidRPr="0092560D">
              <w:rPr>
                <w:b/>
                <w:bCs/>
                <w:sz w:val="24"/>
                <w:szCs w:val="24"/>
              </w:rPr>
              <w:t>s</w:t>
            </w:r>
            <w:r w:rsidR="00CC39B0" w:rsidRPr="0092560D">
              <w:rPr>
                <w:b/>
                <w:bCs/>
                <w:sz w:val="24"/>
                <w:szCs w:val="24"/>
              </w:rPr>
              <w:t>augiojo tinklo saugumo (</w:t>
            </w:r>
            <w:proofErr w:type="spellStart"/>
            <w:r w:rsidR="00CC39B0" w:rsidRPr="0092560D">
              <w:rPr>
                <w:b/>
                <w:bCs/>
                <w:sz w:val="24"/>
                <w:szCs w:val="24"/>
              </w:rPr>
              <w:t>An</w:t>
            </w:r>
            <w:r w:rsidR="00F17EA0" w:rsidRPr="0092560D">
              <w:rPr>
                <w:b/>
                <w:bCs/>
                <w:sz w:val="24"/>
                <w:szCs w:val="24"/>
              </w:rPr>
              <w:t>ti-DDoS</w:t>
            </w:r>
            <w:proofErr w:type="spellEnd"/>
            <w:r w:rsidR="00F17EA0" w:rsidRPr="0092560D">
              <w:rPr>
                <w:b/>
                <w:bCs/>
                <w:sz w:val="24"/>
                <w:szCs w:val="24"/>
              </w:rPr>
              <w:t>) įrangą</w:t>
            </w:r>
            <w:r w:rsidR="00F17EA0" w:rsidRPr="0092560D">
              <w:rPr>
                <w:bCs/>
                <w:sz w:val="24"/>
                <w:szCs w:val="24"/>
              </w:rPr>
              <w:t xml:space="preserve"> </w:t>
            </w:r>
            <w:r w:rsidRPr="0092560D">
              <w:rPr>
                <w:sz w:val="24"/>
                <w:szCs w:val="24"/>
              </w:rPr>
              <w:t xml:space="preserve">(toliau </w:t>
            </w:r>
            <w:r w:rsidR="002B2724" w:rsidRPr="0092560D">
              <w:rPr>
                <w:sz w:val="24"/>
                <w:szCs w:val="24"/>
              </w:rPr>
              <w:t>– nuomos objektas)</w:t>
            </w:r>
            <w:r w:rsidR="006A5F42" w:rsidRPr="0092560D">
              <w:rPr>
                <w:sz w:val="24"/>
                <w:szCs w:val="24"/>
              </w:rPr>
              <w:t>,</w:t>
            </w:r>
            <w:r w:rsidR="002B2724" w:rsidRPr="0092560D">
              <w:rPr>
                <w:sz w:val="24"/>
                <w:szCs w:val="24"/>
              </w:rPr>
              <w:t xml:space="preserve"> atitinkan</w:t>
            </w:r>
            <w:r w:rsidR="006A5F42" w:rsidRPr="0092560D">
              <w:rPr>
                <w:sz w:val="24"/>
                <w:szCs w:val="24"/>
              </w:rPr>
              <w:t>čią</w:t>
            </w:r>
            <w:r w:rsidRPr="0092560D">
              <w:rPr>
                <w:sz w:val="24"/>
                <w:szCs w:val="24"/>
              </w:rPr>
              <w:t xml:space="preserve"> Sutarties 1 priede „</w:t>
            </w:r>
            <w:r w:rsidR="002B2724" w:rsidRPr="0092560D">
              <w:rPr>
                <w:b/>
                <w:sz w:val="24"/>
                <w:szCs w:val="24"/>
              </w:rPr>
              <w:t>Techninė specifikacija</w:t>
            </w:r>
            <w:r w:rsidRPr="0092560D">
              <w:rPr>
                <w:sz w:val="24"/>
                <w:szCs w:val="24"/>
              </w:rPr>
              <w:t xml:space="preserve">“ (toliau </w:t>
            </w:r>
            <w:r w:rsidR="007239E1">
              <w:rPr>
                <w:sz w:val="24"/>
                <w:szCs w:val="24"/>
              </w:rPr>
              <w:t>–</w:t>
            </w:r>
            <w:r w:rsidRPr="0092560D">
              <w:rPr>
                <w:sz w:val="24"/>
                <w:szCs w:val="24"/>
              </w:rPr>
              <w:t xml:space="preserve"> 1 priedas) pateiktas technines specifikacijas. </w:t>
            </w:r>
            <w:r w:rsidRPr="0092560D">
              <w:rPr>
                <w:b/>
                <w:spacing w:val="-4"/>
                <w:sz w:val="24"/>
                <w:szCs w:val="24"/>
              </w:rPr>
              <w:t>Nuomininkas</w:t>
            </w:r>
            <w:r w:rsidRPr="0092560D">
              <w:rPr>
                <w:sz w:val="24"/>
                <w:szCs w:val="24"/>
              </w:rPr>
              <w:t xml:space="preserve"> įsipareigoja priimti Sutarties 1 priede pateiktą technines specifikacijas atitinkantį nuomos objektą ir sumokėti (mokėti) Sutartyje nustatyta tvarka.</w:t>
            </w:r>
          </w:p>
        </w:tc>
      </w:tr>
      <w:tr w:rsidR="000F5445" w:rsidRPr="008E5BF4" w14:paraId="1143E4CA" w14:textId="77777777" w:rsidTr="004C4E7C">
        <w:tc>
          <w:tcPr>
            <w:tcW w:w="9854" w:type="dxa"/>
            <w:gridSpan w:val="2"/>
          </w:tcPr>
          <w:p w14:paraId="0F296050" w14:textId="77777777" w:rsidR="000F5445" w:rsidRPr="008E5BF4" w:rsidRDefault="000F5445" w:rsidP="004C4E7C">
            <w:pPr>
              <w:jc w:val="both"/>
              <w:rPr>
                <w:b/>
              </w:rPr>
            </w:pPr>
            <w:r w:rsidRPr="008E5BF4">
              <w:rPr>
                <w:b/>
              </w:rPr>
              <w:t>2. Sutarties kaina/nuomos įkainiai.</w:t>
            </w:r>
          </w:p>
          <w:p w14:paraId="416092F0" w14:textId="77777777" w:rsidR="000F5445" w:rsidRPr="008E5BF4" w:rsidRDefault="000F5445" w:rsidP="004C4E7C">
            <w:pPr>
              <w:jc w:val="both"/>
              <w:rPr>
                <w:spacing w:val="4"/>
              </w:rPr>
            </w:pPr>
            <w:r w:rsidRPr="008E5BF4">
              <w:rPr>
                <w:spacing w:val="4"/>
              </w:rPr>
              <w:t>2.1. Sutarties kaina</w:t>
            </w:r>
            <w:r w:rsidR="007D2F1C" w:rsidRPr="008E5BF4">
              <w:rPr>
                <w:spacing w:val="4"/>
              </w:rPr>
              <w:t xml:space="preserve"> </w:t>
            </w:r>
            <w:r w:rsidR="008E5BF4" w:rsidRPr="008E5BF4">
              <w:rPr>
                <w:spacing w:val="4"/>
              </w:rPr>
              <w:t xml:space="preserve">yra </w:t>
            </w:r>
            <w:r w:rsidR="00682F8A">
              <w:rPr>
                <w:spacing w:val="4"/>
              </w:rPr>
              <w:t>68 970,00</w:t>
            </w:r>
            <w:r w:rsidR="008E5BF4" w:rsidRPr="008E5BF4">
              <w:rPr>
                <w:spacing w:val="4"/>
              </w:rPr>
              <w:t xml:space="preserve"> Eur (</w:t>
            </w:r>
            <w:r w:rsidR="00682F8A">
              <w:rPr>
                <w:spacing w:val="4"/>
              </w:rPr>
              <w:t xml:space="preserve">šešiasdešimt aštuoni tūkstančiai devyni šimtai septyniasdešimt </w:t>
            </w:r>
            <w:r w:rsidR="00F17EA0">
              <w:rPr>
                <w:spacing w:val="4"/>
              </w:rPr>
              <w:t xml:space="preserve"> eurų </w:t>
            </w:r>
            <w:r w:rsidR="00682F8A">
              <w:rPr>
                <w:spacing w:val="4"/>
              </w:rPr>
              <w:t xml:space="preserve">00 </w:t>
            </w:r>
            <w:r w:rsidR="008E5BF4" w:rsidRPr="008E5BF4">
              <w:rPr>
                <w:spacing w:val="4"/>
              </w:rPr>
              <w:t xml:space="preserve">centų) </w:t>
            </w:r>
            <w:r w:rsidR="008E5BF4" w:rsidRPr="008E5BF4">
              <w:t>įskaitant pridėtinės vertės mokestį (toliau – PVM)</w:t>
            </w:r>
            <w:r w:rsidR="0026316A">
              <w:rPr>
                <w:spacing w:val="4"/>
              </w:rPr>
              <w:t>.</w:t>
            </w:r>
          </w:p>
          <w:p w14:paraId="30F1CBAB" w14:textId="77777777" w:rsidR="007D2F1C" w:rsidRPr="008E5BF4" w:rsidRDefault="000F5445" w:rsidP="004C4E7C">
            <w:pPr>
              <w:jc w:val="both"/>
              <w:rPr>
                <w:spacing w:val="4"/>
              </w:rPr>
            </w:pPr>
            <w:r w:rsidRPr="008E5BF4">
              <w:rPr>
                <w:spacing w:val="4"/>
              </w:rPr>
              <w:t xml:space="preserve">2.2. </w:t>
            </w:r>
            <w:r w:rsidR="007D2F1C" w:rsidRPr="008E5BF4">
              <w:t xml:space="preserve">Sutarčiai taikoma </w:t>
            </w:r>
            <w:r w:rsidR="007D2F1C" w:rsidRPr="008E5BF4">
              <w:rPr>
                <w:b/>
              </w:rPr>
              <w:t xml:space="preserve">fiksuoto įkainio </w:t>
            </w:r>
            <w:r w:rsidR="007D2F1C" w:rsidRPr="008E5BF4">
              <w:t>kainodara.</w:t>
            </w:r>
          </w:p>
          <w:p w14:paraId="471F27BA" w14:textId="77777777" w:rsidR="000F5445" w:rsidRPr="008E5BF4" w:rsidRDefault="007D2F1C" w:rsidP="004C4E7C">
            <w:pPr>
              <w:jc w:val="both"/>
              <w:rPr>
                <w:b/>
                <w:highlight w:val="yellow"/>
              </w:rPr>
            </w:pPr>
            <w:r w:rsidRPr="008E5BF4">
              <w:rPr>
                <w:spacing w:val="4"/>
              </w:rPr>
              <w:t xml:space="preserve">2.3. </w:t>
            </w:r>
            <w:r w:rsidR="000F5445" w:rsidRPr="008E5BF4">
              <w:rPr>
                <w:spacing w:val="4"/>
              </w:rPr>
              <w:t xml:space="preserve">Nuomos </w:t>
            </w:r>
            <w:r w:rsidR="00700D08" w:rsidRPr="008E5BF4">
              <w:rPr>
                <w:spacing w:val="4"/>
              </w:rPr>
              <w:t>įkainiai</w:t>
            </w:r>
            <w:r w:rsidR="000F5445" w:rsidRPr="008E5BF4">
              <w:rPr>
                <w:spacing w:val="4"/>
              </w:rPr>
              <w:t xml:space="preserve"> nuro</w:t>
            </w:r>
            <w:r w:rsidR="00700D08" w:rsidRPr="008E5BF4">
              <w:rPr>
                <w:spacing w:val="4"/>
              </w:rPr>
              <w:t>dyti</w:t>
            </w:r>
            <w:r w:rsidRPr="008E5BF4">
              <w:rPr>
                <w:spacing w:val="4"/>
              </w:rPr>
              <w:t xml:space="preserve"> Sutarties 2</w:t>
            </w:r>
            <w:r w:rsidR="000F5445" w:rsidRPr="008E5BF4">
              <w:rPr>
                <w:spacing w:val="4"/>
              </w:rPr>
              <w:t xml:space="preserve"> priede. </w:t>
            </w:r>
          </w:p>
        </w:tc>
      </w:tr>
      <w:tr w:rsidR="000F5445" w:rsidRPr="008E5BF4" w14:paraId="3CFB96B4" w14:textId="77777777" w:rsidTr="004C4E7C">
        <w:tc>
          <w:tcPr>
            <w:tcW w:w="9854" w:type="dxa"/>
            <w:gridSpan w:val="2"/>
          </w:tcPr>
          <w:p w14:paraId="74ACC12B" w14:textId="77777777" w:rsidR="000F5445" w:rsidRPr="008E5BF4" w:rsidRDefault="000F5445" w:rsidP="004C4E7C">
            <w:pPr>
              <w:rPr>
                <w:b/>
              </w:rPr>
            </w:pPr>
            <w:r w:rsidRPr="008E5BF4">
              <w:rPr>
                <w:b/>
              </w:rPr>
              <w:t>3. Nuomos objekto pristatymo vieta, nuomos terminas ir sąlygos:</w:t>
            </w:r>
          </w:p>
          <w:p w14:paraId="227B79C5" w14:textId="77777777" w:rsidR="007D2F1C" w:rsidRPr="008E5BF4" w:rsidRDefault="000F5445" w:rsidP="004C4E7C">
            <w:pPr>
              <w:jc w:val="both"/>
            </w:pPr>
            <w:r w:rsidRPr="008E5BF4">
              <w:t>3.1. Pristatymo vieta</w:t>
            </w:r>
            <w:r w:rsidR="007D2F1C" w:rsidRPr="008E5BF4">
              <w:t xml:space="preserve">: </w:t>
            </w:r>
            <w:r w:rsidR="005266B5">
              <w:t>Kalvarijų</w:t>
            </w:r>
            <w:r w:rsidR="007D2F1C" w:rsidRPr="00DF268A">
              <w:t xml:space="preserve"> g.</w:t>
            </w:r>
            <w:r w:rsidR="005266B5">
              <w:t>1</w:t>
            </w:r>
            <w:r w:rsidR="007D2F1C" w:rsidRPr="00DF268A">
              <w:t>2</w:t>
            </w:r>
            <w:r w:rsidR="005266B5">
              <w:t>5</w:t>
            </w:r>
            <w:r w:rsidR="007D2F1C" w:rsidRPr="00DF268A">
              <w:t>, Vilnius.</w:t>
            </w:r>
          </w:p>
          <w:p w14:paraId="75FB4AD0" w14:textId="77777777" w:rsidR="000F5445" w:rsidRPr="008E5BF4" w:rsidRDefault="007D2F1C" w:rsidP="004C4E7C">
            <w:pPr>
              <w:jc w:val="both"/>
            </w:pPr>
            <w:r w:rsidRPr="008E5BF4">
              <w:t>3.2. Pristatymo terminas:</w:t>
            </w:r>
            <w:r w:rsidR="008B46E6">
              <w:t xml:space="preserve"> </w:t>
            </w:r>
            <w:r w:rsidR="008B46E6" w:rsidRPr="008B46E6">
              <w:t>5</w:t>
            </w:r>
            <w:r w:rsidR="008B46E6" w:rsidRPr="008B46E6">
              <w:rPr>
                <w:color w:val="000000"/>
                <w:lang w:eastAsia="en-US"/>
              </w:rPr>
              <w:t xml:space="preserve"> darbo dienos</w:t>
            </w:r>
            <w:r w:rsidRPr="008B46E6">
              <w:rPr>
                <w:color w:val="000000"/>
                <w:lang w:eastAsia="en-US"/>
              </w:rPr>
              <w:t xml:space="preserve"> po Sutarties pasirašymo.</w:t>
            </w:r>
          </w:p>
          <w:p w14:paraId="4471FC02" w14:textId="77777777" w:rsidR="000F5445" w:rsidRPr="008E5BF4" w:rsidRDefault="007D2F1C" w:rsidP="004C4E7C">
            <w:pPr>
              <w:jc w:val="both"/>
            </w:pPr>
            <w:r w:rsidRPr="008E5BF4">
              <w:t xml:space="preserve">3.3. Nuomos terminas: </w:t>
            </w:r>
            <w:r w:rsidR="00DF268A" w:rsidRPr="00CC39B0">
              <w:rPr>
                <w:color w:val="000000"/>
              </w:rPr>
              <w:t>6 mėn.</w:t>
            </w:r>
          </w:p>
          <w:p w14:paraId="63DDA8AC" w14:textId="77777777" w:rsidR="000F5445" w:rsidRPr="008E5BF4" w:rsidRDefault="007D2F1C" w:rsidP="004C4E7C">
            <w:pPr>
              <w:jc w:val="both"/>
            </w:pPr>
            <w:r w:rsidRPr="008E5BF4">
              <w:t>3.4</w:t>
            </w:r>
            <w:r w:rsidR="000F5445" w:rsidRPr="008E5BF4">
              <w:t xml:space="preserve">. </w:t>
            </w:r>
            <w:r w:rsidR="000F5445" w:rsidRPr="008E5BF4">
              <w:rPr>
                <w:spacing w:val="-4"/>
              </w:rPr>
              <w:t>Nuomos sąlygos</w:t>
            </w:r>
            <w:r w:rsidR="000F5445" w:rsidRPr="008E5BF4">
              <w:t>:</w:t>
            </w:r>
          </w:p>
          <w:p w14:paraId="499CC76B" w14:textId="77777777" w:rsidR="00F17EA0" w:rsidRDefault="00EF5674" w:rsidP="004C4E7C">
            <w:pPr>
              <w:jc w:val="both"/>
              <w:rPr>
                <w:lang w:eastAsia="en-US"/>
              </w:rPr>
            </w:pPr>
            <w:r w:rsidRPr="008E5BF4">
              <w:t>3.4</w:t>
            </w:r>
            <w:r w:rsidR="007D2F1C" w:rsidRPr="008E5BF4">
              <w:t xml:space="preserve">.1. </w:t>
            </w:r>
            <w:r w:rsidR="007D2F1C" w:rsidRPr="008E5BF4">
              <w:rPr>
                <w:b/>
              </w:rPr>
              <w:t>Nuomotojas</w:t>
            </w:r>
            <w:r w:rsidR="007D2F1C" w:rsidRPr="008E5BF4">
              <w:t xml:space="preserve"> užtikrina, kad į </w:t>
            </w:r>
            <w:r w:rsidR="007D2F1C" w:rsidRPr="008E5BF4">
              <w:rPr>
                <w:lang w:eastAsia="en-US"/>
              </w:rPr>
              <w:t xml:space="preserve">Sutarties Specialiosios dalies 3.1 punkte nurodytą pristatymo vietą pristatomas nuomos objektas. </w:t>
            </w:r>
          </w:p>
          <w:p w14:paraId="1E9B3428" w14:textId="77777777" w:rsidR="007D2F1C" w:rsidRDefault="00EF5674" w:rsidP="004C4E7C">
            <w:pPr>
              <w:jc w:val="both"/>
              <w:rPr>
                <w:color w:val="000000"/>
                <w:shd w:val="clear" w:color="auto" w:fill="FFFFFF"/>
              </w:rPr>
            </w:pPr>
            <w:r w:rsidRPr="008E5BF4">
              <w:t>3.4</w:t>
            </w:r>
            <w:r w:rsidR="007D2F1C" w:rsidRPr="008E5BF4">
              <w:t>.2. P</w:t>
            </w:r>
            <w:r w:rsidR="007D2F1C" w:rsidRPr="008E5BF4">
              <w:rPr>
                <w:lang w:eastAsia="en-US"/>
              </w:rPr>
              <w:t xml:space="preserve">erdavimo-priėmimo aktas pasirašomas, kai nuomos objektas (pilnai sukomplektuotas, kokybiškas) yra pristatomas į Sutarties Specialiosios dalies 3.1 punkte nurodytą pristatymo vietą. </w:t>
            </w:r>
            <w:r w:rsidR="007D2F1C" w:rsidRPr="008E5BF4">
              <w:rPr>
                <w:b/>
                <w:color w:val="000000"/>
                <w:shd w:val="clear" w:color="auto" w:fill="FFFFFF"/>
              </w:rPr>
              <w:t>Nuomininkas</w:t>
            </w:r>
            <w:r w:rsidR="007D2F1C" w:rsidRPr="008E5BF4">
              <w:rPr>
                <w:color w:val="000000"/>
                <w:shd w:val="clear" w:color="auto" w:fill="FFFFFF"/>
              </w:rPr>
              <w:t xml:space="preserve"> turi ne vėliau kaip po 3 (trijų) darbo </w:t>
            </w:r>
            <w:r w:rsidR="003A622A" w:rsidRPr="008E5BF4">
              <w:rPr>
                <w:color w:val="000000"/>
                <w:shd w:val="clear" w:color="auto" w:fill="FFFFFF"/>
              </w:rPr>
              <w:t>dienų pasirašyti nuomos objekto</w:t>
            </w:r>
            <w:r w:rsidR="007D2F1C" w:rsidRPr="008E5BF4">
              <w:rPr>
                <w:color w:val="000000"/>
                <w:shd w:val="clear" w:color="auto" w:fill="FFFFFF"/>
              </w:rPr>
              <w:t xml:space="preserve"> priėmimo- perdavimo aktą arba atmesti </w:t>
            </w:r>
            <w:r w:rsidR="003A622A" w:rsidRPr="008E5BF4">
              <w:rPr>
                <w:b/>
                <w:color w:val="000000"/>
                <w:shd w:val="clear" w:color="auto" w:fill="FFFFFF"/>
              </w:rPr>
              <w:t>Nuomotojo</w:t>
            </w:r>
            <w:r w:rsidR="007D2F1C" w:rsidRPr="008E5BF4">
              <w:rPr>
                <w:color w:val="000000"/>
                <w:shd w:val="clear" w:color="auto" w:fill="FFFFFF"/>
              </w:rPr>
              <w:t xml:space="preserve"> prašymą pasirašyti </w:t>
            </w:r>
            <w:r w:rsidR="003A622A" w:rsidRPr="008E5BF4">
              <w:rPr>
                <w:color w:val="000000"/>
                <w:shd w:val="clear" w:color="auto" w:fill="FFFFFF"/>
              </w:rPr>
              <w:t xml:space="preserve">nuomos objekto </w:t>
            </w:r>
            <w:r w:rsidR="007D2F1C" w:rsidRPr="008E5BF4">
              <w:rPr>
                <w:color w:val="000000"/>
                <w:shd w:val="clear" w:color="auto" w:fill="FFFFFF"/>
              </w:rPr>
              <w:t xml:space="preserve">priėmimo-perdavimo aktą, nurodydamas priimto sprendimo motyvus bei priemones, kurių </w:t>
            </w:r>
            <w:r w:rsidR="003A622A" w:rsidRPr="008E5BF4">
              <w:rPr>
                <w:b/>
                <w:color w:val="000000"/>
                <w:shd w:val="clear" w:color="auto" w:fill="FFFFFF"/>
              </w:rPr>
              <w:t>Nuomotojas</w:t>
            </w:r>
            <w:r w:rsidR="007D2F1C" w:rsidRPr="008E5BF4">
              <w:rPr>
                <w:color w:val="000000"/>
                <w:shd w:val="clear" w:color="auto" w:fill="FFFFFF"/>
              </w:rPr>
              <w:t xml:space="preserve"> privalo imtis, kad priėmimo-perdavimo aktas būtų pasirašytas</w:t>
            </w:r>
            <w:r w:rsidR="003A622A" w:rsidRPr="008E5BF4">
              <w:rPr>
                <w:color w:val="000000"/>
                <w:shd w:val="clear" w:color="auto" w:fill="FFFFFF"/>
              </w:rPr>
              <w:t>.</w:t>
            </w:r>
          </w:p>
          <w:p w14:paraId="432CA5AB" w14:textId="77777777" w:rsidR="00D564FE" w:rsidRDefault="004B14ED" w:rsidP="00BF1AF7">
            <w:pPr>
              <w:suppressAutoHyphens/>
              <w:ind w:right="57"/>
              <w:jc w:val="both"/>
            </w:pPr>
            <w:r w:rsidRPr="001F5074">
              <w:rPr>
                <w:color w:val="000000"/>
                <w:lang w:eastAsia="en-US"/>
              </w:rPr>
              <w:t>3.4.3.</w:t>
            </w:r>
            <w:r>
              <w:rPr>
                <w:b/>
                <w:color w:val="000000"/>
                <w:lang w:eastAsia="en-US"/>
              </w:rPr>
              <w:t xml:space="preserve"> </w:t>
            </w:r>
            <w:r w:rsidR="00BF1AF7">
              <w:rPr>
                <w:b/>
                <w:color w:val="000000"/>
                <w:lang w:eastAsia="en-US"/>
              </w:rPr>
              <w:t>Nuomotojas</w:t>
            </w:r>
            <w:r w:rsidRPr="00725EF7">
              <w:rPr>
                <w:color w:val="000000"/>
                <w:lang w:eastAsia="en-US"/>
              </w:rPr>
              <w:t xml:space="preserve"> visą sutarties galiojimo laikotarpį turi teikti konsultacijas</w:t>
            </w:r>
            <w:r w:rsidR="00D564FE">
              <w:t xml:space="preserve"> ir/ar pagalbą</w:t>
            </w:r>
            <w:r w:rsidR="00D564FE" w:rsidRPr="00BD0B57">
              <w:t xml:space="preserve"> el. paštu, telefonu ir/ar internetiniame techninio aptarnavimo centre nustatant gedimą ar įrangos sutrikimo priežastį</w:t>
            </w:r>
            <w:r w:rsidR="00D564FE">
              <w:t>.</w:t>
            </w:r>
            <w:r w:rsidR="00D564FE" w:rsidRPr="00B37F2F">
              <w:t xml:space="preserve"> </w:t>
            </w:r>
          </w:p>
          <w:p w14:paraId="22DC615F" w14:textId="77777777" w:rsidR="00BF1AF7" w:rsidRPr="00B37F2F" w:rsidRDefault="00BF1AF7" w:rsidP="00BF1AF7">
            <w:pPr>
              <w:suppressAutoHyphens/>
              <w:ind w:right="57"/>
              <w:jc w:val="both"/>
              <w:rPr>
                <w:rFonts w:eastAsia="Calibri"/>
                <w:lang w:eastAsia="en-US"/>
              </w:rPr>
            </w:pPr>
            <w:r w:rsidRPr="00B37F2F">
              <w:t>3.</w:t>
            </w:r>
            <w:r>
              <w:t>5</w:t>
            </w:r>
            <w:r w:rsidRPr="00B37F2F">
              <w:t>.</w:t>
            </w:r>
            <w:r>
              <w:rPr>
                <w:b/>
              </w:rPr>
              <w:t xml:space="preserve"> Nuomotojas</w:t>
            </w:r>
            <w:r w:rsidRPr="00B37F2F">
              <w:rPr>
                <w:b/>
              </w:rPr>
              <w:t xml:space="preserve"> </w:t>
            </w:r>
            <w:r w:rsidRPr="00B37F2F">
              <w:rPr>
                <w:rFonts w:eastAsia="Calibri"/>
                <w:lang w:eastAsia="en-US"/>
              </w:rPr>
              <w:t>įsipareigoja:</w:t>
            </w:r>
          </w:p>
          <w:p w14:paraId="7B904197" w14:textId="77777777" w:rsidR="00BF1AF7" w:rsidRPr="00B37F2F" w:rsidRDefault="00BF1AF7" w:rsidP="00BF1AF7">
            <w:pPr>
              <w:suppressAutoHyphens/>
              <w:ind w:right="57"/>
              <w:jc w:val="both"/>
            </w:pPr>
            <w:r w:rsidRPr="00B37F2F">
              <w:t>3.</w:t>
            </w:r>
            <w:r>
              <w:t>5</w:t>
            </w:r>
            <w:r w:rsidRPr="00B37F2F">
              <w:t xml:space="preserve">.1. užtikrinti, kad </w:t>
            </w:r>
            <w:r>
              <w:t>nuomojamos įrangos</w:t>
            </w:r>
            <w:r w:rsidRPr="00B37F2F">
              <w:t xml:space="preserve"> kilmė nėra iš Viešųjų pirkimų įstatymo (toliau – VPĮ) 92 straipsnio 15 dalyje numatytame sąraše nurodytų valstybių ar teritorijų;</w:t>
            </w:r>
          </w:p>
          <w:p w14:paraId="68313404" w14:textId="77777777" w:rsidR="00BF1AF7" w:rsidRPr="00D873DC" w:rsidRDefault="00BF1AF7" w:rsidP="00BF1AF7">
            <w:pPr>
              <w:suppressAutoHyphens/>
              <w:ind w:right="57"/>
              <w:jc w:val="both"/>
            </w:pPr>
            <w:r w:rsidRPr="00B37F2F">
              <w:t>3.</w:t>
            </w:r>
            <w:r>
              <w:t>5.2. užtikrinti, kad su nuoma</w:t>
            </w:r>
            <w:r w:rsidRPr="00B37F2F">
              <w:t xml:space="preserve"> susijusios paslaugos </w:t>
            </w:r>
            <w:r>
              <w:t xml:space="preserve">(pvz.; priežiūra ir palaikymas) </w:t>
            </w:r>
            <w:r w:rsidRPr="00B37F2F">
              <w:t>nebūtų vykdomos iš VPĮ 92 straipsnio 14 dalyje numatytame sąraše nurodytų valstybių ar teritorijų;</w:t>
            </w:r>
          </w:p>
          <w:p w14:paraId="42A56887" w14:textId="77777777" w:rsidR="00BF1AF7" w:rsidRPr="00B37F2F" w:rsidRDefault="00BF1AF7" w:rsidP="00BF1AF7">
            <w:pPr>
              <w:suppressAutoHyphens/>
              <w:jc w:val="both"/>
            </w:pPr>
            <w:r w:rsidRPr="00B37F2F">
              <w:t>3.</w:t>
            </w:r>
            <w:r>
              <w:t>5</w:t>
            </w:r>
            <w:r w:rsidRPr="00B37F2F">
              <w:t xml:space="preserve">.3. užtikrinti, kad </w:t>
            </w:r>
            <w:r>
              <w:rPr>
                <w:b/>
              </w:rPr>
              <w:t>Nuomotojas</w:t>
            </w:r>
            <w:r w:rsidRPr="00B37F2F">
              <w:t>, jo subtiekėjas, ūkio subjektai, kurių pajėg</w:t>
            </w:r>
            <w:r>
              <w:t>umais remiamasi, tiekėjo siūlomos įrangos</w:t>
            </w:r>
            <w:r w:rsidRPr="00B37F2F">
              <w:t xml:space="preserve"> (įskaitant jų sudedamąsias dalis) gamintojas ar juos kontroliuojantys asmenys nėra </w:t>
            </w:r>
            <w:r w:rsidRPr="00B37F2F">
              <w:lastRenderedPageBreak/>
              <w:t>registruoti (juridiniai asmenys), nėra nuolat gyvenantys (fiziniai asmenys) VPĮ 92 straipsnio 15 dalyje numatytame sąraše nurodytų valstybių ar teritorijų.</w:t>
            </w:r>
          </w:p>
          <w:p w14:paraId="5EA7CC2C" w14:textId="77777777" w:rsidR="00BF1AF7" w:rsidRDefault="00BF1AF7" w:rsidP="00BF1AF7">
            <w:pPr>
              <w:suppressAutoHyphens/>
              <w:ind w:right="57"/>
              <w:jc w:val="both"/>
              <w:rPr>
                <w:b/>
              </w:rPr>
            </w:pPr>
            <w:r w:rsidRPr="005E7D94">
              <w:t>3.</w:t>
            </w:r>
            <w:r>
              <w:rPr>
                <w:lang w:val="en-US"/>
              </w:rPr>
              <w:t>6</w:t>
            </w:r>
            <w:r w:rsidRPr="005E7D94">
              <w:rPr>
                <w:lang w:val="en-US"/>
              </w:rPr>
              <w:t>.</w:t>
            </w:r>
            <w:r>
              <w:rPr>
                <w:b/>
              </w:rPr>
              <w:t xml:space="preserve"> Nuomininkas</w:t>
            </w:r>
            <w:r w:rsidRPr="005E7D94">
              <w:rPr>
                <w:b/>
              </w:rPr>
              <w:t xml:space="preserve"> </w:t>
            </w:r>
            <w:r w:rsidRPr="005E7D94">
              <w:t xml:space="preserve">turi teisę bet kuriuo metu pareikalauti </w:t>
            </w:r>
            <w:r w:rsidR="0014313F">
              <w:rPr>
                <w:b/>
              </w:rPr>
              <w:t>Nuomotojo</w:t>
            </w:r>
            <w:r w:rsidRPr="005E7D94">
              <w:t xml:space="preserve"> pateikti pagrindžiančius dokumentus, kad nėra sąlygų, numatytų VPĮ 45 straipsnio 2</w:t>
            </w:r>
            <w:r w:rsidRPr="005E7D94">
              <w:rPr>
                <w:vertAlign w:val="superscript"/>
              </w:rPr>
              <w:t>1</w:t>
            </w:r>
            <w:r w:rsidRPr="005E7D94">
              <w:t xml:space="preserve"> dalyje. </w:t>
            </w:r>
          </w:p>
          <w:p w14:paraId="6650989C" w14:textId="77777777" w:rsidR="007D2F1C" w:rsidRPr="008E5BF4" w:rsidRDefault="00BF1AF7" w:rsidP="004C4E7C">
            <w:pPr>
              <w:rPr>
                <w:b/>
                <w:highlight w:val="yellow"/>
              </w:rPr>
            </w:pPr>
            <w:r w:rsidRPr="00973C9A">
              <w:t>3.</w:t>
            </w:r>
            <w:r>
              <w:t>7</w:t>
            </w:r>
            <w:r w:rsidRPr="00973C9A">
              <w:t xml:space="preserve">. </w:t>
            </w:r>
            <w:r>
              <w:rPr>
                <w:b/>
              </w:rPr>
              <w:t>Nuomotojas</w:t>
            </w:r>
            <w:r w:rsidRPr="00973C9A">
              <w:t xml:space="preserve"> dėl Sutarties specialiosios dalies 3.</w:t>
            </w:r>
            <w:r>
              <w:t>5</w:t>
            </w:r>
            <w:r w:rsidRPr="00973C9A">
              <w:t xml:space="preserve"> ir 3.</w:t>
            </w:r>
            <w:r>
              <w:t>6</w:t>
            </w:r>
            <w:r w:rsidRPr="00973C9A">
              <w:t xml:space="preserve"> punktuose nurodytų sąlygų informaciją ir ją patvirtinančius dokumentus privalo pateikti </w:t>
            </w:r>
            <w:r>
              <w:rPr>
                <w:b/>
              </w:rPr>
              <w:t>Nuomininkui</w:t>
            </w:r>
            <w:r w:rsidRPr="00973C9A">
              <w:t xml:space="preserve"> ne vėliau kaip per 10 darbo dienų</w:t>
            </w:r>
            <w:r>
              <w:t xml:space="preserve"> nuo prašymo gavimo dienos.</w:t>
            </w:r>
          </w:p>
        </w:tc>
      </w:tr>
      <w:tr w:rsidR="000F5445" w:rsidRPr="008E5BF4" w14:paraId="11AF6F70" w14:textId="77777777" w:rsidTr="004C4E7C">
        <w:tc>
          <w:tcPr>
            <w:tcW w:w="9854" w:type="dxa"/>
            <w:gridSpan w:val="2"/>
          </w:tcPr>
          <w:p w14:paraId="1AD13ECD" w14:textId="77777777" w:rsidR="000F5445" w:rsidRPr="008E5BF4" w:rsidRDefault="000F5445" w:rsidP="004C4E7C">
            <w:pPr>
              <w:jc w:val="both"/>
              <w:rPr>
                <w:b/>
              </w:rPr>
            </w:pPr>
            <w:r w:rsidRPr="008E5BF4">
              <w:rPr>
                <w:b/>
              </w:rPr>
              <w:lastRenderedPageBreak/>
              <w:t>4. Apmokėjimo tvarka:</w:t>
            </w:r>
          </w:p>
          <w:p w14:paraId="6862F5EB" w14:textId="77777777" w:rsidR="000F5445" w:rsidRPr="008E5BF4" w:rsidRDefault="000F5445" w:rsidP="004C4E7C">
            <w:pPr>
              <w:jc w:val="both"/>
            </w:pPr>
            <w:r w:rsidRPr="008E5BF4">
              <w:t>4.1.</w:t>
            </w:r>
            <w:r w:rsidRPr="008E5BF4">
              <w:rPr>
                <w:b/>
              </w:rPr>
              <w:t xml:space="preserve"> </w:t>
            </w:r>
            <w:r w:rsidRPr="008E5BF4">
              <w:t xml:space="preserve">Su </w:t>
            </w:r>
            <w:r w:rsidRPr="008E5BF4">
              <w:rPr>
                <w:b/>
                <w:spacing w:val="-4"/>
              </w:rPr>
              <w:t>Nuomotoju</w:t>
            </w:r>
            <w:r w:rsidRPr="008E5BF4">
              <w:t xml:space="preserve"> atsiskaitoma Sutarties bendrosios dalies 4 punkte nustatyta tvarka</w:t>
            </w:r>
            <w:r w:rsidR="003A622A" w:rsidRPr="008E5BF4">
              <w:t xml:space="preserve"> pagal Sutarties 2 priede nurodytą kainą dalimis kartą per mėnesį pagal pateiktą PVM sąskaitą faktūrą.</w:t>
            </w:r>
          </w:p>
          <w:p w14:paraId="37812219" w14:textId="77777777" w:rsidR="003A622A" w:rsidRPr="008E5BF4" w:rsidRDefault="003A622A" w:rsidP="004C4E7C">
            <w:pPr>
              <w:jc w:val="both"/>
            </w:pPr>
            <w:r w:rsidRPr="008E5BF4">
              <w:t>4.2. Avanso mokėjimas nenumatomas.</w:t>
            </w:r>
          </w:p>
          <w:p w14:paraId="7005D7DF" w14:textId="77777777" w:rsidR="003A622A" w:rsidRPr="008E5BF4" w:rsidRDefault="003A622A" w:rsidP="004C4E7C">
            <w:pPr>
              <w:jc w:val="both"/>
            </w:pPr>
            <w:r w:rsidRPr="008E5BF4">
              <w:t xml:space="preserve">4.3. Vykdant Sutartį, PVM sąskaitos faktūros turi būti teikiamos naudojantis informacinės sistemos „E. sąskaita“ priemonėmis, nurodant </w:t>
            </w:r>
            <w:r w:rsidRPr="008E5BF4">
              <w:rPr>
                <w:b/>
              </w:rPr>
              <w:t xml:space="preserve">Nuomininką, </w:t>
            </w:r>
            <w:r w:rsidRPr="008E5BF4">
              <w:t xml:space="preserve">Sutarties numerį ir datą. Jeigu </w:t>
            </w:r>
            <w:r w:rsidRPr="008E5BF4">
              <w:rPr>
                <w:b/>
              </w:rPr>
              <w:t>Nuomotojas</w:t>
            </w:r>
            <w:r w:rsidRPr="008E5BF4">
              <w:t xml:space="preserve"> nepateikia sąskaitos informacinės sistemos „E. sąskaita“ priemonėmis, mokėjimas neatliekamas.</w:t>
            </w:r>
          </w:p>
          <w:p w14:paraId="2B376818" w14:textId="77777777" w:rsidR="003A622A" w:rsidRPr="008E5BF4" w:rsidRDefault="003A622A" w:rsidP="004C4E7C">
            <w:pPr>
              <w:jc w:val="both"/>
            </w:pPr>
            <w:r w:rsidRPr="008E5BF4">
              <w:t xml:space="preserve">4.4. </w:t>
            </w:r>
            <w:r w:rsidRPr="008E5BF4">
              <w:rPr>
                <w:b/>
              </w:rPr>
              <w:t>Nuomotojas</w:t>
            </w:r>
            <w:r w:rsidRPr="008E5BF4">
              <w:t xml:space="preserve"> įsipareigoja išrašomoje PVM sąskaitoje faktūroje vartoti tuos pačius pavadinimus ir mato vienetus, kokie yra nurodyti Sutarties 1 priede.</w:t>
            </w:r>
          </w:p>
          <w:p w14:paraId="07A131B8" w14:textId="77777777" w:rsidR="00910C84" w:rsidRPr="008E5BF4" w:rsidRDefault="00910C84" w:rsidP="00910C84">
            <w:pPr>
              <w:jc w:val="both"/>
            </w:pPr>
            <w:r w:rsidRPr="008E5BF4">
              <w:t>4.5. Su Sutarties Specialiojoje dalyje nurodytu Subnuomotoju (-</w:t>
            </w:r>
            <w:proofErr w:type="spellStart"/>
            <w:r w:rsidRPr="008E5BF4">
              <w:t>ais</w:t>
            </w:r>
            <w:proofErr w:type="spellEnd"/>
            <w:r w:rsidRPr="008E5BF4">
              <w:t xml:space="preserve">) </w:t>
            </w:r>
            <w:r w:rsidRPr="008E5BF4">
              <w:rPr>
                <w:b/>
              </w:rPr>
              <w:t>Nuomininkas</w:t>
            </w:r>
            <w:r w:rsidRPr="008E5BF4">
              <w:t xml:space="preserve"> ir </w:t>
            </w:r>
            <w:r w:rsidRPr="008E5BF4">
              <w:rPr>
                <w:b/>
              </w:rPr>
              <w:t>Nuomotojas</w:t>
            </w:r>
            <w:r w:rsidRPr="008E5BF4">
              <w:t xml:space="preserve"> gali sudaryti trišalę tiesioginio atsiskaitymo sutartį, kuria Šalių ir Subnuomotojo sutarta apimtimi ir sąlygomis </w:t>
            </w:r>
            <w:r w:rsidRPr="008E5BF4">
              <w:rPr>
                <w:b/>
              </w:rPr>
              <w:t>Nuomotojas</w:t>
            </w:r>
            <w:r w:rsidRPr="008E5BF4">
              <w:t xml:space="preserve"> perleidžia teisę Subnuomotojui reikalauti iš </w:t>
            </w:r>
            <w:r w:rsidRPr="008E5BF4">
              <w:rPr>
                <w:b/>
              </w:rPr>
              <w:t>Nuomininko</w:t>
            </w:r>
            <w:r w:rsidRPr="008E5BF4">
              <w:t xml:space="preserve"> mokėti sutartą dalį Sutarties kainos. Reikalavimo teisės perleidimas Subnuomotojui nesudarius trišalės tiesioginio atsiskaitymo Sutarties negalioja.</w:t>
            </w:r>
          </w:p>
          <w:p w14:paraId="4DFD20E2" w14:textId="77777777" w:rsidR="00910C84" w:rsidRPr="008E5BF4" w:rsidRDefault="00910C84" w:rsidP="0089183C">
            <w:pPr>
              <w:jc w:val="both"/>
            </w:pPr>
            <w:r w:rsidRPr="008E5BF4">
              <w:t xml:space="preserve">4.6. Subnuomotojas, norėdamas, kad </w:t>
            </w:r>
            <w:r w:rsidRPr="008E5BF4">
              <w:rPr>
                <w:b/>
              </w:rPr>
              <w:t>Nuomininkas</w:t>
            </w:r>
            <w:r w:rsidRPr="008E5BF4">
              <w:t xml:space="preserve"> tiesiogiai atsiskaitytų su juo raštu</w:t>
            </w:r>
            <w:r w:rsidR="0089183C" w:rsidRPr="008E5BF4">
              <w:t>,</w:t>
            </w:r>
            <w:r w:rsidRPr="008E5BF4">
              <w:t xml:space="preserve"> praneša </w:t>
            </w:r>
            <w:r w:rsidR="0089183C" w:rsidRPr="008E5BF4">
              <w:rPr>
                <w:b/>
              </w:rPr>
              <w:t>Nuomininkui</w:t>
            </w:r>
            <w:r w:rsidRPr="008E5BF4">
              <w:t xml:space="preserve">, kad pageidauja sudaryti tiesioginio atsiskaitymo sutartį. </w:t>
            </w:r>
          </w:p>
          <w:p w14:paraId="02E34B0F" w14:textId="77777777" w:rsidR="00910C84" w:rsidRPr="008E5BF4" w:rsidRDefault="0089183C" w:rsidP="00910C84">
            <w:pPr>
              <w:jc w:val="both"/>
            </w:pPr>
            <w:r w:rsidRPr="008E5BF4">
              <w:t>4.7.</w:t>
            </w:r>
            <w:r w:rsidR="00910C84" w:rsidRPr="008E5BF4">
              <w:t xml:space="preserve"> Tiesioginio atsiskaitymo sutartyje yra nustatoma Sutarties kainos dalis, kurios reikalavimo teisė yra perleidžiama </w:t>
            </w:r>
            <w:r w:rsidRPr="008E5BF4">
              <w:t>Subnuomotojui</w:t>
            </w:r>
            <w:r w:rsidR="00910C84" w:rsidRPr="008E5BF4">
              <w:t xml:space="preserve">, mokėjimų tvarka, kuri turi atitikti Sutarties Specialiojoje dalyje nustatytą tvarką, </w:t>
            </w:r>
            <w:r w:rsidRPr="008E5BF4">
              <w:t>Subnuomotojui</w:t>
            </w:r>
            <w:r w:rsidR="00910C84" w:rsidRPr="008E5BF4">
              <w:t xml:space="preserve"> pareiga pateikti sąskaitas tik suderinus su </w:t>
            </w:r>
            <w:r w:rsidRPr="008E5BF4">
              <w:rPr>
                <w:b/>
              </w:rPr>
              <w:t>Nuomotoju</w:t>
            </w:r>
            <w:r w:rsidR="00910C84" w:rsidRPr="008E5BF4">
              <w:t xml:space="preserve"> ir pateikus šio suderinimo rašytinius įrodymus, Šalių ir </w:t>
            </w:r>
            <w:r w:rsidRPr="008E5BF4">
              <w:t>Subnuomotojo</w:t>
            </w:r>
            <w:r w:rsidR="00910C84" w:rsidRPr="008E5BF4">
              <w:t xml:space="preserve"> pareiga informuoti apie rekvizitų pasikeitimus, mokėjimų vykdymo tvarka įvykus ginčui tarp </w:t>
            </w:r>
            <w:r w:rsidRPr="008E5BF4">
              <w:rPr>
                <w:b/>
              </w:rPr>
              <w:t>Nuomotojo</w:t>
            </w:r>
            <w:r w:rsidR="00910C84" w:rsidRPr="008E5BF4">
              <w:t xml:space="preserve"> ir </w:t>
            </w:r>
            <w:r w:rsidRPr="008E5BF4">
              <w:t>Subnuomotojo</w:t>
            </w:r>
            <w:r w:rsidR="00910C84" w:rsidRPr="008E5BF4">
              <w:t xml:space="preserve">, papildomas prievolių, užtikrinimas (taikoma tik numatant avansinius mokėjimus). </w:t>
            </w:r>
          </w:p>
          <w:p w14:paraId="64C32077" w14:textId="77777777" w:rsidR="00910C84" w:rsidRPr="008E5BF4" w:rsidRDefault="0089183C" w:rsidP="00910C84">
            <w:pPr>
              <w:jc w:val="both"/>
            </w:pPr>
            <w:r w:rsidRPr="008E5BF4">
              <w:t>4.8</w:t>
            </w:r>
            <w:r w:rsidR="00910C84" w:rsidRPr="008E5BF4">
              <w:t xml:space="preserve">. Tiesioginio atsiskaitymo sutartis turi būti sudaryta ne vėliau kaip iki dienos, nuo kurios atsiranda mokėjimo prievolė pagal Sutarties Bendrosios dalies 4.1 punktą. </w:t>
            </w:r>
          </w:p>
          <w:p w14:paraId="2CC160E8" w14:textId="77777777" w:rsidR="00910C84" w:rsidRPr="008E5BF4" w:rsidRDefault="0089183C" w:rsidP="004C4E7C">
            <w:pPr>
              <w:jc w:val="both"/>
              <w:rPr>
                <w:b/>
                <w:highlight w:val="yellow"/>
              </w:rPr>
            </w:pPr>
            <w:r w:rsidRPr="008E5BF4">
              <w:t>4.9</w:t>
            </w:r>
            <w:r w:rsidR="00910C84" w:rsidRPr="008E5BF4">
              <w:t>. Tiesioginis atsiskaitymas su S</w:t>
            </w:r>
            <w:r w:rsidRPr="008E5BF4">
              <w:t>ubnuomotoju</w:t>
            </w:r>
            <w:r w:rsidR="00910C84" w:rsidRPr="008E5BF4">
              <w:t xml:space="preserve"> neatleidžia </w:t>
            </w:r>
            <w:r w:rsidRPr="008E5BF4">
              <w:rPr>
                <w:b/>
              </w:rPr>
              <w:t>Nuomotojo</w:t>
            </w:r>
            <w:r w:rsidR="00910C84" w:rsidRPr="008E5BF4">
              <w:t xml:space="preserve"> nuo jo prisiimtų įsipareigojimų pagal sudarytą Sutartį. Sutartyje numatytos </w:t>
            </w:r>
            <w:r w:rsidRPr="008E5BF4">
              <w:rPr>
                <w:b/>
              </w:rPr>
              <w:t>Nuomotojo</w:t>
            </w:r>
            <w:r w:rsidR="00910C84" w:rsidRPr="008E5BF4">
              <w:t xml:space="preserve"> teisės, pareigos ir kiti įsipareigojimai nesusiję su reikalavimo teise sumokėti Sutarties kainą perleidimu </w:t>
            </w:r>
            <w:r w:rsidRPr="008E5BF4">
              <w:t>Subnuomotojui</w:t>
            </w:r>
            <w:r w:rsidR="00910C84" w:rsidRPr="008E5BF4">
              <w:t xml:space="preserve"> negali būti perduoti.</w:t>
            </w:r>
          </w:p>
        </w:tc>
      </w:tr>
      <w:tr w:rsidR="000F5445" w:rsidRPr="008E5BF4" w14:paraId="7AA76AFF" w14:textId="77777777" w:rsidTr="004C4E7C">
        <w:tc>
          <w:tcPr>
            <w:tcW w:w="9854" w:type="dxa"/>
            <w:gridSpan w:val="2"/>
          </w:tcPr>
          <w:p w14:paraId="1252D649" w14:textId="77777777" w:rsidR="000F5445" w:rsidRPr="008E5BF4" w:rsidRDefault="000F5445" w:rsidP="004C4E7C">
            <w:pPr>
              <w:jc w:val="both"/>
              <w:rPr>
                <w:b/>
              </w:rPr>
            </w:pPr>
            <w:r w:rsidRPr="008E5BF4">
              <w:rPr>
                <w:b/>
              </w:rPr>
              <w:t>5. Papildomos Sutarties nutraukimo sąlygos</w:t>
            </w:r>
            <w:r w:rsidR="007B3BB9">
              <w:rPr>
                <w:b/>
              </w:rPr>
              <w:t>:</w:t>
            </w:r>
          </w:p>
          <w:p w14:paraId="0EF363A6" w14:textId="77777777" w:rsidR="000F5445" w:rsidRDefault="000F5445" w:rsidP="004C4E7C">
            <w:pPr>
              <w:jc w:val="both"/>
            </w:pPr>
            <w:r w:rsidRPr="008E5BF4">
              <w:t>5.1.</w:t>
            </w:r>
            <w:r w:rsidRPr="008E5BF4">
              <w:rPr>
                <w:b/>
              </w:rPr>
              <w:t xml:space="preserve"> </w:t>
            </w:r>
            <w:r w:rsidRPr="008E5BF4">
              <w:rPr>
                <w:b/>
                <w:spacing w:val="-4"/>
              </w:rPr>
              <w:t>Nuomotoju</w:t>
            </w:r>
            <w:r w:rsidRPr="008E5BF4">
              <w:rPr>
                <w:b/>
              </w:rPr>
              <w:t xml:space="preserve">i </w:t>
            </w:r>
            <w:r w:rsidRPr="008B46E6">
              <w:t>vėluojant pristatyti nuomos objektą daugiau kaip</w:t>
            </w:r>
            <w:r w:rsidRPr="008B46E6">
              <w:rPr>
                <w:b/>
              </w:rPr>
              <w:t xml:space="preserve"> </w:t>
            </w:r>
            <w:r w:rsidR="008B46E6" w:rsidRPr="008B46E6">
              <w:rPr>
                <w:b/>
              </w:rPr>
              <w:t>1 (vieną) darbo dieną</w:t>
            </w:r>
            <w:r w:rsidRPr="008B46E6">
              <w:t>, nuo</w:t>
            </w:r>
            <w:r w:rsidRPr="008E5BF4">
              <w:t xml:space="preserve"> Su</w:t>
            </w:r>
            <w:r w:rsidR="00036998" w:rsidRPr="008E5BF4">
              <w:t>tarties specialiosios dalies 3.2</w:t>
            </w:r>
            <w:r w:rsidRPr="008E5BF4">
              <w:t xml:space="preserve"> punkte nurodyto termino, </w:t>
            </w:r>
            <w:r w:rsidRPr="008E5BF4">
              <w:rPr>
                <w:b/>
                <w:spacing w:val="-4"/>
              </w:rPr>
              <w:t>Nuomininkas</w:t>
            </w:r>
            <w:r w:rsidRPr="008E5BF4">
              <w:t xml:space="preserve"> turi teisę Sutarties bendroje dalyje nustatyta tvarka vienašališkai Sutartį nutraukti.</w:t>
            </w:r>
          </w:p>
          <w:p w14:paraId="2A428277" w14:textId="77777777" w:rsidR="003F34A3" w:rsidRPr="00DE3E4D" w:rsidRDefault="003F34A3" w:rsidP="003F34A3">
            <w:pPr>
              <w:suppressAutoHyphens/>
              <w:jc w:val="both"/>
            </w:pPr>
            <w:r>
              <w:t>5.2</w:t>
            </w:r>
            <w:r w:rsidRPr="00974DBB">
              <w:t xml:space="preserve">. </w:t>
            </w:r>
            <w:r w:rsidR="0014313F">
              <w:rPr>
                <w:b/>
                <w:noProof/>
              </w:rPr>
              <w:t>Nuom</w:t>
            </w:r>
            <w:r>
              <w:rPr>
                <w:b/>
                <w:noProof/>
              </w:rPr>
              <w:t>otojas</w:t>
            </w:r>
            <w:r>
              <w:rPr>
                <w:b/>
              </w:rPr>
              <w:t xml:space="preserve"> </w:t>
            </w:r>
            <w:r w:rsidRPr="00974DBB">
              <w:t>per Sutarties specialiosios dalies 3.</w:t>
            </w:r>
            <w:r>
              <w:t>7</w:t>
            </w:r>
            <w:r w:rsidRPr="00974DBB">
              <w:t xml:space="preserve"> punkte nustatytą terminą </w:t>
            </w:r>
            <w:r>
              <w:rPr>
                <w:b/>
              </w:rPr>
              <w:t>Nuomininkui</w:t>
            </w:r>
            <w:r w:rsidRPr="00974DBB">
              <w:rPr>
                <w:b/>
              </w:rPr>
              <w:t xml:space="preserve"> </w:t>
            </w:r>
            <w:r w:rsidRPr="00974DBB">
              <w:t>nepateikia Sutarties specialiosios dalies 3.</w:t>
            </w:r>
            <w:r>
              <w:t xml:space="preserve">5 </w:t>
            </w:r>
            <w:r w:rsidR="007B3BB9">
              <w:t xml:space="preserve">ir 3.6 punktuose </w:t>
            </w:r>
            <w:r w:rsidRPr="00974DBB">
              <w:t>nurod</w:t>
            </w:r>
            <w:r>
              <w:t>ytos informacijos ir  dokumentų.</w:t>
            </w:r>
          </w:p>
          <w:p w14:paraId="5493DAAF" w14:textId="77777777" w:rsidR="003F34A3" w:rsidRPr="00DE3E4D" w:rsidRDefault="003F34A3" w:rsidP="003F34A3">
            <w:pPr>
              <w:suppressAutoHyphens/>
              <w:jc w:val="both"/>
            </w:pPr>
            <w:r>
              <w:t>5.3. P</w:t>
            </w:r>
            <w:r w:rsidRPr="00DE3E4D">
              <w:t xml:space="preserve">aaiškėja, kad yra aplinkybė, atitinkanti bent vieną iš </w:t>
            </w:r>
            <w:r w:rsidR="007B3BB9">
              <w:t xml:space="preserve">nurodytų </w:t>
            </w:r>
            <w:r w:rsidRPr="00DE3E4D">
              <w:t>VPĮ 45 straipsnio 2</w:t>
            </w:r>
            <w:r w:rsidRPr="00DE3E4D">
              <w:rPr>
                <w:vertAlign w:val="superscript"/>
              </w:rPr>
              <w:t>1</w:t>
            </w:r>
            <w:r w:rsidRPr="00DE3E4D">
              <w:t xml:space="preserve"> dalyje. </w:t>
            </w:r>
          </w:p>
          <w:p w14:paraId="4739420B" w14:textId="77777777" w:rsidR="000F5445" w:rsidRPr="008E5BF4" w:rsidRDefault="003F34A3" w:rsidP="004C4E7C">
            <w:pPr>
              <w:jc w:val="both"/>
              <w:rPr>
                <w:b/>
              </w:rPr>
            </w:pPr>
            <w:r>
              <w:t>5.4</w:t>
            </w:r>
            <w:r w:rsidR="000F5445" w:rsidRPr="008E5BF4">
              <w:rPr>
                <w:i/>
              </w:rPr>
              <w:t xml:space="preserve">. </w:t>
            </w:r>
            <w:r w:rsidR="00036998" w:rsidRPr="008E5BF4">
              <w:t xml:space="preserve">Kiti vienašalio Sutarties nutraukimo atvejai numatyti Sutarties </w:t>
            </w:r>
            <w:r w:rsidR="007B3BB9">
              <w:t>b</w:t>
            </w:r>
            <w:r w:rsidR="00036998" w:rsidRPr="008E5BF4">
              <w:t>endrosios dalies 8.2 punkte.</w:t>
            </w:r>
          </w:p>
        </w:tc>
      </w:tr>
      <w:tr w:rsidR="000F5445" w:rsidRPr="008E5BF4" w14:paraId="0E3D28BA" w14:textId="77777777" w:rsidTr="004C4E7C">
        <w:tc>
          <w:tcPr>
            <w:tcW w:w="9854" w:type="dxa"/>
            <w:gridSpan w:val="2"/>
          </w:tcPr>
          <w:p w14:paraId="03C0B206" w14:textId="77777777" w:rsidR="000F5445" w:rsidRPr="008E5BF4" w:rsidRDefault="000F5445" w:rsidP="004C4E7C">
            <w:pPr>
              <w:jc w:val="both"/>
              <w:rPr>
                <w:b/>
                <w:bCs/>
              </w:rPr>
            </w:pPr>
            <w:r w:rsidRPr="008E5BF4">
              <w:rPr>
                <w:b/>
                <w:bCs/>
              </w:rPr>
              <w:t>6.</w:t>
            </w:r>
            <w:r w:rsidRPr="008E5BF4">
              <w:t xml:space="preserve"> </w:t>
            </w:r>
            <w:r w:rsidRPr="008E5BF4">
              <w:rPr>
                <w:b/>
                <w:bCs/>
              </w:rPr>
              <w:t xml:space="preserve">Nuomos objekto kokybė </w:t>
            </w:r>
          </w:p>
          <w:p w14:paraId="127A4D8D" w14:textId="77777777" w:rsidR="00832175" w:rsidRDefault="0014313F" w:rsidP="00832175">
            <w:pPr>
              <w:jc w:val="both"/>
            </w:pPr>
            <w:r>
              <w:t xml:space="preserve">6.1. </w:t>
            </w:r>
            <w:r w:rsidR="00832175" w:rsidRPr="008E5BF4">
              <w:t>Nuomos objektas privalo atitikti Sutartyje ir jos prieduose nustatytus reikalavimus.</w:t>
            </w:r>
          </w:p>
          <w:p w14:paraId="78FDC4A1" w14:textId="7739066A" w:rsidR="00682F8A" w:rsidRDefault="0014313F" w:rsidP="00CD4D59">
            <w:pPr>
              <w:jc w:val="both"/>
            </w:pPr>
            <w:r w:rsidRPr="00CE176A">
              <w:t>6.2</w:t>
            </w:r>
            <w:r w:rsidRPr="00682F8A">
              <w:rPr>
                <w:highlight w:val="yellow"/>
              </w:rPr>
              <w:t xml:space="preserve">. </w:t>
            </w:r>
            <w:r w:rsidRPr="00682F8A">
              <w:rPr>
                <w:b/>
                <w:noProof/>
                <w:highlight w:val="yellow"/>
              </w:rPr>
              <w:t>Nuomotojo</w:t>
            </w:r>
            <w:r w:rsidRPr="00682F8A">
              <w:rPr>
                <w:noProof/>
                <w:highlight w:val="yellow"/>
              </w:rPr>
              <w:t xml:space="preserve"> </w:t>
            </w:r>
            <w:r w:rsidRPr="00682F8A">
              <w:rPr>
                <w:highlight w:val="yellow"/>
              </w:rPr>
              <w:t>atstovas</w:t>
            </w:r>
            <w:r w:rsidRPr="00CE176A">
              <w:t xml:space="preserve">, atsakingas už </w:t>
            </w:r>
            <w:r w:rsidRPr="008E5BF4">
              <w:rPr>
                <w:rFonts w:eastAsia="Calibri"/>
              </w:rPr>
              <w:t>išnuomojamo objekto kokybę</w:t>
            </w:r>
            <w:r w:rsidRPr="00CE176A">
              <w:t>:</w:t>
            </w:r>
            <w:r w:rsidR="007239E1">
              <w:t xml:space="preserve"> Vykdantysis direktorius Algimantas Inčius, </w:t>
            </w:r>
            <w:proofErr w:type="spellStart"/>
            <w:r w:rsidR="007239E1">
              <w:t>el.p</w:t>
            </w:r>
            <w:proofErr w:type="spellEnd"/>
            <w:r w:rsidR="007239E1">
              <w:t xml:space="preserve">. </w:t>
            </w:r>
            <w:hyperlink r:id="rId8" w:history="1">
              <w:r w:rsidR="007239E1" w:rsidRPr="00D8411E">
                <w:rPr>
                  <w:rStyle w:val="Hyperlink"/>
                </w:rPr>
                <w:t>algimantas@</w:t>
              </w:r>
              <w:r w:rsidR="007239E1" w:rsidRPr="00D8411E">
                <w:rPr>
                  <w:rStyle w:val="Hyperlink"/>
                  <w:lang w:val="en-US"/>
                </w:rPr>
                <w:t>avedus.lt</w:t>
              </w:r>
            </w:hyperlink>
            <w:r w:rsidR="007239E1">
              <w:rPr>
                <w:lang w:val="en-US"/>
              </w:rPr>
              <w:t xml:space="preserve">, </w:t>
            </w:r>
            <w:proofErr w:type="spellStart"/>
            <w:r w:rsidR="007239E1">
              <w:rPr>
                <w:lang w:val="en-US"/>
              </w:rPr>
              <w:t>tel</w:t>
            </w:r>
            <w:proofErr w:type="spellEnd"/>
            <w:r w:rsidR="007239E1">
              <w:rPr>
                <w:lang w:val="en-US"/>
              </w:rPr>
              <w:t xml:space="preserve"> +370 69827745.</w:t>
            </w:r>
            <w:r w:rsidRPr="00CE176A">
              <w:t xml:space="preserve"> </w:t>
            </w:r>
          </w:p>
          <w:p w14:paraId="3A6D4D59" w14:textId="77777777" w:rsidR="000F5445" w:rsidRPr="008E5BF4" w:rsidRDefault="0014313F" w:rsidP="00CD4D59">
            <w:pPr>
              <w:jc w:val="both"/>
            </w:pPr>
            <w:r w:rsidRPr="00CE176A">
              <w:t>6.3.</w:t>
            </w:r>
            <w:r w:rsidR="00682F8A">
              <w:t xml:space="preserve"> </w:t>
            </w:r>
            <w:r>
              <w:rPr>
                <w:b/>
              </w:rPr>
              <w:t>Nuomininko</w:t>
            </w:r>
            <w:r w:rsidRPr="00CE176A">
              <w:t xml:space="preserve"> </w:t>
            </w:r>
            <w:r>
              <w:t xml:space="preserve">atstovas, atsakingas už </w:t>
            </w:r>
            <w:r w:rsidRPr="008E5BF4">
              <w:rPr>
                <w:rFonts w:eastAsia="Calibri"/>
              </w:rPr>
              <w:t>išnuomojamo objekto kokybę</w:t>
            </w:r>
            <w:r w:rsidRPr="00CE176A">
              <w:t xml:space="preserve">: </w:t>
            </w:r>
            <w:r w:rsidR="00682F8A">
              <w:t>Tinklo technologijų departamento direktorius</w:t>
            </w:r>
            <w:r w:rsidR="00682F8A">
              <w:rPr>
                <w:rFonts w:ascii="Myriad Pro Cond" w:hAnsi="Myriad Pro Cond"/>
              </w:rPr>
              <w:t xml:space="preserve"> Audrius Ulys, </w:t>
            </w:r>
            <w:r w:rsidR="00682F8A">
              <w:rPr>
                <w:rFonts w:ascii="Myriad Pro Cond" w:hAnsi="Myriad Pro Cond"/>
                <w:bCs/>
              </w:rPr>
              <w:t xml:space="preserve">el. p. </w:t>
            </w:r>
            <w:hyperlink r:id="rId9" w:history="1">
              <w:r w:rsidR="00682F8A" w:rsidRPr="003B3107">
                <w:rPr>
                  <w:rStyle w:val="Hyperlink"/>
                </w:rPr>
                <w:t>audrius.ulys</w:t>
              </w:r>
              <w:r w:rsidR="00682F8A" w:rsidRPr="003B3107">
                <w:rPr>
                  <w:rStyle w:val="Hyperlink"/>
                  <w:rFonts w:ascii="Myriad Pro Cond" w:hAnsi="Myriad Pro Cond"/>
                </w:rPr>
                <w:t>@kvtc.gov.lt</w:t>
              </w:r>
            </w:hyperlink>
            <w:r w:rsidR="00682F8A">
              <w:rPr>
                <w:rFonts w:ascii="Myriad Pro Cond" w:hAnsi="Myriad Pro Cond"/>
                <w:color w:val="1F497D"/>
              </w:rPr>
              <w:t xml:space="preserve">, </w:t>
            </w:r>
            <w:r w:rsidR="00682F8A">
              <w:rPr>
                <w:rFonts w:ascii="Myriad Pro Cond" w:hAnsi="Myriad Pro Cond"/>
              </w:rPr>
              <w:t>tel. (8 5) 239 1720.</w:t>
            </w:r>
            <w:r w:rsidR="00682F8A" w:rsidRPr="002A7C25">
              <w:rPr>
                <w:rFonts w:ascii="Myriad Pro Cond" w:hAnsi="Myriad Pro Cond"/>
              </w:rPr>
              <w:t> </w:t>
            </w:r>
          </w:p>
        </w:tc>
      </w:tr>
      <w:tr w:rsidR="000F5445" w:rsidRPr="008E5BF4" w14:paraId="0F8E9369" w14:textId="77777777" w:rsidTr="004C4E7C">
        <w:tc>
          <w:tcPr>
            <w:tcW w:w="9854" w:type="dxa"/>
            <w:gridSpan w:val="2"/>
          </w:tcPr>
          <w:p w14:paraId="5B500F6E" w14:textId="77777777" w:rsidR="000F5445" w:rsidRPr="008E5BF4" w:rsidRDefault="000F5445" w:rsidP="004C4E7C">
            <w:pPr>
              <w:jc w:val="both"/>
            </w:pPr>
            <w:r w:rsidRPr="008E5BF4">
              <w:rPr>
                <w:b/>
              </w:rPr>
              <w:t xml:space="preserve">7. </w:t>
            </w:r>
            <w:r w:rsidRPr="008E5BF4">
              <w:rPr>
                <w:b/>
                <w:spacing w:val="-4"/>
              </w:rPr>
              <w:t>Nuomotojo</w:t>
            </w:r>
            <w:r w:rsidRPr="008E5BF4">
              <w:t xml:space="preserve"> </w:t>
            </w:r>
            <w:r w:rsidRPr="008E5BF4">
              <w:rPr>
                <w:b/>
              </w:rPr>
              <w:t xml:space="preserve">pristatyto nuomos objekto kokybės garantijos terminas. </w:t>
            </w:r>
          </w:p>
          <w:p w14:paraId="296CE114" w14:textId="77777777" w:rsidR="000F5445" w:rsidRPr="008E5BF4" w:rsidRDefault="000F5445" w:rsidP="004C4E7C">
            <w:pPr>
              <w:jc w:val="both"/>
            </w:pPr>
            <w:r w:rsidRPr="008E5BF4">
              <w:t>7.1.</w:t>
            </w:r>
            <w:r w:rsidRPr="008E5BF4">
              <w:rPr>
                <w:b/>
              </w:rPr>
              <w:t xml:space="preserve"> </w:t>
            </w:r>
            <w:r w:rsidRPr="008E5BF4">
              <w:rPr>
                <w:b/>
                <w:spacing w:val="-4"/>
              </w:rPr>
              <w:t>Nuomotojas</w:t>
            </w:r>
            <w:r w:rsidRPr="008E5BF4">
              <w:t xml:space="preserve"> po raštiško </w:t>
            </w:r>
            <w:r w:rsidRPr="008E5BF4">
              <w:rPr>
                <w:b/>
              </w:rPr>
              <w:t>Nuomininko</w:t>
            </w:r>
            <w:r w:rsidRPr="008E5BF4">
              <w:t xml:space="preserve"> pranešimo per </w:t>
            </w:r>
            <w:r w:rsidR="00CD4D59" w:rsidRPr="008E5BF4">
              <w:t>24 valandas</w:t>
            </w:r>
            <w:r w:rsidR="001D20A4" w:rsidRPr="008E5BF4">
              <w:t xml:space="preserve"> </w:t>
            </w:r>
            <w:r w:rsidR="00CD4D59" w:rsidRPr="008E5BF4">
              <w:rPr>
                <w:rFonts w:eastAsia="Calibri"/>
              </w:rPr>
              <w:t xml:space="preserve">privalo pašalinti nuomos objekto gedimus arba </w:t>
            </w:r>
            <w:r w:rsidRPr="008E5BF4">
              <w:t xml:space="preserve">neatitinkantį reikalavimų nuomos objektą turi pakeisti atitinkančiu Sutarties bei Sutarties 1 priedo reikalavimus, bei kompensuoti </w:t>
            </w:r>
            <w:r w:rsidRPr="008E5BF4">
              <w:rPr>
                <w:b/>
              </w:rPr>
              <w:t>Nuomininko</w:t>
            </w:r>
            <w:r w:rsidRPr="008E5BF4">
              <w:t xml:space="preserve"> patirtu</w:t>
            </w:r>
            <w:r w:rsidR="00CD4D59" w:rsidRPr="008E5BF4">
              <w:t xml:space="preserve">s nuostolius (jeigu tokie </w:t>
            </w:r>
            <w:r w:rsidR="00CD4D59" w:rsidRPr="008E5BF4">
              <w:lastRenderedPageBreak/>
              <w:t>buvo).</w:t>
            </w:r>
            <w:r w:rsidR="00CD4D59" w:rsidRPr="008E5BF4">
              <w:rPr>
                <w:rFonts w:eastAsia="Calibri"/>
              </w:rPr>
              <w:t xml:space="preserve"> Jeigu gedimo neįmanoma pašalinti nustatytu terminu, taikomas Sutarties bendrosios dalies 6.3 punkto sąlygos.</w:t>
            </w:r>
          </w:p>
          <w:p w14:paraId="5103883E" w14:textId="77777777" w:rsidR="00CD4D59" w:rsidRPr="008E5BF4" w:rsidRDefault="000F5445" w:rsidP="00CD4D59">
            <w:pPr>
              <w:tabs>
                <w:tab w:val="left" w:pos="1440"/>
              </w:tabs>
              <w:jc w:val="both"/>
              <w:rPr>
                <w:rFonts w:eastAsia="Calibri"/>
                <w:highlight w:val="yellow"/>
              </w:rPr>
            </w:pPr>
            <w:r w:rsidRPr="008E5BF4">
              <w:rPr>
                <w:rFonts w:eastAsia="Calibri"/>
                <w:bCs/>
              </w:rPr>
              <w:t>7.2.</w:t>
            </w:r>
            <w:r w:rsidRPr="008E5BF4">
              <w:rPr>
                <w:rFonts w:eastAsia="Calibri"/>
              </w:rPr>
              <w:t xml:space="preserve"> </w:t>
            </w:r>
            <w:r w:rsidRPr="008E5BF4">
              <w:rPr>
                <w:rFonts w:eastAsia="Calibri"/>
                <w:b/>
                <w:bCs/>
              </w:rPr>
              <w:t>Nuomotojas</w:t>
            </w:r>
            <w:r w:rsidRPr="008E5BF4">
              <w:rPr>
                <w:rFonts w:eastAsia="Calibri"/>
              </w:rPr>
              <w:t xml:space="preserve"> garantuoja išnuomojamo objekto kokybę visą nuomos terminą. </w:t>
            </w:r>
          </w:p>
        </w:tc>
      </w:tr>
      <w:tr w:rsidR="000F5445" w:rsidRPr="008E5BF4" w14:paraId="444B148D" w14:textId="77777777" w:rsidTr="004C4E7C">
        <w:tc>
          <w:tcPr>
            <w:tcW w:w="9854" w:type="dxa"/>
            <w:gridSpan w:val="2"/>
          </w:tcPr>
          <w:p w14:paraId="6BB9D14C" w14:textId="77777777" w:rsidR="000F5445" w:rsidRPr="008E5BF4" w:rsidRDefault="000F5445" w:rsidP="004C4E7C">
            <w:pPr>
              <w:jc w:val="both"/>
              <w:rPr>
                <w:b/>
                <w:spacing w:val="-2"/>
              </w:rPr>
            </w:pPr>
            <w:r w:rsidRPr="008E5BF4">
              <w:rPr>
                <w:b/>
                <w:spacing w:val="-2"/>
              </w:rPr>
              <w:lastRenderedPageBreak/>
              <w:t xml:space="preserve">8. </w:t>
            </w:r>
            <w:r w:rsidRPr="008E5BF4">
              <w:rPr>
                <w:b/>
              </w:rPr>
              <w:t>Sutarties įvykdymo užtikrinimas.</w:t>
            </w:r>
          </w:p>
          <w:p w14:paraId="529F4C9D" w14:textId="77777777" w:rsidR="00CD4D59" w:rsidRPr="008E5BF4" w:rsidRDefault="00CD4D59" w:rsidP="00CD4D59">
            <w:pPr>
              <w:jc w:val="both"/>
              <w:rPr>
                <w:b/>
                <w:highlight w:val="yellow"/>
              </w:rPr>
            </w:pPr>
            <w:r w:rsidRPr="008E5BF4">
              <w:rPr>
                <w:lang w:eastAsia="en-US"/>
              </w:rPr>
              <w:t>Sutarties įvykdymui užtikrinti banko garantijos ar draudimo bendrovės laidavimo rašto  nereikalaujama.</w:t>
            </w:r>
          </w:p>
        </w:tc>
      </w:tr>
      <w:tr w:rsidR="000F5445" w:rsidRPr="008E5BF4" w14:paraId="35CF80A7" w14:textId="77777777" w:rsidTr="004C4E7C">
        <w:tc>
          <w:tcPr>
            <w:tcW w:w="9854" w:type="dxa"/>
            <w:gridSpan w:val="2"/>
          </w:tcPr>
          <w:p w14:paraId="0F60462F" w14:textId="77777777" w:rsidR="000F5445" w:rsidRPr="008E5BF4" w:rsidRDefault="000F5445" w:rsidP="004C4E7C">
            <w:pPr>
              <w:jc w:val="both"/>
              <w:rPr>
                <w:b/>
              </w:rPr>
            </w:pPr>
            <w:r w:rsidRPr="008E5BF4">
              <w:rPr>
                <w:b/>
              </w:rPr>
              <w:t>9. Kitos sąlygos:</w:t>
            </w:r>
          </w:p>
          <w:p w14:paraId="7B712E32" w14:textId="77777777" w:rsidR="000F5445" w:rsidRPr="008E5BF4" w:rsidRDefault="000F5445" w:rsidP="004C4E7C">
            <w:pPr>
              <w:jc w:val="both"/>
            </w:pPr>
            <w:r w:rsidRPr="008E5BF4">
              <w:t xml:space="preserve">9.1. Sutarties bendrojoje dalyje 10.4 punkte nurodytas </w:t>
            </w:r>
            <w:r w:rsidRPr="008E5BF4">
              <w:rPr>
                <w:iCs/>
              </w:rPr>
              <w:t xml:space="preserve">Šalių iš anksto sutartų minimalių nuostolių dydis yra 7 (septyni) </w:t>
            </w:r>
            <w:r w:rsidRPr="008E5BF4">
              <w:rPr>
                <w:noProof/>
                <w:spacing w:val="-4"/>
              </w:rPr>
              <w:t>%</w:t>
            </w:r>
            <w:r w:rsidRPr="008E5BF4">
              <w:rPr>
                <w:iCs/>
              </w:rPr>
              <w:t xml:space="preserve"> nuo </w:t>
            </w:r>
            <w:r w:rsidR="00CD4D59" w:rsidRPr="008E5BF4">
              <w:rPr>
                <w:iCs/>
              </w:rPr>
              <w:t>Sutartis</w:t>
            </w:r>
            <w:r w:rsidRPr="008E5BF4">
              <w:t xml:space="preserve"> kainos be PVM</w:t>
            </w:r>
            <w:r w:rsidRPr="008E5BF4">
              <w:rPr>
                <w:iCs/>
              </w:rPr>
              <w:t xml:space="preserve"> dydžio</w:t>
            </w:r>
            <w:r w:rsidRPr="008E5BF4">
              <w:t>.</w:t>
            </w:r>
          </w:p>
          <w:p w14:paraId="40062C0D" w14:textId="77777777" w:rsidR="00EF5674" w:rsidRPr="008E5BF4" w:rsidRDefault="0089183C" w:rsidP="00EF5674">
            <w:pPr>
              <w:jc w:val="both"/>
              <w:rPr>
                <w:color w:val="000000"/>
              </w:rPr>
            </w:pPr>
            <w:r w:rsidRPr="008E5BF4">
              <w:t xml:space="preserve">9.2. </w:t>
            </w:r>
            <w:r w:rsidRPr="008E5BF4">
              <w:rPr>
                <w:b/>
              </w:rPr>
              <w:t>Nuomotojas</w:t>
            </w:r>
            <w:r w:rsidRPr="008E5BF4">
              <w:t xml:space="preserve"> šiai Sutarčiai vykdyti Subnuomotojo (-ų)</w:t>
            </w:r>
            <w:r w:rsidR="00FA1DE3">
              <w:t xml:space="preserve"> nepasitelkia</w:t>
            </w:r>
            <w:r w:rsidRPr="008E5BF4">
              <w:t>.</w:t>
            </w:r>
            <w:r w:rsidR="00EF5674" w:rsidRPr="008E5BF4">
              <w:t xml:space="preserve"> </w:t>
            </w:r>
          </w:p>
          <w:p w14:paraId="47D4BA2D" w14:textId="25883CF8" w:rsidR="00682F8A" w:rsidRDefault="00CD4D59" w:rsidP="00CD4D59">
            <w:pPr>
              <w:jc w:val="both"/>
            </w:pPr>
            <w:r w:rsidRPr="004E6F83">
              <w:t>9.</w:t>
            </w:r>
            <w:r w:rsidR="0089183C" w:rsidRPr="004E6F83">
              <w:t>3</w:t>
            </w:r>
            <w:r w:rsidRPr="00682F8A">
              <w:rPr>
                <w:highlight w:val="yellow"/>
              </w:rPr>
              <w:t xml:space="preserve">. </w:t>
            </w:r>
            <w:r w:rsidR="0089183C" w:rsidRPr="00682F8A">
              <w:rPr>
                <w:b/>
                <w:highlight w:val="yellow"/>
              </w:rPr>
              <w:t>Nuomotojo</w:t>
            </w:r>
            <w:r w:rsidRPr="00682F8A">
              <w:rPr>
                <w:highlight w:val="yellow"/>
              </w:rPr>
              <w:t xml:space="preserve"> atstovas</w:t>
            </w:r>
            <w:r w:rsidRPr="004E6F83">
              <w:t xml:space="preserve"> (-ai) –</w:t>
            </w:r>
            <w:r w:rsidR="007239E1">
              <w:t xml:space="preserve"> </w:t>
            </w:r>
            <w:r w:rsidR="007239E1">
              <w:t xml:space="preserve">Vykdantysis direktorius Algimantas Inčius, </w:t>
            </w:r>
            <w:proofErr w:type="spellStart"/>
            <w:r w:rsidR="007239E1">
              <w:t>el.p</w:t>
            </w:r>
            <w:proofErr w:type="spellEnd"/>
            <w:r w:rsidR="007239E1">
              <w:t xml:space="preserve">. </w:t>
            </w:r>
            <w:hyperlink r:id="rId10" w:history="1">
              <w:r w:rsidR="007239E1" w:rsidRPr="00D8411E">
                <w:rPr>
                  <w:rStyle w:val="Hyperlink"/>
                </w:rPr>
                <w:t>algimantas@</w:t>
              </w:r>
              <w:r w:rsidR="007239E1" w:rsidRPr="00D8411E">
                <w:rPr>
                  <w:rStyle w:val="Hyperlink"/>
                  <w:lang w:val="en-US"/>
                </w:rPr>
                <w:t>avedus.lt</w:t>
              </w:r>
            </w:hyperlink>
            <w:r w:rsidR="007239E1">
              <w:rPr>
                <w:lang w:val="en-US"/>
              </w:rPr>
              <w:t xml:space="preserve">, </w:t>
            </w:r>
            <w:proofErr w:type="spellStart"/>
            <w:r w:rsidR="007239E1">
              <w:rPr>
                <w:lang w:val="en-US"/>
              </w:rPr>
              <w:t>tel</w:t>
            </w:r>
            <w:proofErr w:type="spellEnd"/>
            <w:r w:rsidR="007239E1">
              <w:rPr>
                <w:lang w:val="en-US"/>
              </w:rPr>
              <w:t xml:space="preserve"> +370 69827745.</w:t>
            </w:r>
          </w:p>
          <w:p w14:paraId="46F726D1" w14:textId="77777777" w:rsidR="00CD4D59" w:rsidRPr="008E5BF4" w:rsidRDefault="00CD4D59" w:rsidP="00CD4D59">
            <w:pPr>
              <w:jc w:val="both"/>
            </w:pPr>
            <w:r w:rsidRPr="008E5BF4">
              <w:t>9.</w:t>
            </w:r>
            <w:r w:rsidR="0089183C" w:rsidRPr="008E5BF4">
              <w:t>4</w:t>
            </w:r>
            <w:r w:rsidRPr="008E5BF4">
              <w:t xml:space="preserve">. </w:t>
            </w:r>
            <w:r w:rsidR="0089183C" w:rsidRPr="008E5BF4">
              <w:rPr>
                <w:b/>
              </w:rPr>
              <w:t>Nuomininko</w:t>
            </w:r>
            <w:r w:rsidRPr="008E5BF4">
              <w:t xml:space="preserve"> atstovas (-ai) –</w:t>
            </w:r>
            <w:r w:rsidR="00682F8A">
              <w:t xml:space="preserve"> Tinklo technologijų departamento direktorius</w:t>
            </w:r>
            <w:r w:rsidR="00682F8A">
              <w:rPr>
                <w:rFonts w:ascii="Myriad Pro Cond" w:hAnsi="Myriad Pro Cond"/>
              </w:rPr>
              <w:t xml:space="preserve"> Audrius Ulys, </w:t>
            </w:r>
            <w:r w:rsidR="00682F8A">
              <w:rPr>
                <w:rFonts w:ascii="Myriad Pro Cond" w:hAnsi="Myriad Pro Cond"/>
                <w:bCs/>
              </w:rPr>
              <w:t xml:space="preserve">el. p. </w:t>
            </w:r>
            <w:hyperlink r:id="rId11" w:history="1">
              <w:r w:rsidR="00682F8A" w:rsidRPr="003B3107">
                <w:rPr>
                  <w:rStyle w:val="Hyperlink"/>
                </w:rPr>
                <w:t>audrius.ulys</w:t>
              </w:r>
              <w:r w:rsidR="00682F8A" w:rsidRPr="003B3107">
                <w:rPr>
                  <w:rStyle w:val="Hyperlink"/>
                  <w:rFonts w:ascii="Myriad Pro Cond" w:hAnsi="Myriad Pro Cond"/>
                </w:rPr>
                <w:t>@kvtc.gov.lt</w:t>
              </w:r>
            </w:hyperlink>
            <w:r w:rsidR="00682F8A">
              <w:rPr>
                <w:rFonts w:ascii="Myriad Pro Cond" w:hAnsi="Myriad Pro Cond"/>
                <w:color w:val="1F497D"/>
              </w:rPr>
              <w:t xml:space="preserve">, </w:t>
            </w:r>
            <w:r w:rsidR="00682F8A">
              <w:rPr>
                <w:rFonts w:ascii="Myriad Pro Cond" w:hAnsi="Myriad Pro Cond"/>
              </w:rPr>
              <w:t>tel. (8 5) 239 1720.</w:t>
            </w:r>
            <w:r w:rsidR="00682F8A" w:rsidRPr="002A7C25">
              <w:rPr>
                <w:rFonts w:ascii="Myriad Pro Cond" w:hAnsi="Myriad Pro Cond"/>
              </w:rPr>
              <w:t> </w:t>
            </w:r>
          </w:p>
          <w:p w14:paraId="1298EAEF" w14:textId="77777777" w:rsidR="00CD4D59" w:rsidRPr="008E5BF4" w:rsidRDefault="00CD4D59" w:rsidP="00CD4D59">
            <w:pPr>
              <w:jc w:val="both"/>
              <w:rPr>
                <w:i/>
                <w:color w:val="000000"/>
              </w:rPr>
            </w:pPr>
            <w:r w:rsidRPr="008E5BF4">
              <w:t>9.</w:t>
            </w:r>
            <w:r w:rsidR="0089183C" w:rsidRPr="008E5BF4">
              <w:t>5</w:t>
            </w:r>
            <w:r w:rsidRPr="008E5BF4">
              <w:t>. A</w:t>
            </w:r>
            <w:r w:rsidRPr="008E5BF4">
              <w:rPr>
                <w:color w:val="000000"/>
              </w:rPr>
              <w:t xml:space="preserve">smuo, atsakingas už Sutarties ir pakeitimų paskelbimą – </w:t>
            </w:r>
            <w:r w:rsidR="003B3107" w:rsidRPr="003B3107">
              <w:t xml:space="preserve">Asmuo, atsakingas už Sutarties ir pakeitimų paskelbimą </w:t>
            </w:r>
            <w:r w:rsidR="003B3107" w:rsidRPr="003B3107">
              <w:rPr>
                <w:rFonts w:eastAsiaTheme="minorHAnsi"/>
                <w:lang w:eastAsia="en-US"/>
              </w:rPr>
              <w:t>–</w:t>
            </w:r>
            <w:r w:rsidR="003B3107" w:rsidRPr="003B3107">
              <w:t xml:space="preserve"> Prekių ir paslaugų pirkimo specialistė Giedrė Lodaitė.</w:t>
            </w:r>
          </w:p>
          <w:p w14:paraId="0F797F7C" w14:textId="77777777" w:rsidR="00CD4D59" w:rsidRPr="008E5BF4" w:rsidRDefault="00CD4D59" w:rsidP="00CD4D59">
            <w:pPr>
              <w:jc w:val="both"/>
            </w:pPr>
            <w:r w:rsidRPr="008E5BF4">
              <w:t>9.</w:t>
            </w:r>
            <w:r w:rsidR="0089183C" w:rsidRPr="008E5BF4">
              <w:t>6</w:t>
            </w:r>
            <w:r w:rsidRPr="008E5BF4">
              <w:t>. Sutarties priedai:</w:t>
            </w:r>
          </w:p>
          <w:p w14:paraId="431C756A" w14:textId="77777777" w:rsidR="00CD4D59" w:rsidRPr="008E5BF4" w:rsidRDefault="0089183C" w:rsidP="00CD4D59">
            <w:pPr>
              <w:jc w:val="both"/>
            </w:pPr>
            <w:r w:rsidRPr="008E5BF4">
              <w:t>9.6</w:t>
            </w:r>
            <w:r w:rsidR="00CD4D59" w:rsidRPr="008E5BF4">
              <w:t xml:space="preserve">.1. Techninė specifikacija, </w:t>
            </w:r>
            <w:r w:rsidR="00BF1AF7" w:rsidRPr="00BF1AF7">
              <w:t>8 lapai</w:t>
            </w:r>
            <w:r w:rsidR="00CD4D59" w:rsidRPr="008E5BF4">
              <w:t>;</w:t>
            </w:r>
          </w:p>
          <w:p w14:paraId="35D13448" w14:textId="77777777" w:rsidR="000F5445" w:rsidRPr="008E5BF4" w:rsidRDefault="0089183C" w:rsidP="004C4E7C">
            <w:pPr>
              <w:jc w:val="both"/>
              <w:rPr>
                <w:b/>
                <w:highlight w:val="yellow"/>
              </w:rPr>
            </w:pPr>
            <w:r w:rsidRPr="008E5BF4">
              <w:t>9.6</w:t>
            </w:r>
            <w:r w:rsidR="00D564FE">
              <w:t>.2. Įkainio</w:t>
            </w:r>
            <w:r w:rsidR="00CD4D59" w:rsidRPr="008E5BF4">
              <w:t xml:space="preserve"> lentelė, 1 lapas.</w:t>
            </w:r>
          </w:p>
        </w:tc>
      </w:tr>
      <w:tr w:rsidR="000F5445" w:rsidRPr="008E5BF4" w14:paraId="6C4A5C97" w14:textId="77777777" w:rsidTr="004C4E7C">
        <w:tc>
          <w:tcPr>
            <w:tcW w:w="9854" w:type="dxa"/>
            <w:gridSpan w:val="2"/>
          </w:tcPr>
          <w:p w14:paraId="74875FFB" w14:textId="77777777" w:rsidR="000F5445" w:rsidRPr="008E5BF4" w:rsidRDefault="000F5445" w:rsidP="004C4E7C">
            <w:pPr>
              <w:jc w:val="both"/>
              <w:rPr>
                <w:b/>
              </w:rPr>
            </w:pPr>
            <w:r w:rsidRPr="008E5BF4">
              <w:rPr>
                <w:b/>
              </w:rPr>
              <w:t xml:space="preserve">10. Sutarties įsigaliojimas/galiojimo terminas/ pratęsimas. </w:t>
            </w:r>
          </w:p>
          <w:p w14:paraId="087A0DCF" w14:textId="77777777" w:rsidR="000F5445" w:rsidRPr="008E5BF4" w:rsidRDefault="000F5445" w:rsidP="004C4E7C">
            <w:pPr>
              <w:jc w:val="both"/>
            </w:pPr>
            <w:r w:rsidRPr="008E5BF4">
              <w:t>10.1.</w:t>
            </w:r>
            <w:r w:rsidRPr="008E5BF4">
              <w:rPr>
                <w:b/>
              </w:rPr>
              <w:t xml:space="preserve"> </w:t>
            </w:r>
            <w:r w:rsidRPr="008E5BF4">
              <w:t xml:space="preserve">Sutartis įsigalioja Sutarties bendrosios dalies 11.1 punkte nustatyta tvarka ir galioja </w:t>
            </w:r>
            <w:r w:rsidR="00FA1DE3">
              <w:rPr>
                <w:b/>
                <w:bCs/>
              </w:rPr>
              <w:t>7 (septynis) mėnesius</w:t>
            </w:r>
            <w:r w:rsidRPr="008E5BF4">
              <w:t>, o finansinių įsipareigojimų atžvilgiu – iki visiško jų įvykdymo.</w:t>
            </w:r>
          </w:p>
          <w:p w14:paraId="4D7067C9" w14:textId="77777777" w:rsidR="000F5445" w:rsidRPr="008E5BF4" w:rsidRDefault="000F5445" w:rsidP="004C4E7C">
            <w:pPr>
              <w:jc w:val="both"/>
              <w:rPr>
                <w:b/>
                <w:highlight w:val="yellow"/>
              </w:rPr>
            </w:pPr>
            <w:r w:rsidRPr="008E5BF4">
              <w:t xml:space="preserve">10.2. </w:t>
            </w:r>
            <w:r w:rsidR="0089183C" w:rsidRPr="008E5BF4">
              <w:t>Sutarties pratęsimas – nenumatomas.</w:t>
            </w:r>
          </w:p>
        </w:tc>
      </w:tr>
      <w:tr w:rsidR="000F5445" w:rsidRPr="008E5BF4" w14:paraId="05B64D5C" w14:textId="77777777" w:rsidTr="004C4E7C">
        <w:tblPrEx>
          <w:tblLook w:val="01E0" w:firstRow="1" w:lastRow="1" w:firstColumn="1" w:lastColumn="1" w:noHBand="0" w:noVBand="0"/>
        </w:tblPrEx>
        <w:tc>
          <w:tcPr>
            <w:tcW w:w="4826" w:type="dxa"/>
          </w:tcPr>
          <w:p w14:paraId="7BCEED23" w14:textId="77777777" w:rsidR="000F5445" w:rsidRPr="008E5BF4" w:rsidRDefault="000F5445" w:rsidP="004C4E7C">
            <w:r w:rsidRPr="008E5BF4">
              <w:rPr>
                <w:b/>
              </w:rPr>
              <w:t>11. Nuomininko rekvizitai</w:t>
            </w:r>
          </w:p>
          <w:p w14:paraId="4C6C414A" w14:textId="77777777" w:rsidR="008E5BF4" w:rsidRPr="008E5BF4" w:rsidRDefault="008E5BF4" w:rsidP="008E5BF4">
            <w:pPr>
              <w:rPr>
                <w:b/>
                <w:bCs/>
              </w:rPr>
            </w:pPr>
            <w:r w:rsidRPr="008E5BF4">
              <w:rPr>
                <w:b/>
                <w:bCs/>
              </w:rPr>
              <w:t xml:space="preserve">Kertinis valstybės telekomunikacijų centras </w:t>
            </w:r>
          </w:p>
          <w:p w14:paraId="70118B2C" w14:textId="77777777" w:rsidR="008E5BF4" w:rsidRPr="008E5BF4" w:rsidRDefault="008E5BF4" w:rsidP="008E5BF4">
            <w:r w:rsidRPr="008E5BF4">
              <w:t>Pilies g. 23, LT-01123 Vilnius</w:t>
            </w:r>
          </w:p>
          <w:p w14:paraId="6C150846" w14:textId="77777777" w:rsidR="008E5BF4" w:rsidRPr="008E5BF4" w:rsidRDefault="008E5BF4" w:rsidP="008E5BF4">
            <w:pPr>
              <w:jc w:val="both"/>
            </w:pPr>
            <w:r w:rsidRPr="008E5BF4">
              <w:t>Juridinio asmens kodas 121738687</w:t>
            </w:r>
          </w:p>
          <w:p w14:paraId="7DEB57D7" w14:textId="77777777" w:rsidR="008E5BF4" w:rsidRPr="008E5BF4" w:rsidRDefault="008E5BF4" w:rsidP="008E5BF4">
            <w:pPr>
              <w:jc w:val="both"/>
            </w:pPr>
            <w:r w:rsidRPr="008E5BF4">
              <w:t>PVM mokėtojo kodas LT217386811</w:t>
            </w:r>
          </w:p>
          <w:p w14:paraId="4895E165" w14:textId="77777777" w:rsidR="008E5BF4" w:rsidRPr="008E5BF4" w:rsidRDefault="008E5BF4" w:rsidP="008E5BF4">
            <w:pPr>
              <w:jc w:val="both"/>
              <w:rPr>
                <w:bCs/>
              </w:rPr>
            </w:pPr>
            <w:r w:rsidRPr="008E5BF4">
              <w:t>A. s. LT</w:t>
            </w:r>
            <w:r w:rsidRPr="008E5BF4">
              <w:rPr>
                <w:lang w:val="en-US"/>
              </w:rPr>
              <w:t>54 7044 0600 0829 8446</w:t>
            </w:r>
            <w:r w:rsidRPr="008E5BF4">
              <w:rPr>
                <w:bCs/>
              </w:rPr>
              <w:t xml:space="preserve">, </w:t>
            </w:r>
          </w:p>
          <w:p w14:paraId="38F4B722" w14:textId="77777777" w:rsidR="008E5BF4" w:rsidRPr="008E5BF4" w:rsidRDefault="008E5BF4" w:rsidP="008E5BF4">
            <w:pPr>
              <w:jc w:val="both"/>
            </w:pPr>
            <w:r w:rsidRPr="008E5BF4">
              <w:t>AB SEB bankas</w:t>
            </w:r>
          </w:p>
          <w:p w14:paraId="1F226C38" w14:textId="77777777" w:rsidR="008E5BF4" w:rsidRPr="008E5BF4" w:rsidRDefault="008E5BF4" w:rsidP="008E5BF4">
            <w:pPr>
              <w:jc w:val="both"/>
            </w:pPr>
            <w:r w:rsidRPr="008E5BF4">
              <w:t>Tel. +370 5239 1708</w:t>
            </w:r>
          </w:p>
          <w:p w14:paraId="069E6428" w14:textId="77777777" w:rsidR="008E5BF4" w:rsidRPr="008E5BF4" w:rsidRDefault="008E5BF4" w:rsidP="008E5BF4">
            <w:pPr>
              <w:jc w:val="both"/>
              <w:rPr>
                <w:color w:val="0563C1"/>
                <w:u w:val="single" w:color="000000"/>
              </w:rPr>
            </w:pPr>
            <w:r w:rsidRPr="008E5BF4">
              <w:t xml:space="preserve">El. p. </w:t>
            </w:r>
            <w:hyperlink r:id="rId12" w:history="1">
              <w:r w:rsidRPr="008E5BF4">
                <w:rPr>
                  <w:color w:val="0563C1"/>
                  <w:u w:val="single" w:color="000000"/>
                </w:rPr>
                <w:t>info@kvtc.gov.lt</w:t>
              </w:r>
            </w:hyperlink>
          </w:p>
          <w:p w14:paraId="057514C6" w14:textId="77777777" w:rsidR="008E5BF4" w:rsidRPr="008E5BF4" w:rsidRDefault="008E5BF4" w:rsidP="004C4E7C">
            <w:pPr>
              <w:rPr>
                <w:highlight w:val="yellow"/>
              </w:rPr>
            </w:pPr>
          </w:p>
          <w:p w14:paraId="77AA92EB" w14:textId="77777777" w:rsidR="000F5445" w:rsidRPr="008E5BF4" w:rsidRDefault="000F5445" w:rsidP="004C4E7C">
            <w:pPr>
              <w:rPr>
                <w:highlight w:val="yellow"/>
              </w:rPr>
            </w:pPr>
          </w:p>
          <w:p w14:paraId="65D33AE7" w14:textId="77777777" w:rsidR="000F5445" w:rsidRPr="008E5BF4" w:rsidRDefault="000F5445" w:rsidP="004C4E7C">
            <w:pPr>
              <w:rPr>
                <w:highlight w:val="yellow"/>
              </w:rPr>
            </w:pPr>
          </w:p>
        </w:tc>
        <w:tc>
          <w:tcPr>
            <w:tcW w:w="5028" w:type="dxa"/>
          </w:tcPr>
          <w:p w14:paraId="7387A1BB" w14:textId="77777777" w:rsidR="000F5445" w:rsidRPr="004E6F83" w:rsidRDefault="000F5445" w:rsidP="004C4E7C">
            <w:r w:rsidRPr="0092560D">
              <w:rPr>
                <w:b/>
                <w:highlight w:val="yellow"/>
              </w:rPr>
              <w:t xml:space="preserve">12. </w:t>
            </w:r>
            <w:r w:rsidRPr="0092560D">
              <w:rPr>
                <w:b/>
                <w:spacing w:val="-4"/>
                <w:highlight w:val="yellow"/>
              </w:rPr>
              <w:t>Nuomotojo</w:t>
            </w:r>
            <w:r w:rsidRPr="0092560D">
              <w:rPr>
                <w:highlight w:val="yellow"/>
              </w:rPr>
              <w:t xml:space="preserve"> </w:t>
            </w:r>
            <w:r w:rsidRPr="0092560D">
              <w:rPr>
                <w:b/>
                <w:highlight w:val="yellow"/>
              </w:rPr>
              <w:t>rekvizitai</w:t>
            </w:r>
          </w:p>
          <w:p w14:paraId="0E79F213" w14:textId="77777777" w:rsidR="00E53CB8" w:rsidRDefault="007239E1" w:rsidP="00FA1DE3">
            <w:pPr>
              <w:rPr>
                <w:bCs/>
                <w:lang w:val="en-GB"/>
              </w:rPr>
            </w:pPr>
            <w:r>
              <w:rPr>
                <w:bCs/>
                <w:lang w:val="en-GB"/>
              </w:rPr>
              <w:t>UAB “</w:t>
            </w:r>
            <w:proofErr w:type="spellStart"/>
            <w:r>
              <w:rPr>
                <w:bCs/>
                <w:lang w:val="en-GB"/>
              </w:rPr>
              <w:t>Avedus</w:t>
            </w:r>
            <w:proofErr w:type="spellEnd"/>
            <w:r>
              <w:rPr>
                <w:bCs/>
                <w:lang w:val="en-GB"/>
              </w:rPr>
              <w:t>”</w:t>
            </w:r>
          </w:p>
          <w:p w14:paraId="629EFDA4" w14:textId="77777777" w:rsidR="007239E1" w:rsidRDefault="007239E1" w:rsidP="00FA1DE3">
            <w:pPr>
              <w:rPr>
                <w:bCs/>
                <w:lang w:val="en-US"/>
              </w:rPr>
            </w:pPr>
            <w:proofErr w:type="spellStart"/>
            <w:r>
              <w:rPr>
                <w:bCs/>
                <w:lang w:val="en-GB"/>
              </w:rPr>
              <w:t>Gelež</w:t>
            </w:r>
            <w:r>
              <w:rPr>
                <w:bCs/>
              </w:rPr>
              <w:t>inio</w:t>
            </w:r>
            <w:proofErr w:type="spellEnd"/>
            <w:r>
              <w:rPr>
                <w:bCs/>
              </w:rPr>
              <w:t xml:space="preserve"> vilko g. 1</w:t>
            </w:r>
            <w:r>
              <w:rPr>
                <w:bCs/>
                <w:lang w:val="en-US"/>
              </w:rPr>
              <w:t>8A, LT-08104 Vilnius</w:t>
            </w:r>
          </w:p>
          <w:p w14:paraId="5705A976" w14:textId="752E51F9" w:rsidR="007239E1" w:rsidRPr="008E5BF4" w:rsidRDefault="007239E1" w:rsidP="007239E1">
            <w:pPr>
              <w:jc w:val="both"/>
            </w:pPr>
            <w:r w:rsidRPr="008E5BF4">
              <w:t xml:space="preserve">Juridinio asmens kodas </w:t>
            </w:r>
            <w:r>
              <w:t>300583901</w:t>
            </w:r>
          </w:p>
          <w:p w14:paraId="0F4304F0" w14:textId="59FB7761" w:rsidR="007239E1" w:rsidRPr="008E5BF4" w:rsidRDefault="007239E1" w:rsidP="007239E1">
            <w:pPr>
              <w:jc w:val="both"/>
            </w:pPr>
            <w:r w:rsidRPr="008E5BF4">
              <w:t>PVM mokėtojo kodas LT</w:t>
            </w:r>
            <w:r>
              <w:t>100002530119</w:t>
            </w:r>
          </w:p>
          <w:p w14:paraId="19212256" w14:textId="4ACCC75C" w:rsidR="007239E1" w:rsidRPr="007239E1" w:rsidRDefault="007239E1" w:rsidP="007239E1">
            <w:pPr>
              <w:jc w:val="both"/>
            </w:pPr>
            <w:r w:rsidRPr="008E5BF4">
              <w:t xml:space="preserve">A. s. </w:t>
            </w:r>
            <w:r w:rsidRPr="007239E1">
              <w:t xml:space="preserve">LT03 7300 0100 9676 7590, </w:t>
            </w:r>
          </w:p>
          <w:p w14:paraId="272F0B18" w14:textId="58016E9A" w:rsidR="007239E1" w:rsidRPr="008E5BF4" w:rsidRDefault="007239E1" w:rsidP="007239E1">
            <w:pPr>
              <w:jc w:val="both"/>
            </w:pPr>
            <w:r w:rsidRPr="008E5BF4">
              <w:t xml:space="preserve">AB </w:t>
            </w:r>
            <w:r>
              <w:t>Swedbank</w:t>
            </w:r>
          </w:p>
          <w:p w14:paraId="52C966FE" w14:textId="7CF13300" w:rsidR="007239E1" w:rsidRPr="008E5BF4" w:rsidRDefault="007239E1" w:rsidP="007239E1">
            <w:pPr>
              <w:jc w:val="both"/>
            </w:pPr>
            <w:r w:rsidRPr="008E5BF4">
              <w:t>Tel. +370 52</w:t>
            </w:r>
            <w:r>
              <w:t>04 5441</w:t>
            </w:r>
          </w:p>
          <w:p w14:paraId="1380FEDC" w14:textId="1D9D09E1" w:rsidR="007239E1" w:rsidRPr="008E5BF4" w:rsidRDefault="007239E1" w:rsidP="007239E1">
            <w:pPr>
              <w:jc w:val="both"/>
              <w:rPr>
                <w:color w:val="0563C1"/>
                <w:u w:val="single" w:color="000000"/>
              </w:rPr>
            </w:pPr>
            <w:proofErr w:type="spellStart"/>
            <w:r w:rsidRPr="008E5BF4">
              <w:t>El.</w:t>
            </w:r>
            <w:r>
              <w:t>p</w:t>
            </w:r>
            <w:proofErr w:type="spellEnd"/>
            <w:r>
              <w:t xml:space="preserve">. </w:t>
            </w:r>
            <w:proofErr w:type="spellStart"/>
            <w:r w:rsidRPr="008E5BF4">
              <w:rPr>
                <w:color w:val="0563C1"/>
                <w:u w:val="single" w:color="000000"/>
              </w:rPr>
              <w:t>info@</w:t>
            </w:r>
            <w:r>
              <w:rPr>
                <w:color w:val="0563C1"/>
                <w:u w:val="single" w:color="000000"/>
              </w:rPr>
              <w:t>avedus.lt</w:t>
            </w:r>
            <w:proofErr w:type="spellEnd"/>
          </w:p>
          <w:p w14:paraId="35547FC4" w14:textId="550958C2" w:rsidR="007239E1" w:rsidRPr="007239E1" w:rsidRDefault="007239E1" w:rsidP="00FA1DE3">
            <w:pPr>
              <w:rPr>
                <w:bCs/>
                <w:lang w:val="en-US"/>
              </w:rPr>
            </w:pPr>
          </w:p>
        </w:tc>
      </w:tr>
    </w:tbl>
    <w:p w14:paraId="3DC27D04" w14:textId="77777777" w:rsidR="000F5445" w:rsidRPr="008E5BF4" w:rsidRDefault="000F5445" w:rsidP="000F5445">
      <w:pPr>
        <w:suppressAutoHyphens/>
        <w:jc w:val="both"/>
        <w:rPr>
          <w:highlight w:val="yellow"/>
        </w:rPr>
      </w:pPr>
    </w:p>
    <w:p w14:paraId="6942DDF0" w14:textId="77777777" w:rsidR="000F5445" w:rsidRPr="008E5BF4" w:rsidRDefault="000F5445" w:rsidP="000F5445">
      <w:pPr>
        <w:rPr>
          <w:rFonts w:eastAsia="Arial"/>
          <w:b/>
          <w:lang w:eastAsia="ar-SA"/>
        </w:rPr>
      </w:pPr>
      <w:r w:rsidRPr="008E5BF4">
        <w:rPr>
          <w:b/>
        </w:rPr>
        <w:t>NUOMININKAS</w:t>
      </w:r>
      <w:r w:rsidRPr="008E5BF4">
        <w:rPr>
          <w:rFonts w:eastAsia="Arial"/>
          <w:b/>
          <w:lang w:eastAsia="ar-SA"/>
        </w:rPr>
        <w:t xml:space="preserve">                                                     NUOMOTOJAS</w:t>
      </w:r>
      <w:r w:rsidRPr="008E5BF4">
        <w:rPr>
          <w:rFonts w:eastAsia="Arial"/>
          <w:b/>
          <w:lang w:eastAsia="ar-SA"/>
        </w:rPr>
        <w:tab/>
      </w:r>
      <w:r w:rsidRPr="008E5BF4">
        <w:rPr>
          <w:rFonts w:eastAsia="Arial"/>
          <w:b/>
          <w:lang w:eastAsia="ar-SA"/>
        </w:rPr>
        <w:tab/>
      </w:r>
      <w:r w:rsidRPr="008E5BF4">
        <w:rPr>
          <w:rFonts w:eastAsia="Arial"/>
          <w:b/>
          <w:lang w:eastAsia="ar-SA"/>
        </w:rPr>
        <w:tab/>
      </w:r>
      <w:r w:rsidRPr="008E5BF4">
        <w:rPr>
          <w:rFonts w:eastAsia="Arial"/>
          <w:b/>
          <w:lang w:eastAsia="ar-SA"/>
        </w:rPr>
        <w:tab/>
      </w:r>
      <w:r w:rsidRPr="008E5BF4">
        <w:rPr>
          <w:rFonts w:eastAsia="Arial"/>
          <w:b/>
          <w:lang w:eastAsia="ar-SA"/>
        </w:rPr>
        <w:tab/>
      </w:r>
      <w:r w:rsidRPr="008E5BF4">
        <w:rPr>
          <w:rFonts w:eastAsia="Arial"/>
          <w:b/>
          <w:lang w:eastAsia="ar-SA"/>
        </w:rPr>
        <w:tab/>
      </w:r>
    </w:p>
    <w:p w14:paraId="45493813" w14:textId="77777777" w:rsidR="000F5445" w:rsidRPr="008E5BF4" w:rsidRDefault="000F5445" w:rsidP="000F5445">
      <w:pPr>
        <w:rPr>
          <w:rFonts w:eastAsia="Arial"/>
          <w:highlight w:val="yellow"/>
          <w:lang w:eastAsia="ar-SA"/>
        </w:rPr>
      </w:pPr>
    </w:p>
    <w:p w14:paraId="24F8FC5B" w14:textId="77777777" w:rsidR="000F5445" w:rsidRPr="008E5BF4" w:rsidRDefault="000F5445" w:rsidP="000F5445">
      <w:pPr>
        <w:jc w:val="center"/>
        <w:rPr>
          <w:b/>
        </w:rPr>
      </w:pPr>
      <w:r w:rsidRPr="008E5BF4">
        <w:rPr>
          <w:highlight w:val="yellow"/>
        </w:rPr>
        <w:br w:type="page"/>
      </w:r>
      <w:r w:rsidRPr="008E5BF4">
        <w:rPr>
          <w:b/>
        </w:rPr>
        <w:lastRenderedPageBreak/>
        <w:t xml:space="preserve"> NUOMOS SUTARTIS</w:t>
      </w:r>
    </w:p>
    <w:p w14:paraId="7EF60586" w14:textId="77777777" w:rsidR="000F5445" w:rsidRPr="008E5BF4" w:rsidRDefault="000F5445" w:rsidP="000F5445">
      <w:pPr>
        <w:jc w:val="center"/>
        <w:rPr>
          <w:b/>
        </w:rPr>
      </w:pPr>
    </w:p>
    <w:p w14:paraId="3F3ED70C" w14:textId="77777777" w:rsidR="000F5445" w:rsidRPr="008E5BF4" w:rsidRDefault="000F5445" w:rsidP="000F5445">
      <w:pPr>
        <w:numPr>
          <w:ilvl w:val="0"/>
          <w:numId w:val="8"/>
        </w:numPr>
        <w:jc w:val="center"/>
        <w:rPr>
          <w:b/>
        </w:rPr>
      </w:pPr>
      <w:r w:rsidRPr="008E5BF4">
        <w:rPr>
          <w:b/>
        </w:rPr>
        <w:t>BENDROJI DALIS</w:t>
      </w:r>
    </w:p>
    <w:p w14:paraId="68CCBA74" w14:textId="77777777" w:rsidR="000F5445" w:rsidRPr="008E5BF4" w:rsidRDefault="000F5445" w:rsidP="000F5445">
      <w:pPr>
        <w:rPr>
          <w:b/>
        </w:rPr>
      </w:pPr>
    </w:p>
    <w:p w14:paraId="1119DED7" w14:textId="77777777" w:rsidR="000F5445" w:rsidRPr="008E5BF4" w:rsidRDefault="000F5445" w:rsidP="000F5445">
      <w:pPr>
        <w:jc w:val="both"/>
        <w:rPr>
          <w:b/>
        </w:rPr>
      </w:pPr>
      <w:r w:rsidRPr="008E5BF4">
        <w:rPr>
          <w:b/>
        </w:rPr>
        <w:t>1.</w:t>
      </w:r>
      <w:r w:rsidRPr="008E5BF4">
        <w:t xml:space="preserve"> </w:t>
      </w:r>
      <w:r w:rsidRPr="008E5BF4">
        <w:rPr>
          <w:b/>
        </w:rPr>
        <w:t>Sąvokos</w:t>
      </w:r>
    </w:p>
    <w:p w14:paraId="2886AAC2" w14:textId="77777777" w:rsidR="000F5445" w:rsidRPr="008E5BF4" w:rsidRDefault="000F5445" w:rsidP="000F5445">
      <w:pPr>
        <w:jc w:val="both"/>
      </w:pPr>
      <w:r w:rsidRPr="008E5BF4">
        <w:t>1.1. Šioje sutartyje naudojamos pagrindinės sąvokos:</w:t>
      </w:r>
    </w:p>
    <w:p w14:paraId="5151A759" w14:textId="77777777" w:rsidR="000F5445" w:rsidRPr="008E5BF4" w:rsidRDefault="000F5445" w:rsidP="000F5445">
      <w:pPr>
        <w:pStyle w:val="BodyText"/>
        <w:tabs>
          <w:tab w:val="left" w:pos="-360"/>
          <w:tab w:val="left" w:pos="-180"/>
          <w:tab w:val="left" w:pos="0"/>
          <w:tab w:val="left" w:pos="720"/>
        </w:tabs>
        <w:spacing w:after="0"/>
        <w:jc w:val="both"/>
      </w:pPr>
      <w:r w:rsidRPr="008E5BF4">
        <w:t xml:space="preserve">1.1.1. Sutartis – šios nuomos sutarties bendroji ir specialioji dalys, nuomos sutarties priedai. </w:t>
      </w:r>
    </w:p>
    <w:p w14:paraId="448DD720" w14:textId="77777777" w:rsidR="000F5445" w:rsidRPr="008E5BF4" w:rsidRDefault="000F5445" w:rsidP="000F5445">
      <w:pPr>
        <w:pStyle w:val="BodyText"/>
        <w:tabs>
          <w:tab w:val="left" w:pos="-180"/>
          <w:tab w:val="left" w:pos="0"/>
          <w:tab w:val="left" w:pos="540"/>
        </w:tabs>
        <w:spacing w:after="0"/>
        <w:jc w:val="both"/>
      </w:pPr>
      <w:r w:rsidRPr="008E5BF4">
        <w:t xml:space="preserve">1.1.2. Sutarties Šalys - </w:t>
      </w:r>
      <w:r w:rsidRPr="008E5BF4">
        <w:rPr>
          <w:b/>
        </w:rPr>
        <w:t>Nuomininkas</w:t>
      </w:r>
      <w:r w:rsidRPr="008E5BF4">
        <w:t xml:space="preserve"> ir </w:t>
      </w:r>
      <w:r w:rsidRPr="008E5BF4">
        <w:rPr>
          <w:b/>
        </w:rPr>
        <w:t>Nuomotojas</w:t>
      </w:r>
      <w:r w:rsidRPr="008E5BF4">
        <w:t>:</w:t>
      </w:r>
    </w:p>
    <w:p w14:paraId="1082BFA5" w14:textId="77777777" w:rsidR="000F5445" w:rsidRPr="008E5BF4" w:rsidRDefault="000F5445" w:rsidP="000F5445">
      <w:pPr>
        <w:pStyle w:val="BodyText"/>
        <w:spacing w:after="0"/>
        <w:jc w:val="both"/>
      </w:pPr>
      <w:r w:rsidRPr="008E5BF4">
        <w:t>1.1.2.1.</w:t>
      </w:r>
      <w:r w:rsidRPr="008E5BF4">
        <w:rPr>
          <w:b/>
        </w:rPr>
        <w:t xml:space="preserve"> Nuomininkas</w:t>
      </w:r>
      <w:r w:rsidRPr="008E5BF4">
        <w:t xml:space="preserve"> – tai Sutarties šalis, kurios rekvizitai nurodyti Sutartyje, nuomojantis nuomos objektą šioje Sutartyje nurodytomis sąlygomis;</w:t>
      </w:r>
    </w:p>
    <w:p w14:paraId="02FEC854" w14:textId="77777777" w:rsidR="000F5445" w:rsidRPr="008E5BF4" w:rsidRDefault="000F5445" w:rsidP="000F5445">
      <w:pPr>
        <w:pStyle w:val="BodyText"/>
        <w:spacing w:after="0"/>
        <w:jc w:val="both"/>
      </w:pPr>
      <w:r w:rsidRPr="008E5BF4">
        <w:t xml:space="preserve">1.1.2.2. </w:t>
      </w:r>
      <w:r w:rsidRPr="008E5BF4">
        <w:rPr>
          <w:b/>
        </w:rPr>
        <w:t>Nuomotojas</w:t>
      </w:r>
      <w:r w:rsidRPr="008E5BF4">
        <w:t xml:space="preserve"> – tai Sutarties šalis, kurios rekvizitai nurodyti Sutartyje, išnuomojantis nuomos objektą šioje Sutartyje nurodytomis sąlygomis.</w:t>
      </w:r>
    </w:p>
    <w:p w14:paraId="0357F884" w14:textId="77777777" w:rsidR="000F5445" w:rsidRPr="008E5BF4" w:rsidRDefault="000F5445" w:rsidP="000F5445">
      <w:pPr>
        <w:pStyle w:val="BodyText"/>
        <w:spacing w:after="0"/>
        <w:jc w:val="both"/>
      </w:pPr>
      <w:r w:rsidRPr="008E5BF4">
        <w:t>1.1.3.</w:t>
      </w:r>
      <w:r w:rsidRPr="008E5BF4">
        <w:rPr>
          <w:b/>
        </w:rPr>
        <w:t xml:space="preserve"> Gavėjas</w:t>
      </w:r>
      <w:r w:rsidRPr="008E5BF4">
        <w:t xml:space="preserve"> – Nuomininko padalinys, nurodytas Sutarties specialiojoje dalyje arba Sutarties priede, kuriam pristatomos išnuomojamas nuomos objektas.</w:t>
      </w:r>
    </w:p>
    <w:p w14:paraId="60E583B2" w14:textId="77777777" w:rsidR="000F5445" w:rsidRPr="008E5BF4" w:rsidRDefault="000F5445" w:rsidP="000F5445">
      <w:pPr>
        <w:pStyle w:val="BodyText"/>
        <w:spacing w:after="0"/>
        <w:jc w:val="both"/>
      </w:pPr>
      <w:r w:rsidRPr="008E5BF4">
        <w:t>1.1.4. Trečiasis asmuo – tai bet kuris fizinis ar juridinis asmuo (taip pat valstybė, valstybės institucijos, savivaldybė, savivaldybės institucijos), kuris nėra šios Sutarties šalis</w:t>
      </w:r>
      <w:r w:rsidR="00BE5351" w:rsidRPr="008E5BF4">
        <w:t xml:space="preserve"> ir </w:t>
      </w:r>
      <w:r w:rsidR="00BE5351" w:rsidRPr="008E5BF4">
        <w:rPr>
          <w:b/>
        </w:rPr>
        <w:t>Gavėjas</w:t>
      </w:r>
    </w:p>
    <w:p w14:paraId="5FFA26C8" w14:textId="77777777" w:rsidR="000F5445" w:rsidRPr="008E5BF4" w:rsidRDefault="000F5445" w:rsidP="000F5445">
      <w:pPr>
        <w:pStyle w:val="BodyText"/>
        <w:spacing w:after="0"/>
        <w:jc w:val="both"/>
      </w:pPr>
      <w:r w:rsidRPr="008E5BF4">
        <w:t xml:space="preserve">1.1.5. Licencijos </w:t>
      </w:r>
      <w:r w:rsidRPr="008E5BF4">
        <w:rPr>
          <w:b/>
        </w:rPr>
        <w:t xml:space="preserve">- </w:t>
      </w:r>
      <w:r w:rsidRPr="008E5BF4">
        <w:rPr>
          <w:spacing w:val="-3"/>
        </w:rPr>
        <w:t>visos reikalingos licencijos ir/arba leidimai būtini Sutarties vykdymui.</w:t>
      </w:r>
    </w:p>
    <w:p w14:paraId="1AAEC37D" w14:textId="77777777" w:rsidR="000F5445" w:rsidRPr="008E5BF4" w:rsidRDefault="000F5445" w:rsidP="000F5445">
      <w:pPr>
        <w:pStyle w:val="BodyText"/>
        <w:tabs>
          <w:tab w:val="num" w:pos="2880"/>
        </w:tabs>
        <w:spacing w:after="0"/>
        <w:jc w:val="both"/>
        <w:rPr>
          <w:b/>
        </w:rPr>
      </w:pPr>
      <w:r w:rsidRPr="008E5BF4">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8E5BF4">
        <w:rPr>
          <w:b/>
        </w:rPr>
        <w:t>Nuomininko</w:t>
      </w:r>
      <w:r w:rsidRPr="008E5BF4">
        <w:t xml:space="preserve"> nustatytus reikalavimus.</w:t>
      </w:r>
    </w:p>
    <w:p w14:paraId="3D8E5D6A" w14:textId="77777777" w:rsidR="000F5445" w:rsidRPr="008E5BF4" w:rsidRDefault="000F5445" w:rsidP="000F5445">
      <w:pPr>
        <w:pStyle w:val="BodyText"/>
        <w:tabs>
          <w:tab w:val="left" w:pos="540"/>
          <w:tab w:val="num" w:pos="2880"/>
        </w:tabs>
        <w:spacing w:after="0"/>
        <w:jc w:val="both"/>
      </w:pPr>
      <w:r w:rsidRPr="008E5BF4">
        <w:t xml:space="preserve">1.1.7. Šalių iš anksto sutarti minimalūs nuostoliai – tai Sutarties nustatyta arba Sutartyje nustatyta tvarka apskaičiuota ir neginčijama pinigų suma, kurią </w:t>
      </w:r>
      <w:r w:rsidRPr="008E5BF4">
        <w:rPr>
          <w:b/>
        </w:rPr>
        <w:t>Nuomotojas</w:t>
      </w:r>
      <w:r w:rsidRPr="008E5BF4">
        <w:t xml:space="preserve"> įsipareigoja sumokėti </w:t>
      </w:r>
      <w:r w:rsidRPr="008E5BF4">
        <w:rPr>
          <w:b/>
        </w:rPr>
        <w:t>Nuomininkui</w:t>
      </w:r>
      <w:r w:rsidRPr="008E5BF4">
        <w:t>, jeigu prievolė neįvykdyta arba netinkamai įvykdyta.</w:t>
      </w:r>
    </w:p>
    <w:p w14:paraId="19A27E88" w14:textId="77777777" w:rsidR="000F5445" w:rsidRPr="008E5BF4" w:rsidRDefault="000F5445" w:rsidP="000F5445">
      <w:pPr>
        <w:pStyle w:val="BodyText"/>
        <w:tabs>
          <w:tab w:val="left" w:pos="540"/>
          <w:tab w:val="num" w:pos="2880"/>
        </w:tabs>
        <w:spacing w:after="0"/>
        <w:jc w:val="both"/>
      </w:pPr>
      <w:r w:rsidRPr="008E5BF4">
        <w:t>1.1.8. Kainodaros taisyklės – sutartyje nustatyta kaina ar sutarties kainos apskaičiavimo bei kainos koregavimo taisyklės.</w:t>
      </w:r>
    </w:p>
    <w:p w14:paraId="09DCE4C7" w14:textId="77777777" w:rsidR="000F5445" w:rsidRPr="008E5BF4" w:rsidRDefault="000F5445" w:rsidP="000F5445">
      <w:pPr>
        <w:pStyle w:val="BodyText"/>
        <w:tabs>
          <w:tab w:val="left" w:pos="540"/>
          <w:tab w:val="num" w:pos="2880"/>
        </w:tabs>
        <w:spacing w:after="0"/>
        <w:jc w:val="both"/>
        <w:rPr>
          <w:bCs/>
          <w:iCs/>
        </w:rPr>
      </w:pPr>
      <w:r w:rsidRPr="008E5BF4">
        <w:rPr>
          <w:bCs/>
          <w:iCs/>
        </w:rPr>
        <w:t xml:space="preserve">1.2. </w:t>
      </w:r>
      <w:r w:rsidRPr="008E5BF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4150B3" w14:textId="77777777" w:rsidR="000F5445" w:rsidRPr="008E5BF4" w:rsidRDefault="000F5445" w:rsidP="000F5445">
      <w:pPr>
        <w:pStyle w:val="BodyText"/>
        <w:tabs>
          <w:tab w:val="num" w:pos="540"/>
          <w:tab w:val="left" w:pos="1701"/>
          <w:tab w:val="num" w:pos="2880"/>
        </w:tabs>
        <w:spacing w:after="0"/>
        <w:jc w:val="both"/>
      </w:pPr>
      <w:r w:rsidRPr="008E5BF4">
        <w:rPr>
          <w:bCs/>
          <w:iCs/>
        </w:rPr>
        <w:t xml:space="preserve">1.3. </w:t>
      </w:r>
      <w:r w:rsidRPr="008E5BF4">
        <w:t>Sutarties dalių ir straipsnių pavadinimai yra naudojami tik nuorodų patogumui, ir aiškinant Sutartį gali būti naudojami tik kaip papildoma priemonė.</w:t>
      </w:r>
    </w:p>
    <w:p w14:paraId="36C1DBE3" w14:textId="77777777" w:rsidR="000F5445" w:rsidRPr="008E5BF4" w:rsidRDefault="000F5445" w:rsidP="000F5445">
      <w:pPr>
        <w:pStyle w:val="BodyText"/>
        <w:tabs>
          <w:tab w:val="left" w:pos="360"/>
          <w:tab w:val="num" w:pos="2880"/>
        </w:tabs>
        <w:spacing w:after="0"/>
        <w:jc w:val="both"/>
      </w:pPr>
      <w:r w:rsidRPr="008E5BF4">
        <w:t xml:space="preserve">1.4. Jeigu Sutartyje nenustatyta kitaip, Sutarties trukmė ir kiti terminai yra skaičiuojami kalendorinėmis dienomis. </w:t>
      </w:r>
    </w:p>
    <w:p w14:paraId="461D6CDB" w14:textId="77777777" w:rsidR="000F5445" w:rsidRPr="008E5BF4" w:rsidRDefault="000F5445" w:rsidP="000F5445">
      <w:pPr>
        <w:pStyle w:val="BodyText"/>
        <w:tabs>
          <w:tab w:val="num" w:pos="540"/>
          <w:tab w:val="left" w:pos="1701"/>
          <w:tab w:val="num" w:pos="2880"/>
        </w:tabs>
        <w:spacing w:after="0"/>
        <w:jc w:val="both"/>
      </w:pPr>
      <w:r w:rsidRPr="008E5BF4">
        <w:t xml:space="preserve">1.5. Jeigu mokėjimų ar prievolių įvykdymo terminas sutampa su oficialių švenčių ir ne darbo diena Lietuvos Respublikoje, tai pagal Sutartį prievolės įvykdymo ir mokėjimų terminas yra po to einanti darbo diena. </w:t>
      </w:r>
    </w:p>
    <w:p w14:paraId="71E5DBC8" w14:textId="77777777" w:rsidR="000F5445" w:rsidRPr="008E5BF4" w:rsidRDefault="000F5445" w:rsidP="000F5445">
      <w:pPr>
        <w:pStyle w:val="BodyText"/>
        <w:tabs>
          <w:tab w:val="num" w:pos="540"/>
          <w:tab w:val="num" w:pos="792"/>
          <w:tab w:val="left" w:pos="1701"/>
          <w:tab w:val="num" w:pos="2880"/>
        </w:tabs>
        <w:spacing w:after="0"/>
        <w:jc w:val="both"/>
      </w:pPr>
      <w:r w:rsidRPr="008E5BF4">
        <w:t>1.6. Sutartyje, kur reikalauja kontekstas, žodžiai pateikti vienaskaitoje, gali turėti daugiskaitos prasmę ir atvirkščiai.</w:t>
      </w:r>
    </w:p>
    <w:p w14:paraId="1A2D79C6" w14:textId="77777777" w:rsidR="000F5445" w:rsidRPr="008E5BF4" w:rsidRDefault="000F5445" w:rsidP="000F5445">
      <w:pPr>
        <w:pStyle w:val="BodyText"/>
        <w:tabs>
          <w:tab w:val="num" w:pos="540"/>
          <w:tab w:val="num" w:pos="792"/>
          <w:tab w:val="left" w:pos="1701"/>
          <w:tab w:val="num" w:pos="2880"/>
        </w:tabs>
        <w:spacing w:after="0"/>
        <w:jc w:val="both"/>
      </w:pPr>
      <w:r w:rsidRPr="008E5BF4">
        <w:t>1.7. Tais atvejais, kai tam tikra prasmė yra skirtinga tarp nurodytosios žodžiais ir nurodytosios skaičiais, vadovaujamasi žodine prasme.</w:t>
      </w:r>
    </w:p>
    <w:p w14:paraId="5DA56CFB" w14:textId="77777777" w:rsidR="000F5445" w:rsidRPr="008E5BF4" w:rsidRDefault="000F5445" w:rsidP="000F5445">
      <w:pPr>
        <w:jc w:val="both"/>
      </w:pPr>
    </w:p>
    <w:p w14:paraId="2E52C109" w14:textId="77777777" w:rsidR="000F5445" w:rsidRPr="008E5BF4" w:rsidRDefault="000F5445" w:rsidP="000F5445">
      <w:pPr>
        <w:jc w:val="both"/>
        <w:rPr>
          <w:b/>
        </w:rPr>
      </w:pPr>
      <w:r w:rsidRPr="008E5BF4">
        <w:rPr>
          <w:b/>
        </w:rPr>
        <w:t>2. Sutarties kaina/ įkainiai/kainodaros taisyklės</w:t>
      </w:r>
    </w:p>
    <w:p w14:paraId="37C446AB" w14:textId="77777777" w:rsidR="000F5445" w:rsidRPr="008E5BF4" w:rsidRDefault="000F5445" w:rsidP="000F5445">
      <w:pPr>
        <w:jc w:val="both"/>
      </w:pPr>
      <w:r w:rsidRPr="008E5BF4">
        <w:t xml:space="preserve">2.1. Sutarties kaina/įkainiai - pinigų suma, kurią </w:t>
      </w:r>
      <w:r w:rsidRPr="008E5BF4">
        <w:rPr>
          <w:b/>
        </w:rPr>
        <w:t>Nuomininkas</w:t>
      </w:r>
      <w:r w:rsidRPr="008E5BF4">
        <w:t xml:space="preserve"> Sutartyje nustatyta tvarka ir terminais įsipareigoja sumokėti </w:t>
      </w:r>
      <w:r w:rsidRPr="008E5BF4">
        <w:rPr>
          <w:b/>
        </w:rPr>
        <w:t>Nuomotojui</w:t>
      </w:r>
      <w:r w:rsidRPr="008E5BF4">
        <w:t>.</w:t>
      </w:r>
    </w:p>
    <w:p w14:paraId="7FD7E423" w14:textId="77777777" w:rsidR="000F5445" w:rsidRPr="008E5BF4" w:rsidRDefault="000F5445" w:rsidP="000F5445">
      <w:pPr>
        <w:jc w:val="both"/>
      </w:pPr>
      <w:r w:rsidRPr="008E5BF4">
        <w:t>2.2. Sutarties kaina/įkainiai yra pastovūs ir nekeičiami visą sutarties galiojimo laikotarpį, išskyrus atvejus, kai po Sutarties pasirašymo keičiasi nuomos objekto nuomai taikomo PVM/akcizų tarifas</w:t>
      </w:r>
      <w:r w:rsidRPr="008E5BF4">
        <w:rPr>
          <w:i/>
        </w:rPr>
        <w:t>.</w:t>
      </w:r>
      <w:r w:rsidRPr="008E5BF4">
        <w:t xml:space="preserve"> Perskaičiuota kaina/įkainiai įforminami raštišku Šalių susitarimu </w:t>
      </w:r>
      <w:r w:rsidRPr="008E5BF4">
        <w:rPr>
          <w:i/>
        </w:rPr>
        <w:t>(jei spec. dalyje nurodyta, kad ši sąlyga taikoma)</w:t>
      </w:r>
      <w:r w:rsidRPr="008E5BF4">
        <w:t>.</w:t>
      </w:r>
    </w:p>
    <w:p w14:paraId="185800A3" w14:textId="77777777" w:rsidR="000F5445" w:rsidRPr="008E5BF4" w:rsidRDefault="000F5445" w:rsidP="000F5445">
      <w:pPr>
        <w:jc w:val="both"/>
      </w:pPr>
      <w:r w:rsidRPr="008E5BF4">
        <w:t>2.3. Įkainiai keičiami vadovaujantis Sutarties priede nustatytomis kainodaros taisyklėmis. Perskaičiuoti įkainiai įforminami raštišku Šalių susitarimu.</w:t>
      </w:r>
    </w:p>
    <w:p w14:paraId="031D32AD" w14:textId="77777777" w:rsidR="000F5445" w:rsidRPr="008E5BF4" w:rsidRDefault="000F5445" w:rsidP="000F5445">
      <w:pPr>
        <w:widowControl w:val="0"/>
        <w:shd w:val="clear" w:color="auto" w:fill="FFFFFF"/>
        <w:jc w:val="both"/>
      </w:pPr>
      <w:r w:rsidRPr="008E5BF4">
        <w:t xml:space="preserve">2.4. </w:t>
      </w:r>
      <w:r w:rsidRPr="008E5BF4">
        <w:rPr>
          <w:b/>
        </w:rPr>
        <w:t>Nuomotojas</w:t>
      </w:r>
      <w:r w:rsidRPr="008E5BF4">
        <w:t xml:space="preserve"> į Sutarties kainą/ nuomos objekto nuomos įkainius privalo įskaičiuoti visas su nuomos objekto tiekimu susijusias išlaidas</w:t>
      </w:r>
      <w:r w:rsidR="00456DB6" w:rsidRPr="008E5BF4">
        <w:t xml:space="preserve"> ir mokesčius</w:t>
      </w:r>
      <w:r w:rsidRPr="008E5BF4">
        <w:t>, įskaitant, bet neapsiribojant:</w:t>
      </w:r>
    </w:p>
    <w:p w14:paraId="122DD8F0" w14:textId="77777777" w:rsidR="000F5445" w:rsidRPr="008E5BF4" w:rsidRDefault="000F5445" w:rsidP="000F5445">
      <w:pPr>
        <w:widowControl w:val="0"/>
        <w:shd w:val="clear" w:color="auto" w:fill="FFFFFF"/>
        <w:jc w:val="both"/>
      </w:pPr>
      <w:r w:rsidRPr="008E5BF4">
        <w:t>2.4.1. logistikos (transportavimo) išlaidas;</w:t>
      </w:r>
    </w:p>
    <w:p w14:paraId="03E82A9D" w14:textId="77777777" w:rsidR="000F5445" w:rsidRPr="008E5BF4" w:rsidRDefault="000F5445" w:rsidP="000F5445">
      <w:pPr>
        <w:widowControl w:val="0"/>
        <w:shd w:val="clear" w:color="auto" w:fill="FFFFFF"/>
        <w:jc w:val="both"/>
      </w:pPr>
      <w:r w:rsidRPr="008E5BF4">
        <w:t xml:space="preserve">2.4.2. pakavimo, pakrovimo, tranzito, iškrovimo, išpakavimo, tikrinimo, draudimo ir kitas su </w:t>
      </w:r>
      <w:r w:rsidRPr="008E5BF4">
        <w:lastRenderedPageBreak/>
        <w:t>išnuomojamu nuomos objekto tiekimu susijusias išlaidas;</w:t>
      </w:r>
    </w:p>
    <w:p w14:paraId="7CB76EB9" w14:textId="77777777" w:rsidR="000F5445" w:rsidRPr="008E5BF4" w:rsidRDefault="000F5445" w:rsidP="000F5445">
      <w:pPr>
        <w:widowControl w:val="0"/>
        <w:shd w:val="clear" w:color="auto" w:fill="FFFFFF"/>
        <w:jc w:val="both"/>
      </w:pPr>
      <w:r w:rsidRPr="008E5BF4">
        <w:t xml:space="preserve">2.4.3. visas su dokumentų, kurių reikalauja </w:t>
      </w:r>
      <w:r w:rsidRPr="008E5BF4">
        <w:rPr>
          <w:b/>
        </w:rPr>
        <w:t>Nuomininkas</w:t>
      </w:r>
      <w:r w:rsidRPr="008E5BF4">
        <w:t>, rengimu ir pateikimu susijusias išlaidas;</w:t>
      </w:r>
    </w:p>
    <w:p w14:paraId="241F970F" w14:textId="77777777" w:rsidR="000F5445" w:rsidRPr="008E5BF4" w:rsidRDefault="000F5445" w:rsidP="000F5445">
      <w:pPr>
        <w:widowControl w:val="0"/>
        <w:shd w:val="clear" w:color="auto" w:fill="FFFFFF"/>
        <w:jc w:val="both"/>
      </w:pPr>
      <w:r w:rsidRPr="008E5BF4">
        <w:t>2.4.4. pristatyto nuomos objekto surinkimo vietoje ir/arba paleidimo, ir/arba priežiūros išlaidas;</w:t>
      </w:r>
    </w:p>
    <w:p w14:paraId="6AF2EAFF" w14:textId="77777777" w:rsidR="000F5445" w:rsidRPr="008E5BF4" w:rsidRDefault="000F5445" w:rsidP="000F5445">
      <w:pPr>
        <w:widowControl w:val="0"/>
        <w:shd w:val="clear" w:color="auto" w:fill="FFFFFF"/>
        <w:jc w:val="both"/>
      </w:pPr>
      <w:r w:rsidRPr="008E5BF4">
        <w:t>2.4.5. aprūpinimo įrankiais, reikalingais pristatyto nuomos objekto surinkimui ir/arba priežiūrai, išlaidas;</w:t>
      </w:r>
    </w:p>
    <w:p w14:paraId="042E1C98" w14:textId="77777777" w:rsidR="000F5445" w:rsidRPr="008E5BF4" w:rsidRDefault="000F5445" w:rsidP="000F5445">
      <w:pPr>
        <w:widowControl w:val="0"/>
        <w:shd w:val="clear" w:color="auto" w:fill="FFFFFF"/>
        <w:jc w:val="both"/>
      </w:pPr>
      <w:r w:rsidRPr="008E5BF4">
        <w:t>2.4.6. naudojimo ir priežiūros instrukcijų, numatytų Techninėje specifikacijoje, pateikimo išlaidas;</w:t>
      </w:r>
    </w:p>
    <w:p w14:paraId="780BB2AE" w14:textId="77777777" w:rsidR="000F5445" w:rsidRPr="008E5BF4" w:rsidRDefault="000F5445" w:rsidP="000F5445">
      <w:pPr>
        <w:widowControl w:val="0"/>
        <w:shd w:val="clear" w:color="auto" w:fill="FFFFFF"/>
        <w:jc w:val="both"/>
      </w:pPr>
      <w:r w:rsidRPr="008E5BF4">
        <w:t>2.4.7. nuomos objekto remonto išlaidas, kokybės garantijos laikotarpiu.</w:t>
      </w:r>
    </w:p>
    <w:p w14:paraId="73D2B7A4" w14:textId="77777777" w:rsidR="000F5445" w:rsidRPr="008E5BF4" w:rsidRDefault="000F5445" w:rsidP="000F5445">
      <w:pPr>
        <w:jc w:val="both"/>
      </w:pPr>
      <w:r w:rsidRPr="008E5BF4">
        <w:t xml:space="preserve">2.5. Užsienio valiutų kursų svyravimo, gamintojų kainų keitimo rizika tenka </w:t>
      </w:r>
      <w:r w:rsidRPr="008E5BF4">
        <w:rPr>
          <w:b/>
        </w:rPr>
        <w:t>Nuomotojui</w:t>
      </w:r>
      <w:r w:rsidRPr="008E5BF4">
        <w:t>.</w:t>
      </w:r>
    </w:p>
    <w:p w14:paraId="75DC0749" w14:textId="77777777" w:rsidR="000F5445" w:rsidRPr="008E5BF4" w:rsidRDefault="000F5445" w:rsidP="000F5445">
      <w:pPr>
        <w:jc w:val="both"/>
      </w:pPr>
    </w:p>
    <w:p w14:paraId="15106D57" w14:textId="77777777" w:rsidR="000F5445" w:rsidRPr="008E5BF4" w:rsidRDefault="000F5445" w:rsidP="000F5445">
      <w:pPr>
        <w:jc w:val="both"/>
        <w:rPr>
          <w:b/>
        </w:rPr>
      </w:pPr>
      <w:r w:rsidRPr="008E5BF4">
        <w:rPr>
          <w:b/>
        </w:rPr>
        <w:t>3.</w:t>
      </w:r>
      <w:r w:rsidRPr="008E5BF4">
        <w:t xml:space="preserve"> </w:t>
      </w:r>
      <w:r w:rsidRPr="008E5BF4">
        <w:rPr>
          <w:b/>
        </w:rPr>
        <w:t>Nuomos objekto</w:t>
      </w:r>
      <w:r w:rsidRPr="008E5BF4">
        <w:t xml:space="preserve"> </w:t>
      </w:r>
      <w:r w:rsidRPr="008E5BF4">
        <w:rPr>
          <w:b/>
        </w:rPr>
        <w:t>tiekimo terminai ir sąlygos</w:t>
      </w:r>
    </w:p>
    <w:p w14:paraId="323F52C9" w14:textId="77777777" w:rsidR="000F5445" w:rsidRPr="008E5BF4" w:rsidRDefault="000F5445" w:rsidP="000F5445">
      <w:pPr>
        <w:jc w:val="both"/>
      </w:pPr>
      <w:r w:rsidRPr="008E5BF4">
        <w:t>3.1. Nuomos objektas pristatomas Sutarties specialiojoje dalyje (arba Sutarties</w:t>
      </w:r>
      <w:r w:rsidRPr="008E5BF4">
        <w:rPr>
          <w:i/>
        </w:rPr>
        <w:t xml:space="preserve"> </w:t>
      </w:r>
      <w:r w:rsidRPr="008E5BF4">
        <w:t>priede (-</w:t>
      </w:r>
      <w:proofErr w:type="spellStart"/>
      <w:r w:rsidRPr="008E5BF4">
        <w:t>uose</w:t>
      </w:r>
      <w:proofErr w:type="spellEnd"/>
      <w:r w:rsidRPr="008E5BF4">
        <w:t>)) numatytais terminais ir tvarka.</w:t>
      </w:r>
    </w:p>
    <w:p w14:paraId="4257BAFE" w14:textId="77777777" w:rsidR="000F5445" w:rsidRPr="008E5BF4" w:rsidRDefault="000F5445" w:rsidP="000F5445">
      <w:pPr>
        <w:jc w:val="both"/>
      </w:pPr>
      <w:r w:rsidRPr="008E5BF4">
        <w:t>3.2. Nuomos objektą</w:t>
      </w:r>
      <w:r w:rsidRPr="008E5BF4">
        <w:rPr>
          <w:b/>
        </w:rPr>
        <w:t xml:space="preserve"> Nuomotojas</w:t>
      </w:r>
      <w:r w:rsidRPr="008E5BF4">
        <w:t xml:space="preserve"> pristato savo rizika be papildomo apmokėjimo. </w:t>
      </w:r>
      <w:r w:rsidRPr="008E5BF4">
        <w:rPr>
          <w:b/>
        </w:rPr>
        <w:t>Nuomininkas</w:t>
      </w:r>
      <w:r w:rsidRPr="008E5BF4">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8E5BF4">
        <w:t>uose</w:t>
      </w:r>
      <w:proofErr w:type="spellEnd"/>
      <w:r w:rsidRPr="008E5BF4">
        <w:t xml:space="preserve">) joms nustatytus reikalavimus </w:t>
      </w:r>
      <w:r w:rsidRPr="008E5BF4">
        <w:rPr>
          <w:i/>
        </w:rPr>
        <w:t>(</w:t>
      </w:r>
      <w:r w:rsidRPr="008E5BF4">
        <w:rPr>
          <w:i/>
          <w:iCs/>
        </w:rPr>
        <w:t>jeigu perdavimo</w:t>
      </w:r>
      <w:r w:rsidR="000D68E7" w:rsidRPr="008E5BF4">
        <w:rPr>
          <w:i/>
          <w:iCs/>
        </w:rPr>
        <w:t>-priėmimo</w:t>
      </w:r>
      <w:r w:rsidRPr="008E5BF4">
        <w:rPr>
          <w:i/>
          <w:iCs/>
        </w:rPr>
        <w:t xml:space="preserve"> aktas nepasirašomas, spec. dalyje nurodomas kitas dokumentas, kuris bus pasirašomas patvirtinant </w:t>
      </w:r>
      <w:r w:rsidR="009B0A70" w:rsidRPr="008E5BF4">
        <w:rPr>
          <w:i/>
          <w:iCs/>
        </w:rPr>
        <w:t xml:space="preserve">nuomos objekto </w:t>
      </w:r>
      <w:r w:rsidRPr="008E5BF4">
        <w:rPr>
          <w:i/>
          <w:iCs/>
        </w:rPr>
        <w:t xml:space="preserve"> perdavimą-priėmimą)</w:t>
      </w:r>
      <w:r w:rsidRPr="008E5BF4">
        <w:rPr>
          <w:i/>
        </w:rPr>
        <w:t>)</w:t>
      </w:r>
      <w:r w:rsidRPr="008E5BF4">
        <w:t>. Kai pristatytas nuomos objektas yra kokybiškas ir atitinka Sutartyje ir jos priede (-</w:t>
      </w:r>
      <w:proofErr w:type="spellStart"/>
      <w:r w:rsidRPr="008E5BF4">
        <w:t>uose</w:t>
      </w:r>
      <w:proofErr w:type="spellEnd"/>
      <w:r w:rsidRPr="008E5BF4">
        <w:t>) jam nustatytus reikalavimus</w:t>
      </w:r>
      <w:r w:rsidR="00D646F4" w:rsidRPr="008E5BF4">
        <w:t>,</w:t>
      </w:r>
      <w:r w:rsidRPr="008E5BF4">
        <w:t xml:space="preserve"> dokumentas, patvirtinantis </w:t>
      </w:r>
      <w:r w:rsidR="00D646F4" w:rsidRPr="008E5BF4">
        <w:t xml:space="preserve">nuomos objekto </w:t>
      </w:r>
      <w:r w:rsidRPr="008E5BF4">
        <w:t>perdavimą-priėmimą</w:t>
      </w:r>
      <w:r w:rsidR="0078369A" w:rsidRPr="008E5BF4">
        <w:t>,</w:t>
      </w:r>
      <w:r w:rsidRPr="008E5BF4">
        <w:t xml:space="preserve"> turi būti pasirašomas ne vėliau kaip per 5 darbo dienas. </w:t>
      </w:r>
    </w:p>
    <w:p w14:paraId="3AAD712C" w14:textId="77777777" w:rsidR="000F5445" w:rsidRPr="008E5BF4" w:rsidRDefault="000F5445" w:rsidP="000F5445">
      <w:pPr>
        <w:jc w:val="both"/>
        <w:rPr>
          <w:spacing w:val="-4"/>
        </w:rPr>
      </w:pPr>
      <w:r w:rsidRPr="008E5BF4">
        <w:t xml:space="preserve">3.3. </w:t>
      </w:r>
      <w:r w:rsidRPr="008E5BF4">
        <w:rPr>
          <w:b/>
          <w:spacing w:val="-4"/>
        </w:rPr>
        <w:t>Nuomotojui</w:t>
      </w:r>
      <w:r w:rsidRPr="008E5BF4">
        <w:rPr>
          <w:spacing w:val="-4"/>
        </w:rPr>
        <w:t xml:space="preserve"> pristačius mažesnį nuomojamo objekto kiekį negu nurodyta Sutartyje/paraiškose/užsakymuose, </w:t>
      </w:r>
      <w:r w:rsidRPr="008E5BF4">
        <w:rPr>
          <w:b/>
          <w:spacing w:val="-4"/>
        </w:rPr>
        <w:t>Nuomininkas</w:t>
      </w:r>
      <w:r w:rsidRPr="008E5BF4">
        <w:rPr>
          <w:spacing w:val="-4"/>
        </w:rPr>
        <w:t xml:space="preserve"> grąžina </w:t>
      </w:r>
      <w:r w:rsidRPr="008E5BF4">
        <w:rPr>
          <w:b/>
          <w:spacing w:val="-4"/>
        </w:rPr>
        <w:t>Nuomotojui</w:t>
      </w:r>
      <w:r w:rsidRPr="008E5BF4">
        <w:rPr>
          <w:spacing w:val="-4"/>
        </w:rPr>
        <w:t xml:space="preserve"> pristatytą nuomos objekto kiekį bei laikoma, kad nuomos objektas nebuvo pristatytas, o </w:t>
      </w:r>
      <w:r w:rsidRPr="008E5BF4">
        <w:rPr>
          <w:b/>
          <w:spacing w:val="-4"/>
        </w:rPr>
        <w:t xml:space="preserve">Nuomotojui </w:t>
      </w:r>
      <w:r w:rsidRPr="008E5BF4">
        <w:rPr>
          <w:spacing w:val="-4"/>
        </w:rPr>
        <w:t>(jeigu dėl to praleidžiamas nuomos objekto pristatymo terminas)</w:t>
      </w:r>
      <w:r w:rsidRPr="008E5BF4">
        <w:rPr>
          <w:b/>
          <w:spacing w:val="-4"/>
        </w:rPr>
        <w:t xml:space="preserve"> </w:t>
      </w:r>
      <w:r w:rsidRPr="008E5BF4">
        <w:rPr>
          <w:spacing w:val="-4"/>
        </w:rPr>
        <w:t xml:space="preserve">taikomos Sutarties bendrosios dalies 10.1 punkte numatytos sankcijos. </w:t>
      </w:r>
    </w:p>
    <w:p w14:paraId="2ADB8917" w14:textId="77777777" w:rsidR="000F5445" w:rsidRPr="008E5BF4" w:rsidRDefault="000F5445" w:rsidP="000F5445">
      <w:pPr>
        <w:jc w:val="both"/>
      </w:pPr>
      <w:r w:rsidRPr="008E5BF4">
        <w:t xml:space="preserve">3.4. </w:t>
      </w:r>
      <w:r w:rsidRPr="008E5BF4">
        <w:rPr>
          <w:b/>
        </w:rPr>
        <w:t>Nuomotojas</w:t>
      </w:r>
      <w:r w:rsidRPr="008E5BF4">
        <w:t xml:space="preserve"> įsipareigoja po Sutarties įsigaliojimo Sutarties specialioje dalyje nurodytais terminais:</w:t>
      </w:r>
    </w:p>
    <w:p w14:paraId="4327049B" w14:textId="77777777" w:rsidR="000F5445" w:rsidRPr="008E5BF4" w:rsidRDefault="000F5445" w:rsidP="000F5445">
      <w:pPr>
        <w:jc w:val="both"/>
      </w:pPr>
      <w:r w:rsidRPr="008E5BF4">
        <w:t xml:space="preserve">3.4.1. parengti, pagaminti, suderinti su </w:t>
      </w:r>
      <w:r w:rsidRPr="008E5BF4">
        <w:rPr>
          <w:b/>
        </w:rPr>
        <w:t>Nuomininku</w:t>
      </w:r>
      <w:r w:rsidRPr="008E5BF4">
        <w:t xml:space="preserve"> ir patvirtinti išnuomojamo nuomos objekto darbinius etalonus (2 egz., vienas - </w:t>
      </w:r>
      <w:r w:rsidRPr="008E5BF4">
        <w:rPr>
          <w:b/>
        </w:rPr>
        <w:t>Nuomininkui</w:t>
      </w:r>
      <w:r w:rsidRPr="008E5BF4">
        <w:t xml:space="preserve">, antras – </w:t>
      </w:r>
      <w:r w:rsidRPr="008E5BF4">
        <w:rPr>
          <w:b/>
        </w:rPr>
        <w:t>Nuomotojui</w:t>
      </w:r>
      <w:r w:rsidRPr="008E5BF4">
        <w:t>), kurie atitiktų Sutartyje ir jos priede (-</w:t>
      </w:r>
      <w:proofErr w:type="spellStart"/>
      <w:r w:rsidRPr="008E5BF4">
        <w:t>uose</w:t>
      </w:r>
      <w:proofErr w:type="spellEnd"/>
      <w:r w:rsidRPr="008E5BF4">
        <w:t xml:space="preserve">) nustatytus reikalavimus </w:t>
      </w:r>
      <w:r w:rsidRPr="008E5BF4">
        <w:rPr>
          <w:i/>
        </w:rPr>
        <w:t>(jei spec. dalyje nurodyta, kad ši sąlyga taikoma)</w:t>
      </w:r>
      <w:r w:rsidRPr="008E5BF4">
        <w:t>;</w:t>
      </w:r>
    </w:p>
    <w:p w14:paraId="4AE89290" w14:textId="77777777" w:rsidR="000F5445" w:rsidRPr="008E5BF4" w:rsidRDefault="000F5445" w:rsidP="000F5445">
      <w:pPr>
        <w:jc w:val="both"/>
        <w:rPr>
          <w:i/>
        </w:rPr>
      </w:pPr>
      <w:r w:rsidRPr="008E5BF4">
        <w:t xml:space="preserve">3.4.2. suderinti su </w:t>
      </w:r>
      <w:r w:rsidRPr="008E5BF4">
        <w:rPr>
          <w:b/>
        </w:rPr>
        <w:t>Nuomininku</w:t>
      </w:r>
      <w:r w:rsidRPr="008E5BF4">
        <w:t xml:space="preserve"> nuomos objekto naudojimo (priežiūros) instrukciją, kuri pateikiama kartu su nuomos objektu (</w:t>
      </w:r>
      <w:r w:rsidRPr="008E5BF4">
        <w:rPr>
          <w:i/>
        </w:rPr>
        <w:t>jei spec. dalyje nurodyta, kad ši sąlyga taikoma).</w:t>
      </w:r>
    </w:p>
    <w:p w14:paraId="574B7980" w14:textId="77777777" w:rsidR="000F5445" w:rsidRPr="008E5BF4" w:rsidRDefault="000F5445" w:rsidP="000F5445">
      <w:pPr>
        <w:jc w:val="both"/>
      </w:pPr>
      <w:r w:rsidRPr="008E5BF4">
        <w:t xml:space="preserve">3.5. </w:t>
      </w:r>
      <w:r w:rsidRPr="008E5BF4">
        <w:rPr>
          <w:b/>
        </w:rPr>
        <w:t>Nuomininkas</w:t>
      </w:r>
      <w:r w:rsidRPr="008E5BF4">
        <w:t xml:space="preserve"> Sutarties 3.4 punkte nurodytus nuomos objekto darbinius etalonus ir su juo pateiktus nuomos objekto gamybai naudojamų pagrindinių ir pagalbinių medžiagų pavyzdžius </w:t>
      </w:r>
      <w:r w:rsidRPr="008E5BF4">
        <w:rPr>
          <w:b/>
        </w:rPr>
        <w:t>Nuomotojui</w:t>
      </w:r>
      <w:r w:rsidRPr="008E5BF4">
        <w:t xml:space="preserve"> grąžina tik tada, kai </w:t>
      </w:r>
      <w:r w:rsidRPr="008E5BF4">
        <w:rPr>
          <w:b/>
        </w:rPr>
        <w:t>Nuomotojas</w:t>
      </w:r>
      <w:r w:rsidRPr="008E5BF4">
        <w:t xml:space="preserve"> būna įvykdęs visus sutartinius įsipareigojimus, įskaitant garantinius įsipareigojimus.</w:t>
      </w:r>
    </w:p>
    <w:p w14:paraId="0580FF84" w14:textId="77777777" w:rsidR="000F5445" w:rsidRPr="008E5BF4" w:rsidRDefault="000F5445" w:rsidP="000F5445">
      <w:pPr>
        <w:jc w:val="both"/>
      </w:pPr>
      <w:r w:rsidRPr="008E5BF4">
        <w:t xml:space="preserve">3.6. Jeigu Sutarties galiojimo metu nuomos objekto gamintojas pakeičia/atnaujina šia Sutartimi nuomojamo nuomos objekto modelį/pavadinimą, kuris yra nurodytas Sutartyje, </w:t>
      </w:r>
      <w:r w:rsidRPr="008E5BF4">
        <w:rPr>
          <w:b/>
          <w:bCs/>
        </w:rPr>
        <w:t>Nuomotojas</w:t>
      </w:r>
      <w:r w:rsidRPr="008E5BF4">
        <w:t xml:space="preserve"> turi teisę, prieš tai suderinęs su </w:t>
      </w:r>
      <w:r w:rsidRPr="008E5BF4">
        <w:rPr>
          <w:b/>
          <w:bCs/>
        </w:rPr>
        <w:t>Nuomininku</w:t>
      </w:r>
      <w:r w:rsidRPr="008E5BF4">
        <w:t xml:space="preserve"> ir su juo pasirašęs papildomą susitarimą, pateikti naujo modelio/pavadinimo nuomos objektą. Naujo modelio/pavadinimo nuomos objektas turi atitikti Sutartyje ir jos priede (-</w:t>
      </w:r>
      <w:proofErr w:type="spellStart"/>
      <w:r w:rsidRPr="008E5BF4">
        <w:t>uose</w:t>
      </w:r>
      <w:proofErr w:type="spellEnd"/>
      <w:r w:rsidRPr="008E5BF4">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8E5BF4">
        <w:rPr>
          <w:b/>
        </w:rPr>
        <w:t>Nuomininkui</w:t>
      </w:r>
      <w:r w:rsidRPr="008E5BF4">
        <w:t xml:space="preserve"> jau perduotu nuomos objektu. Nuomos kaina, pateikus naujo modelio/pavadinimo nuomos objektą, nesikeičia.</w:t>
      </w:r>
    </w:p>
    <w:p w14:paraId="40D72087" w14:textId="77777777" w:rsidR="000F5445" w:rsidRPr="008E5BF4" w:rsidRDefault="000F5445" w:rsidP="000F5445">
      <w:pPr>
        <w:jc w:val="both"/>
      </w:pPr>
    </w:p>
    <w:p w14:paraId="1807B004" w14:textId="77777777" w:rsidR="000F5445" w:rsidRPr="008E5BF4" w:rsidRDefault="000F5445" w:rsidP="000F5445">
      <w:pPr>
        <w:jc w:val="both"/>
        <w:rPr>
          <w:b/>
        </w:rPr>
      </w:pPr>
      <w:r w:rsidRPr="008E5BF4">
        <w:rPr>
          <w:b/>
        </w:rPr>
        <w:t>4. Mokėjimo terminai ir sąlygos</w:t>
      </w:r>
    </w:p>
    <w:p w14:paraId="79F83C2D" w14:textId="77777777" w:rsidR="00BF14D3" w:rsidRPr="008E5BF4" w:rsidRDefault="000F5445" w:rsidP="00BF14D3">
      <w:pPr>
        <w:jc w:val="both"/>
      </w:pPr>
      <w:r w:rsidRPr="008E5BF4">
        <w:rPr>
          <w:b/>
        </w:rPr>
        <w:t>Nuomotojui</w:t>
      </w:r>
      <w:r w:rsidRPr="008E5BF4">
        <w:t xml:space="preserve"> sumokama, kai sutarties objektas atitinkantis Sutartyje ir jos priede (-</w:t>
      </w:r>
      <w:proofErr w:type="spellStart"/>
      <w:r w:rsidRPr="008E5BF4">
        <w:t>uose</w:t>
      </w:r>
      <w:proofErr w:type="spellEnd"/>
      <w:r w:rsidRPr="008E5BF4">
        <w:t xml:space="preserve">) nustatytus reikalavimus perduodamas </w:t>
      </w:r>
      <w:r w:rsidRPr="008E5BF4">
        <w:rPr>
          <w:b/>
        </w:rPr>
        <w:t>Nuomininkui,</w:t>
      </w:r>
      <w:r w:rsidRPr="008E5BF4">
        <w:t xml:space="preserve"> abiem Šalims pasirašius </w:t>
      </w:r>
      <w:r w:rsidR="0078369A" w:rsidRPr="008E5BF4">
        <w:t xml:space="preserve">dokumentą, patvirtinantį </w:t>
      </w:r>
      <w:r w:rsidR="00D646F4" w:rsidRPr="008E5BF4">
        <w:t xml:space="preserve">nuomos objekto </w:t>
      </w:r>
      <w:r w:rsidR="0078369A" w:rsidRPr="008E5BF4">
        <w:t>perdavimą-priėmimą,</w:t>
      </w:r>
      <w:r w:rsidRPr="008E5BF4">
        <w:t xml:space="preserve"> per 30 (trisdešimt) dienų nuo sąskaitos gavimo dienos (sąskaita faktūra turi būti pateikiama remiantis Viešųjų pirkimų įstatymo 22 straipsnio 3 dalyje numatytomis elektroninėmis priemonėmis). </w:t>
      </w:r>
      <w:r w:rsidR="00BF14D3" w:rsidRPr="008E5BF4">
        <w:rPr>
          <w:b/>
          <w:bCs/>
        </w:rPr>
        <w:t xml:space="preserve">Nuomininkui </w:t>
      </w:r>
      <w:r w:rsidR="00BF14D3" w:rsidRPr="008E5BF4">
        <w:t>vėluojant atsiskaityti šiame punkte numatytu terminu,</w:t>
      </w:r>
      <w:r w:rsidR="00BF14D3" w:rsidRPr="008E5BF4">
        <w:rPr>
          <w:b/>
          <w:bCs/>
        </w:rPr>
        <w:t xml:space="preserve"> Nuomininkas, Nuomotojui </w:t>
      </w:r>
      <w:r w:rsidR="00BF14D3" w:rsidRPr="008E5BF4">
        <w:t>pareikalavus (ne vėliau kaip per 30 (trisdešimt) dienų nuo pareikalavimo gavimo), moka palūkanas pagal Lietuvos Respublikos mokėjimų, atliekamų pagal komercines sutartis, vėlavimo prevencijos įstatymą.</w:t>
      </w:r>
      <w:r w:rsidR="00B17AA9" w:rsidRPr="008E5BF4">
        <w:t xml:space="preserve"> </w:t>
      </w:r>
    </w:p>
    <w:p w14:paraId="4329896D" w14:textId="77777777" w:rsidR="000F5445" w:rsidRPr="008E5BF4" w:rsidRDefault="000F5445" w:rsidP="000F5445">
      <w:pPr>
        <w:jc w:val="both"/>
      </w:pPr>
    </w:p>
    <w:p w14:paraId="2B89F6D6" w14:textId="77777777" w:rsidR="000F5445" w:rsidRPr="008E5BF4" w:rsidRDefault="000F5445" w:rsidP="000F5445">
      <w:pPr>
        <w:jc w:val="both"/>
      </w:pPr>
    </w:p>
    <w:p w14:paraId="66CF3A38" w14:textId="77777777" w:rsidR="000F5445" w:rsidRPr="008E5BF4" w:rsidRDefault="000F5445" w:rsidP="000F5445">
      <w:pPr>
        <w:jc w:val="both"/>
        <w:rPr>
          <w:b/>
        </w:rPr>
      </w:pPr>
      <w:r w:rsidRPr="008E5BF4">
        <w:rPr>
          <w:b/>
        </w:rPr>
        <w:t>5. Nuomos objekto</w:t>
      </w:r>
      <w:r w:rsidRPr="008E5BF4">
        <w:t xml:space="preserve"> </w:t>
      </w:r>
      <w:r w:rsidRPr="008E5BF4">
        <w:rPr>
          <w:b/>
        </w:rPr>
        <w:t>kokybė</w:t>
      </w:r>
    </w:p>
    <w:p w14:paraId="36F96550" w14:textId="77777777" w:rsidR="000F5445" w:rsidRPr="008E5BF4" w:rsidRDefault="000F5445" w:rsidP="000F5445">
      <w:pPr>
        <w:jc w:val="both"/>
      </w:pPr>
      <w:r w:rsidRPr="008E5BF4">
        <w:t>5.1. Nuomos objektas turi atitikti Sutartyje ir jos priede (-</w:t>
      </w:r>
      <w:proofErr w:type="spellStart"/>
      <w:r w:rsidRPr="008E5BF4">
        <w:t>uose</w:t>
      </w:r>
      <w:proofErr w:type="spellEnd"/>
      <w:r w:rsidRPr="008E5BF4">
        <w:t xml:space="preserve">) nurodytus reikalavimus. </w:t>
      </w:r>
    </w:p>
    <w:p w14:paraId="18B08847" w14:textId="77777777" w:rsidR="000F5445" w:rsidRPr="008E5BF4" w:rsidRDefault="000F5445" w:rsidP="000F5445">
      <w:pPr>
        <w:jc w:val="both"/>
      </w:pPr>
      <w:r w:rsidRPr="008E5BF4">
        <w:t>5.2. Nuomos objekto perdavimo-priėmimo metu nustačius jo neatitikimą Sutartyje ir jos priede (-</w:t>
      </w:r>
      <w:proofErr w:type="spellStart"/>
      <w:r w:rsidRPr="008E5BF4">
        <w:t>uose</w:t>
      </w:r>
      <w:proofErr w:type="spellEnd"/>
      <w:r w:rsidRPr="008E5BF4">
        <w:t xml:space="preserve">) nustatytiems reikalavimams, nedelsiant kviečiami </w:t>
      </w:r>
      <w:r w:rsidRPr="008E5BF4">
        <w:rPr>
          <w:b/>
        </w:rPr>
        <w:t>Nuomotojo</w:t>
      </w:r>
      <w:r w:rsidRPr="008E5BF4">
        <w:t xml:space="preserve"> atstovai, kuriems dalyvaujant surašomas aktas, nuomos objektas nepriimamas, o </w:t>
      </w:r>
      <w:r w:rsidRPr="008E5BF4">
        <w:rPr>
          <w:b/>
        </w:rPr>
        <w:t xml:space="preserve">Nuomotojui </w:t>
      </w:r>
      <w:r w:rsidRPr="008E5BF4">
        <w:t>taikoma sutartinė atsakomybė (šiuo atveju sutartinė atsakomybė taikoma, jeigu nuomos objekto pristatymo terminas jau pasibaigęs).</w:t>
      </w:r>
    </w:p>
    <w:p w14:paraId="4768D9F1" w14:textId="77777777" w:rsidR="000F5445" w:rsidRPr="008E5BF4" w:rsidRDefault="000F5445" w:rsidP="000F5445">
      <w:pPr>
        <w:jc w:val="both"/>
      </w:pPr>
      <w:r w:rsidRPr="008E5BF4">
        <w:t>5.3. Tuo atveju, kai konfliktas dėl nuomos objekto kokybės ir jo atitikimo Sutartyje ir jos priede (-</w:t>
      </w:r>
      <w:proofErr w:type="spellStart"/>
      <w:r w:rsidRPr="008E5BF4">
        <w:t>uose</w:t>
      </w:r>
      <w:proofErr w:type="spellEnd"/>
      <w:r w:rsidRPr="008E5BF4">
        <w:t>) nustatytiems reikalavimams negali būti išspręstas Sutarties Šalių susitarimu, Šalys turi teisę kviesti nepriklausomus ekspertus. Visas su ekspertu darbu susijusias išlaidas padengia Šalis, kurios nenaudai priimtas ekspertų sprendimas.</w:t>
      </w:r>
    </w:p>
    <w:p w14:paraId="1C7DDDB3" w14:textId="77777777" w:rsidR="000F5445" w:rsidRPr="008E5BF4" w:rsidRDefault="000F5445" w:rsidP="000F5445">
      <w:pPr>
        <w:jc w:val="both"/>
        <w:rPr>
          <w:b/>
        </w:rPr>
      </w:pPr>
    </w:p>
    <w:p w14:paraId="23AEEC21" w14:textId="77777777" w:rsidR="000F5445" w:rsidRPr="008E5BF4" w:rsidRDefault="000F5445" w:rsidP="000F5445">
      <w:pPr>
        <w:jc w:val="both"/>
        <w:rPr>
          <w:b/>
        </w:rPr>
      </w:pPr>
      <w:r w:rsidRPr="008E5BF4">
        <w:rPr>
          <w:b/>
        </w:rPr>
        <w:t>6. Nuomos objekto</w:t>
      </w:r>
      <w:r w:rsidRPr="008E5BF4">
        <w:t xml:space="preserve"> </w:t>
      </w:r>
      <w:r w:rsidRPr="008E5BF4">
        <w:rPr>
          <w:b/>
        </w:rPr>
        <w:t>kokybės garantija</w:t>
      </w:r>
    </w:p>
    <w:p w14:paraId="08A56823" w14:textId="77777777" w:rsidR="000F5445" w:rsidRPr="008E5BF4" w:rsidRDefault="000F5445" w:rsidP="000F5445">
      <w:pPr>
        <w:jc w:val="both"/>
      </w:pPr>
      <w:r w:rsidRPr="008E5BF4">
        <w:t xml:space="preserve">6.1. Nuomos objekto kokybę </w:t>
      </w:r>
      <w:r w:rsidRPr="008E5BF4">
        <w:rPr>
          <w:b/>
        </w:rPr>
        <w:t>Nuomotojas</w:t>
      </w:r>
      <w:r w:rsidRPr="008E5BF4">
        <w:t xml:space="preserve"> privalo užtikrinti visą Sutarties specialiojoje dalyje nurodytą nuomos objekto nuomos terminą (toliau - garantinis terminas).</w:t>
      </w:r>
    </w:p>
    <w:p w14:paraId="4C98B864" w14:textId="77777777" w:rsidR="000F5445" w:rsidRPr="008E5BF4" w:rsidRDefault="000F5445" w:rsidP="000F5445">
      <w:pPr>
        <w:jc w:val="both"/>
      </w:pPr>
      <w:r w:rsidRPr="008E5BF4">
        <w:t xml:space="preserve">6.2. Garantinio termino metu </w:t>
      </w:r>
      <w:r w:rsidRPr="008E5BF4">
        <w:rPr>
          <w:b/>
        </w:rPr>
        <w:t>Nuomotojas</w:t>
      </w:r>
      <w:r w:rsidRPr="008E5BF4">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8E5BF4">
        <w:t>uose</w:t>
      </w:r>
      <w:proofErr w:type="spellEnd"/>
      <w:r w:rsidRPr="008E5BF4">
        <w:t xml:space="preserve">) nustatytus reikalavimus </w:t>
      </w:r>
      <w:r w:rsidRPr="008E5BF4">
        <w:rPr>
          <w:i/>
        </w:rPr>
        <w:t>(jei spec. dalyje nurodyta, kad ši sąlyga taikoma)</w:t>
      </w:r>
      <w:r w:rsidRPr="008E5BF4">
        <w:t>.</w:t>
      </w:r>
    </w:p>
    <w:p w14:paraId="19E6BE94" w14:textId="77777777" w:rsidR="000F5445" w:rsidRPr="008E5BF4" w:rsidRDefault="000F5445" w:rsidP="000F5445">
      <w:pPr>
        <w:jc w:val="both"/>
      </w:pPr>
      <w:r w:rsidRPr="008E5BF4">
        <w:t>6.3.</w:t>
      </w:r>
      <w:r w:rsidRPr="008E5BF4">
        <w:rPr>
          <w:b/>
        </w:rPr>
        <w:t xml:space="preserve"> </w:t>
      </w:r>
      <w:r w:rsidRPr="008E5BF4">
        <w:t xml:space="preserve">Kokybės garantijos termino metu </w:t>
      </w:r>
      <w:r w:rsidRPr="008E5BF4">
        <w:rPr>
          <w:b/>
        </w:rPr>
        <w:t>Nuomotojas</w:t>
      </w:r>
      <w:r w:rsidRPr="008E5BF4">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8E5BF4">
        <w:t>uose</w:t>
      </w:r>
      <w:proofErr w:type="spellEnd"/>
      <w:r w:rsidRPr="008E5BF4">
        <w:t>) nustatytus reikalavimus.</w:t>
      </w:r>
    </w:p>
    <w:p w14:paraId="4429FCF8" w14:textId="77777777" w:rsidR="000F5445" w:rsidRPr="008E5BF4" w:rsidRDefault="000F5445" w:rsidP="000F5445">
      <w:pPr>
        <w:jc w:val="both"/>
      </w:pPr>
      <w:r w:rsidRPr="008E5BF4">
        <w:t xml:space="preserve">6.4. Apie garantinio termino metu pastebėtus nuomos objekto trūkumus </w:t>
      </w:r>
      <w:r w:rsidRPr="008E5BF4">
        <w:rPr>
          <w:b/>
        </w:rPr>
        <w:t>Nuomotojas</w:t>
      </w:r>
      <w:r w:rsidRPr="008E5BF4">
        <w:t xml:space="preserve"> informuojamas raštu (faksu arba paštu). Pareikšti pretenziją dėl nuomos objekto kokybės galima viso garantinio/tinkamumo naudoti termino galiojimo metu.</w:t>
      </w:r>
    </w:p>
    <w:p w14:paraId="19DAA1B2" w14:textId="77777777" w:rsidR="000F5445" w:rsidRPr="008E5BF4" w:rsidRDefault="000F5445" w:rsidP="000F5445">
      <w:pPr>
        <w:jc w:val="both"/>
      </w:pPr>
    </w:p>
    <w:p w14:paraId="7379D6D8" w14:textId="77777777" w:rsidR="000F5445" w:rsidRPr="008E5BF4" w:rsidRDefault="000F5445" w:rsidP="000F5445">
      <w:pPr>
        <w:jc w:val="both"/>
        <w:rPr>
          <w:b/>
        </w:rPr>
      </w:pPr>
      <w:r w:rsidRPr="008E5BF4">
        <w:rPr>
          <w:b/>
        </w:rPr>
        <w:t xml:space="preserve">7. Nenugalimos jėgos </w:t>
      </w:r>
      <w:r w:rsidRPr="008E5BF4">
        <w:rPr>
          <w:b/>
          <w:i/>
        </w:rPr>
        <w:t>(force majeure)</w:t>
      </w:r>
      <w:r w:rsidRPr="008E5BF4">
        <w:rPr>
          <w:b/>
        </w:rPr>
        <w:t xml:space="preserve"> aplinkybės.</w:t>
      </w:r>
    </w:p>
    <w:p w14:paraId="24340A9E" w14:textId="77777777" w:rsidR="000F5445" w:rsidRPr="008E5BF4" w:rsidRDefault="000F5445" w:rsidP="000F5445">
      <w:pPr>
        <w:jc w:val="both"/>
      </w:pPr>
      <w:r w:rsidRPr="008E5BF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E5BF4">
        <w:rPr>
          <w:i/>
          <w:iCs/>
        </w:rPr>
        <w:t>(force majeure)</w:t>
      </w:r>
      <w:r w:rsidRPr="008E5BF4">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E5BF4">
        <w:rPr>
          <w:i/>
          <w:iCs/>
        </w:rPr>
        <w:t>(force majeure)</w:t>
      </w:r>
      <w:r w:rsidRPr="008E5BF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880378" w14:textId="77777777" w:rsidR="000F5445" w:rsidRPr="008E5BF4" w:rsidRDefault="000F5445" w:rsidP="000F5445">
      <w:pPr>
        <w:jc w:val="both"/>
      </w:pPr>
      <w:r w:rsidRPr="008E5BF4">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FA1C04" w14:textId="77777777" w:rsidR="000F5445" w:rsidRPr="008E5BF4" w:rsidRDefault="000F5445" w:rsidP="000F5445">
      <w:pPr>
        <w:jc w:val="both"/>
      </w:pPr>
    </w:p>
    <w:p w14:paraId="35117E06" w14:textId="77777777" w:rsidR="000F5445" w:rsidRPr="008E5BF4" w:rsidRDefault="000F5445" w:rsidP="000F5445">
      <w:pPr>
        <w:jc w:val="both"/>
        <w:rPr>
          <w:b/>
        </w:rPr>
      </w:pPr>
      <w:r w:rsidRPr="008E5BF4">
        <w:rPr>
          <w:b/>
        </w:rPr>
        <w:t>8. Sutarties nutraukimas</w:t>
      </w:r>
    </w:p>
    <w:p w14:paraId="7B1C8B56" w14:textId="77777777" w:rsidR="000F5445" w:rsidRPr="008E5BF4" w:rsidRDefault="000F5445" w:rsidP="000F5445">
      <w:pPr>
        <w:jc w:val="both"/>
      </w:pPr>
      <w:r w:rsidRPr="008E5BF4">
        <w:t>8.1. Ši Sutartis gali būti nutraukta:</w:t>
      </w:r>
    </w:p>
    <w:p w14:paraId="111A564F" w14:textId="77777777" w:rsidR="000F5445" w:rsidRPr="008E5BF4" w:rsidRDefault="000F5445" w:rsidP="000F5445">
      <w:pPr>
        <w:jc w:val="both"/>
      </w:pPr>
      <w:r w:rsidRPr="008E5BF4">
        <w:t xml:space="preserve">8.1.1. raštišku </w:t>
      </w:r>
      <w:r w:rsidRPr="008E5BF4">
        <w:rPr>
          <w:bCs/>
        </w:rPr>
        <w:t>Šalių</w:t>
      </w:r>
      <w:r w:rsidRPr="008E5BF4">
        <w:t xml:space="preserve"> susitarimu; </w:t>
      </w:r>
    </w:p>
    <w:p w14:paraId="3A6DD61D" w14:textId="77777777" w:rsidR="000F5445" w:rsidRPr="008E5BF4" w:rsidRDefault="000F5445" w:rsidP="000F5445">
      <w:pPr>
        <w:jc w:val="both"/>
      </w:pPr>
      <w:r w:rsidRPr="008E5BF4">
        <w:t xml:space="preserve">8.1.2. nenugalimos jėgos aplinkybėms užtrukus ilgiau nei Specialiojoje sutarties dalyje nurodytą dienų skaičių (priklausomai nuo sutarties vykdymo specifikos, konkretus terminas nurodomas Specialiojoje </w:t>
      </w:r>
      <w:r w:rsidRPr="008E5BF4">
        <w:lastRenderedPageBreak/>
        <w:t>dalyje gali būti nuo 14 iki 60 dienų) ir abiem Šalims nesudarius susitarimų dėl šios Sutarties pakeitimo, leidžiančių Šalims toliau vykdyti savo įsipareigojimus.</w:t>
      </w:r>
    </w:p>
    <w:p w14:paraId="22BBDFF8" w14:textId="77777777" w:rsidR="000F5445" w:rsidRPr="008E5BF4" w:rsidRDefault="000F5445" w:rsidP="000F5445">
      <w:pPr>
        <w:jc w:val="both"/>
      </w:pPr>
      <w:r w:rsidRPr="008E5BF4">
        <w:t xml:space="preserve">8.2. </w:t>
      </w:r>
      <w:r w:rsidRPr="008E5BF4">
        <w:rPr>
          <w:b/>
          <w:bCs/>
        </w:rPr>
        <w:t xml:space="preserve">Nuomininkas, </w:t>
      </w:r>
      <w:r w:rsidRPr="008E5BF4">
        <w:rPr>
          <w:bCs/>
        </w:rPr>
        <w:t>ne vėliau kaip</w:t>
      </w:r>
      <w:r w:rsidRPr="008E5BF4">
        <w:rPr>
          <w:b/>
          <w:bCs/>
        </w:rPr>
        <w:t xml:space="preserve"> </w:t>
      </w:r>
      <w:r w:rsidRPr="008E5BF4">
        <w:t>prieš 7 (septynias) dienas (</w:t>
      </w:r>
      <w:r w:rsidRPr="008E5BF4">
        <w:rPr>
          <w:i/>
        </w:rPr>
        <w:t>jeigu Sutarties specialiojoje dalyje nenurodytas kitas terminas</w:t>
      </w:r>
      <w:r w:rsidRPr="008E5BF4">
        <w:t xml:space="preserve">) raštu informavęs </w:t>
      </w:r>
      <w:r w:rsidRPr="008E5BF4">
        <w:rPr>
          <w:b/>
          <w:bCs/>
        </w:rPr>
        <w:t>Nuomotoją</w:t>
      </w:r>
      <w:r w:rsidRPr="008E5BF4">
        <w:rPr>
          <w:bCs/>
        </w:rPr>
        <w:t>,</w:t>
      </w:r>
      <w:r w:rsidRPr="008E5BF4">
        <w:rPr>
          <w:b/>
          <w:bCs/>
        </w:rPr>
        <w:t xml:space="preserve"> </w:t>
      </w:r>
      <w:r w:rsidRPr="008E5BF4">
        <w:rPr>
          <w:bCs/>
        </w:rPr>
        <w:t>turi teisę</w:t>
      </w:r>
      <w:r w:rsidRPr="008E5BF4">
        <w:t xml:space="preserve"> vienašališkai nutraukti Sutartį, jeigu:</w:t>
      </w:r>
    </w:p>
    <w:p w14:paraId="1C8BE0DF" w14:textId="77777777" w:rsidR="000F5445" w:rsidRPr="008E5BF4" w:rsidRDefault="000F5445" w:rsidP="000F5445">
      <w:pPr>
        <w:jc w:val="both"/>
      </w:pPr>
      <w:r w:rsidRPr="008E5BF4">
        <w:t xml:space="preserve">8.2.1. </w:t>
      </w:r>
      <w:r w:rsidRPr="008E5BF4">
        <w:rPr>
          <w:b/>
        </w:rPr>
        <w:t>Nuomotojas</w:t>
      </w:r>
      <w:r w:rsidRPr="008E5BF4">
        <w:t xml:space="preserve"> vėluoja pristatyti nuomos objektą Sutarties specialioje dalyje nurodytu terminu; </w:t>
      </w:r>
    </w:p>
    <w:p w14:paraId="3D3E9232" w14:textId="77777777" w:rsidR="000F5445" w:rsidRPr="008E5BF4" w:rsidRDefault="000F5445" w:rsidP="000F5445">
      <w:pPr>
        <w:jc w:val="both"/>
      </w:pPr>
      <w:r w:rsidRPr="008E5BF4">
        <w:t xml:space="preserve">8.2.2. </w:t>
      </w:r>
      <w:r w:rsidRPr="008E5BF4">
        <w:rPr>
          <w:b/>
        </w:rPr>
        <w:t>Nuomotojas</w:t>
      </w:r>
      <w:r w:rsidRPr="008E5BF4">
        <w:t xml:space="preserve"> nevykdo (ar informuoja, kad negalės vykdyti) sutartinio įsipareigojimo išnuomoti nuomos objektą;</w:t>
      </w:r>
    </w:p>
    <w:p w14:paraId="247B5112" w14:textId="77777777" w:rsidR="000F5445" w:rsidRPr="008E5BF4" w:rsidRDefault="000F5445" w:rsidP="000F5445">
      <w:pPr>
        <w:jc w:val="both"/>
      </w:pPr>
      <w:r w:rsidRPr="008E5BF4">
        <w:t xml:space="preserve">8.2.3. </w:t>
      </w:r>
      <w:r w:rsidRPr="008E5BF4">
        <w:rPr>
          <w:b/>
        </w:rPr>
        <w:t>Nuomotojas</w:t>
      </w:r>
      <w:r w:rsidRPr="008E5BF4">
        <w:t xml:space="preserve"> didina nuomos kainas/įkainius, išskyrus Sutarties bendrosios dalies 2.2 punkte numatytą atvejį;</w:t>
      </w:r>
    </w:p>
    <w:p w14:paraId="29E1EF44" w14:textId="77777777" w:rsidR="000F5445" w:rsidRPr="008E5BF4" w:rsidRDefault="000F5445" w:rsidP="000F5445">
      <w:pPr>
        <w:jc w:val="both"/>
      </w:pPr>
      <w:r w:rsidRPr="008E5BF4">
        <w:t xml:space="preserve">8.2.4. </w:t>
      </w:r>
      <w:r w:rsidRPr="008E5BF4">
        <w:rPr>
          <w:b/>
        </w:rPr>
        <w:t>Nuomotojas</w:t>
      </w:r>
      <w:r w:rsidRPr="008E5BF4">
        <w:t xml:space="preserve"> nevykdo arba netinkamai vykdo Sutarties bendrosios dalies 6 punkte numatytus garantinius įsipareigojimus;</w:t>
      </w:r>
    </w:p>
    <w:p w14:paraId="5BA4C15E" w14:textId="77777777" w:rsidR="000F5445" w:rsidRPr="008E5BF4" w:rsidRDefault="000F5445" w:rsidP="000F5445">
      <w:pPr>
        <w:jc w:val="both"/>
      </w:pPr>
      <w:r w:rsidRPr="008E5BF4">
        <w:t xml:space="preserve">8.2.5. </w:t>
      </w:r>
      <w:r w:rsidRPr="008E5BF4">
        <w:rPr>
          <w:b/>
        </w:rPr>
        <w:t>Nuomotojas</w:t>
      </w:r>
      <w:r w:rsidRPr="008E5BF4">
        <w:t xml:space="preserve"> nevykdo Sutarties bendrosios dalies 11.4 punkte numatyto įsipareigojimo (</w:t>
      </w:r>
      <w:r w:rsidRPr="008E5BF4">
        <w:rPr>
          <w:i/>
        </w:rPr>
        <w:t>jeigu sutarties vykdymas bus užtikrintas laidavimu arba banko garantija</w:t>
      </w:r>
      <w:r w:rsidRPr="008E5BF4">
        <w:t>);</w:t>
      </w:r>
    </w:p>
    <w:p w14:paraId="5A9B1FCB" w14:textId="77777777" w:rsidR="000F5445" w:rsidRPr="008E5BF4" w:rsidRDefault="000F5445" w:rsidP="000F5445">
      <w:pPr>
        <w:jc w:val="both"/>
      </w:pPr>
      <w:r w:rsidRPr="008E5BF4">
        <w:t xml:space="preserve">8.2.6. </w:t>
      </w:r>
      <w:r w:rsidRPr="008E5BF4">
        <w:rPr>
          <w:b/>
        </w:rPr>
        <w:t>Nuomotojo</w:t>
      </w:r>
      <w:r w:rsidRPr="008E5BF4">
        <w:t xml:space="preserve"> pateiktas nuomos objektas ar jo kokybė neatitinka Sutartyje ir jos priede (-</w:t>
      </w:r>
      <w:proofErr w:type="spellStart"/>
      <w:r w:rsidRPr="008E5BF4">
        <w:t>uose</w:t>
      </w:r>
      <w:proofErr w:type="spellEnd"/>
      <w:r w:rsidRPr="008E5BF4">
        <w:t>) nustatytų reikalavimų;</w:t>
      </w:r>
    </w:p>
    <w:p w14:paraId="0C1F9720" w14:textId="77777777" w:rsidR="000F5445" w:rsidRPr="008E5BF4" w:rsidRDefault="000F5445" w:rsidP="000F5445">
      <w:pPr>
        <w:autoSpaceDE w:val="0"/>
        <w:autoSpaceDN w:val="0"/>
        <w:adjustRightInd w:val="0"/>
        <w:jc w:val="both"/>
      </w:pPr>
      <w:r w:rsidRPr="008E5BF4">
        <w:t xml:space="preserve">8.2.7. </w:t>
      </w:r>
      <w:r w:rsidRPr="008E5BF4">
        <w:rPr>
          <w:b/>
        </w:rPr>
        <w:t>Nuomotojas</w:t>
      </w:r>
      <w:r w:rsidRPr="008E5BF4">
        <w:t xml:space="preserve"> yra</w:t>
      </w:r>
      <w:r w:rsidRPr="008E5BF4">
        <w:rPr>
          <w:b/>
        </w:rPr>
        <w:t xml:space="preserve"> </w:t>
      </w:r>
      <w:r w:rsidRPr="008E5BF4">
        <w:t>likviduojamas ar kreipiamasi į teismą dėl bankroto ar restruktūrizavimo bylos iškėlimo, arba jam iškelta bankroto ar restruktūrizavimo byla, arba priimamas sprendimas dėl neteisminės bankroto procedūros pradėjimo;</w:t>
      </w:r>
    </w:p>
    <w:p w14:paraId="32F55B13" w14:textId="77777777" w:rsidR="000F5445" w:rsidRPr="008E5BF4" w:rsidRDefault="000F5445" w:rsidP="000F5445">
      <w:pPr>
        <w:autoSpaceDE w:val="0"/>
        <w:autoSpaceDN w:val="0"/>
        <w:adjustRightInd w:val="0"/>
        <w:jc w:val="both"/>
      </w:pPr>
      <w:r w:rsidRPr="008E5BF4">
        <w:t xml:space="preserve">8.2.8. Paaiškėjus, kad Sutarties galiojimo laikotarpiu </w:t>
      </w:r>
      <w:r w:rsidRPr="008E5BF4">
        <w:rPr>
          <w:b/>
        </w:rPr>
        <w:t>Nuomotojas</w:t>
      </w:r>
      <w:r w:rsidRPr="008E5BF4">
        <w:t xml:space="preserve"> yra įtrauktas į Nepatikimų tiekėjų ar Melagingą informaciją pateikusių tiekėjų sąrašus; </w:t>
      </w:r>
    </w:p>
    <w:p w14:paraId="09B3C771" w14:textId="77777777" w:rsidR="000F5445" w:rsidRPr="008E5BF4" w:rsidRDefault="000F5445" w:rsidP="000F5445">
      <w:pPr>
        <w:autoSpaceDE w:val="0"/>
        <w:autoSpaceDN w:val="0"/>
        <w:adjustRightInd w:val="0"/>
        <w:jc w:val="both"/>
      </w:pPr>
      <w:r w:rsidRPr="008E5BF4">
        <w:t xml:space="preserve">8.2.9. Paaiškėjus, kad </w:t>
      </w:r>
      <w:r w:rsidRPr="008E5BF4">
        <w:rPr>
          <w:b/>
        </w:rPr>
        <w:t>Nuomotojas</w:t>
      </w:r>
      <w:r w:rsidRPr="008E5BF4">
        <w:t xml:space="preserve"> nėra patikimas ir kelia pavojų nacionaliniam saugumui.</w:t>
      </w:r>
    </w:p>
    <w:p w14:paraId="50F6DDDE" w14:textId="77777777" w:rsidR="000F5445" w:rsidRPr="008E5BF4" w:rsidRDefault="000F5445" w:rsidP="000F5445">
      <w:pPr>
        <w:jc w:val="both"/>
      </w:pPr>
      <w:r w:rsidRPr="008E5BF4">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29AA60BF" w14:textId="77777777" w:rsidR="000F5445" w:rsidRPr="008E5BF4" w:rsidRDefault="000F5445" w:rsidP="000F5445">
      <w:pPr>
        <w:jc w:val="both"/>
      </w:pPr>
      <w:r w:rsidRPr="008E5BF4">
        <w:t>8.2.11 Sutarties vykdymo metu paaiškėja, kad Sutartis buvo pakeista pažeidžiant Viešųjų pirkimų įstatymo 89 straipsnį/Viešųjų pirkimų atliekamų gynybos ir saugumo srityje įstatymo 50 straipsnio 6 dalį.</w:t>
      </w:r>
    </w:p>
    <w:p w14:paraId="084E43BA" w14:textId="77777777" w:rsidR="000F5445" w:rsidRPr="008E5BF4" w:rsidRDefault="000F5445" w:rsidP="000F5445">
      <w:pPr>
        <w:jc w:val="both"/>
        <w:rPr>
          <w:b/>
        </w:rPr>
      </w:pPr>
      <w:r w:rsidRPr="008E5BF4">
        <w:rPr>
          <w:b/>
        </w:rPr>
        <w:t>9. Ginčų sprendimo tvarka</w:t>
      </w:r>
    </w:p>
    <w:p w14:paraId="3D88DCDC" w14:textId="77777777" w:rsidR="000F5445" w:rsidRPr="008E5BF4" w:rsidRDefault="000F5445" w:rsidP="000F5445">
      <w:pPr>
        <w:jc w:val="both"/>
      </w:pPr>
      <w:r w:rsidRPr="008E5BF4">
        <w:t>9.1. Sutartis sudaryta ir turi būti aiškinama pagal Lietuvos Respublikos teisę.</w:t>
      </w:r>
    </w:p>
    <w:p w14:paraId="468DB6CB" w14:textId="77777777" w:rsidR="000F5445" w:rsidRPr="008E5BF4" w:rsidRDefault="000F5445" w:rsidP="000F5445">
      <w:pPr>
        <w:jc w:val="both"/>
      </w:pPr>
      <w:r w:rsidRPr="008E5BF4">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8E5BF4">
        <w:rPr>
          <w:b/>
        </w:rPr>
        <w:t>Nuomininko</w:t>
      </w:r>
      <w:r w:rsidRPr="008E5BF4">
        <w:t xml:space="preserve"> (arba jeigu </w:t>
      </w:r>
      <w:r w:rsidRPr="008E5BF4">
        <w:rPr>
          <w:b/>
        </w:rPr>
        <w:t>Nuomininkas</w:t>
      </w:r>
      <w:r w:rsidRPr="008E5BF4">
        <w:t xml:space="preserve"> ne juridinis asmuo, o Lietuvos kariuomenės padalinys </w:t>
      </w:r>
      <w:r w:rsidRPr="008E5BF4">
        <w:rPr>
          <w:i/>
        </w:rPr>
        <w:t>„pagal juridinio asmens – Lietuvos kariuomenės“</w:t>
      </w:r>
      <w:r w:rsidRPr="008E5BF4">
        <w:t>) buveinės vietą.</w:t>
      </w:r>
    </w:p>
    <w:p w14:paraId="45AA5F8A" w14:textId="77777777" w:rsidR="000F5445" w:rsidRPr="008E5BF4" w:rsidRDefault="000F5445" w:rsidP="000F5445">
      <w:pPr>
        <w:jc w:val="both"/>
      </w:pPr>
    </w:p>
    <w:p w14:paraId="34200A26" w14:textId="77777777" w:rsidR="000F5445" w:rsidRPr="008E5BF4" w:rsidRDefault="000F5445" w:rsidP="000F5445">
      <w:pPr>
        <w:jc w:val="both"/>
        <w:rPr>
          <w:b/>
        </w:rPr>
      </w:pPr>
      <w:r w:rsidRPr="008E5BF4">
        <w:rPr>
          <w:b/>
        </w:rPr>
        <w:t>10. Atsakomybė</w:t>
      </w:r>
    </w:p>
    <w:p w14:paraId="4C32258D" w14:textId="77777777" w:rsidR="000F5445" w:rsidRPr="008E5BF4" w:rsidRDefault="000F5445" w:rsidP="000F5445">
      <w:pPr>
        <w:jc w:val="both"/>
      </w:pPr>
      <w:r w:rsidRPr="008E5BF4">
        <w:t xml:space="preserve">10.1. Pavėlavęs pristatyti nuomos objektą per Sutarties specialiojoje dalyje nurodytą terminą, </w:t>
      </w:r>
      <w:r w:rsidRPr="008E5BF4">
        <w:rPr>
          <w:b/>
        </w:rPr>
        <w:t>Nuomotojas</w:t>
      </w:r>
      <w:r w:rsidRPr="008E5BF4">
        <w:t xml:space="preserve"> moka </w:t>
      </w:r>
      <w:r w:rsidRPr="008E5BF4">
        <w:rPr>
          <w:b/>
        </w:rPr>
        <w:t xml:space="preserve">Nuomininkui </w:t>
      </w:r>
      <w:r w:rsidRPr="008E5BF4">
        <w:t>nuo 0,05 iki</w:t>
      </w:r>
      <w:r w:rsidRPr="008E5BF4">
        <w:rPr>
          <w:b/>
        </w:rPr>
        <w:t xml:space="preserve"> </w:t>
      </w:r>
      <w:r w:rsidRPr="008E5BF4">
        <w:t>0,2 % dydžio (</w:t>
      </w:r>
      <w:r w:rsidRPr="008E5BF4">
        <w:rPr>
          <w:i/>
        </w:rPr>
        <w:t>konkretus dydis nurodomas Sutarties specialiojoje dalyje</w:t>
      </w:r>
      <w:r w:rsidRPr="008E5BF4">
        <w:t>) nuo nepristatyto nuomos objekto nuomos kainos be PVM už kiekvieną uždelstą dieną/valandą (</w:t>
      </w:r>
      <w:r w:rsidRPr="008E5BF4">
        <w:rPr>
          <w:i/>
        </w:rPr>
        <w:t>taikoma priklausomai nuo to, kaip įsipareigojimo terminas yra skaičiuojamas Sutarties specialiojoje dalyje</w:t>
      </w:r>
      <w:r w:rsidRPr="008E5BF4">
        <w:t xml:space="preserve">) Šalių iš anksto sutartus minimalius nuostolius, kurių sumokėjimas neatleidžia </w:t>
      </w:r>
      <w:r w:rsidRPr="008E5BF4">
        <w:rPr>
          <w:b/>
        </w:rPr>
        <w:t>Nuomotojo</w:t>
      </w:r>
      <w:r w:rsidRPr="008E5BF4">
        <w:t xml:space="preserve"> nuo pareigos atlyginti visus </w:t>
      </w:r>
      <w:r w:rsidRPr="008E5BF4">
        <w:rPr>
          <w:b/>
          <w:bCs/>
        </w:rPr>
        <w:t>Nuomininko</w:t>
      </w:r>
      <w:r w:rsidRPr="008E5BF4">
        <w:rPr>
          <w:b/>
        </w:rPr>
        <w:t xml:space="preserve"> </w:t>
      </w:r>
      <w:r w:rsidRPr="008E5BF4">
        <w:t xml:space="preserve">patirtus nuostolius </w:t>
      </w:r>
      <w:r w:rsidRPr="008E5BF4">
        <w:rPr>
          <w:b/>
        </w:rPr>
        <w:t>Nuomotojui</w:t>
      </w:r>
      <w:r w:rsidRPr="008E5BF4">
        <w:t xml:space="preserve"> nevykdant arba netinkamai vykdant sutartį. Šalių iš anksto sutartus minimalius nuostolius </w:t>
      </w:r>
      <w:r w:rsidRPr="008E5BF4">
        <w:rPr>
          <w:b/>
        </w:rPr>
        <w:t>Nuomotojas</w:t>
      </w:r>
      <w:r w:rsidRPr="008E5BF4">
        <w:t xml:space="preserve"> įsipareigoja sumokėti ne vėliau kaip per sąskaitoje faktūroje ar pareikalavime nurodytą terminą.</w:t>
      </w:r>
    </w:p>
    <w:p w14:paraId="3AD77295" w14:textId="77777777" w:rsidR="000F5445" w:rsidRPr="008E5BF4" w:rsidRDefault="000F5445" w:rsidP="000F5445">
      <w:pPr>
        <w:jc w:val="both"/>
      </w:pPr>
      <w:r w:rsidRPr="008E5BF4">
        <w:t>10.2</w:t>
      </w:r>
      <w:r w:rsidRPr="008E5BF4">
        <w:rPr>
          <w:i/>
        </w:rPr>
        <w:t xml:space="preserve">. </w:t>
      </w:r>
      <w:r w:rsidRPr="008E5BF4">
        <w:t xml:space="preserve">Garantinio termino metu pavėlavęs per Sutarties specialioje dalyje nustatytą terminą įvykdyti Sutarties bendrosios dalies 6.2 punkte nustatytus įsipareigojimus, </w:t>
      </w:r>
      <w:r w:rsidRPr="008E5BF4">
        <w:rPr>
          <w:b/>
        </w:rPr>
        <w:t>Nuomotojas</w:t>
      </w:r>
      <w:r w:rsidRPr="008E5BF4">
        <w:t xml:space="preserve"> moka </w:t>
      </w:r>
      <w:r w:rsidRPr="008E5BF4">
        <w:rPr>
          <w:b/>
        </w:rPr>
        <w:t xml:space="preserve">Nuomininkui </w:t>
      </w:r>
      <w:r w:rsidRPr="008E5BF4">
        <w:t>nuo 0,05 iki</w:t>
      </w:r>
      <w:r w:rsidRPr="008E5BF4">
        <w:rPr>
          <w:b/>
        </w:rPr>
        <w:t xml:space="preserve"> </w:t>
      </w:r>
      <w:r w:rsidRPr="008E5BF4">
        <w:t>0,2 % dydžio (</w:t>
      </w:r>
      <w:r w:rsidRPr="008E5BF4">
        <w:rPr>
          <w:i/>
        </w:rPr>
        <w:t>konkretus dydis nurodomas Sutarties specialiojoje dalyje</w:t>
      </w:r>
      <w:r w:rsidRPr="008E5BF4">
        <w:t>) nuo nuomos objekto, kuris yra nepakeistas, nuomos kainos už kiekvieną uždelstą dieną/valandą</w:t>
      </w:r>
      <w:r w:rsidRPr="008E5BF4">
        <w:rPr>
          <w:i/>
        </w:rPr>
        <w:t xml:space="preserve"> </w:t>
      </w:r>
      <w:r w:rsidRPr="008E5BF4">
        <w:t>Šalių iš anksto sutartus minimalius nuostolius,</w:t>
      </w:r>
      <w:r w:rsidRPr="008E5BF4">
        <w:rPr>
          <w:bCs/>
        </w:rPr>
        <w:t xml:space="preserve"> kurių sumokėjimas neatleidžia </w:t>
      </w:r>
      <w:r w:rsidRPr="008E5BF4">
        <w:rPr>
          <w:b/>
        </w:rPr>
        <w:t>Nuomotojo</w:t>
      </w:r>
      <w:r w:rsidRPr="008E5BF4">
        <w:t xml:space="preserve"> </w:t>
      </w:r>
      <w:r w:rsidRPr="008E5BF4">
        <w:rPr>
          <w:bCs/>
        </w:rPr>
        <w:t xml:space="preserve">nuo pareigos atlyginti visus </w:t>
      </w:r>
      <w:r w:rsidRPr="008E5BF4">
        <w:rPr>
          <w:b/>
          <w:bCs/>
        </w:rPr>
        <w:t>Nuomininko</w:t>
      </w:r>
      <w:r w:rsidRPr="008E5BF4">
        <w:rPr>
          <w:bCs/>
        </w:rPr>
        <w:t xml:space="preserve"> patirtus nuostolius</w:t>
      </w:r>
      <w:r w:rsidRPr="008E5BF4">
        <w:t xml:space="preserve"> </w:t>
      </w:r>
      <w:r w:rsidRPr="008E5BF4">
        <w:rPr>
          <w:b/>
        </w:rPr>
        <w:t>Nuomotojui</w:t>
      </w:r>
      <w:r w:rsidRPr="008E5BF4">
        <w:t xml:space="preserve"> nevykdant arba netinkamai vykdant savo įsipareigojimus, susijusius su nuomos objekto garantiniu terminu.</w:t>
      </w:r>
    </w:p>
    <w:p w14:paraId="7653883B" w14:textId="77777777" w:rsidR="000F5445" w:rsidRPr="008E5BF4" w:rsidRDefault="000F5445" w:rsidP="000F5445">
      <w:pPr>
        <w:jc w:val="both"/>
      </w:pPr>
      <w:r w:rsidRPr="008E5BF4">
        <w:t xml:space="preserve">10.3. Garantinio termino metu pavėlavęs per Sutarties specialioje dalyje nustatytą terminą įvykdyti Sutarties bendrosios dalies 6.3 punkte nustatytus įsipareigojimus, </w:t>
      </w:r>
      <w:r w:rsidRPr="008E5BF4">
        <w:rPr>
          <w:b/>
        </w:rPr>
        <w:t>Nuomotojas</w:t>
      </w:r>
      <w:r w:rsidRPr="008E5BF4">
        <w:t xml:space="preserve"> moka </w:t>
      </w:r>
      <w:r w:rsidRPr="008E5BF4">
        <w:rPr>
          <w:b/>
        </w:rPr>
        <w:t xml:space="preserve">Nuomininkui </w:t>
      </w:r>
      <w:r w:rsidRPr="008E5BF4">
        <w:t xml:space="preserve">0,2 </w:t>
      </w:r>
      <w:r w:rsidRPr="008E5BF4">
        <w:lastRenderedPageBreak/>
        <w:t>% dydžio nuo nuomos objekto, kurio trūkumai nepašalinti, ar nuomos objekto, kuris yra nepakeistas, nuomos kainos už kiekvieną uždelstą dieną/valandą</w:t>
      </w:r>
      <w:r w:rsidRPr="008E5BF4">
        <w:rPr>
          <w:i/>
        </w:rPr>
        <w:t xml:space="preserve"> </w:t>
      </w:r>
      <w:r w:rsidRPr="008E5BF4">
        <w:t>Šalių iš anksto sutartus minimalius nuostolius,</w:t>
      </w:r>
      <w:r w:rsidRPr="008E5BF4">
        <w:rPr>
          <w:bCs/>
        </w:rPr>
        <w:t xml:space="preserve"> kurių sumokėjimas neatleidžia </w:t>
      </w:r>
      <w:r w:rsidRPr="008E5BF4">
        <w:rPr>
          <w:b/>
        </w:rPr>
        <w:t>Nuomotojo</w:t>
      </w:r>
      <w:r w:rsidRPr="008E5BF4">
        <w:t xml:space="preserve"> </w:t>
      </w:r>
      <w:r w:rsidRPr="008E5BF4">
        <w:rPr>
          <w:bCs/>
        </w:rPr>
        <w:t xml:space="preserve">nuo pareigos atlyginti visus </w:t>
      </w:r>
      <w:r w:rsidRPr="008E5BF4">
        <w:rPr>
          <w:b/>
          <w:bCs/>
        </w:rPr>
        <w:t>Nuomininko</w:t>
      </w:r>
      <w:r w:rsidRPr="008E5BF4">
        <w:rPr>
          <w:bCs/>
        </w:rPr>
        <w:t xml:space="preserve"> patirtus nuostolius</w:t>
      </w:r>
      <w:r w:rsidRPr="008E5BF4">
        <w:t xml:space="preserve"> </w:t>
      </w:r>
      <w:r w:rsidRPr="008E5BF4">
        <w:rPr>
          <w:b/>
        </w:rPr>
        <w:t>Nuomotojui</w:t>
      </w:r>
      <w:r w:rsidRPr="008E5BF4">
        <w:t xml:space="preserve"> nevykdant arba netinkamai vykdant savo įsipareigojimus, susijusius su nuomos objekto garantiniu terminu.</w:t>
      </w:r>
    </w:p>
    <w:p w14:paraId="7D9E31EC" w14:textId="77777777" w:rsidR="000F5445" w:rsidRPr="008E5BF4" w:rsidRDefault="000F5445" w:rsidP="000F5445">
      <w:pPr>
        <w:jc w:val="both"/>
      </w:pPr>
      <w:r w:rsidRPr="008E5BF4">
        <w:t>10.4. Nutraukus Sutartį dėl Sutarties bendrojoje dalyje 8.2.1, 8.2.2, 8.2.3, 8.2.4, 8.2.5, 8.2.6 punktuose, 8.2.</w:t>
      </w:r>
      <w:r w:rsidR="001D20A4" w:rsidRPr="008E5BF4">
        <w:t xml:space="preserve">5 </w:t>
      </w:r>
      <w:r w:rsidRPr="008E5BF4">
        <w:t>(</w:t>
      </w:r>
      <w:r w:rsidRPr="008E5BF4">
        <w:rPr>
          <w:i/>
        </w:rPr>
        <w:t>taikoma, kai Sutarties įvykdymas užtikrinimas laidavimo raštu ar garantija</w:t>
      </w:r>
      <w:r w:rsidRPr="008E5BF4">
        <w:t xml:space="preserve">) punkte ar kitų Sutarties specialiojoje dalyje išvardintų priežasčių, </w:t>
      </w:r>
      <w:r w:rsidRPr="008E5BF4">
        <w:rPr>
          <w:b/>
        </w:rPr>
        <w:t>Nuomotojas</w:t>
      </w:r>
      <w:r w:rsidRPr="008E5BF4">
        <w:t xml:space="preserve"> per 14 (keturiolika) dienų (skaičiuojant nuo Sutarties nutraukimo dienos) turi sumokėti</w:t>
      </w:r>
      <w:r w:rsidRPr="008E5BF4">
        <w:rPr>
          <w:b/>
          <w:bCs/>
        </w:rPr>
        <w:t xml:space="preserve"> Nuomininkui</w:t>
      </w:r>
      <w:r w:rsidRPr="008E5BF4">
        <w:rPr>
          <w:b/>
        </w:rPr>
        <w:t xml:space="preserve"> </w:t>
      </w:r>
      <w:r w:rsidRPr="008E5BF4">
        <w:t>ne mažiau kaip</w:t>
      </w:r>
      <w:r w:rsidRPr="008E5BF4">
        <w:rPr>
          <w:b/>
        </w:rPr>
        <w:t xml:space="preserve"> </w:t>
      </w:r>
      <w:r w:rsidRPr="008E5BF4">
        <w:t>7 (septynių) % Sutarties kainos be PVM (arba bendros pasiūlymo kainos be PVM</w:t>
      </w:r>
      <w:r w:rsidRPr="008E5BF4">
        <w:rPr>
          <w:i/>
        </w:rPr>
        <w:t>)</w:t>
      </w:r>
      <w:r w:rsidRPr="008E5BF4">
        <w:t xml:space="preserve"> (konkretus procentinis dydis arba konkreti fiksuota suma nurodoma Sutarties specialioje dalyje) </w:t>
      </w:r>
      <w:r w:rsidRPr="008E5BF4">
        <w:rPr>
          <w:bCs/>
        </w:rPr>
        <w:t xml:space="preserve">Šalių </w:t>
      </w:r>
      <w:r w:rsidRPr="008E5BF4">
        <w:t xml:space="preserve">iš anksto sutartų minimalių nuostolių, bet ne daugiau kaip visų pagal šią Sutartį neįvykdytų įsipareigojimų vertės. Šalių iš anksto sutartų minimalių nuostolių sumokėjimas neatleidžia </w:t>
      </w:r>
      <w:r w:rsidRPr="008E5BF4">
        <w:rPr>
          <w:b/>
        </w:rPr>
        <w:t>Nuomotojo</w:t>
      </w:r>
      <w:r w:rsidRPr="008E5BF4">
        <w:t xml:space="preserve"> nuo pareigos atlyginti visus </w:t>
      </w:r>
      <w:r w:rsidRPr="008E5BF4">
        <w:rPr>
          <w:b/>
          <w:bCs/>
        </w:rPr>
        <w:t>Nuomininkui</w:t>
      </w:r>
      <w:r w:rsidRPr="008E5BF4">
        <w:t xml:space="preserve"> patirtus nuostolius, </w:t>
      </w:r>
      <w:r w:rsidRPr="008E5BF4">
        <w:rPr>
          <w:b/>
        </w:rPr>
        <w:t>Nuomotojui</w:t>
      </w:r>
      <w:r w:rsidRPr="008E5BF4">
        <w:t xml:space="preserve"> nevykdant ar netinkamai vykdant sutartį.</w:t>
      </w:r>
    </w:p>
    <w:p w14:paraId="38EE198E" w14:textId="77777777" w:rsidR="000F5445" w:rsidRPr="008E5BF4" w:rsidRDefault="000F5445" w:rsidP="000F5445">
      <w:pPr>
        <w:jc w:val="both"/>
        <w:rPr>
          <w:b/>
        </w:rPr>
      </w:pPr>
      <w:r w:rsidRPr="008E5BF4">
        <w:t xml:space="preserve">10.5. Nutraukus Sutartį dėl Sutarties bendrojoje dalyje 8.2.4 punkte nurodytos priežasties, </w:t>
      </w:r>
      <w:r w:rsidRPr="008E5BF4">
        <w:rPr>
          <w:b/>
        </w:rPr>
        <w:t>Nuomotojas</w:t>
      </w:r>
      <w:r w:rsidRPr="008E5BF4">
        <w:t xml:space="preserve"> per 7 (septynias) dienas (skaičiuojant nuo Sutarties nutraukimo dienos) turi sumokėti</w:t>
      </w:r>
      <w:r w:rsidRPr="008E5BF4">
        <w:rPr>
          <w:b/>
          <w:bCs/>
        </w:rPr>
        <w:t xml:space="preserve"> Nuomininkui</w:t>
      </w:r>
      <w:r w:rsidRPr="008E5BF4">
        <w:rPr>
          <w:b/>
        </w:rPr>
        <w:t xml:space="preserve"> </w:t>
      </w:r>
      <w:r w:rsidRPr="008E5BF4">
        <w:t>nuomos objekto su trūkumais nuomos kainos be PVM dydžio</w:t>
      </w:r>
      <w:r w:rsidRPr="008E5BF4">
        <w:rPr>
          <w:b/>
        </w:rPr>
        <w:t xml:space="preserve"> </w:t>
      </w:r>
      <w:r w:rsidRPr="008E5BF4">
        <w:rPr>
          <w:bCs/>
        </w:rPr>
        <w:t xml:space="preserve">Šalių </w:t>
      </w:r>
      <w:r w:rsidRPr="008E5BF4">
        <w:t xml:space="preserve">iš anksto sutartus minimalius nuostolius. Šalių iš anksto sutartų minimalių nuostolių sumokėjimas neatleidžia </w:t>
      </w:r>
      <w:r w:rsidRPr="008E5BF4">
        <w:rPr>
          <w:b/>
        </w:rPr>
        <w:t>Nuomotojo</w:t>
      </w:r>
      <w:r w:rsidRPr="008E5BF4">
        <w:t xml:space="preserve"> nuo pareigos atlyginti visus </w:t>
      </w:r>
      <w:r w:rsidRPr="008E5BF4">
        <w:rPr>
          <w:b/>
          <w:bCs/>
        </w:rPr>
        <w:t>Nuomininko</w:t>
      </w:r>
      <w:r w:rsidRPr="008E5BF4">
        <w:t xml:space="preserve"> patirtus nuostolius, </w:t>
      </w:r>
      <w:r w:rsidRPr="008E5BF4">
        <w:rPr>
          <w:b/>
        </w:rPr>
        <w:t>Nuomotojui</w:t>
      </w:r>
      <w:r w:rsidRPr="008E5BF4">
        <w:t xml:space="preserve"> nevykdant ar netinkamai vykdant sutartį. </w:t>
      </w:r>
    </w:p>
    <w:p w14:paraId="215728F1" w14:textId="77777777" w:rsidR="000F5445" w:rsidRPr="008E5BF4" w:rsidRDefault="000F5445" w:rsidP="000F5445">
      <w:pPr>
        <w:jc w:val="both"/>
      </w:pPr>
      <w:r w:rsidRPr="008E5BF4">
        <w:t xml:space="preserve">10.6. Kiti sutartinės atsakomybės taikymo </w:t>
      </w:r>
      <w:r w:rsidRPr="008E5BF4">
        <w:rPr>
          <w:b/>
        </w:rPr>
        <w:t>Nuomotojui</w:t>
      </w:r>
      <w:r w:rsidRPr="008E5BF4">
        <w:t xml:space="preserve"> atvejai nurodyti Sutarties specialiojoje dalyje.</w:t>
      </w:r>
    </w:p>
    <w:p w14:paraId="27CA5C8D" w14:textId="77777777" w:rsidR="001D20A4" w:rsidRPr="008E5BF4" w:rsidRDefault="001D20A4" w:rsidP="001D20A4">
      <w:pPr>
        <w:pStyle w:val="BodyTextIndent2"/>
        <w:ind w:left="0" w:firstLine="0"/>
        <w:jc w:val="both"/>
        <w:rPr>
          <w:i w:val="0"/>
          <w:color w:val="auto"/>
          <w:sz w:val="24"/>
          <w:szCs w:val="24"/>
          <w:lang w:val="lt-LT"/>
        </w:rPr>
      </w:pPr>
      <w:r w:rsidRPr="008E5BF4">
        <w:rPr>
          <w:i w:val="0"/>
          <w:color w:val="auto"/>
          <w:sz w:val="24"/>
          <w:szCs w:val="24"/>
          <w:lang w:val="lt-LT"/>
        </w:rPr>
        <w:t>1</w:t>
      </w:r>
      <w:r w:rsidR="00D31B48" w:rsidRPr="008E5BF4">
        <w:rPr>
          <w:i w:val="0"/>
          <w:color w:val="auto"/>
          <w:sz w:val="24"/>
          <w:szCs w:val="24"/>
          <w:lang w:val="lt-LT"/>
        </w:rPr>
        <w:t>0</w:t>
      </w:r>
      <w:r w:rsidRPr="008E5BF4">
        <w:rPr>
          <w:i w:val="0"/>
          <w:color w:val="auto"/>
          <w:sz w:val="24"/>
          <w:szCs w:val="24"/>
          <w:lang w:val="lt-LT"/>
        </w:rPr>
        <w:t>.</w:t>
      </w:r>
      <w:r w:rsidR="00D31B48" w:rsidRPr="008E5BF4">
        <w:rPr>
          <w:i w:val="0"/>
          <w:color w:val="auto"/>
          <w:sz w:val="24"/>
          <w:szCs w:val="24"/>
          <w:lang w:val="lt-LT"/>
        </w:rPr>
        <w:t>7</w:t>
      </w:r>
      <w:r w:rsidRPr="008E5BF4">
        <w:rPr>
          <w:i w:val="0"/>
          <w:color w:val="auto"/>
          <w:sz w:val="24"/>
          <w:szCs w:val="24"/>
          <w:lang w:val="lt-LT"/>
        </w:rPr>
        <w:t xml:space="preserve">. Finansavimo vėlavimas iš biudžeto yra sąlyga visiškai atleidžianti nuo civilinės atsakomybės ir palūkanų mokėjimo </w:t>
      </w:r>
      <w:r w:rsidRPr="008E5BF4">
        <w:rPr>
          <w:b/>
          <w:i w:val="0"/>
          <w:color w:val="auto"/>
          <w:sz w:val="24"/>
          <w:szCs w:val="24"/>
          <w:lang w:val="lt-LT"/>
        </w:rPr>
        <w:t xml:space="preserve">Nuomotojui </w:t>
      </w:r>
      <w:r w:rsidRPr="008E5BF4">
        <w:rPr>
          <w:i w:val="0"/>
          <w:color w:val="auto"/>
          <w:sz w:val="24"/>
          <w:szCs w:val="24"/>
          <w:lang w:val="lt-LT"/>
        </w:rPr>
        <w:t>už pavėluotą atsiskaitymą.</w:t>
      </w:r>
    </w:p>
    <w:p w14:paraId="194D4D24" w14:textId="77777777" w:rsidR="000F5445" w:rsidRPr="008E5BF4" w:rsidRDefault="000F5445" w:rsidP="000F5445">
      <w:pPr>
        <w:jc w:val="both"/>
      </w:pPr>
    </w:p>
    <w:p w14:paraId="45950F3B" w14:textId="77777777" w:rsidR="000F5445" w:rsidRPr="008E5BF4" w:rsidRDefault="000F5445" w:rsidP="000F5445">
      <w:pPr>
        <w:jc w:val="both"/>
        <w:rPr>
          <w:b/>
        </w:rPr>
      </w:pPr>
      <w:r w:rsidRPr="008E5BF4">
        <w:rPr>
          <w:b/>
        </w:rPr>
        <w:t>11. Sutarties galiojimas</w:t>
      </w:r>
    </w:p>
    <w:p w14:paraId="02762A45" w14:textId="77777777" w:rsidR="000F5445" w:rsidRPr="008E5BF4" w:rsidRDefault="000F5445" w:rsidP="000F5445">
      <w:pPr>
        <w:jc w:val="both"/>
      </w:pPr>
      <w:r w:rsidRPr="008E5BF4">
        <w:t xml:space="preserve">11.1. Sutartis įsigalioja abiem Šalims ją pasirašius ir </w:t>
      </w:r>
      <w:r w:rsidRPr="008E5BF4">
        <w:rPr>
          <w:b/>
        </w:rPr>
        <w:t>Nuomotojui</w:t>
      </w:r>
      <w:r w:rsidRPr="008E5BF4">
        <w:t xml:space="preserve"> pateikus </w:t>
      </w:r>
      <w:r w:rsidRPr="008E5BF4">
        <w:rPr>
          <w:b/>
        </w:rPr>
        <w:t xml:space="preserve">Nuomininkui </w:t>
      </w:r>
      <w:r w:rsidRPr="008E5BF4">
        <w:t xml:space="preserve">Sutarties įvykdymo užtikrinimo banko garantiją ar draudimo bendrovės laidavimo raštą </w:t>
      </w:r>
      <w:r w:rsidRPr="008E5BF4">
        <w:rPr>
          <w:i/>
        </w:rPr>
        <w:t>(sąlyga taikoma, jeigu sutarties vykdymas bus užtikrintas laidavimu arba banko garantija)</w:t>
      </w:r>
      <w:r w:rsidRPr="008E5BF4">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8E5BF4">
        <w:rPr>
          <w:b/>
        </w:rPr>
        <w:t xml:space="preserve">Nuomininkui </w:t>
      </w:r>
      <w:r w:rsidRPr="008E5BF4">
        <w:t>nutraukus Sutartį dėl bent vienos iš 8.2.1 - 8.2.</w:t>
      </w:r>
      <w:r w:rsidRPr="008E5BF4">
        <w:rPr>
          <w:strike/>
        </w:rPr>
        <w:t>6</w:t>
      </w:r>
      <w:r w:rsidRPr="008E5BF4">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8E5BF4">
        <w:rPr>
          <w:i/>
        </w:rPr>
        <w:t>jeigu sutarties vykdymas bus užtikrintas laidavimu arba banko garantija</w:t>
      </w:r>
      <w:r w:rsidRPr="008E5BF4">
        <w:t>).</w:t>
      </w:r>
    </w:p>
    <w:p w14:paraId="0A4058C2" w14:textId="77777777" w:rsidR="000F5445" w:rsidRPr="008E5BF4" w:rsidRDefault="000F5445" w:rsidP="000F5445">
      <w:pPr>
        <w:jc w:val="both"/>
      </w:pPr>
      <w:r w:rsidRPr="008E5BF4">
        <w:t xml:space="preserve">11.2. Garantas/laiduotojas turi neatšaukiamai ir besąlygiškai įsipareigoti ne vėliau kaip per 14 (keturiolika) dienų nuo raštiško pranešimo, patvirtinančio Sutarties nutraukimą dėl Sutartyje numatytų pagrindų esant </w:t>
      </w:r>
      <w:r w:rsidRPr="008E5BF4">
        <w:rPr>
          <w:b/>
        </w:rPr>
        <w:t>Nuomotojo</w:t>
      </w:r>
      <w:r w:rsidRPr="008E5BF4">
        <w:t xml:space="preserve"> kaltei, įvykdyti prievolę ir sumokėti įsipareigotą sumą, pinigus pervedant į </w:t>
      </w:r>
      <w:r w:rsidRPr="008E5BF4">
        <w:rPr>
          <w:b/>
        </w:rPr>
        <w:t>Nuomininko</w:t>
      </w:r>
      <w:r w:rsidRPr="008E5BF4">
        <w:t xml:space="preserve"> sąskaitą (</w:t>
      </w:r>
      <w:r w:rsidRPr="008E5BF4">
        <w:rPr>
          <w:i/>
        </w:rPr>
        <w:t>jeigu sutarties vykdymas bus užtikrintas laidavimu arba banko garantija</w:t>
      </w:r>
      <w:r w:rsidRPr="008E5BF4">
        <w:t>).</w:t>
      </w:r>
    </w:p>
    <w:p w14:paraId="6199CD17" w14:textId="77777777" w:rsidR="000F5445" w:rsidRPr="008E5BF4" w:rsidRDefault="000F5445" w:rsidP="000F5445">
      <w:pPr>
        <w:jc w:val="both"/>
        <w:rPr>
          <w:b/>
        </w:rPr>
      </w:pPr>
      <w:r w:rsidRPr="008E5BF4">
        <w:t>11.3.</w:t>
      </w:r>
      <w:r w:rsidRPr="008E5BF4">
        <w:rPr>
          <w:b/>
        </w:rPr>
        <w:t xml:space="preserve"> Nuomotojas</w:t>
      </w:r>
      <w:r w:rsidRPr="008E5BF4">
        <w:t xml:space="preserve"> ne vėliau kaip</w:t>
      </w:r>
      <w:r w:rsidRPr="008E5BF4">
        <w:rPr>
          <w:b/>
        </w:rPr>
        <w:t xml:space="preserve"> </w:t>
      </w:r>
      <w:r w:rsidRPr="008E5BF4">
        <w:t xml:space="preserve">per 5 (penkias) darbo dienas po Sutarties pasirašymo pateikia </w:t>
      </w:r>
      <w:r w:rsidRPr="008E5BF4">
        <w:rPr>
          <w:b/>
        </w:rPr>
        <w:t xml:space="preserve">Nuomininkui </w:t>
      </w:r>
      <w:r w:rsidRPr="008E5BF4">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8E5BF4">
        <w:rPr>
          <w:b/>
        </w:rPr>
        <w:t>Nuomininko</w:t>
      </w:r>
      <w:r w:rsidRPr="008E5BF4">
        <w:t xml:space="preserve"> patirtų nuostolių atlyginimu ir neatleidžia </w:t>
      </w:r>
      <w:r w:rsidRPr="008E5BF4">
        <w:rPr>
          <w:b/>
        </w:rPr>
        <w:t>Nuomotojo</w:t>
      </w:r>
      <w:r w:rsidRPr="008E5BF4">
        <w:t xml:space="preserve"> nuo pareigos juos atlyginti pilnai. </w:t>
      </w:r>
      <w:r w:rsidRPr="008E5BF4">
        <w:rPr>
          <w:b/>
        </w:rPr>
        <w:t>Nuomotojas</w:t>
      </w:r>
      <w:r w:rsidRPr="008E5BF4">
        <w:t xml:space="preserve"> taip pat turi pateikti patvirtinimą iš draudimo bendrovės, kad laidavimo raštas yra galiojantis (</w:t>
      </w:r>
      <w:r w:rsidRPr="008E5BF4">
        <w:rPr>
          <w:i/>
        </w:rPr>
        <w:t>jeigu sutarties vykdymas bus užtikrintas laidavimu arba banko garantija</w:t>
      </w:r>
      <w:r w:rsidRPr="008E5BF4">
        <w:t xml:space="preserve">). </w:t>
      </w:r>
    </w:p>
    <w:p w14:paraId="645DC82E" w14:textId="77777777" w:rsidR="000F5445" w:rsidRPr="008E5BF4" w:rsidRDefault="000F5445" w:rsidP="000F5445">
      <w:pPr>
        <w:jc w:val="both"/>
      </w:pPr>
      <w:r w:rsidRPr="008E5BF4">
        <w:t xml:space="preserve">11.4. Jei sutarties vykdymo metu sutarties įvykdymo užtikrinimą išdavęs juridinis asmuo (bankas ar draudimo bendrovė) negali vykdyti savo įsipareigojimų (sustabdoma veikla, paskelbiamas moratoriumas ir pan.), </w:t>
      </w:r>
      <w:r w:rsidRPr="008E5BF4">
        <w:rPr>
          <w:b/>
        </w:rPr>
        <w:t>Nuomotojas</w:t>
      </w:r>
      <w:r w:rsidRPr="008E5BF4">
        <w:t xml:space="preserve"> per 10 (dešimt) dienų pateikia naują Sutarties vykdymo užtikrinimą, tokiomis pačiomis sąlygomis kaip ir ankstesnysis. Jei </w:t>
      </w:r>
      <w:r w:rsidRPr="008E5BF4">
        <w:rPr>
          <w:b/>
        </w:rPr>
        <w:t>Nuomotojas</w:t>
      </w:r>
      <w:r w:rsidRPr="008E5BF4">
        <w:t xml:space="preserve"> nepateikia naujo Sutarties įvykdymo </w:t>
      </w:r>
      <w:r w:rsidRPr="008E5BF4">
        <w:lastRenderedPageBreak/>
        <w:t xml:space="preserve">užtikrinimo, </w:t>
      </w:r>
      <w:r w:rsidRPr="008E5BF4">
        <w:rPr>
          <w:b/>
        </w:rPr>
        <w:t>Nuomininkas</w:t>
      </w:r>
      <w:r w:rsidRPr="008E5BF4">
        <w:t xml:space="preserve"> turi teisę nutraukti Sutartį, Sutarties bendrosios dalies 8.2.5 punkte nustatyta tvarka.</w:t>
      </w:r>
    </w:p>
    <w:p w14:paraId="7CD57FA6" w14:textId="77777777" w:rsidR="000F5445" w:rsidRPr="008E5BF4" w:rsidRDefault="000F5445" w:rsidP="000F5445">
      <w:pPr>
        <w:jc w:val="both"/>
      </w:pPr>
      <w:r w:rsidRPr="008E5BF4">
        <w:t xml:space="preserve">11.5. Sutarties įvykdymo užtikrinimas grąžinamas per 10 (dešimt) dienų nuo šio užtikrinimo galiojimo termino pabaigos </w:t>
      </w:r>
      <w:r w:rsidRPr="008E5BF4">
        <w:rPr>
          <w:b/>
        </w:rPr>
        <w:t>Nuomotojui</w:t>
      </w:r>
      <w:r w:rsidRPr="008E5BF4">
        <w:t xml:space="preserve"> pateikus raštišką prašymą (</w:t>
      </w:r>
      <w:r w:rsidRPr="008E5BF4">
        <w:rPr>
          <w:i/>
        </w:rPr>
        <w:t>jeigu sutarties vykdymas bus užtikrintas laidavimu arba banko garantija</w:t>
      </w:r>
      <w:r w:rsidRPr="008E5BF4">
        <w:t>).</w:t>
      </w:r>
    </w:p>
    <w:p w14:paraId="258EF593" w14:textId="77777777" w:rsidR="000F5445" w:rsidRPr="008E5BF4" w:rsidRDefault="000F5445" w:rsidP="000F5445">
      <w:pPr>
        <w:jc w:val="both"/>
      </w:pPr>
      <w:r w:rsidRPr="008E5BF4">
        <w:t xml:space="preserve">11.6. Sutarties sąlygos pirkimo sutarties galiojimo laikotarpiu negali būti keičiamos, išskyrus atvejus, kai pakeitimas galimas remiantis Viešųjų pirkimų įstatymo 89 straipsnio </w:t>
      </w:r>
      <w:proofErr w:type="spellStart"/>
      <w:r w:rsidRPr="008E5BF4">
        <w:t>nustatomis</w:t>
      </w:r>
      <w:proofErr w:type="spellEnd"/>
      <w:r w:rsidRPr="008E5BF4">
        <w:t xml:space="preserve"> ir neprieštarauja pagrindiniams viešųjų pirkimų principais bei tikslui. Sutarties keitimo sąlygos, atitinkančios Viešųjų pirkimų 89 straipsnio reikalavimus, privalo būti nurodytos Sutarties specialiojoje dalyje. </w:t>
      </w:r>
    </w:p>
    <w:p w14:paraId="786FBC06" w14:textId="77777777" w:rsidR="000F5445" w:rsidRPr="008E5BF4" w:rsidRDefault="000F5445" w:rsidP="000F5445">
      <w:pPr>
        <w:jc w:val="both"/>
      </w:pPr>
      <w:r w:rsidRPr="008E5BF4">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18D3826" w14:textId="77777777" w:rsidR="000F5445" w:rsidRPr="008E5BF4" w:rsidRDefault="000F5445" w:rsidP="000F5445">
      <w:pPr>
        <w:jc w:val="both"/>
      </w:pPr>
      <w:r w:rsidRPr="008E5BF4">
        <w:t>11.8. Sutartis gali būti pratęsta Sutarties Specialiojoje dalyje nustatytomis sąlygomis.</w:t>
      </w:r>
    </w:p>
    <w:p w14:paraId="51B00151" w14:textId="77777777" w:rsidR="000F5445" w:rsidRPr="008E5BF4" w:rsidRDefault="000F5445" w:rsidP="000F5445">
      <w:pPr>
        <w:jc w:val="both"/>
      </w:pPr>
      <w:r w:rsidRPr="008E5BF4">
        <w:t>11.9. Sutarties specialiojoje dalyje numatyta Sutarties galiojimo termino pabaiga nereiškia Šalių prievolių pagal Sutartį pabaigos ir neatleidžia Šalių nuo civilinės atsakomybės už Sutarties pažeidimą.</w:t>
      </w:r>
    </w:p>
    <w:p w14:paraId="682F4F79" w14:textId="77777777" w:rsidR="000F5445" w:rsidRPr="008E5BF4" w:rsidRDefault="000F5445" w:rsidP="000F5445">
      <w:pPr>
        <w:jc w:val="both"/>
        <w:rPr>
          <w:b/>
        </w:rPr>
      </w:pPr>
    </w:p>
    <w:p w14:paraId="7A08C6FF" w14:textId="77777777" w:rsidR="000F5445" w:rsidRPr="008E5BF4" w:rsidRDefault="000F5445" w:rsidP="000F5445">
      <w:pPr>
        <w:pStyle w:val="BodyText"/>
        <w:spacing w:after="0"/>
        <w:ind w:right="125"/>
        <w:jc w:val="both"/>
        <w:rPr>
          <w:b/>
          <w:bCs/>
        </w:rPr>
      </w:pPr>
      <w:r w:rsidRPr="008E5BF4">
        <w:rPr>
          <w:b/>
          <w:bCs/>
        </w:rPr>
        <w:t>12. Susirašinėjimas</w:t>
      </w:r>
    </w:p>
    <w:p w14:paraId="3DC71002" w14:textId="77777777" w:rsidR="000F5445" w:rsidRPr="008E5BF4" w:rsidRDefault="000F5445" w:rsidP="000F5445">
      <w:pPr>
        <w:pStyle w:val="BodyText"/>
        <w:spacing w:after="0"/>
        <w:ind w:right="125"/>
        <w:jc w:val="both"/>
      </w:pPr>
      <w:r w:rsidRPr="008E5BF4">
        <w:t xml:space="preserve">12.1. </w:t>
      </w:r>
      <w:r w:rsidRPr="008E5BF4">
        <w:rPr>
          <w:b/>
        </w:rPr>
        <w:t>Nuomininko</w:t>
      </w:r>
      <w:r w:rsidRPr="008E5BF4">
        <w:t xml:space="preserve"> ir </w:t>
      </w:r>
      <w:r w:rsidRPr="008E5BF4">
        <w:rPr>
          <w:b/>
        </w:rPr>
        <w:t>Nuomotojo</w:t>
      </w:r>
      <w:r w:rsidRPr="008E5BF4">
        <w:t xml:space="preserve"> vienas kitam siunčiami pranešimai lietuvių/anglų (</w:t>
      </w:r>
      <w:r w:rsidRPr="008E5BF4">
        <w:rPr>
          <w:i/>
        </w:rPr>
        <w:t>taikoma, jeigu sutartis sudaroma anglų kalba</w:t>
      </w:r>
      <w:r w:rsidRPr="008E5BF4">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8BE01CF" w14:textId="77777777" w:rsidR="000F5445" w:rsidRPr="008E5BF4" w:rsidRDefault="000F5445" w:rsidP="000F5445">
      <w:pPr>
        <w:jc w:val="both"/>
      </w:pPr>
      <w:r w:rsidRPr="008E5BF4">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C5816F3" w14:textId="77777777" w:rsidR="000F5445" w:rsidRPr="008E5BF4" w:rsidRDefault="000F5445" w:rsidP="000F5445">
      <w:pPr>
        <w:jc w:val="both"/>
        <w:rPr>
          <w:b/>
        </w:rPr>
      </w:pPr>
    </w:p>
    <w:p w14:paraId="6A753D52" w14:textId="77777777" w:rsidR="001E637F" w:rsidRPr="008E5BF4" w:rsidRDefault="000F5445" w:rsidP="000F5445">
      <w:pPr>
        <w:jc w:val="both"/>
        <w:rPr>
          <w:b/>
          <w:bCs/>
        </w:rPr>
      </w:pPr>
      <w:r w:rsidRPr="008E5BF4">
        <w:t>13.</w:t>
      </w:r>
      <w:r w:rsidRPr="008E5BF4">
        <w:rPr>
          <w:b/>
        </w:rPr>
        <w:t xml:space="preserve"> </w:t>
      </w:r>
      <w:r w:rsidRPr="008E5BF4">
        <w:rPr>
          <w:b/>
          <w:bCs/>
        </w:rPr>
        <w:t>Informacijos konfidencialumas, slaptumas ir asmens duomenys</w:t>
      </w:r>
      <w:r w:rsidRPr="008E5BF4" w:rsidDel="00454579">
        <w:rPr>
          <w:b/>
          <w:bCs/>
        </w:rPr>
        <w:t xml:space="preserve"> </w:t>
      </w:r>
    </w:p>
    <w:p w14:paraId="2EBE52D9" w14:textId="77777777" w:rsidR="000F5445" w:rsidRPr="008E5BF4" w:rsidRDefault="000F5445" w:rsidP="000F5445">
      <w:pPr>
        <w:jc w:val="both"/>
      </w:pPr>
      <w:r w:rsidRPr="008E5BF4">
        <w:t xml:space="preserve">13.1. Šalys privalo užtikrinti, kad informacija, kurią jos perduoda viena kitai, bus naudojama tik vykdant Sutartį ir nebus naudojama tokiu būdu, kuris pakenktų informaciją perdavusiai Šaliai. </w:t>
      </w:r>
    </w:p>
    <w:p w14:paraId="567D236D" w14:textId="77777777" w:rsidR="000F5445" w:rsidRPr="008E5BF4" w:rsidRDefault="000F5445" w:rsidP="000F5445">
      <w:pPr>
        <w:jc w:val="both"/>
      </w:pPr>
      <w:r w:rsidRPr="008E5BF4">
        <w:t>13.2. Šalys įsipareigoja užtikrinti visos joms žinomos ir (ar) patikėtos informacijos slaptumą Sutarties galiojimo metu ir pasibaigus Sutarties galiojimo laikotarpiui ar ją nutraukus.</w:t>
      </w:r>
    </w:p>
    <w:p w14:paraId="19C4E936" w14:textId="77777777" w:rsidR="000F5445" w:rsidRPr="008E5BF4" w:rsidRDefault="000F5445" w:rsidP="000F5445">
      <w:pPr>
        <w:jc w:val="both"/>
      </w:pPr>
      <w:r w:rsidRPr="008E5BF4">
        <w:rPr>
          <w:bCs/>
        </w:rPr>
        <w:t>13.3.</w:t>
      </w:r>
      <w:r w:rsidRPr="008E5BF4">
        <w:rPr>
          <w:b/>
          <w:bCs/>
        </w:rPr>
        <w:t xml:space="preserve"> </w:t>
      </w:r>
      <w:r w:rsidRPr="008E5BF4">
        <w:rPr>
          <w:b/>
        </w:rPr>
        <w:t>Nuomotojas</w:t>
      </w:r>
      <w:r w:rsidRPr="008E5BF4">
        <w:t xml:space="preserve"> įsipareigoja be </w:t>
      </w:r>
      <w:r w:rsidRPr="008E5BF4">
        <w:rPr>
          <w:b/>
          <w:bCs/>
        </w:rPr>
        <w:t>Nuomininko</w:t>
      </w:r>
      <w:r w:rsidRPr="008E5BF4">
        <w:t xml:space="preserve"> išankstinio rašytinio sutikimo nenaudoti </w:t>
      </w:r>
      <w:r w:rsidRPr="008E5BF4">
        <w:rPr>
          <w:b/>
        </w:rPr>
        <w:t>Nuomininko</w:t>
      </w:r>
      <w:r w:rsidRPr="008E5BF4">
        <w:t xml:space="preserve"> jam pateiktos informacijos nei savo, nei bet kokių trečiųjų asmenų naudai, neatskleisti tokios informacijos kitiems asmenims, išskyrus Lietuvos Respublikos teisės aktų numatytus atvejus. </w:t>
      </w:r>
    </w:p>
    <w:p w14:paraId="32338393" w14:textId="77777777" w:rsidR="000F5445" w:rsidRPr="008E5BF4" w:rsidRDefault="000F5445" w:rsidP="000F5445">
      <w:pPr>
        <w:jc w:val="both"/>
      </w:pPr>
      <w:r w:rsidRPr="008E5BF4">
        <w:t xml:space="preserve">13.4. Sutartyje ir jos prieduose nurodyti asmens duomenys (vardai, pavardės, pareigos, el. paštas, ar telefono numeris) gali būti naudojami tik nustatant Šalių ar </w:t>
      </w:r>
      <w:r w:rsidRPr="008E5BF4">
        <w:rPr>
          <w:b/>
        </w:rPr>
        <w:t>Gavėjo</w:t>
      </w:r>
      <w:r w:rsidRPr="008E5BF4">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7D4B78C3" w14:textId="77777777" w:rsidR="000F5445" w:rsidRPr="008E5BF4" w:rsidRDefault="000F5445" w:rsidP="000F5445">
      <w:pPr>
        <w:jc w:val="both"/>
      </w:pPr>
      <w:r w:rsidRPr="008E5BF4">
        <w:t xml:space="preserve">13.5. Sutarties šalys užtikrina, kad su asmens duomenimis tvarkomais vykdant Sutartį susipažins tik tie asmenys, kuriems tai yra būtina vykdant įsipareigojimus pagal Sutartį. </w:t>
      </w:r>
    </w:p>
    <w:p w14:paraId="5364D34A" w14:textId="77777777" w:rsidR="000F5445" w:rsidRPr="008E5BF4" w:rsidRDefault="000F5445" w:rsidP="000F5445">
      <w:pPr>
        <w:jc w:val="both"/>
      </w:pPr>
      <w:r w:rsidRPr="008E5BF4">
        <w:t xml:space="preserve">13.6. Sutartyje ir jos prieduose nurodyti asmens duomenys be atskiro kitos šalies sutikimo negali būti perduoti tretiesiems asmenims, išskyrus </w:t>
      </w:r>
      <w:r w:rsidRPr="008E5BF4">
        <w:rPr>
          <w:b/>
        </w:rPr>
        <w:t>Nuomotojo</w:t>
      </w:r>
      <w:r w:rsidRPr="008E5BF4">
        <w:t xml:space="preserve"> įvardintus subtiekėjus ir </w:t>
      </w:r>
      <w:r w:rsidRPr="008E5BF4">
        <w:rPr>
          <w:b/>
        </w:rPr>
        <w:t>Gavėją</w:t>
      </w:r>
      <w:r w:rsidRPr="008E5BF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E0AA0DD" w14:textId="77777777" w:rsidR="000F5445" w:rsidRPr="008E5BF4" w:rsidRDefault="000F5445" w:rsidP="000F5445">
      <w:pPr>
        <w:jc w:val="both"/>
      </w:pPr>
      <w:r w:rsidRPr="008E5BF4">
        <w:lastRenderedPageBreak/>
        <w:t xml:space="preserve">13.7. Jei Sutarties vykdymo metu paaiškėja, kad yra tvarkomi asmens duomenys, kurie nėra aptarti Sutarties sąlygose, Sutarties šalys turi nedelsiant informuoti kitą šalį dėl tokių duomenų ir išlaikyti šių duomenų konfidencialumą. </w:t>
      </w:r>
      <w:r w:rsidR="00D31B48" w:rsidRPr="008E5BF4">
        <w:t>Nustačius, kad yra tvarkomi Sutartyje nenumatyti asmens duomenys</w:t>
      </w:r>
      <w:r w:rsidRPr="008E5BF4">
        <w:t xml:space="preserve">, yra pildomas specialiosios dalies 9 punktas. </w:t>
      </w:r>
    </w:p>
    <w:p w14:paraId="58CA161A" w14:textId="77777777" w:rsidR="000F5445" w:rsidRPr="008E5BF4" w:rsidRDefault="000F5445" w:rsidP="000F5445">
      <w:pPr>
        <w:jc w:val="both"/>
      </w:pPr>
      <w:r w:rsidRPr="008E5BF4">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BBEB8CA" w14:textId="77777777" w:rsidR="000F5445" w:rsidRPr="008E5BF4" w:rsidRDefault="000F5445" w:rsidP="000F5445">
      <w:pPr>
        <w:jc w:val="both"/>
      </w:pPr>
      <w:r w:rsidRPr="008E5BF4">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3EC3F2F4" w14:textId="77777777" w:rsidR="007B1675" w:rsidRPr="008E5BF4" w:rsidRDefault="000F5445" w:rsidP="000F5445">
      <w:pPr>
        <w:jc w:val="both"/>
      </w:pPr>
      <w:r w:rsidRPr="008E5BF4">
        <w:t>13.10. Šalys neatlygina viena kitos patirtų išlaidų ir nuostolių dėl asmens duomenų tvarkymo įsipareigojimų pagal šią Sutartį vykdymo.</w:t>
      </w:r>
    </w:p>
    <w:p w14:paraId="7E4C3EBF" w14:textId="77777777" w:rsidR="00D31B48" w:rsidRPr="008E5BF4" w:rsidRDefault="00D31B48" w:rsidP="000F5445">
      <w:pPr>
        <w:jc w:val="both"/>
      </w:pPr>
    </w:p>
    <w:p w14:paraId="4E1029DC" w14:textId="77777777" w:rsidR="000F5445" w:rsidRPr="008E5BF4" w:rsidRDefault="000F5445" w:rsidP="000F5445">
      <w:pPr>
        <w:jc w:val="both"/>
        <w:rPr>
          <w:b/>
        </w:rPr>
      </w:pPr>
      <w:r w:rsidRPr="008E5BF4">
        <w:rPr>
          <w:b/>
        </w:rPr>
        <w:t>14. Baigiamosios nuostatos</w:t>
      </w:r>
    </w:p>
    <w:p w14:paraId="5D22BC27" w14:textId="77777777" w:rsidR="000F5445" w:rsidRPr="008E5BF4" w:rsidRDefault="000F5445" w:rsidP="000F5445">
      <w:pPr>
        <w:jc w:val="both"/>
      </w:pPr>
      <w:r w:rsidRPr="008E5BF4">
        <w:t>14.1. Sutartis sudaryta lietuvių/anglų, lietuvių ir anglų kalba dviem/keturiais egzemplioriais (po vieną/du kiekvienai Šaliai) (</w:t>
      </w:r>
      <w:r w:rsidRPr="008E5BF4">
        <w:rPr>
          <w:i/>
        </w:rPr>
        <w:t>taikoma priklausomai nuo to</w:t>
      </w:r>
      <w:r w:rsidRPr="008E5BF4">
        <w:t xml:space="preserve"> </w:t>
      </w:r>
      <w:r w:rsidRPr="008E5BF4">
        <w:rPr>
          <w:i/>
        </w:rPr>
        <w:t>kokiomis kalbomis bus sudaroma sutartis</w:t>
      </w:r>
      <w:r w:rsidRPr="008E5BF4">
        <w:t xml:space="preserve">). Abu tekstai autentiški ir turi vienodą teisinę galią. Atsiradus neatitikimams tarp tekstų lietuvių ir anglų kalbomis, pirmenybė teikiama tekstui anglų kalba (taikoma, jeigu sutartis sudaroma su užsienio nuomotoju </w:t>
      </w:r>
      <w:r w:rsidRPr="008E5BF4">
        <w:rPr>
          <w:i/>
        </w:rPr>
        <w:t xml:space="preserve">lietuvių ir anglų kalba </w:t>
      </w:r>
      <w:r w:rsidRPr="008E5BF4">
        <w:t>).</w:t>
      </w:r>
    </w:p>
    <w:p w14:paraId="18991F34" w14:textId="77777777" w:rsidR="000F5445" w:rsidRPr="008E5BF4" w:rsidRDefault="000F5445" w:rsidP="000F5445">
      <w:pPr>
        <w:jc w:val="both"/>
      </w:pPr>
      <w:r w:rsidRPr="008E5BF4">
        <w:t xml:space="preserve">14.2. Šią sutartį sudaro Sutarties bendroji ir specialioji dalys bei sutarties priedas (-ai). Visi šios Sutarties priedai yra neatskiriama Sutarties dalis. </w:t>
      </w:r>
    </w:p>
    <w:p w14:paraId="454ECB1B" w14:textId="77777777" w:rsidR="000F5445" w:rsidRPr="008E5BF4" w:rsidRDefault="000F5445" w:rsidP="000F5445">
      <w:pPr>
        <w:jc w:val="both"/>
      </w:pPr>
      <w:r w:rsidRPr="008E5BF4">
        <w:t>14.3. Nė viena iš Šalių neturi teisės perduoti trečiajam asmeniui teisių ir įsipareigojimų pagal šią Sutartį be išankstinio raštiško kitos Šalies sutikimo.</w:t>
      </w:r>
    </w:p>
    <w:p w14:paraId="7AD2B401" w14:textId="77777777" w:rsidR="000F5445" w:rsidRPr="008E5BF4" w:rsidRDefault="000F5445" w:rsidP="000F5445">
      <w:pPr>
        <w:jc w:val="both"/>
      </w:pPr>
      <w:r w:rsidRPr="008E5BF4">
        <w:t xml:space="preserve">14.4. Pažeidęs šios sutarties dalies 14.3 punkte nurodytą įpareigojimą </w:t>
      </w:r>
      <w:r w:rsidRPr="008E5BF4">
        <w:rPr>
          <w:b/>
        </w:rPr>
        <w:t>Nuomotojas</w:t>
      </w:r>
      <w:r w:rsidRPr="008E5BF4">
        <w:t xml:space="preserve"> moka </w:t>
      </w:r>
      <w:r w:rsidRPr="008E5BF4">
        <w:rPr>
          <w:b/>
        </w:rPr>
        <w:t xml:space="preserve">Nuomininkui </w:t>
      </w:r>
      <w:r w:rsidRPr="008E5BF4">
        <w:t>5 proc. sutarties/pasiūlymo</w:t>
      </w:r>
      <w:r w:rsidRPr="008E5BF4">
        <w:rPr>
          <w:b/>
        </w:rPr>
        <w:t xml:space="preserve"> </w:t>
      </w:r>
      <w:r w:rsidRPr="008E5BF4">
        <w:t>kainos dydžio šalių iš anksto sutartų minimalių nuostolių sumą, jeigu sutarties Specialiojoje dalyje nenustatyta kitaip.</w:t>
      </w:r>
    </w:p>
    <w:p w14:paraId="00508B78" w14:textId="77777777" w:rsidR="000F5445" w:rsidRPr="008E5BF4" w:rsidRDefault="000F5445" w:rsidP="000F5445">
      <w:pPr>
        <w:jc w:val="both"/>
      </w:pPr>
      <w:r w:rsidRPr="008E5BF4">
        <w:t xml:space="preserve">14.5. </w:t>
      </w:r>
      <w:r w:rsidRPr="008E5BF4">
        <w:rPr>
          <w:b/>
        </w:rPr>
        <w:t>Nuomotojas</w:t>
      </w:r>
      <w:r w:rsidRPr="008E5BF4">
        <w:t xml:space="preserve"> garantuoja, kad turi visas Sutarties įvykdymui reikalingas licencijas. </w:t>
      </w:r>
      <w:r w:rsidRPr="008E5BF4">
        <w:rPr>
          <w:b/>
        </w:rPr>
        <w:t>Nuomotojas</w:t>
      </w:r>
      <w:r w:rsidRPr="008E5BF4">
        <w:t xml:space="preserve"> įsipareigoja atlyginti </w:t>
      </w:r>
      <w:r w:rsidRPr="008E5BF4">
        <w:rPr>
          <w:b/>
        </w:rPr>
        <w:t xml:space="preserve">Nuomininkui </w:t>
      </w:r>
      <w:r w:rsidRPr="008E5BF4">
        <w:t xml:space="preserve">nuostolius, jeigu </w:t>
      </w:r>
      <w:r w:rsidRPr="008E5BF4">
        <w:rPr>
          <w:b/>
        </w:rPr>
        <w:t>Nuomininkui</w:t>
      </w:r>
      <w:r w:rsidRPr="008E5BF4">
        <w:t xml:space="preserve"> būtų pateikta pretenzijų ar iškelta bylų dėl patentų ar licencijų pažeidimų, kylančių iš Sutarties ar padarytų ją vykdant. </w:t>
      </w:r>
    </w:p>
    <w:p w14:paraId="2D032CDF" w14:textId="77777777" w:rsidR="000F5445" w:rsidRPr="008E5BF4" w:rsidRDefault="000F5445" w:rsidP="000F5445">
      <w:pPr>
        <w:pStyle w:val="BodyText"/>
        <w:tabs>
          <w:tab w:val="left" w:pos="-360"/>
          <w:tab w:val="left" w:pos="0"/>
          <w:tab w:val="left" w:pos="1701"/>
        </w:tabs>
        <w:spacing w:after="0"/>
        <w:jc w:val="both"/>
      </w:pPr>
      <w:r w:rsidRPr="008E5BF4">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DD3C47" w14:textId="77777777" w:rsidR="000F5445" w:rsidRPr="008E5BF4" w:rsidRDefault="000F5445" w:rsidP="000F5445">
      <w:pPr>
        <w:pStyle w:val="NoSpacing"/>
        <w:jc w:val="both"/>
        <w:rPr>
          <w:lang w:val="lt-LT"/>
        </w:rPr>
      </w:pPr>
      <w:r w:rsidRPr="008E5BF4">
        <w:rPr>
          <w:lang w:val="lt-LT"/>
        </w:rPr>
        <w:t>14.</w:t>
      </w:r>
      <w:r w:rsidR="001D20A4" w:rsidRPr="008E5BF4">
        <w:rPr>
          <w:lang w:val="lt-LT"/>
        </w:rPr>
        <w:t>7</w:t>
      </w:r>
      <w:r w:rsidRPr="008E5BF4">
        <w:rPr>
          <w:lang w:val="lt-LT"/>
        </w:rPr>
        <w:t>. Subtiekėjo (-ų)/subteikėjo pavadinimas, jo (-ų) vykdomų sutartinių įsipareigojimų dalis yra nurodyti Sutarties specialiojoje dalyje.</w:t>
      </w:r>
    </w:p>
    <w:p w14:paraId="5B5E7324" w14:textId="77777777" w:rsidR="000F5445" w:rsidRPr="008E5BF4" w:rsidRDefault="000F5445" w:rsidP="000F5445">
      <w:pPr>
        <w:pStyle w:val="NoSpacing"/>
        <w:jc w:val="both"/>
        <w:rPr>
          <w:lang w:val="lt-LT"/>
        </w:rPr>
      </w:pPr>
      <w:r w:rsidRPr="008E5BF4">
        <w:rPr>
          <w:lang w:val="lt-LT"/>
        </w:rPr>
        <w:t>14.</w:t>
      </w:r>
      <w:r w:rsidR="001D20A4" w:rsidRPr="008E5BF4">
        <w:rPr>
          <w:lang w:val="lt-LT"/>
        </w:rPr>
        <w:t>8</w:t>
      </w:r>
      <w:r w:rsidRPr="008E5BF4">
        <w:rPr>
          <w:lang w:val="lt-LT"/>
        </w:rPr>
        <w:t>. Sutartyje nustatyto subtiekėjo (-ų)/subteikėjo (-ų) pakeitimas kitu subtiekėju (-</w:t>
      </w:r>
      <w:proofErr w:type="spellStart"/>
      <w:r w:rsidRPr="008E5BF4">
        <w:rPr>
          <w:lang w:val="lt-LT"/>
        </w:rPr>
        <w:t>ais</w:t>
      </w:r>
      <w:proofErr w:type="spellEnd"/>
      <w:r w:rsidRPr="008E5BF4">
        <w:rPr>
          <w:lang w:val="lt-LT"/>
        </w:rPr>
        <w:t>)/ subteikėju (-</w:t>
      </w:r>
      <w:proofErr w:type="spellStart"/>
      <w:r w:rsidRPr="008E5BF4">
        <w:rPr>
          <w:lang w:val="lt-LT"/>
        </w:rPr>
        <w:t>ais</w:t>
      </w:r>
      <w:proofErr w:type="spellEnd"/>
      <w:r w:rsidRPr="008E5BF4">
        <w:rPr>
          <w:lang w:val="lt-LT"/>
        </w:rPr>
        <w:t>) įforminamas rašytiniu Sutarties pakeitimu (</w:t>
      </w:r>
      <w:r w:rsidRPr="008E5BF4">
        <w:rPr>
          <w:i/>
          <w:lang w:val="lt-LT"/>
        </w:rPr>
        <w:t>taikoma, jei Nuomininkas  juos numato pasitelkti</w:t>
      </w:r>
      <w:r w:rsidRPr="008E5BF4">
        <w:rPr>
          <w:lang w:val="lt-LT"/>
        </w:rPr>
        <w:t>).</w:t>
      </w:r>
    </w:p>
    <w:p w14:paraId="517415F3" w14:textId="77777777" w:rsidR="000F5445" w:rsidRPr="008E5BF4" w:rsidRDefault="000F5445" w:rsidP="000F5445">
      <w:pPr>
        <w:jc w:val="both"/>
      </w:pPr>
      <w:r w:rsidRPr="008E5BF4">
        <w:t>14.</w:t>
      </w:r>
      <w:r w:rsidR="001D20A4" w:rsidRPr="008E5BF4">
        <w:t>9</w:t>
      </w:r>
      <w:r w:rsidRPr="008E5BF4">
        <w:t>.</w:t>
      </w:r>
      <w:r w:rsidRPr="008E5BF4">
        <w:rPr>
          <w:b/>
        </w:rPr>
        <w:t xml:space="preserve"> Nuomotojo</w:t>
      </w:r>
      <w:r w:rsidRPr="008E5BF4">
        <w:t xml:space="preserve"> paskirtas asmuo/asmenys, kurie atstovauja</w:t>
      </w:r>
      <w:r w:rsidRPr="008E5BF4">
        <w:rPr>
          <w:b/>
        </w:rPr>
        <w:t xml:space="preserve"> Nuomotojui</w:t>
      </w:r>
      <w:r w:rsidRPr="008E5BF4">
        <w:t>,</w:t>
      </w:r>
      <w:r w:rsidRPr="008E5BF4">
        <w:rPr>
          <w:b/>
        </w:rPr>
        <w:t xml:space="preserve"> </w:t>
      </w:r>
      <w:r w:rsidRPr="008E5BF4">
        <w:t>priiminėja ir tvirtina</w:t>
      </w:r>
      <w:r w:rsidRPr="008E5BF4">
        <w:rPr>
          <w:b/>
        </w:rPr>
        <w:t xml:space="preserve"> Nuomininko </w:t>
      </w:r>
      <w:r w:rsidRPr="008E5BF4">
        <w:t xml:space="preserve">teikiamus nuomos objekto užsakymus, dalyvauja susitikimuose su </w:t>
      </w:r>
      <w:r w:rsidRPr="008E5BF4">
        <w:rPr>
          <w:b/>
        </w:rPr>
        <w:t xml:space="preserve">Nuomininku </w:t>
      </w:r>
      <w:r w:rsidRPr="008E5BF4">
        <w:t xml:space="preserve">ir atlieka kitus veiksmus, būtinus tinkamam šios Sutarties vykdymui yra nurodyti Sutarties specialiojoje dalyje. </w:t>
      </w:r>
    </w:p>
    <w:p w14:paraId="6D7AFE5D" w14:textId="77777777" w:rsidR="000F5445" w:rsidRPr="008E5BF4" w:rsidRDefault="001D20A4" w:rsidP="000F5445">
      <w:pPr>
        <w:jc w:val="both"/>
      </w:pPr>
      <w:r w:rsidRPr="008E5BF4">
        <w:t>14.10</w:t>
      </w:r>
      <w:r w:rsidR="000F5445" w:rsidRPr="008E5BF4">
        <w:t xml:space="preserve">. </w:t>
      </w:r>
      <w:r w:rsidR="000F5445" w:rsidRPr="008E5BF4">
        <w:rPr>
          <w:b/>
        </w:rPr>
        <w:t xml:space="preserve">Nuomininko </w:t>
      </w:r>
      <w:r w:rsidR="000F5445" w:rsidRPr="008E5BF4">
        <w:t>paskirti asmuo/asmenys, kurie atstovauja</w:t>
      </w:r>
      <w:r w:rsidR="000F5445" w:rsidRPr="008E5BF4">
        <w:rPr>
          <w:b/>
        </w:rPr>
        <w:t xml:space="preserve"> Nuomininkui, </w:t>
      </w:r>
      <w:r w:rsidR="000F5445" w:rsidRPr="008E5BF4">
        <w:t>teikia</w:t>
      </w:r>
      <w:r w:rsidR="000F5445" w:rsidRPr="008E5BF4">
        <w:rPr>
          <w:b/>
        </w:rPr>
        <w:t xml:space="preserve"> Nuomotojui </w:t>
      </w:r>
      <w:r w:rsidR="000F5445" w:rsidRPr="008E5BF4">
        <w:t>nuomos objekto užsakymus, dalyvauja susitikimuose su</w:t>
      </w:r>
      <w:r w:rsidR="000F5445" w:rsidRPr="008E5BF4">
        <w:rPr>
          <w:b/>
        </w:rPr>
        <w:t xml:space="preserve"> Nuomotoju </w:t>
      </w:r>
      <w:r w:rsidR="000F5445" w:rsidRPr="008E5BF4">
        <w:t>ir atlieka kitus veiksmus, būtinus tinkamam šios Sutarties vykdymui, yra nurodyti Sutarties specialiojoje dalyje.</w:t>
      </w:r>
    </w:p>
    <w:p w14:paraId="227D35FD" w14:textId="77777777" w:rsidR="000F5445" w:rsidRPr="008E5BF4" w:rsidRDefault="000F5445" w:rsidP="000F5445">
      <w:pPr>
        <w:suppressAutoHyphens/>
        <w:jc w:val="both"/>
        <w:rPr>
          <w:b/>
        </w:rPr>
      </w:pPr>
    </w:p>
    <w:p w14:paraId="388CFCA8" w14:textId="77777777" w:rsidR="000F5445" w:rsidRPr="008E5BF4" w:rsidRDefault="000F5445" w:rsidP="000F5445">
      <w:pPr>
        <w:suppressAutoHyphens/>
        <w:jc w:val="both"/>
        <w:rPr>
          <w:b/>
        </w:rPr>
      </w:pPr>
    </w:p>
    <w:p w14:paraId="13C59964" w14:textId="77777777" w:rsidR="000F5445" w:rsidRPr="008E5BF4" w:rsidRDefault="000F5445" w:rsidP="000F5445">
      <w:pPr>
        <w:rPr>
          <w:rFonts w:eastAsia="Arial"/>
          <w:b/>
          <w:lang w:eastAsia="ar-SA"/>
        </w:rPr>
      </w:pPr>
      <w:r w:rsidRPr="008E5BF4">
        <w:rPr>
          <w:rFonts w:eastAsia="Arial"/>
          <w:b/>
          <w:lang w:eastAsia="ar-SA"/>
        </w:rPr>
        <w:t>NUOMININKAS</w:t>
      </w:r>
      <w:r w:rsidRPr="008E5BF4">
        <w:rPr>
          <w:rFonts w:eastAsia="Arial"/>
          <w:b/>
          <w:lang w:eastAsia="ar-SA"/>
        </w:rPr>
        <w:tab/>
      </w:r>
      <w:r w:rsidRPr="008E5BF4">
        <w:rPr>
          <w:rFonts w:eastAsia="Arial"/>
          <w:b/>
          <w:lang w:eastAsia="ar-SA"/>
        </w:rPr>
        <w:tab/>
      </w:r>
      <w:r w:rsidRPr="008E5BF4">
        <w:rPr>
          <w:rFonts w:eastAsia="Arial"/>
          <w:b/>
          <w:lang w:eastAsia="ar-SA"/>
        </w:rPr>
        <w:tab/>
      </w:r>
      <w:r w:rsidRPr="008E5BF4">
        <w:rPr>
          <w:rFonts w:eastAsia="Arial"/>
          <w:b/>
          <w:lang w:eastAsia="ar-SA"/>
        </w:rPr>
        <w:tab/>
      </w:r>
      <w:r w:rsidRPr="008E5BF4">
        <w:rPr>
          <w:rFonts w:eastAsia="Arial"/>
          <w:b/>
          <w:lang w:eastAsia="ar-SA"/>
        </w:rPr>
        <w:tab/>
        <w:t>NUOMOTOJAS</w:t>
      </w:r>
    </w:p>
    <w:p w14:paraId="1E9A5B6F" w14:textId="77777777" w:rsidR="000F5445" w:rsidRPr="008E5BF4" w:rsidRDefault="000F5445" w:rsidP="000F5445">
      <w:pPr>
        <w:rPr>
          <w:rFonts w:eastAsia="Arial"/>
          <w:lang w:eastAsia="ar-SA"/>
        </w:rPr>
      </w:pPr>
    </w:p>
    <w:p w14:paraId="22B27D74" w14:textId="77777777" w:rsidR="000F5445" w:rsidRPr="008E5BF4" w:rsidRDefault="000F5445" w:rsidP="000F5445">
      <w:pPr>
        <w:rPr>
          <w:rFonts w:eastAsia="Arial"/>
          <w:lang w:eastAsia="ar-SA"/>
        </w:rPr>
      </w:pPr>
    </w:p>
    <w:p w14:paraId="34839399" w14:textId="77777777" w:rsidR="000F5445" w:rsidRPr="008E5BF4" w:rsidRDefault="000F5445" w:rsidP="000F5445">
      <w:pPr>
        <w:rPr>
          <w:rFonts w:eastAsia="Arial"/>
          <w:lang w:eastAsia="ar-SA"/>
        </w:rPr>
      </w:pPr>
    </w:p>
    <w:p w14:paraId="36C220DC" w14:textId="77777777" w:rsidR="000F5445" w:rsidRPr="008E5BF4" w:rsidRDefault="000F5445" w:rsidP="000F5445">
      <w:pPr>
        <w:rPr>
          <w:rFonts w:eastAsia="Arial"/>
          <w:lang w:eastAsia="ar-SA"/>
        </w:rPr>
      </w:pPr>
      <w:r w:rsidRPr="008E5BF4">
        <w:rPr>
          <w:rFonts w:eastAsia="Arial"/>
          <w:lang w:eastAsia="ar-SA"/>
        </w:rPr>
        <w:t>_____________________</w:t>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t>____________________</w:t>
      </w:r>
    </w:p>
    <w:p w14:paraId="50736E50" w14:textId="77777777" w:rsidR="000F5445" w:rsidRPr="008E5BF4" w:rsidRDefault="000F5445" w:rsidP="000F5445">
      <w:pPr>
        <w:rPr>
          <w:rFonts w:eastAsia="Arial"/>
          <w:lang w:eastAsia="ar-SA"/>
        </w:rPr>
      </w:pPr>
      <w:r w:rsidRPr="008E5BF4">
        <w:rPr>
          <w:rFonts w:eastAsia="Arial"/>
          <w:lang w:eastAsia="ar-SA"/>
        </w:rPr>
        <w:lastRenderedPageBreak/>
        <w:t>(parašas)</w:t>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t>(parašas)</w:t>
      </w:r>
    </w:p>
    <w:p w14:paraId="775BDD75" w14:textId="77777777" w:rsidR="000F5445" w:rsidRPr="008E5BF4" w:rsidRDefault="000F5445" w:rsidP="000F5445">
      <w:pPr>
        <w:rPr>
          <w:rFonts w:eastAsia="Arial"/>
          <w:lang w:eastAsia="ar-SA"/>
        </w:rPr>
      </w:pPr>
    </w:p>
    <w:p w14:paraId="1A4BCF03" w14:textId="77777777" w:rsidR="000F5445" w:rsidRPr="008E5BF4" w:rsidRDefault="000F5445" w:rsidP="000F5445">
      <w:pPr>
        <w:rPr>
          <w:rFonts w:eastAsia="Arial"/>
          <w:lang w:eastAsia="ar-SA"/>
        </w:rPr>
      </w:pP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p>
    <w:p w14:paraId="69516327" w14:textId="77777777" w:rsidR="000F5445" w:rsidRPr="008E5BF4" w:rsidRDefault="000F5445" w:rsidP="000F5445">
      <w:pPr>
        <w:rPr>
          <w:rFonts w:eastAsia="Arial"/>
          <w:lang w:eastAsia="ar-SA"/>
        </w:rPr>
      </w:pPr>
    </w:p>
    <w:p w14:paraId="7255D0CB" w14:textId="77777777" w:rsidR="000F5445" w:rsidRDefault="000F5445" w:rsidP="000F5445">
      <w:pPr>
        <w:rPr>
          <w:rFonts w:eastAsia="Arial"/>
          <w:lang w:eastAsia="ar-SA"/>
        </w:rPr>
      </w:pPr>
      <w:r w:rsidRPr="008E5BF4">
        <w:rPr>
          <w:rFonts w:eastAsia="Arial"/>
          <w:lang w:eastAsia="ar-SA"/>
        </w:rPr>
        <w:t>A. V.</w:t>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r>
      <w:r w:rsidRPr="008E5BF4">
        <w:rPr>
          <w:rFonts w:eastAsia="Arial"/>
          <w:lang w:eastAsia="ar-SA"/>
        </w:rPr>
        <w:tab/>
        <w:t>A. V.</w:t>
      </w:r>
    </w:p>
    <w:p w14:paraId="6137DEBA" w14:textId="77777777" w:rsidR="00BD0B57" w:rsidRDefault="00BD0B57" w:rsidP="000F5445">
      <w:pPr>
        <w:sectPr w:rsidR="00BD0B57" w:rsidSect="008274E5">
          <w:headerReference w:type="even" r:id="rId13"/>
          <w:headerReference w:type="default" r:id="rId14"/>
          <w:pgSz w:w="11906" w:h="16838"/>
          <w:pgMar w:top="1079" w:right="746" w:bottom="993" w:left="1260" w:header="567" w:footer="567" w:gutter="0"/>
          <w:cols w:space="1296"/>
          <w:titlePg/>
          <w:docGrid w:linePitch="360"/>
        </w:sectPr>
      </w:pPr>
    </w:p>
    <w:p w14:paraId="37685D76" w14:textId="77777777" w:rsidR="0089183C" w:rsidRPr="008E5BF4" w:rsidRDefault="000F3EE4" w:rsidP="0089183C">
      <w:pPr>
        <w:ind w:left="5387" w:firstLine="373"/>
        <w:rPr>
          <w:sz w:val="20"/>
          <w:szCs w:val="20"/>
        </w:rPr>
      </w:pPr>
      <w:r>
        <w:lastRenderedPageBreak/>
        <w:t xml:space="preserve"> </w:t>
      </w:r>
      <w:r w:rsidR="00BD0B57">
        <w:t xml:space="preserve">                                                                                                     </w:t>
      </w:r>
      <w:r w:rsidR="007E0EE6" w:rsidRPr="008E5BF4">
        <w:t>Nuomos s</w:t>
      </w:r>
      <w:r w:rsidR="0089183C" w:rsidRPr="008E5BF4">
        <w:t xml:space="preserve">utarties Nr.      </w:t>
      </w:r>
    </w:p>
    <w:p w14:paraId="39D6542E" w14:textId="77777777" w:rsidR="0089183C" w:rsidRPr="008E5BF4" w:rsidRDefault="00BD0B57" w:rsidP="0089183C">
      <w:pPr>
        <w:ind w:left="5040" w:firstLine="720"/>
      </w:pPr>
      <w:r>
        <w:t xml:space="preserve">                                                                                                      </w:t>
      </w:r>
      <w:r w:rsidR="0089183C" w:rsidRPr="008E5BF4">
        <w:t>1 priedas</w:t>
      </w:r>
    </w:p>
    <w:p w14:paraId="6E683A28" w14:textId="77777777" w:rsidR="0089183C" w:rsidRPr="008E5BF4" w:rsidRDefault="0089183C" w:rsidP="0089183C">
      <w:pPr>
        <w:ind w:firstLine="6237"/>
        <w:jc w:val="center"/>
      </w:pPr>
    </w:p>
    <w:p w14:paraId="2F8BFB61" w14:textId="77777777" w:rsidR="00BD0B57" w:rsidRPr="000D3415" w:rsidRDefault="00BD0B57" w:rsidP="00BD0B57">
      <w:pPr>
        <w:tabs>
          <w:tab w:val="center" w:pos="7568"/>
          <w:tab w:val="left" w:pos="10800"/>
        </w:tabs>
        <w:autoSpaceDE w:val="0"/>
        <w:spacing w:after="120"/>
        <w:jc w:val="center"/>
        <w:outlineLvl w:val="0"/>
        <w:rPr>
          <w:b/>
          <w:bCs/>
        </w:rPr>
      </w:pPr>
      <w:r w:rsidRPr="000D3415">
        <w:rPr>
          <w:b/>
          <w:bCs/>
        </w:rPr>
        <w:t>TECHNINĖ SPECIFIKACIJA</w:t>
      </w:r>
    </w:p>
    <w:p w14:paraId="283792FA" w14:textId="77777777" w:rsidR="00BD0B57" w:rsidRPr="000D3415" w:rsidRDefault="00BD0B57" w:rsidP="00BD0B57"/>
    <w:p w14:paraId="770E5962" w14:textId="77777777" w:rsidR="00BD0B57" w:rsidRPr="000D3415" w:rsidRDefault="00BD0B57" w:rsidP="00BD0B57">
      <w:pPr>
        <w:ind w:firstLine="720"/>
        <w:jc w:val="both"/>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10631"/>
      </w:tblGrid>
      <w:tr w:rsidR="00BD0B57" w:rsidRPr="000D3415" w14:paraId="4D859566" w14:textId="77777777" w:rsidTr="00900E0D">
        <w:trPr>
          <w:trHeight w:val="324"/>
        </w:trPr>
        <w:tc>
          <w:tcPr>
            <w:tcW w:w="993" w:type="dxa"/>
            <w:noWrap/>
          </w:tcPr>
          <w:p w14:paraId="7C87F943" w14:textId="77777777" w:rsidR="00BD0B57" w:rsidRPr="000D3415" w:rsidRDefault="00BD0B57" w:rsidP="00900E0D">
            <w:pPr>
              <w:rPr>
                <w:b/>
                <w:bCs/>
              </w:rPr>
            </w:pPr>
          </w:p>
        </w:tc>
        <w:tc>
          <w:tcPr>
            <w:tcW w:w="13324" w:type="dxa"/>
            <w:gridSpan w:val="2"/>
          </w:tcPr>
          <w:p w14:paraId="07727881" w14:textId="77777777" w:rsidR="00BD0B57" w:rsidRPr="000D3415" w:rsidRDefault="00BD0B57" w:rsidP="00900E0D">
            <w:pPr>
              <w:jc w:val="center"/>
              <w:rPr>
                <w:b/>
                <w:lang w:eastAsia="en-US"/>
              </w:rPr>
            </w:pPr>
            <w:r w:rsidRPr="000D3415">
              <w:rPr>
                <w:b/>
              </w:rPr>
              <w:t>Pirkimo dokumentuose nustatyti prekių techniniai rodikliai</w:t>
            </w:r>
          </w:p>
        </w:tc>
      </w:tr>
      <w:tr w:rsidR="00BD0B57" w:rsidRPr="000D3415" w14:paraId="193C97B3" w14:textId="77777777" w:rsidTr="00900E0D">
        <w:trPr>
          <w:trHeight w:val="324"/>
        </w:trPr>
        <w:tc>
          <w:tcPr>
            <w:tcW w:w="993" w:type="dxa"/>
            <w:noWrap/>
          </w:tcPr>
          <w:p w14:paraId="18C14E29" w14:textId="77777777" w:rsidR="00BD0B57" w:rsidRPr="000D3415" w:rsidRDefault="00BD0B57" w:rsidP="00900E0D">
            <w:pPr>
              <w:rPr>
                <w:b/>
                <w:bCs/>
              </w:rPr>
            </w:pPr>
            <w:r w:rsidRPr="000D3415">
              <w:rPr>
                <w:b/>
                <w:bCs/>
              </w:rPr>
              <w:t>1.</w:t>
            </w:r>
          </w:p>
        </w:tc>
        <w:tc>
          <w:tcPr>
            <w:tcW w:w="13324" w:type="dxa"/>
            <w:gridSpan w:val="2"/>
          </w:tcPr>
          <w:p w14:paraId="4AE04825" w14:textId="77777777" w:rsidR="00BD0B57" w:rsidRPr="00900E0D" w:rsidRDefault="00BD0B57" w:rsidP="00BD0B57">
            <w:pPr>
              <w:pStyle w:val="Heading1"/>
              <w:spacing w:before="0" w:after="0"/>
              <w:rPr>
                <w:rFonts w:ascii="Times New Roman" w:hAnsi="Times New Roman"/>
                <w:sz w:val="24"/>
                <w:szCs w:val="24"/>
              </w:rPr>
            </w:pPr>
            <w:r w:rsidRPr="00900E0D">
              <w:rPr>
                <w:rFonts w:ascii="Times New Roman" w:hAnsi="Times New Roman"/>
                <w:sz w:val="24"/>
                <w:szCs w:val="24"/>
              </w:rPr>
              <w:t>Bendrieji reikalavimai siūlomai įrangos nuomai</w:t>
            </w:r>
          </w:p>
        </w:tc>
      </w:tr>
      <w:tr w:rsidR="00BD0B57" w:rsidRPr="000D3415" w14:paraId="3F83CA31" w14:textId="77777777" w:rsidTr="00900E0D">
        <w:trPr>
          <w:trHeight w:val="324"/>
        </w:trPr>
        <w:tc>
          <w:tcPr>
            <w:tcW w:w="993" w:type="dxa"/>
            <w:shd w:val="clear" w:color="auto" w:fill="auto"/>
            <w:noWrap/>
          </w:tcPr>
          <w:p w14:paraId="449462DA" w14:textId="77777777" w:rsidR="00BD0B57" w:rsidRPr="000D3415" w:rsidRDefault="00BD0B57" w:rsidP="00900E0D">
            <w:pPr>
              <w:rPr>
                <w:bCs/>
              </w:rPr>
            </w:pPr>
            <w:r w:rsidRPr="000D3415">
              <w:rPr>
                <w:bCs/>
              </w:rPr>
              <w:t>1.1.</w:t>
            </w:r>
          </w:p>
        </w:tc>
        <w:tc>
          <w:tcPr>
            <w:tcW w:w="13324" w:type="dxa"/>
            <w:gridSpan w:val="2"/>
            <w:shd w:val="clear" w:color="auto" w:fill="auto"/>
          </w:tcPr>
          <w:p w14:paraId="0BA12136" w14:textId="77777777" w:rsidR="00BD0B57" w:rsidRPr="00900E0D" w:rsidRDefault="00BD0B57" w:rsidP="00BD0B57">
            <w:pPr>
              <w:pStyle w:val="Heading1"/>
              <w:spacing w:before="0" w:after="0"/>
              <w:rPr>
                <w:rFonts w:ascii="Times New Roman" w:hAnsi="Times New Roman"/>
                <w:b w:val="0"/>
                <w:sz w:val="24"/>
                <w:szCs w:val="24"/>
              </w:rPr>
            </w:pPr>
            <w:r w:rsidRPr="00900E0D">
              <w:rPr>
                <w:rFonts w:ascii="Times New Roman" w:hAnsi="Times New Roman"/>
                <w:b w:val="0"/>
                <w:sz w:val="24"/>
                <w:szCs w:val="24"/>
              </w:rPr>
              <w:t>Įrangos nuomos paslauga teikiama 24x7</w:t>
            </w:r>
          </w:p>
        </w:tc>
      </w:tr>
      <w:tr w:rsidR="00BD0B57" w:rsidRPr="000D3415" w14:paraId="7033A9BE" w14:textId="77777777" w:rsidTr="00900E0D">
        <w:trPr>
          <w:trHeight w:val="324"/>
        </w:trPr>
        <w:tc>
          <w:tcPr>
            <w:tcW w:w="993" w:type="dxa"/>
            <w:shd w:val="clear" w:color="auto" w:fill="auto"/>
            <w:noWrap/>
          </w:tcPr>
          <w:p w14:paraId="3DF08EC5" w14:textId="77777777" w:rsidR="00BD0B57" w:rsidRPr="000D3415" w:rsidRDefault="00BD0B57" w:rsidP="00900E0D">
            <w:pPr>
              <w:rPr>
                <w:bCs/>
              </w:rPr>
            </w:pPr>
            <w:r>
              <w:rPr>
                <w:bCs/>
              </w:rPr>
              <w:t>1.2.</w:t>
            </w:r>
          </w:p>
        </w:tc>
        <w:tc>
          <w:tcPr>
            <w:tcW w:w="13324" w:type="dxa"/>
            <w:gridSpan w:val="2"/>
            <w:shd w:val="clear" w:color="auto" w:fill="auto"/>
          </w:tcPr>
          <w:p w14:paraId="50A1F4A8" w14:textId="77777777" w:rsidR="00BD0B57" w:rsidRPr="00900E0D" w:rsidRDefault="00BD0B57" w:rsidP="00BD0B57">
            <w:pPr>
              <w:pStyle w:val="Heading1"/>
              <w:spacing w:before="0" w:after="0"/>
              <w:rPr>
                <w:rFonts w:ascii="Times New Roman" w:hAnsi="Times New Roman"/>
                <w:b w:val="0"/>
                <w:sz w:val="24"/>
                <w:szCs w:val="24"/>
              </w:rPr>
            </w:pPr>
            <w:r w:rsidRPr="00900E0D">
              <w:rPr>
                <w:rFonts w:ascii="Times New Roman" w:hAnsi="Times New Roman"/>
                <w:b w:val="0"/>
                <w:sz w:val="24"/>
                <w:szCs w:val="24"/>
              </w:rPr>
              <w:t>Įrangos nuomos aptarnavimo tvarka:</w:t>
            </w:r>
          </w:p>
        </w:tc>
      </w:tr>
      <w:tr w:rsidR="00BD0B57" w:rsidRPr="000D3415" w14:paraId="7D04F6C8" w14:textId="77777777" w:rsidTr="00900E0D">
        <w:trPr>
          <w:trHeight w:val="324"/>
        </w:trPr>
        <w:tc>
          <w:tcPr>
            <w:tcW w:w="993" w:type="dxa"/>
            <w:shd w:val="clear" w:color="auto" w:fill="auto"/>
            <w:noWrap/>
          </w:tcPr>
          <w:p w14:paraId="0903E0A1" w14:textId="77777777" w:rsidR="00BD0B57" w:rsidRPr="000D3415" w:rsidRDefault="00BD0B57" w:rsidP="00900E0D">
            <w:pPr>
              <w:rPr>
                <w:bCs/>
              </w:rPr>
            </w:pPr>
            <w:r>
              <w:rPr>
                <w:bCs/>
              </w:rPr>
              <w:t>1.2</w:t>
            </w:r>
            <w:r w:rsidRPr="000D3415">
              <w:rPr>
                <w:bCs/>
              </w:rPr>
              <w:t>.</w:t>
            </w:r>
            <w:r>
              <w:rPr>
                <w:bCs/>
              </w:rPr>
              <w:t>1.</w:t>
            </w:r>
          </w:p>
        </w:tc>
        <w:tc>
          <w:tcPr>
            <w:tcW w:w="13324" w:type="dxa"/>
            <w:gridSpan w:val="2"/>
            <w:shd w:val="clear" w:color="auto" w:fill="auto"/>
          </w:tcPr>
          <w:p w14:paraId="74CD24AD" w14:textId="77777777" w:rsidR="00BD0B57" w:rsidRPr="00900E0D" w:rsidRDefault="00BD0B57" w:rsidP="00BD0B57">
            <w:pPr>
              <w:pStyle w:val="Heading1"/>
              <w:spacing w:before="0" w:after="0"/>
              <w:rPr>
                <w:rFonts w:ascii="Times New Roman" w:hAnsi="Times New Roman"/>
                <w:b w:val="0"/>
                <w:sz w:val="24"/>
                <w:szCs w:val="24"/>
              </w:rPr>
            </w:pPr>
            <w:r w:rsidRPr="00900E0D">
              <w:rPr>
                <w:rFonts w:ascii="Times New Roman" w:hAnsi="Times New Roman"/>
                <w:b w:val="0"/>
                <w:sz w:val="24"/>
                <w:szCs w:val="24"/>
              </w:rPr>
              <w:t>konsultacijos ir/ar pagalba el. paštu, telefonu ir/ar internetiniame techninio aptarnavimo centre nustatant gedimą ar įrangos sutrikimo priežastį;</w:t>
            </w:r>
          </w:p>
        </w:tc>
      </w:tr>
      <w:tr w:rsidR="00BD0B57" w:rsidRPr="000D3415" w14:paraId="428830BA" w14:textId="77777777" w:rsidTr="00900E0D">
        <w:trPr>
          <w:trHeight w:val="324"/>
        </w:trPr>
        <w:tc>
          <w:tcPr>
            <w:tcW w:w="993" w:type="dxa"/>
            <w:shd w:val="clear" w:color="auto" w:fill="auto"/>
            <w:noWrap/>
          </w:tcPr>
          <w:p w14:paraId="427C5343" w14:textId="77777777" w:rsidR="00BD0B57" w:rsidRDefault="00BD0B57" w:rsidP="00900E0D">
            <w:pPr>
              <w:rPr>
                <w:bCs/>
              </w:rPr>
            </w:pPr>
            <w:r>
              <w:rPr>
                <w:bCs/>
              </w:rPr>
              <w:t>1.2.2.</w:t>
            </w:r>
          </w:p>
        </w:tc>
        <w:tc>
          <w:tcPr>
            <w:tcW w:w="13324" w:type="dxa"/>
            <w:gridSpan w:val="2"/>
            <w:shd w:val="clear" w:color="auto" w:fill="auto"/>
          </w:tcPr>
          <w:p w14:paraId="36930DE1" w14:textId="77777777" w:rsidR="00BD0B57" w:rsidRPr="00900E0D" w:rsidRDefault="00BD0B57" w:rsidP="00BD0B57">
            <w:pPr>
              <w:pStyle w:val="Heading1"/>
              <w:spacing w:before="0" w:after="0"/>
              <w:rPr>
                <w:rFonts w:ascii="Times New Roman" w:hAnsi="Times New Roman"/>
                <w:b w:val="0"/>
                <w:sz w:val="24"/>
                <w:szCs w:val="24"/>
              </w:rPr>
            </w:pPr>
            <w:r w:rsidRPr="00900E0D">
              <w:rPr>
                <w:rFonts w:ascii="Times New Roman" w:hAnsi="Times New Roman"/>
                <w:b w:val="0"/>
                <w:sz w:val="24"/>
                <w:szCs w:val="24"/>
              </w:rPr>
              <w:t>reakcijos į paklausimus telefonu laikas – 30 min.;</w:t>
            </w:r>
          </w:p>
        </w:tc>
      </w:tr>
      <w:tr w:rsidR="00BD0B57" w:rsidRPr="000D3415" w14:paraId="133E3A8A" w14:textId="77777777" w:rsidTr="00900E0D">
        <w:trPr>
          <w:trHeight w:val="324"/>
        </w:trPr>
        <w:tc>
          <w:tcPr>
            <w:tcW w:w="993" w:type="dxa"/>
            <w:shd w:val="clear" w:color="auto" w:fill="auto"/>
            <w:noWrap/>
          </w:tcPr>
          <w:p w14:paraId="7DC22E0D" w14:textId="77777777" w:rsidR="00BD0B57" w:rsidRPr="000D3415" w:rsidRDefault="00BD0B57" w:rsidP="00900E0D">
            <w:pPr>
              <w:rPr>
                <w:bCs/>
              </w:rPr>
            </w:pPr>
            <w:r w:rsidRPr="000D3415">
              <w:rPr>
                <w:bCs/>
              </w:rPr>
              <w:t>1.</w:t>
            </w:r>
            <w:r>
              <w:rPr>
                <w:bCs/>
              </w:rPr>
              <w:t>2</w:t>
            </w:r>
            <w:r w:rsidRPr="000D3415">
              <w:rPr>
                <w:bCs/>
              </w:rPr>
              <w:t>.</w:t>
            </w:r>
            <w:r>
              <w:rPr>
                <w:bCs/>
              </w:rPr>
              <w:t>3.</w:t>
            </w:r>
          </w:p>
        </w:tc>
        <w:tc>
          <w:tcPr>
            <w:tcW w:w="13324" w:type="dxa"/>
            <w:gridSpan w:val="2"/>
            <w:shd w:val="clear" w:color="auto" w:fill="auto"/>
          </w:tcPr>
          <w:p w14:paraId="1D6DAACD" w14:textId="77777777" w:rsidR="00BD0B57" w:rsidRPr="00BB37EC" w:rsidRDefault="00BD0B57" w:rsidP="00900E0D">
            <w:pPr>
              <w:jc w:val="both"/>
              <w:rPr>
                <w:bCs/>
                <w:color w:val="000000"/>
              </w:rPr>
            </w:pPr>
            <w:r w:rsidRPr="00A20ECD">
              <w:t>sugedusios įrangos keitimas kitą darbo dieną po gedimo identifikavimo. Įrangos remonto ar pakeitimo kaštus</w:t>
            </w:r>
            <w:r>
              <w:t>,</w:t>
            </w:r>
            <w:r w:rsidRPr="00A20ECD">
              <w:t xml:space="preserve"> paslaugos teikimo laikotarpiu</w:t>
            </w:r>
            <w:r>
              <w:t>,</w:t>
            </w:r>
            <w:r w:rsidRPr="00A20ECD">
              <w:t xml:space="preserve"> padengia </w:t>
            </w:r>
            <w:r w:rsidR="001F5074" w:rsidRPr="000A3C99">
              <w:t>Nuomotojas</w:t>
            </w:r>
            <w:r w:rsidRPr="00A20ECD">
              <w:t>;</w:t>
            </w:r>
          </w:p>
        </w:tc>
      </w:tr>
      <w:tr w:rsidR="00BD0B57" w:rsidRPr="000D3415" w14:paraId="37A79B69" w14:textId="77777777" w:rsidTr="00900E0D">
        <w:trPr>
          <w:trHeight w:val="324"/>
        </w:trPr>
        <w:tc>
          <w:tcPr>
            <w:tcW w:w="993" w:type="dxa"/>
            <w:shd w:val="clear" w:color="auto" w:fill="auto"/>
            <w:noWrap/>
          </w:tcPr>
          <w:p w14:paraId="55587F39" w14:textId="77777777" w:rsidR="00BD0B57" w:rsidRPr="000D3415" w:rsidRDefault="00BD0B57" w:rsidP="00900E0D">
            <w:pPr>
              <w:rPr>
                <w:bCs/>
              </w:rPr>
            </w:pPr>
            <w:r w:rsidRPr="000D3415">
              <w:rPr>
                <w:bCs/>
              </w:rPr>
              <w:t>1.</w:t>
            </w:r>
            <w:r>
              <w:rPr>
                <w:bCs/>
              </w:rPr>
              <w:t>3</w:t>
            </w:r>
            <w:r w:rsidRPr="000D3415">
              <w:rPr>
                <w:bCs/>
              </w:rPr>
              <w:t>.</w:t>
            </w:r>
          </w:p>
        </w:tc>
        <w:tc>
          <w:tcPr>
            <w:tcW w:w="13324" w:type="dxa"/>
            <w:gridSpan w:val="2"/>
            <w:shd w:val="clear" w:color="auto" w:fill="auto"/>
          </w:tcPr>
          <w:p w14:paraId="3F15854C" w14:textId="77777777" w:rsidR="00BD0B57" w:rsidRPr="000D3415" w:rsidRDefault="00BD0B57" w:rsidP="00900E0D">
            <w:pPr>
              <w:tabs>
                <w:tab w:val="left" w:pos="1562"/>
              </w:tabs>
              <w:jc w:val="both"/>
            </w:pPr>
            <w:r w:rsidRPr="000D3415">
              <w:t>Visos siūlomos Įrangos licencijos tu</w:t>
            </w:r>
            <w:r>
              <w:t>ri būti pateikiamos su ne mažesne</w:t>
            </w:r>
            <w:r w:rsidRPr="000D3415">
              <w:t xml:space="preserve"> kaip </w:t>
            </w:r>
            <w:r>
              <w:t>6</w:t>
            </w:r>
            <w:r w:rsidRPr="000D3415">
              <w:t xml:space="preserve"> m</w:t>
            </w:r>
            <w:r>
              <w:t>ėnesi</w:t>
            </w:r>
            <w:r w:rsidRPr="000D3415">
              <w:t>ų gamintojo garantija (jeigu techninės specifikacijos specialiose sąlygose nenurodyta kitaip).</w:t>
            </w:r>
          </w:p>
        </w:tc>
      </w:tr>
      <w:tr w:rsidR="00BD0B57" w:rsidRPr="000D3415" w14:paraId="5B180EEC" w14:textId="77777777" w:rsidTr="00900E0D">
        <w:trPr>
          <w:trHeight w:val="324"/>
        </w:trPr>
        <w:tc>
          <w:tcPr>
            <w:tcW w:w="993" w:type="dxa"/>
            <w:shd w:val="clear" w:color="auto" w:fill="auto"/>
            <w:noWrap/>
          </w:tcPr>
          <w:p w14:paraId="3401ED14" w14:textId="77777777" w:rsidR="00BD0B57" w:rsidRPr="000D3415" w:rsidRDefault="00BD0B57" w:rsidP="00900E0D">
            <w:pPr>
              <w:rPr>
                <w:bCs/>
              </w:rPr>
            </w:pPr>
            <w:r w:rsidRPr="000D3415">
              <w:rPr>
                <w:bCs/>
              </w:rPr>
              <w:t>1.</w:t>
            </w:r>
            <w:r>
              <w:rPr>
                <w:bCs/>
              </w:rPr>
              <w:t>4</w:t>
            </w:r>
            <w:r w:rsidRPr="000D3415">
              <w:rPr>
                <w:bCs/>
              </w:rPr>
              <w:t>.</w:t>
            </w:r>
          </w:p>
        </w:tc>
        <w:tc>
          <w:tcPr>
            <w:tcW w:w="13324" w:type="dxa"/>
            <w:gridSpan w:val="2"/>
            <w:shd w:val="clear" w:color="auto" w:fill="auto"/>
          </w:tcPr>
          <w:p w14:paraId="48F0DB40" w14:textId="77777777" w:rsidR="00BD0B57" w:rsidRPr="000D3415" w:rsidRDefault="00BD0B57" w:rsidP="00900E0D">
            <w:pPr>
              <w:tabs>
                <w:tab w:val="left" w:pos="1562"/>
              </w:tabs>
              <w:jc w:val="both"/>
            </w:pPr>
            <w:r w:rsidRPr="000D3415">
              <w:t>Įrangos dokumentai turi būti lietuvių arba anglų kalba. Užrašai ant įrenginio ir jo dalių turi būti anglų arba lietuvių kalba. Gamintojo interneto svetainėje tvarkyklių ir dokumentų paieška atliekama anglų arba lietuvių kalba.</w:t>
            </w:r>
          </w:p>
        </w:tc>
      </w:tr>
      <w:tr w:rsidR="00BD0B57" w:rsidRPr="000D3415" w14:paraId="11B23C33" w14:textId="77777777" w:rsidTr="00900E0D">
        <w:trPr>
          <w:trHeight w:val="324"/>
        </w:trPr>
        <w:tc>
          <w:tcPr>
            <w:tcW w:w="993" w:type="dxa"/>
            <w:shd w:val="clear" w:color="auto" w:fill="auto"/>
            <w:noWrap/>
          </w:tcPr>
          <w:p w14:paraId="45016A6C" w14:textId="77777777" w:rsidR="00BD0B57" w:rsidRPr="000D3415" w:rsidRDefault="00BD0B57" w:rsidP="00900E0D">
            <w:pPr>
              <w:rPr>
                <w:bCs/>
              </w:rPr>
            </w:pPr>
            <w:r w:rsidRPr="000D3415">
              <w:rPr>
                <w:bCs/>
              </w:rPr>
              <w:t>1.</w:t>
            </w:r>
            <w:r>
              <w:rPr>
                <w:bCs/>
              </w:rPr>
              <w:t>5</w:t>
            </w:r>
            <w:r w:rsidRPr="000D3415">
              <w:rPr>
                <w:bCs/>
              </w:rPr>
              <w:t>.</w:t>
            </w:r>
          </w:p>
        </w:tc>
        <w:tc>
          <w:tcPr>
            <w:tcW w:w="13324" w:type="dxa"/>
            <w:gridSpan w:val="2"/>
            <w:shd w:val="clear" w:color="auto" w:fill="auto"/>
          </w:tcPr>
          <w:p w14:paraId="625C8048" w14:textId="77777777" w:rsidR="00BD0B57" w:rsidRPr="000D3415" w:rsidRDefault="00BD0B57" w:rsidP="00900E0D">
            <w:pPr>
              <w:tabs>
                <w:tab w:val="left" w:pos="1562"/>
              </w:tabs>
            </w:pPr>
            <w:r w:rsidRPr="000D3415">
              <w:t>Visi funkciniai ir našumo reikalavimai turi būti pagrįsti tiksliomis nuorodomis į gamintojo internetiniame puslapyje esančią informaciją arba kitus gamintojo oficialius dokumentus, nurodant dokumentą ir puslapio numerį.</w:t>
            </w:r>
          </w:p>
        </w:tc>
      </w:tr>
      <w:tr w:rsidR="00BD0B57" w:rsidRPr="000D3415" w14:paraId="233D5914" w14:textId="77777777" w:rsidTr="00900E0D">
        <w:trPr>
          <w:trHeight w:val="324"/>
        </w:trPr>
        <w:tc>
          <w:tcPr>
            <w:tcW w:w="993" w:type="dxa"/>
            <w:shd w:val="clear" w:color="auto" w:fill="auto"/>
            <w:noWrap/>
          </w:tcPr>
          <w:p w14:paraId="7DBC3588" w14:textId="77777777" w:rsidR="00BD0B57" w:rsidRPr="000D3415" w:rsidRDefault="00BD0B57" w:rsidP="00900E0D">
            <w:pPr>
              <w:rPr>
                <w:bCs/>
              </w:rPr>
            </w:pPr>
            <w:r w:rsidRPr="000D3415">
              <w:rPr>
                <w:bCs/>
              </w:rPr>
              <w:t>1.</w:t>
            </w:r>
            <w:r>
              <w:rPr>
                <w:bCs/>
              </w:rPr>
              <w:t>6</w:t>
            </w:r>
            <w:r w:rsidRPr="000D3415">
              <w:rPr>
                <w:bCs/>
              </w:rPr>
              <w:t>.</w:t>
            </w:r>
          </w:p>
        </w:tc>
        <w:tc>
          <w:tcPr>
            <w:tcW w:w="13324" w:type="dxa"/>
            <w:gridSpan w:val="2"/>
            <w:shd w:val="clear" w:color="auto" w:fill="auto"/>
          </w:tcPr>
          <w:p w14:paraId="385EADC6" w14:textId="77777777" w:rsidR="00BD0B57" w:rsidRPr="000D3415" w:rsidRDefault="00BD0B57" w:rsidP="00900E0D">
            <w:pPr>
              <w:tabs>
                <w:tab w:val="left" w:pos="1562"/>
              </w:tabs>
              <w:jc w:val="both"/>
            </w:pPr>
            <w:r w:rsidRPr="000D3415">
              <w:t xml:space="preserve">Įrangos gedimo atveju iš instaliacijos vietos remontui išvežamą pas </w:t>
            </w:r>
            <w:r w:rsidR="001F5074">
              <w:t>Nuomotoją</w:t>
            </w:r>
            <w:r w:rsidRPr="000D3415">
              <w:t xml:space="preserve"> (jo atstovą) sugedusią įrangą</w:t>
            </w:r>
            <w:r>
              <w:t>,</w:t>
            </w:r>
            <w:r w:rsidRPr="000D3415">
              <w:t xml:space="preserve"> </w:t>
            </w:r>
            <w:r w:rsidR="001F5074">
              <w:t>Nuomininkas</w:t>
            </w:r>
            <w:r w:rsidRPr="000D3415">
              <w:t xml:space="preserve"> pateikia</w:t>
            </w:r>
            <w:r>
              <w:t xml:space="preserve"> ją</w:t>
            </w:r>
            <w:r w:rsidRPr="000D3415">
              <w:t xml:space="preserve"> be joje sumontuotų standžiųjų ar puslaidininkinių diskų (angl. HDD/SSD) ar kitų atminties laikmenų.</w:t>
            </w:r>
          </w:p>
        </w:tc>
      </w:tr>
      <w:tr w:rsidR="00BD0B57" w:rsidRPr="000D3415" w14:paraId="56212E09" w14:textId="77777777" w:rsidTr="00900E0D">
        <w:trPr>
          <w:trHeight w:val="324"/>
        </w:trPr>
        <w:tc>
          <w:tcPr>
            <w:tcW w:w="993" w:type="dxa"/>
            <w:tcBorders>
              <w:bottom w:val="single" w:sz="4" w:space="0" w:color="auto"/>
            </w:tcBorders>
            <w:shd w:val="clear" w:color="auto" w:fill="auto"/>
            <w:noWrap/>
          </w:tcPr>
          <w:p w14:paraId="038F0712" w14:textId="77777777" w:rsidR="00BD0B57" w:rsidRPr="000D3415" w:rsidRDefault="00BD0B57" w:rsidP="00900E0D">
            <w:pPr>
              <w:rPr>
                <w:bCs/>
              </w:rPr>
            </w:pPr>
            <w:r w:rsidRPr="000D3415">
              <w:rPr>
                <w:bCs/>
              </w:rPr>
              <w:t>1.</w:t>
            </w:r>
            <w:r>
              <w:rPr>
                <w:bCs/>
              </w:rPr>
              <w:t>7</w:t>
            </w:r>
            <w:r w:rsidRPr="000D3415">
              <w:rPr>
                <w:bCs/>
              </w:rPr>
              <w:t>.</w:t>
            </w:r>
          </w:p>
        </w:tc>
        <w:tc>
          <w:tcPr>
            <w:tcW w:w="13324" w:type="dxa"/>
            <w:gridSpan w:val="2"/>
            <w:tcBorders>
              <w:bottom w:val="single" w:sz="4" w:space="0" w:color="auto"/>
            </w:tcBorders>
            <w:shd w:val="clear" w:color="auto" w:fill="auto"/>
          </w:tcPr>
          <w:p w14:paraId="210EF6DD" w14:textId="77777777" w:rsidR="00BD0B57" w:rsidRPr="000D3415" w:rsidRDefault="00BD0B57" w:rsidP="00900E0D">
            <w:pPr>
              <w:tabs>
                <w:tab w:val="left" w:pos="1562"/>
              </w:tabs>
              <w:jc w:val="both"/>
            </w:pPr>
            <w:r w:rsidRPr="000D3415">
              <w:t>Visi 100Gbps ir 10Gbps siūlomi optiniai keitikliai turi būti to paties gamintojo kaip ir siūloma Įranga arba skirtingų gamintojų suderinami bendram darbui</w:t>
            </w:r>
            <w:r>
              <w:t xml:space="preserve"> bei</w:t>
            </w:r>
            <w:r w:rsidRPr="000D3415">
              <w:t xml:space="preserve"> būti visiškai su jais suderinami. Jei</w:t>
            </w:r>
            <w:r>
              <w:t>gu</w:t>
            </w:r>
            <w:r w:rsidRPr="000D3415">
              <w:t xml:space="preserve"> siūlomi skirtingų gamintojų optiniai keitikliai, </w:t>
            </w:r>
            <w:r>
              <w:t xml:space="preserve">tuomet </w:t>
            </w:r>
            <w:r w:rsidRPr="000D3415">
              <w:t>turi būti pateiktas siūlomos įrangos gamintojo raštiškas patvirtinimas, kad siūlomi optiniai keitikliai yra visiškai suderinami bendram darbui, bei kad visą įrangos eksploatacijos laikotarpį</w:t>
            </w:r>
            <w:r>
              <w:t>,</w:t>
            </w:r>
            <w:r w:rsidRPr="000D3415">
              <w:t xml:space="preserve"> atnaujinus programinę įrangą </w:t>
            </w:r>
            <w:r>
              <w:t xml:space="preserve">ji </w:t>
            </w:r>
            <w:r w:rsidRPr="000D3415">
              <w:t>atpažins pasiūlytus optinius keitiklius, korektiškai rodys jų serijinius numerius, gamintoją ir kitus parametrus bei bus teikiama gamintojo garantija be apribojimų.</w:t>
            </w:r>
          </w:p>
        </w:tc>
      </w:tr>
      <w:tr w:rsidR="00BD0B57" w:rsidRPr="000D3415" w14:paraId="28014DBF"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1F0007C" w14:textId="77777777" w:rsidR="00BD0B57" w:rsidRPr="000D3415" w:rsidRDefault="00BD0B57" w:rsidP="00900E0D">
            <w:pPr>
              <w:rPr>
                <w:bCs/>
              </w:rPr>
            </w:pPr>
            <w:r w:rsidRPr="000D3415">
              <w:rPr>
                <w:bCs/>
              </w:rPr>
              <w:t>1.</w:t>
            </w:r>
            <w:r>
              <w:rPr>
                <w:bCs/>
              </w:rPr>
              <w:t>8</w:t>
            </w:r>
            <w:r w:rsidRPr="000D3415">
              <w:rPr>
                <w:bCs/>
              </w:rPr>
              <w:t>.</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7F4F807E" w14:textId="77777777" w:rsidR="00BD0B57" w:rsidRPr="000D3415" w:rsidRDefault="00BD0B57" w:rsidP="00900E0D">
            <w:pPr>
              <w:tabs>
                <w:tab w:val="left" w:pos="1562"/>
              </w:tabs>
              <w:jc w:val="both"/>
            </w:pPr>
            <w:r w:rsidRPr="000D3415">
              <w:t xml:space="preserve">Pasiūlyme </w:t>
            </w:r>
            <w:r w:rsidRPr="000A3C99">
              <w:t xml:space="preserve">Įrangos </w:t>
            </w:r>
            <w:r w:rsidR="000A3C99" w:rsidRPr="000A3C99">
              <w:t>n</w:t>
            </w:r>
            <w:r w:rsidR="001F5074" w:rsidRPr="000A3C99">
              <w:t>uomotojas</w:t>
            </w:r>
            <w:r w:rsidR="000A3C99" w:rsidRPr="000A3C99">
              <w:t xml:space="preserve"> </w:t>
            </w:r>
            <w:r w:rsidRPr="000A3C99">
              <w:t>turi</w:t>
            </w:r>
            <w:r w:rsidRPr="000D3415">
              <w:t xml:space="preserve">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r>
      <w:tr w:rsidR="00BD0B57" w:rsidRPr="000D3415" w14:paraId="1F9748A1" w14:textId="77777777" w:rsidTr="00900E0D">
        <w:trPr>
          <w:trHeight w:val="324"/>
        </w:trPr>
        <w:tc>
          <w:tcPr>
            <w:tcW w:w="993" w:type="dxa"/>
            <w:tcBorders>
              <w:top w:val="single" w:sz="4" w:space="0" w:color="auto"/>
            </w:tcBorders>
            <w:shd w:val="clear" w:color="auto" w:fill="auto"/>
            <w:noWrap/>
          </w:tcPr>
          <w:p w14:paraId="5510687C" w14:textId="77777777" w:rsidR="00BD0B57" w:rsidRPr="000D3415" w:rsidRDefault="00BD0B57" w:rsidP="00900E0D">
            <w:pPr>
              <w:rPr>
                <w:bCs/>
              </w:rPr>
            </w:pPr>
            <w:r w:rsidRPr="000D3415">
              <w:rPr>
                <w:bCs/>
              </w:rPr>
              <w:t>1.</w:t>
            </w:r>
            <w:r>
              <w:rPr>
                <w:bCs/>
              </w:rPr>
              <w:t>9</w:t>
            </w:r>
            <w:r w:rsidRPr="000D3415">
              <w:rPr>
                <w:bCs/>
              </w:rPr>
              <w:t>.</w:t>
            </w:r>
          </w:p>
        </w:tc>
        <w:tc>
          <w:tcPr>
            <w:tcW w:w="13324" w:type="dxa"/>
            <w:gridSpan w:val="2"/>
            <w:tcBorders>
              <w:top w:val="single" w:sz="4" w:space="0" w:color="auto"/>
            </w:tcBorders>
            <w:shd w:val="clear" w:color="auto" w:fill="auto"/>
          </w:tcPr>
          <w:p w14:paraId="71853D8D" w14:textId="77777777" w:rsidR="00BD0B57" w:rsidRPr="000D3415" w:rsidRDefault="00BD0B57" w:rsidP="00900E0D">
            <w:pPr>
              <w:tabs>
                <w:tab w:val="left" w:pos="1562"/>
              </w:tabs>
              <w:jc w:val="both"/>
            </w:pPr>
            <w:r w:rsidRPr="000D3415">
              <w:t xml:space="preserve">Turi būti siūlomas įrenginys (angl. </w:t>
            </w:r>
            <w:proofErr w:type="spellStart"/>
            <w:r w:rsidRPr="000D3415">
              <w:t>appliance</w:t>
            </w:r>
            <w:proofErr w:type="spellEnd"/>
            <w:r w:rsidRPr="000D3415">
              <w:t xml:space="preserve">), negali būti siūlomas virtualus įrenginys (angl. </w:t>
            </w:r>
            <w:proofErr w:type="spellStart"/>
            <w:r w:rsidRPr="000D3415">
              <w:t>Virtual</w:t>
            </w:r>
            <w:proofErr w:type="spellEnd"/>
            <w:r w:rsidRPr="000D3415">
              <w:t xml:space="preserve"> </w:t>
            </w:r>
            <w:proofErr w:type="spellStart"/>
            <w:r w:rsidRPr="000D3415">
              <w:t>machine</w:t>
            </w:r>
            <w:proofErr w:type="spellEnd"/>
            <w:r w:rsidRPr="000D3415">
              <w:t>).</w:t>
            </w:r>
          </w:p>
        </w:tc>
      </w:tr>
      <w:tr w:rsidR="00BD0B57" w:rsidRPr="000D3415" w14:paraId="393CBCC1" w14:textId="77777777" w:rsidTr="00900E0D">
        <w:trPr>
          <w:trHeight w:val="324"/>
        </w:trPr>
        <w:tc>
          <w:tcPr>
            <w:tcW w:w="993" w:type="dxa"/>
            <w:tcBorders>
              <w:top w:val="single" w:sz="4" w:space="0" w:color="auto"/>
            </w:tcBorders>
            <w:shd w:val="clear" w:color="auto" w:fill="auto"/>
            <w:noWrap/>
          </w:tcPr>
          <w:p w14:paraId="09CA0C74" w14:textId="77777777" w:rsidR="00BD0B57" w:rsidRPr="000D3415" w:rsidRDefault="00BD0B57" w:rsidP="00900E0D">
            <w:pPr>
              <w:rPr>
                <w:bCs/>
              </w:rPr>
            </w:pPr>
            <w:r w:rsidRPr="000D3415">
              <w:rPr>
                <w:bCs/>
              </w:rPr>
              <w:lastRenderedPageBreak/>
              <w:t>1.1</w:t>
            </w:r>
            <w:r>
              <w:rPr>
                <w:bCs/>
              </w:rPr>
              <w:t>0</w:t>
            </w:r>
            <w:r w:rsidRPr="000D3415">
              <w:rPr>
                <w:bCs/>
              </w:rPr>
              <w:t>.</w:t>
            </w:r>
          </w:p>
        </w:tc>
        <w:tc>
          <w:tcPr>
            <w:tcW w:w="13324" w:type="dxa"/>
            <w:gridSpan w:val="2"/>
            <w:tcBorders>
              <w:top w:val="single" w:sz="4" w:space="0" w:color="auto"/>
            </w:tcBorders>
            <w:shd w:val="clear" w:color="auto" w:fill="auto"/>
          </w:tcPr>
          <w:p w14:paraId="274C67F4" w14:textId="77777777" w:rsidR="00BD0B57" w:rsidRPr="000D3415" w:rsidRDefault="000A3C99" w:rsidP="00900E0D">
            <w:pPr>
              <w:tabs>
                <w:tab w:val="left" w:pos="1562"/>
              </w:tabs>
              <w:jc w:val="both"/>
            </w:pPr>
            <w:r>
              <w:t>Nuomotojas</w:t>
            </w:r>
            <w:r w:rsidR="00BD0B57" w:rsidRPr="000D3415">
              <w:t xml:space="preserve">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D0B57" w:rsidRPr="000D3415" w14:paraId="73271C16" w14:textId="77777777" w:rsidTr="00900E0D">
        <w:trPr>
          <w:trHeight w:val="324"/>
        </w:trPr>
        <w:tc>
          <w:tcPr>
            <w:tcW w:w="993" w:type="dxa"/>
            <w:shd w:val="clear" w:color="auto" w:fill="auto"/>
            <w:noWrap/>
          </w:tcPr>
          <w:p w14:paraId="6A220C08" w14:textId="77777777" w:rsidR="00BD0B57" w:rsidRPr="000D3415" w:rsidRDefault="00BD0B57" w:rsidP="00900E0D">
            <w:pPr>
              <w:rPr>
                <w:bCs/>
              </w:rPr>
            </w:pPr>
            <w:r w:rsidRPr="000D3415">
              <w:rPr>
                <w:bCs/>
              </w:rPr>
              <w:t>1.1</w:t>
            </w:r>
            <w:r>
              <w:rPr>
                <w:bCs/>
              </w:rPr>
              <w:t>0</w:t>
            </w:r>
            <w:r w:rsidRPr="000D3415">
              <w:rPr>
                <w:bCs/>
              </w:rPr>
              <w:t>.1.</w:t>
            </w:r>
          </w:p>
        </w:tc>
        <w:tc>
          <w:tcPr>
            <w:tcW w:w="13324" w:type="dxa"/>
            <w:gridSpan w:val="2"/>
            <w:shd w:val="clear" w:color="auto" w:fill="auto"/>
          </w:tcPr>
          <w:p w14:paraId="37347988" w14:textId="77777777" w:rsidR="00BD0B57" w:rsidRPr="001F5074" w:rsidRDefault="00BD0B57" w:rsidP="00900E0D">
            <w:pPr>
              <w:tabs>
                <w:tab w:val="left" w:pos="1562"/>
              </w:tabs>
              <w:jc w:val="both"/>
              <w:rPr>
                <w:highlight w:val="yellow"/>
              </w:rPr>
            </w:pPr>
            <w:r w:rsidRPr="000A3C99">
              <w:t xml:space="preserve">įranga grąžinama </w:t>
            </w:r>
            <w:r w:rsidR="001F5074" w:rsidRPr="000A3C99">
              <w:t>Nuomotojui</w:t>
            </w:r>
            <w:r w:rsidRPr="000A3C99">
              <w:t xml:space="preserve"> arba keičiama nauja lygiaverte ar geresne, tačiau saugumo reikalavimus atitinkančia įranga;</w:t>
            </w:r>
          </w:p>
        </w:tc>
      </w:tr>
      <w:tr w:rsidR="00BD0B57" w:rsidRPr="000D3415" w14:paraId="7461FE27" w14:textId="77777777" w:rsidTr="00900E0D">
        <w:trPr>
          <w:trHeight w:val="324"/>
        </w:trPr>
        <w:tc>
          <w:tcPr>
            <w:tcW w:w="993" w:type="dxa"/>
            <w:shd w:val="clear" w:color="auto" w:fill="auto"/>
            <w:noWrap/>
          </w:tcPr>
          <w:p w14:paraId="3E6D7559" w14:textId="77777777" w:rsidR="00BD0B57" w:rsidRPr="000D3415" w:rsidRDefault="00BD0B57" w:rsidP="00900E0D">
            <w:pPr>
              <w:rPr>
                <w:bCs/>
              </w:rPr>
            </w:pPr>
            <w:r w:rsidRPr="000D3415">
              <w:rPr>
                <w:bCs/>
              </w:rPr>
              <w:t>1.1</w:t>
            </w:r>
            <w:r>
              <w:rPr>
                <w:bCs/>
              </w:rPr>
              <w:t>0</w:t>
            </w:r>
            <w:r w:rsidRPr="000D3415">
              <w:rPr>
                <w:bCs/>
              </w:rPr>
              <w:t>.2.</w:t>
            </w:r>
          </w:p>
        </w:tc>
        <w:tc>
          <w:tcPr>
            <w:tcW w:w="13324" w:type="dxa"/>
            <w:gridSpan w:val="2"/>
            <w:shd w:val="clear" w:color="auto" w:fill="auto"/>
          </w:tcPr>
          <w:p w14:paraId="083BACD4" w14:textId="77777777" w:rsidR="00BD0B57" w:rsidRPr="001F5074" w:rsidRDefault="001F5074" w:rsidP="00900E0D">
            <w:pPr>
              <w:tabs>
                <w:tab w:val="left" w:pos="1562"/>
              </w:tabs>
              <w:jc w:val="both"/>
              <w:rPr>
                <w:highlight w:val="yellow"/>
              </w:rPr>
            </w:pPr>
            <w:r w:rsidRPr="000A3C99">
              <w:t>Nuomotojas</w:t>
            </w:r>
            <w:r w:rsidR="00BD0B57" w:rsidRPr="000A3C99">
              <w:t xml:space="preserve"> padengia pirkimo proceso metu </w:t>
            </w:r>
            <w:r w:rsidRPr="000A3C99">
              <w:t>Nuomininko</w:t>
            </w:r>
            <w:r w:rsidR="00BD0B57" w:rsidRPr="000A3C99">
              <w:t xml:space="preserve"> patirtą materialinę žalą.</w:t>
            </w:r>
          </w:p>
        </w:tc>
      </w:tr>
      <w:tr w:rsidR="00BD0B57" w:rsidRPr="000D3415" w14:paraId="386ABC2A" w14:textId="77777777" w:rsidTr="00900E0D">
        <w:trPr>
          <w:trHeight w:val="324"/>
        </w:trPr>
        <w:tc>
          <w:tcPr>
            <w:tcW w:w="993" w:type="dxa"/>
            <w:shd w:val="clear" w:color="auto" w:fill="auto"/>
            <w:noWrap/>
          </w:tcPr>
          <w:p w14:paraId="6E6026C2" w14:textId="77777777" w:rsidR="00BD0B57" w:rsidRPr="000D3415" w:rsidRDefault="00BD0B57" w:rsidP="00900E0D">
            <w:pPr>
              <w:rPr>
                <w:bCs/>
              </w:rPr>
            </w:pPr>
            <w:r w:rsidRPr="000D3415">
              <w:rPr>
                <w:bCs/>
              </w:rPr>
              <w:t>1.1</w:t>
            </w:r>
            <w:r>
              <w:rPr>
                <w:bCs/>
              </w:rPr>
              <w:t>1</w:t>
            </w:r>
            <w:r w:rsidRPr="000D3415">
              <w:rPr>
                <w:bCs/>
              </w:rPr>
              <w:t>.</w:t>
            </w:r>
          </w:p>
        </w:tc>
        <w:tc>
          <w:tcPr>
            <w:tcW w:w="13324" w:type="dxa"/>
            <w:gridSpan w:val="2"/>
            <w:shd w:val="clear" w:color="auto" w:fill="auto"/>
          </w:tcPr>
          <w:p w14:paraId="79BBE5C5" w14:textId="77777777" w:rsidR="00BD0B57" w:rsidRPr="000D3415" w:rsidRDefault="00BD0B57" w:rsidP="00900E0D">
            <w:pPr>
              <w:tabs>
                <w:tab w:val="left" w:pos="1562"/>
              </w:tabs>
              <w:jc w:val="both"/>
            </w:pPr>
            <w:r w:rsidRPr="000D3415">
              <w:t>Perkančioji organizacija, vadovaudamasi VPĮ 37 straipsnio 9 dalimi laikys, kad prekės ar paslaugos kelia grėsmę nacionaliniam saugumui, kai:</w:t>
            </w:r>
          </w:p>
        </w:tc>
      </w:tr>
      <w:tr w:rsidR="00BD0B57" w:rsidRPr="000D3415" w14:paraId="0B28AE17" w14:textId="77777777" w:rsidTr="00900E0D">
        <w:trPr>
          <w:trHeight w:val="324"/>
        </w:trPr>
        <w:tc>
          <w:tcPr>
            <w:tcW w:w="993" w:type="dxa"/>
            <w:shd w:val="clear" w:color="auto" w:fill="auto"/>
            <w:noWrap/>
          </w:tcPr>
          <w:p w14:paraId="71C16C00" w14:textId="77777777" w:rsidR="00BD0B57" w:rsidRPr="000D3415" w:rsidRDefault="00BD0B57" w:rsidP="00900E0D">
            <w:pPr>
              <w:rPr>
                <w:bCs/>
              </w:rPr>
            </w:pPr>
            <w:r w:rsidRPr="000D3415">
              <w:rPr>
                <w:bCs/>
              </w:rPr>
              <w:t>1.1</w:t>
            </w:r>
            <w:r>
              <w:rPr>
                <w:bCs/>
              </w:rPr>
              <w:t>1</w:t>
            </w:r>
            <w:r w:rsidRPr="000D3415">
              <w:rPr>
                <w:bCs/>
              </w:rPr>
              <w:t>.1.</w:t>
            </w:r>
          </w:p>
        </w:tc>
        <w:tc>
          <w:tcPr>
            <w:tcW w:w="13324" w:type="dxa"/>
            <w:gridSpan w:val="2"/>
            <w:shd w:val="clear" w:color="auto" w:fill="auto"/>
          </w:tcPr>
          <w:p w14:paraId="2459268D" w14:textId="77777777" w:rsidR="00BD0B57" w:rsidRPr="000D3415" w:rsidRDefault="00BD0B57" w:rsidP="00900E0D">
            <w:pPr>
              <w:tabs>
                <w:tab w:val="left" w:pos="1562"/>
              </w:tabs>
              <w:jc w:val="both"/>
            </w:pPr>
            <w:r w:rsidRPr="000D3415">
              <w:t xml:space="preserve">techninės ar programinės įrangos gamintojas ar jį kontroliuojantis asmuo yra registruoti (jeigu gamintojas ar jį kontroliuojantis asmuo yra fizinis asmuo – nuolat gyvenantis ar turintis pilietybę) </w:t>
            </w:r>
            <w:r w:rsidRPr="00FC07AF">
              <w:t>VPĮ 92 straipsnio 14 dalyje</w:t>
            </w:r>
            <w:r w:rsidRPr="000D3415">
              <w:t xml:space="preserve"> numatytame sąraše nurodytose valstybėse ar teritorijose;</w:t>
            </w:r>
          </w:p>
        </w:tc>
      </w:tr>
      <w:tr w:rsidR="00BD0B57" w:rsidRPr="000D3415" w14:paraId="3FECDFEB" w14:textId="77777777" w:rsidTr="00900E0D">
        <w:trPr>
          <w:trHeight w:val="324"/>
        </w:trPr>
        <w:tc>
          <w:tcPr>
            <w:tcW w:w="993" w:type="dxa"/>
            <w:shd w:val="clear" w:color="auto" w:fill="auto"/>
            <w:noWrap/>
          </w:tcPr>
          <w:p w14:paraId="32AB6B0B" w14:textId="77777777" w:rsidR="00BD0B57" w:rsidRPr="000D3415" w:rsidRDefault="00BD0B57" w:rsidP="00900E0D">
            <w:pPr>
              <w:rPr>
                <w:bCs/>
              </w:rPr>
            </w:pPr>
            <w:r w:rsidRPr="000D3415">
              <w:rPr>
                <w:bCs/>
              </w:rPr>
              <w:t>1.1</w:t>
            </w:r>
            <w:r>
              <w:rPr>
                <w:bCs/>
              </w:rPr>
              <w:t>1</w:t>
            </w:r>
            <w:r w:rsidRPr="000D3415">
              <w:rPr>
                <w:bCs/>
              </w:rPr>
              <w:t>.2.</w:t>
            </w:r>
          </w:p>
        </w:tc>
        <w:tc>
          <w:tcPr>
            <w:tcW w:w="13324" w:type="dxa"/>
            <w:gridSpan w:val="2"/>
            <w:shd w:val="clear" w:color="auto" w:fill="auto"/>
          </w:tcPr>
          <w:p w14:paraId="753651CB" w14:textId="77777777" w:rsidR="00BD0B57" w:rsidRPr="000D3415" w:rsidRDefault="00BD0B57" w:rsidP="00900E0D">
            <w:pPr>
              <w:tabs>
                <w:tab w:val="left" w:pos="1562"/>
              </w:tabs>
              <w:jc w:val="both"/>
            </w:pPr>
            <w:r w:rsidRPr="000D3415">
              <w:t xml:space="preserve">techninės ar programinės įrangos priežiūra ar palaikymas būtų vykdomas iš VPĮ </w:t>
            </w:r>
            <w:r w:rsidRPr="00FC07AF">
              <w:t>92 straipsnio 14 dalyje</w:t>
            </w:r>
            <w:r w:rsidRPr="000D3415">
              <w:t xml:space="preserve"> numatytame sąraše nurodytų valstybių ar teritorijų.</w:t>
            </w:r>
          </w:p>
        </w:tc>
      </w:tr>
      <w:tr w:rsidR="00BD0B57" w:rsidRPr="000D3415" w14:paraId="064D735B" w14:textId="77777777" w:rsidTr="00900E0D">
        <w:trPr>
          <w:trHeight w:val="324"/>
        </w:trPr>
        <w:tc>
          <w:tcPr>
            <w:tcW w:w="993" w:type="dxa"/>
            <w:shd w:val="clear" w:color="auto" w:fill="auto"/>
            <w:noWrap/>
          </w:tcPr>
          <w:p w14:paraId="7D5707EB" w14:textId="77777777" w:rsidR="00BD0B57" w:rsidRPr="000D3415" w:rsidRDefault="00BD0B57" w:rsidP="00900E0D">
            <w:pPr>
              <w:rPr>
                <w:bCs/>
              </w:rPr>
            </w:pPr>
            <w:r w:rsidRPr="000D3415">
              <w:rPr>
                <w:bCs/>
              </w:rPr>
              <w:t>1.1</w:t>
            </w:r>
            <w:r>
              <w:rPr>
                <w:bCs/>
              </w:rPr>
              <w:t>2</w:t>
            </w:r>
          </w:p>
        </w:tc>
        <w:tc>
          <w:tcPr>
            <w:tcW w:w="13324" w:type="dxa"/>
            <w:gridSpan w:val="2"/>
            <w:shd w:val="clear" w:color="auto" w:fill="auto"/>
          </w:tcPr>
          <w:p w14:paraId="0ED7C280" w14:textId="77777777" w:rsidR="00BD0B57" w:rsidRPr="000D3415" w:rsidRDefault="00BD0B57" w:rsidP="000A3C99">
            <w:pPr>
              <w:tabs>
                <w:tab w:val="left" w:pos="1562"/>
              </w:tabs>
              <w:jc w:val="both"/>
            </w:pPr>
            <w:r w:rsidRPr="000D3415">
              <w:t xml:space="preserve">Perkančioji organizacija, vadovaudamasi VPĮ 47 straipsnio 9 dalimi laikys, kad prekės ar paslaugos kelia grėsmę nacionaliniam saugumui, kai </w:t>
            </w:r>
            <w:r w:rsidR="000A3C99">
              <w:t>Nuomotojas</w:t>
            </w:r>
            <w:r w:rsidRPr="000D3415">
              <w:t xml:space="preserve"> turi interesų, galinčių kelti grėsmę nacionaliniam saugumui, ir draudžia pirkime dalyvauti </w:t>
            </w:r>
            <w:r w:rsidR="000A3C99">
              <w:t>Nuomotojams</w:t>
            </w:r>
            <w:r w:rsidRPr="000D3415">
              <w:t xml:space="preserve">,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FC07AF">
              <w:t>VPĮ  92 straipsnio 14 dalyje</w:t>
            </w:r>
            <w:r w:rsidRPr="000D3415">
              <w:t xml:space="preserve"> numatytame sąraše nurodytose valstybėse ar teritorijose</w:t>
            </w:r>
          </w:p>
        </w:tc>
      </w:tr>
      <w:tr w:rsidR="00BD0B57" w:rsidRPr="000D3415" w14:paraId="719B16BE"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44F2F24" w14:textId="77777777" w:rsidR="00BD0B57" w:rsidRPr="000D3415" w:rsidRDefault="00BD0B57" w:rsidP="00900E0D">
            <w:pPr>
              <w:rPr>
                <w:bCs/>
              </w:rPr>
            </w:pPr>
            <w:r w:rsidRPr="000D3415">
              <w:rPr>
                <w:bCs/>
              </w:rPr>
              <w:t>1.1</w:t>
            </w:r>
            <w:r>
              <w:rPr>
                <w:bCs/>
              </w:rPr>
              <w:t>3</w:t>
            </w:r>
            <w:r w:rsidRPr="000D3415">
              <w:rPr>
                <w:bCs/>
              </w:rPr>
              <w:t>.</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4CD0640D" w14:textId="77777777" w:rsidR="00BD0B57" w:rsidRPr="000D3415" w:rsidRDefault="00BD0B57" w:rsidP="000A3C99">
            <w:pPr>
              <w:tabs>
                <w:tab w:val="left" w:pos="1562"/>
              </w:tabs>
              <w:jc w:val="both"/>
            </w:pPr>
            <w:r w:rsidRPr="000D3415">
              <w:t>Perkančioji organizacija, vadovaudamasi Viešųjų pirkimų įstatymo 17 straipsnio 5 dalimi</w:t>
            </w:r>
            <w:r>
              <w:t xml:space="preserve">, </w:t>
            </w:r>
            <w:r w:rsidRPr="000D3415">
              <w:t xml:space="preserve">pirkime neleidžia dalyvauti </w:t>
            </w:r>
            <w:r w:rsidR="000A3C99">
              <w:t>Nuomotojams</w:t>
            </w:r>
            <w:r w:rsidR="000A3C99" w:rsidRPr="000D3415">
              <w:t xml:space="preserve"> </w:t>
            </w:r>
            <w:r w:rsidRPr="000D3415">
              <w:t xml:space="preserve">(juridiniams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w:t>
            </w:r>
            <w:r w:rsidR="006A44F6">
              <w:t>Nuomotojams</w:t>
            </w:r>
            <w:r w:rsidRPr="000D3415">
              <w:t xml:space="preserve">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tc>
      </w:tr>
      <w:tr w:rsidR="00BD0B57" w:rsidRPr="000D3415" w14:paraId="264B33B9"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5C476ED" w14:textId="77777777" w:rsidR="00BD0B57" w:rsidRPr="000D3415" w:rsidRDefault="00BD0B57" w:rsidP="00900E0D">
            <w:pPr>
              <w:rPr>
                <w:b/>
                <w:bCs/>
              </w:rPr>
            </w:pPr>
            <w:r w:rsidRPr="000D3415">
              <w:rPr>
                <w:b/>
                <w:bCs/>
              </w:rPr>
              <w:t>2.</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3D133E56" w14:textId="77777777" w:rsidR="00BD0B57" w:rsidRPr="000D3415" w:rsidRDefault="00BD0B57" w:rsidP="00900E0D">
            <w:pPr>
              <w:tabs>
                <w:tab w:val="left" w:pos="1562"/>
              </w:tabs>
              <w:jc w:val="both"/>
              <w:rPr>
                <w:b/>
              </w:rPr>
            </w:pPr>
            <w:r w:rsidRPr="000D3415">
              <w:rPr>
                <w:b/>
              </w:rPr>
              <w:t>Bendrieji reikalavimai siūlomos įrangos montavimui ir diegimui</w:t>
            </w:r>
          </w:p>
        </w:tc>
      </w:tr>
      <w:tr w:rsidR="00BD0B57" w:rsidRPr="000D3415" w14:paraId="0440B972"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E0C08D0" w14:textId="77777777" w:rsidR="00BD0B57" w:rsidRPr="000D3415" w:rsidRDefault="00BD0B57" w:rsidP="00900E0D">
            <w:pPr>
              <w:rPr>
                <w:bCs/>
              </w:rPr>
            </w:pPr>
            <w:r w:rsidRPr="000D3415">
              <w:rPr>
                <w:bCs/>
              </w:rPr>
              <w:t>2.1.</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1EBAEDC7" w14:textId="77777777" w:rsidR="00BD0B57" w:rsidRPr="000D3415" w:rsidRDefault="00BD0B57" w:rsidP="00900E0D">
            <w:pPr>
              <w:tabs>
                <w:tab w:val="left" w:pos="1562"/>
              </w:tabs>
              <w:jc w:val="both"/>
            </w:pPr>
            <w:r w:rsidRPr="000D3415">
              <w:t xml:space="preserve">Įrangos </w:t>
            </w:r>
            <w:r w:rsidR="001F5074">
              <w:t>nuomotojas</w:t>
            </w:r>
            <w:r w:rsidRPr="000D3415">
              <w:t xml:space="preserve"> į pasiūlymą turi įtraukti visas siūlomos Įrangos montavimui ir pajungimui reikalingas medžiagas.</w:t>
            </w:r>
          </w:p>
        </w:tc>
      </w:tr>
      <w:tr w:rsidR="00BD0B57" w:rsidRPr="000D3415" w14:paraId="15F8C5A3"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2170F33" w14:textId="77777777" w:rsidR="00BD0B57" w:rsidRPr="000D3415" w:rsidRDefault="00BD0B57" w:rsidP="00900E0D">
            <w:pPr>
              <w:rPr>
                <w:bCs/>
              </w:rPr>
            </w:pPr>
            <w:r w:rsidRPr="000D3415">
              <w:rPr>
                <w:bCs/>
              </w:rPr>
              <w:t>2.2.</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09AEE7A1" w14:textId="77777777" w:rsidR="00BD0B57" w:rsidRPr="000D3415" w:rsidRDefault="00BD0B57" w:rsidP="00900E0D">
            <w:pPr>
              <w:tabs>
                <w:tab w:val="left" w:pos="1562"/>
              </w:tabs>
              <w:jc w:val="both"/>
            </w:pPr>
            <w:r w:rsidRPr="000D3415">
              <w:t xml:space="preserve">Pagal Perkančiosios organizacijos poreikį Įrangos </w:t>
            </w:r>
            <w:r w:rsidR="001F5074">
              <w:t>nuomotojas</w:t>
            </w:r>
            <w:r w:rsidRPr="000D3415">
              <w:t xml:space="preserve"> turės </w:t>
            </w:r>
            <w:r w:rsidRPr="00950DFC">
              <w:t>suteikti ne mažiau kaip žemiau išvardintus</w:t>
            </w:r>
            <w:r w:rsidRPr="000D3415">
              <w:t xml:space="preserve"> paslaugas:</w:t>
            </w:r>
          </w:p>
        </w:tc>
      </w:tr>
      <w:tr w:rsidR="00BD0B57" w:rsidRPr="000D3415" w14:paraId="3856D079"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3C2AFE5" w14:textId="77777777" w:rsidR="00BD0B57" w:rsidRPr="000D3415" w:rsidRDefault="00BD0B57" w:rsidP="00900E0D">
            <w:pPr>
              <w:rPr>
                <w:bCs/>
              </w:rPr>
            </w:pPr>
            <w:r>
              <w:rPr>
                <w:bCs/>
              </w:rPr>
              <w:t>2.2.1</w:t>
            </w:r>
            <w:r w:rsidRPr="000D3415">
              <w:rPr>
                <w:bCs/>
              </w:rPr>
              <w:t>.</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5EE2A813" w14:textId="77777777" w:rsidR="00BD0B57" w:rsidRPr="000D3415" w:rsidRDefault="00BD0B57" w:rsidP="00900E0D">
            <w:pPr>
              <w:tabs>
                <w:tab w:val="left" w:pos="1562"/>
              </w:tabs>
              <w:jc w:val="both"/>
            </w:pPr>
            <w:r w:rsidRPr="000D3415">
              <w:t xml:space="preserve">Įrangos </w:t>
            </w:r>
            <w:proofErr w:type="spellStart"/>
            <w:r w:rsidRPr="000D3415">
              <w:t>mikrokodo</w:t>
            </w:r>
            <w:proofErr w:type="spellEnd"/>
            <w:r w:rsidRPr="000D3415">
              <w:t xml:space="preserve"> (angl. </w:t>
            </w:r>
            <w:proofErr w:type="spellStart"/>
            <w:r w:rsidRPr="000D3415">
              <w:t>firmware</w:t>
            </w:r>
            <w:proofErr w:type="spellEnd"/>
            <w:r w:rsidRPr="000D3415">
              <w:t xml:space="preserve">) atnaujinimą – visai siūlomai įrangai turi būti atliktas vidinės programinės įrangos </w:t>
            </w:r>
            <w:proofErr w:type="spellStart"/>
            <w:r w:rsidRPr="000D3415">
              <w:t>mikrokodo</w:t>
            </w:r>
            <w:proofErr w:type="spellEnd"/>
            <w:r w:rsidRPr="000D3415">
              <w:t xml:space="preserve"> (angl. </w:t>
            </w:r>
            <w:proofErr w:type="spellStart"/>
            <w:r w:rsidRPr="000D3415">
              <w:t>firmware</w:t>
            </w:r>
            <w:proofErr w:type="spellEnd"/>
            <w:r w:rsidRPr="000D3415">
              <w:t>) atnaujinimas ir Įrangos parengimas eksploatacijai;</w:t>
            </w:r>
          </w:p>
        </w:tc>
      </w:tr>
      <w:tr w:rsidR="00BD0B57" w:rsidRPr="000D3415" w14:paraId="40D02C30" w14:textId="77777777" w:rsidTr="00900E0D">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5887730" w14:textId="77777777" w:rsidR="00BD0B57" w:rsidRPr="000D3415" w:rsidRDefault="00BD0B57" w:rsidP="00900E0D">
            <w:pPr>
              <w:rPr>
                <w:bCs/>
              </w:rPr>
            </w:pPr>
            <w:r>
              <w:rPr>
                <w:bCs/>
              </w:rPr>
              <w:t>2.2.2</w:t>
            </w:r>
            <w:r w:rsidRPr="000D3415">
              <w:rPr>
                <w:bCs/>
              </w:rPr>
              <w:t>.</w:t>
            </w:r>
          </w:p>
        </w:tc>
        <w:tc>
          <w:tcPr>
            <w:tcW w:w="13324" w:type="dxa"/>
            <w:gridSpan w:val="2"/>
            <w:tcBorders>
              <w:top w:val="single" w:sz="4" w:space="0" w:color="auto"/>
              <w:left w:val="single" w:sz="4" w:space="0" w:color="auto"/>
              <w:bottom w:val="single" w:sz="4" w:space="0" w:color="auto"/>
              <w:right w:val="single" w:sz="4" w:space="0" w:color="auto"/>
            </w:tcBorders>
            <w:shd w:val="clear" w:color="auto" w:fill="auto"/>
          </w:tcPr>
          <w:p w14:paraId="0F516659" w14:textId="77777777" w:rsidR="00BD0B57" w:rsidRPr="000D3415" w:rsidRDefault="00BD0B57" w:rsidP="00900E0D">
            <w:pPr>
              <w:tabs>
                <w:tab w:val="left" w:pos="1562"/>
              </w:tabs>
              <w:jc w:val="both"/>
            </w:pPr>
            <w:r w:rsidRPr="000D3415">
              <w:t xml:space="preserve">Įrangos testavimą – pabaigus diegimo </w:t>
            </w:r>
            <w:r w:rsidRPr="000A3C99">
              <w:t xml:space="preserve">darbus Įrangos </w:t>
            </w:r>
            <w:r w:rsidR="001F5074" w:rsidRPr="000A3C99">
              <w:t>nuomotojas</w:t>
            </w:r>
            <w:r w:rsidRPr="000D3415">
              <w:t>, kartu su Perkančiosios organizacijos atstovais, pagal iš anksto suderintus testavimo scenarijus, turės atlikti Įrangos veikimo testavimus (našumo savybių ir pan.) ir pateikti testų rezultatus popieriniu bei elektroniniu formatu.</w:t>
            </w:r>
          </w:p>
        </w:tc>
      </w:tr>
      <w:tr w:rsidR="00BD0B57" w:rsidRPr="000D3415" w14:paraId="0189A1CD" w14:textId="77777777" w:rsidTr="00900E0D">
        <w:trPr>
          <w:trHeight w:val="324"/>
        </w:trPr>
        <w:tc>
          <w:tcPr>
            <w:tcW w:w="993" w:type="dxa"/>
            <w:shd w:val="clear" w:color="auto" w:fill="auto"/>
            <w:noWrap/>
          </w:tcPr>
          <w:p w14:paraId="0D3C0EB3" w14:textId="77777777" w:rsidR="00BD0B57" w:rsidRPr="000D3415" w:rsidRDefault="00BD0B57" w:rsidP="00900E0D">
            <w:pPr>
              <w:rPr>
                <w:b/>
                <w:bCs/>
              </w:rPr>
            </w:pPr>
            <w:r w:rsidRPr="000D3415">
              <w:rPr>
                <w:b/>
              </w:rPr>
              <w:t>3.</w:t>
            </w:r>
          </w:p>
        </w:tc>
        <w:tc>
          <w:tcPr>
            <w:tcW w:w="13324" w:type="dxa"/>
            <w:gridSpan w:val="2"/>
            <w:shd w:val="clear" w:color="auto" w:fill="auto"/>
          </w:tcPr>
          <w:p w14:paraId="540C93A9" w14:textId="77777777" w:rsidR="00BD0B57" w:rsidRPr="000D3415" w:rsidRDefault="00BD0B57" w:rsidP="00900E0D">
            <w:pPr>
              <w:jc w:val="both"/>
              <w:rPr>
                <w:b/>
              </w:rPr>
            </w:pPr>
            <w:r w:rsidRPr="000D3415">
              <w:rPr>
                <w:b/>
              </w:rPr>
              <w:t>Valdymo sprendimas</w:t>
            </w:r>
          </w:p>
        </w:tc>
      </w:tr>
      <w:tr w:rsidR="00BD0B57" w:rsidRPr="000D3415" w14:paraId="2C14C0FA" w14:textId="77777777" w:rsidTr="00900E0D">
        <w:trPr>
          <w:trHeight w:val="324"/>
        </w:trPr>
        <w:tc>
          <w:tcPr>
            <w:tcW w:w="993" w:type="dxa"/>
            <w:shd w:val="clear" w:color="auto" w:fill="auto"/>
            <w:noWrap/>
          </w:tcPr>
          <w:p w14:paraId="1810DC10" w14:textId="77777777" w:rsidR="00BD0B57" w:rsidRPr="000D3415" w:rsidRDefault="00BD0B57" w:rsidP="00900E0D">
            <w:pPr>
              <w:rPr>
                <w:bCs/>
              </w:rPr>
            </w:pPr>
            <w:r w:rsidRPr="000D3415">
              <w:rPr>
                <w:bCs/>
              </w:rPr>
              <w:t>3.1.</w:t>
            </w:r>
          </w:p>
        </w:tc>
        <w:tc>
          <w:tcPr>
            <w:tcW w:w="13324" w:type="dxa"/>
            <w:gridSpan w:val="2"/>
            <w:shd w:val="clear" w:color="auto" w:fill="auto"/>
          </w:tcPr>
          <w:p w14:paraId="59D71A31" w14:textId="77777777" w:rsidR="00BD0B57" w:rsidRPr="000D3415" w:rsidRDefault="001F5074" w:rsidP="00900E0D">
            <w:pPr>
              <w:jc w:val="both"/>
            </w:pPr>
            <w:r w:rsidRPr="000A3C99">
              <w:t>Nuomotojas</w:t>
            </w:r>
            <w:r w:rsidR="00BD0B57" w:rsidRPr="000A3C99">
              <w:t xml:space="preserve"> turi</w:t>
            </w:r>
            <w:r w:rsidR="00BD0B57" w:rsidRPr="000D3415">
              <w:t xml:space="preserve"> pasiūlyti centralizuoto valdymo sprendimo komplektą reikalaujamam našumui pasiekti bei garantinę priežiūrą reikalaujamam periodui. Centralizuoto valdymo įranga turi būti realizuota virtualizacijos priemonėmis ir veikti perkančiosios </w:t>
            </w:r>
            <w:r w:rsidR="00BD0B57" w:rsidRPr="000D3415">
              <w:lastRenderedPageBreak/>
              <w:t xml:space="preserve">organizacijos tinkle, negali būti siūlomi viešos debesijos pagrindu pagrįsti sprendimai, tačiau turi būti galimybė vėliau įsigyti ir naudoti įrangos gamintojo debesijos </w:t>
            </w:r>
            <w:r w:rsidR="00BD0B57" w:rsidRPr="00A63232">
              <w:t>pagrindu veikiančias atakų slopinimo centrus</w:t>
            </w:r>
            <w:r w:rsidR="00BD0B57" w:rsidRPr="000D3415">
              <w:t xml:space="preserve"> (šiuo pirkimu ši paslauga nėra įsigyjama). Siūloma įranga t</w:t>
            </w:r>
            <w:r w:rsidR="00BD0B57">
              <w:t>uri būti pateikiama su licencija</w:t>
            </w:r>
            <w:r w:rsidR="00BD0B57" w:rsidRPr="000D3415">
              <w:t xml:space="preserve"> </w:t>
            </w:r>
            <w:r w:rsidR="00BD0B57">
              <w:t>6 mėnesių</w:t>
            </w:r>
            <w:r w:rsidR="00BD0B57" w:rsidRPr="000D3415">
              <w:t xml:space="preserve"> laikotarpiui.</w:t>
            </w:r>
          </w:p>
        </w:tc>
      </w:tr>
      <w:tr w:rsidR="00BD0B57" w:rsidRPr="000D3415" w14:paraId="762468A6" w14:textId="77777777" w:rsidTr="00900E0D">
        <w:trPr>
          <w:trHeight w:val="324"/>
        </w:trPr>
        <w:tc>
          <w:tcPr>
            <w:tcW w:w="993" w:type="dxa"/>
            <w:shd w:val="clear" w:color="auto" w:fill="auto"/>
            <w:noWrap/>
          </w:tcPr>
          <w:p w14:paraId="333BF9A8" w14:textId="77777777" w:rsidR="00BD0B57" w:rsidRPr="000D3415" w:rsidRDefault="00BD0B57" w:rsidP="00900E0D">
            <w:pPr>
              <w:rPr>
                <w:bCs/>
              </w:rPr>
            </w:pPr>
            <w:r w:rsidRPr="000D3415">
              <w:rPr>
                <w:bCs/>
              </w:rPr>
              <w:lastRenderedPageBreak/>
              <w:t>3.2.</w:t>
            </w:r>
          </w:p>
        </w:tc>
        <w:tc>
          <w:tcPr>
            <w:tcW w:w="2693" w:type="dxa"/>
            <w:vAlign w:val="center"/>
          </w:tcPr>
          <w:p w14:paraId="1EE57CC6" w14:textId="77777777" w:rsidR="00BD0B57" w:rsidRPr="000D3415" w:rsidRDefault="00BD0B57" w:rsidP="00900E0D">
            <w:pPr>
              <w:jc w:val="both"/>
            </w:pPr>
            <w:r w:rsidRPr="000D3415">
              <w:t>Įrangos gamintojas, modelis, modifikacija (jei yra)</w:t>
            </w:r>
          </w:p>
        </w:tc>
        <w:tc>
          <w:tcPr>
            <w:tcW w:w="10631" w:type="dxa"/>
            <w:vAlign w:val="center"/>
          </w:tcPr>
          <w:p w14:paraId="64F06A21" w14:textId="77777777" w:rsidR="00BD0B57" w:rsidRPr="000D3415" w:rsidRDefault="00BD0B57" w:rsidP="00900E0D">
            <w:pPr>
              <w:jc w:val="both"/>
            </w:pPr>
            <w:r w:rsidRPr="000D3415">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r>
      <w:tr w:rsidR="00BD0B57" w:rsidRPr="000D3415" w14:paraId="78B832BE" w14:textId="77777777" w:rsidTr="00900E0D">
        <w:trPr>
          <w:trHeight w:val="324"/>
        </w:trPr>
        <w:tc>
          <w:tcPr>
            <w:tcW w:w="993" w:type="dxa"/>
            <w:shd w:val="clear" w:color="auto" w:fill="auto"/>
            <w:noWrap/>
          </w:tcPr>
          <w:p w14:paraId="6DCFA163" w14:textId="77777777" w:rsidR="00BD0B57" w:rsidRPr="000D3415" w:rsidRDefault="00BD0B57" w:rsidP="00900E0D">
            <w:pPr>
              <w:rPr>
                <w:bCs/>
              </w:rPr>
            </w:pPr>
            <w:r w:rsidRPr="000D3415">
              <w:rPr>
                <w:bCs/>
              </w:rPr>
              <w:t>3.3.</w:t>
            </w:r>
          </w:p>
        </w:tc>
        <w:tc>
          <w:tcPr>
            <w:tcW w:w="2693" w:type="dxa"/>
            <w:vAlign w:val="center"/>
          </w:tcPr>
          <w:p w14:paraId="516F412F" w14:textId="77777777" w:rsidR="00BD0B57" w:rsidRPr="000D3415" w:rsidRDefault="00BD0B57" w:rsidP="00900E0D">
            <w:pPr>
              <w:jc w:val="both"/>
            </w:pPr>
            <w:r w:rsidRPr="000D3415">
              <w:t>Paskirtis</w:t>
            </w:r>
          </w:p>
        </w:tc>
        <w:tc>
          <w:tcPr>
            <w:tcW w:w="10631" w:type="dxa"/>
            <w:vAlign w:val="center"/>
          </w:tcPr>
          <w:p w14:paraId="34248968" w14:textId="77777777" w:rsidR="00BD0B57" w:rsidRPr="000D3415" w:rsidRDefault="00BD0B57" w:rsidP="00900E0D">
            <w:pPr>
              <w:jc w:val="both"/>
            </w:pPr>
            <w:r w:rsidRPr="000D3415">
              <w:t xml:space="preserve">Siūlomas valdymo sprendimas turi būti skirtas siūlomų </w:t>
            </w:r>
            <w:proofErr w:type="spellStart"/>
            <w:r w:rsidRPr="000D3415">
              <w:t>Anti-DDoS</w:t>
            </w:r>
            <w:proofErr w:type="spellEnd"/>
            <w:r w:rsidRPr="000D3415">
              <w:t xml:space="preserve"> sprendimo centralizuotam valdymui, atakų analizei ir ataskaitų ruošimui.</w:t>
            </w:r>
          </w:p>
        </w:tc>
      </w:tr>
      <w:tr w:rsidR="00BD0B57" w:rsidRPr="000D3415" w14:paraId="7AEB37BE" w14:textId="77777777" w:rsidTr="00900E0D">
        <w:trPr>
          <w:trHeight w:val="324"/>
        </w:trPr>
        <w:tc>
          <w:tcPr>
            <w:tcW w:w="993" w:type="dxa"/>
            <w:shd w:val="clear" w:color="auto" w:fill="auto"/>
            <w:noWrap/>
          </w:tcPr>
          <w:p w14:paraId="4D7FACAB" w14:textId="77777777" w:rsidR="00BD0B57" w:rsidRPr="000D3415" w:rsidRDefault="00BD0B57" w:rsidP="00900E0D">
            <w:pPr>
              <w:rPr>
                <w:bCs/>
              </w:rPr>
            </w:pPr>
            <w:r w:rsidRPr="000D3415">
              <w:rPr>
                <w:bCs/>
              </w:rPr>
              <w:t>3.4.</w:t>
            </w:r>
          </w:p>
        </w:tc>
        <w:tc>
          <w:tcPr>
            <w:tcW w:w="2693" w:type="dxa"/>
            <w:vAlign w:val="center"/>
          </w:tcPr>
          <w:p w14:paraId="360FE986" w14:textId="77777777" w:rsidR="00BD0B57" w:rsidRPr="000D3415" w:rsidRDefault="00BD0B57" w:rsidP="00900E0D">
            <w:pPr>
              <w:jc w:val="both"/>
            </w:pPr>
            <w:r w:rsidRPr="000D3415">
              <w:t>Įrangos suderinamumas</w:t>
            </w:r>
          </w:p>
        </w:tc>
        <w:tc>
          <w:tcPr>
            <w:tcW w:w="10631" w:type="dxa"/>
            <w:vAlign w:val="center"/>
          </w:tcPr>
          <w:p w14:paraId="1B7E8582" w14:textId="77777777" w:rsidR="00BD0B57" w:rsidRPr="000D3415" w:rsidRDefault="00BD0B57" w:rsidP="00900E0D">
            <w:pPr>
              <w:jc w:val="both"/>
            </w:pPr>
            <w:r w:rsidRPr="000D3415">
              <w:t xml:space="preserve">Siūlomas valdymo sprendimas privalo būti to paties gamintojo kaip ir siūlomų </w:t>
            </w:r>
            <w:proofErr w:type="spellStart"/>
            <w:r w:rsidRPr="000D3415">
              <w:t>Anti-DDoS</w:t>
            </w:r>
            <w:proofErr w:type="spellEnd"/>
            <w:r w:rsidRPr="000D3415">
              <w:t xml:space="preserve"> įrenginių gamintojas arba skirtingų gamintojų, suderinamas bendram darbui. Jei siūlomas skirtingo gamintojo valdymo sprendimas nei </w:t>
            </w:r>
            <w:proofErr w:type="spellStart"/>
            <w:r w:rsidRPr="000D3415">
              <w:t>Anti-DDoS</w:t>
            </w:r>
            <w:proofErr w:type="spellEnd"/>
            <w:r w:rsidRPr="000D3415">
              <w:t xml:space="preserve"> įrenginių gamintojas, turi būti pateikti skirtingų gamintojų raštiški patvirtinimai, kad siūlomas valdymo sprendimas yra visiškai suderinamas bendram darbui su </w:t>
            </w:r>
            <w:proofErr w:type="spellStart"/>
            <w:r w:rsidRPr="000D3415">
              <w:t>Anti-DDoS</w:t>
            </w:r>
            <w:proofErr w:type="spellEnd"/>
            <w:r w:rsidRPr="000D3415">
              <w:t xml:space="preserve"> įrenginiais.</w:t>
            </w:r>
          </w:p>
          <w:p w14:paraId="5FD49F2C" w14:textId="77777777" w:rsidR="00BD0B57" w:rsidRPr="000D3415" w:rsidRDefault="00BD0B57" w:rsidP="00900E0D">
            <w:pPr>
              <w:jc w:val="both"/>
            </w:pPr>
            <w:r w:rsidRPr="000D3415">
              <w:t xml:space="preserve">Valdymo sprendimas turi gebėti valdyti ne mažiau kaip </w:t>
            </w:r>
            <w:r>
              <w:t>1</w:t>
            </w:r>
            <w:r w:rsidRPr="000D3415">
              <w:t xml:space="preserve"> </w:t>
            </w:r>
            <w:proofErr w:type="spellStart"/>
            <w:r w:rsidRPr="000D3415">
              <w:t>Anti-DDoS</w:t>
            </w:r>
            <w:proofErr w:type="spellEnd"/>
            <w:r w:rsidRPr="000D3415">
              <w:t xml:space="preserve"> įrengin</w:t>
            </w:r>
            <w:r>
              <w:t>į</w:t>
            </w:r>
            <w:r w:rsidRPr="000D3415">
              <w:t>.</w:t>
            </w:r>
          </w:p>
        </w:tc>
      </w:tr>
      <w:tr w:rsidR="00BD0B57" w:rsidRPr="000D3415" w14:paraId="24229E1E" w14:textId="77777777" w:rsidTr="00900E0D">
        <w:trPr>
          <w:trHeight w:val="324"/>
        </w:trPr>
        <w:tc>
          <w:tcPr>
            <w:tcW w:w="993" w:type="dxa"/>
            <w:shd w:val="clear" w:color="auto" w:fill="auto"/>
            <w:noWrap/>
          </w:tcPr>
          <w:p w14:paraId="2CC66F48" w14:textId="77777777" w:rsidR="00BD0B57" w:rsidRPr="000D3415" w:rsidRDefault="00BD0B57" w:rsidP="00900E0D">
            <w:pPr>
              <w:rPr>
                <w:bCs/>
              </w:rPr>
            </w:pPr>
            <w:r>
              <w:rPr>
                <w:bCs/>
              </w:rPr>
              <w:t>3.5</w:t>
            </w:r>
            <w:r w:rsidRPr="000D3415">
              <w:rPr>
                <w:bCs/>
              </w:rPr>
              <w:t>.</w:t>
            </w:r>
          </w:p>
        </w:tc>
        <w:tc>
          <w:tcPr>
            <w:tcW w:w="2693" w:type="dxa"/>
            <w:vAlign w:val="center"/>
          </w:tcPr>
          <w:p w14:paraId="53A7EF5A" w14:textId="77777777" w:rsidR="00BD0B57" w:rsidRPr="000D3415" w:rsidRDefault="00BD0B57" w:rsidP="00900E0D">
            <w:pPr>
              <w:jc w:val="both"/>
            </w:pPr>
            <w:r w:rsidRPr="000D3415">
              <w:rPr>
                <w:rFonts w:eastAsia="Calibri"/>
                <w:lang w:eastAsia="en-US"/>
              </w:rPr>
              <w:t>Nuotolinio autentifikavimo protokolai</w:t>
            </w:r>
          </w:p>
        </w:tc>
        <w:tc>
          <w:tcPr>
            <w:tcW w:w="10631" w:type="dxa"/>
            <w:vAlign w:val="center"/>
          </w:tcPr>
          <w:p w14:paraId="6C96337F" w14:textId="77777777" w:rsidR="00BD0B57" w:rsidRPr="000D3415" w:rsidRDefault="00BD0B57" w:rsidP="00900E0D">
            <w:pPr>
              <w:jc w:val="both"/>
              <w:rPr>
                <w:rFonts w:eastAsia="Calibri"/>
                <w:lang w:eastAsia="en-US"/>
              </w:rPr>
            </w:pPr>
            <w:r w:rsidRPr="000D3415">
              <w:rPr>
                <w:rFonts w:eastAsia="Calibri"/>
                <w:lang w:eastAsia="en-US"/>
              </w:rPr>
              <w:t>Privalo palaikyti žemiau įvardintus arba lygiaverčius autentifikavimo protokolus:</w:t>
            </w:r>
          </w:p>
          <w:p w14:paraId="59428D3D" w14:textId="77777777" w:rsidR="00BD0B57" w:rsidRPr="000D3415" w:rsidRDefault="00BD0B57" w:rsidP="00900E0D">
            <w:pPr>
              <w:jc w:val="both"/>
              <w:rPr>
                <w:rFonts w:eastAsia="Calibri"/>
                <w:lang w:eastAsia="en-US"/>
              </w:rPr>
            </w:pPr>
            <w:r w:rsidRPr="000D3415">
              <w:rPr>
                <w:rFonts w:eastAsia="Calibri"/>
                <w:lang w:eastAsia="en-US"/>
              </w:rPr>
              <w:t>•</w:t>
            </w:r>
            <w:r w:rsidRPr="000D3415">
              <w:rPr>
                <w:rFonts w:eastAsia="Calibri"/>
                <w:lang w:eastAsia="en-US"/>
              </w:rPr>
              <w:tab/>
              <w:t>RADIUS;</w:t>
            </w:r>
          </w:p>
          <w:p w14:paraId="693151F9" w14:textId="77777777" w:rsidR="00BD0B57" w:rsidRPr="000D3415" w:rsidRDefault="00BD0B57" w:rsidP="00900E0D">
            <w:pPr>
              <w:jc w:val="both"/>
            </w:pPr>
            <w:r w:rsidRPr="000D3415">
              <w:rPr>
                <w:rFonts w:eastAsia="Calibri"/>
                <w:lang w:eastAsia="en-US"/>
              </w:rPr>
              <w:t>•</w:t>
            </w:r>
            <w:r w:rsidRPr="000D3415">
              <w:rPr>
                <w:rFonts w:eastAsia="Calibri"/>
                <w:lang w:eastAsia="en-US"/>
              </w:rPr>
              <w:tab/>
              <w:t>TACACS+.</w:t>
            </w:r>
          </w:p>
        </w:tc>
      </w:tr>
      <w:tr w:rsidR="00BD0B57" w:rsidRPr="000D3415" w14:paraId="167F9EDB" w14:textId="77777777" w:rsidTr="00900E0D">
        <w:trPr>
          <w:trHeight w:val="324"/>
        </w:trPr>
        <w:tc>
          <w:tcPr>
            <w:tcW w:w="993" w:type="dxa"/>
            <w:shd w:val="clear" w:color="auto" w:fill="auto"/>
            <w:noWrap/>
          </w:tcPr>
          <w:p w14:paraId="5F18A483" w14:textId="77777777" w:rsidR="00BD0B57" w:rsidRPr="000D3415" w:rsidRDefault="00BD0B57" w:rsidP="00900E0D">
            <w:pPr>
              <w:rPr>
                <w:bCs/>
              </w:rPr>
            </w:pPr>
            <w:r>
              <w:rPr>
                <w:bCs/>
              </w:rPr>
              <w:t>3.6</w:t>
            </w:r>
            <w:r w:rsidRPr="000D3415">
              <w:rPr>
                <w:bCs/>
              </w:rPr>
              <w:t>.</w:t>
            </w:r>
          </w:p>
        </w:tc>
        <w:tc>
          <w:tcPr>
            <w:tcW w:w="2693" w:type="dxa"/>
          </w:tcPr>
          <w:p w14:paraId="4F6C1798" w14:textId="77777777" w:rsidR="00BD0B57" w:rsidRPr="000D3415" w:rsidRDefault="00BD0B57" w:rsidP="00900E0D">
            <w:pPr>
              <w:jc w:val="both"/>
            </w:pPr>
            <w:r w:rsidRPr="000D3415">
              <w:t xml:space="preserve">Valdymo </w:t>
            </w:r>
            <w:proofErr w:type="spellStart"/>
            <w:r w:rsidRPr="000D3415">
              <w:t>interfeisai</w:t>
            </w:r>
            <w:proofErr w:type="spellEnd"/>
          </w:p>
        </w:tc>
        <w:tc>
          <w:tcPr>
            <w:tcW w:w="10631" w:type="dxa"/>
          </w:tcPr>
          <w:p w14:paraId="00D2128A" w14:textId="77777777" w:rsidR="00BD0B57" w:rsidRPr="000D3415" w:rsidRDefault="00BD0B57" w:rsidP="00900E0D">
            <w:pPr>
              <w:jc w:val="both"/>
            </w:pPr>
            <w:r w:rsidRPr="000D3415">
              <w:t>Siūloma įranga privalo palaikyti:</w:t>
            </w:r>
          </w:p>
          <w:p w14:paraId="161DF654" w14:textId="77777777" w:rsidR="00BD0B57" w:rsidRPr="000D3415" w:rsidRDefault="00BD0B57" w:rsidP="00900E0D">
            <w:pPr>
              <w:jc w:val="both"/>
            </w:pPr>
            <w:r w:rsidRPr="000D3415">
              <w:t>•</w:t>
            </w:r>
            <w:r w:rsidRPr="000D3415">
              <w:tab/>
              <w:t>Valdymą per komandinę SSH bei grafinę HTTPS sąsają. Gali būti naudojama speciali gamintojo pateikiama programinė įranga.</w:t>
            </w:r>
            <w:r w:rsidRPr="000D3415">
              <w:tab/>
            </w:r>
          </w:p>
        </w:tc>
      </w:tr>
      <w:tr w:rsidR="00BD0B57" w:rsidRPr="000D3415" w14:paraId="3B808B1C" w14:textId="77777777" w:rsidTr="00900E0D">
        <w:trPr>
          <w:trHeight w:val="324"/>
        </w:trPr>
        <w:tc>
          <w:tcPr>
            <w:tcW w:w="993" w:type="dxa"/>
            <w:shd w:val="clear" w:color="auto" w:fill="auto"/>
            <w:noWrap/>
          </w:tcPr>
          <w:p w14:paraId="38FDE83A" w14:textId="77777777" w:rsidR="00BD0B57" w:rsidRPr="000D3415" w:rsidRDefault="00BD0B57" w:rsidP="00900E0D">
            <w:pPr>
              <w:rPr>
                <w:bCs/>
              </w:rPr>
            </w:pPr>
            <w:r>
              <w:rPr>
                <w:bCs/>
              </w:rPr>
              <w:t>3.7</w:t>
            </w:r>
            <w:r w:rsidRPr="000D3415">
              <w:rPr>
                <w:bCs/>
              </w:rPr>
              <w:t>.</w:t>
            </w:r>
          </w:p>
        </w:tc>
        <w:tc>
          <w:tcPr>
            <w:tcW w:w="2693" w:type="dxa"/>
          </w:tcPr>
          <w:p w14:paraId="7FC2BECA" w14:textId="77777777" w:rsidR="00BD0B57" w:rsidRPr="000D3415" w:rsidRDefault="00BD0B57" w:rsidP="00900E0D">
            <w:pPr>
              <w:jc w:val="both"/>
            </w:pPr>
            <w:r w:rsidRPr="000D3415">
              <w:t xml:space="preserve">SNMPv2, SNMPV3 protokolo palaikymas </w:t>
            </w:r>
          </w:p>
        </w:tc>
        <w:tc>
          <w:tcPr>
            <w:tcW w:w="10631" w:type="dxa"/>
          </w:tcPr>
          <w:p w14:paraId="6D1E3913" w14:textId="77777777" w:rsidR="00BD0B57" w:rsidRPr="000D3415" w:rsidRDefault="00BD0B57" w:rsidP="00900E0D">
            <w:pPr>
              <w:jc w:val="both"/>
            </w:pPr>
            <w:r w:rsidRPr="000D3415">
              <w:t>Privaloma. Specifinės gamintojo MIB bylos turi būti pateiktos su įrenginiu.</w:t>
            </w:r>
          </w:p>
        </w:tc>
      </w:tr>
      <w:tr w:rsidR="00BD0B57" w:rsidRPr="000D3415" w14:paraId="407FD92F" w14:textId="77777777" w:rsidTr="00900E0D">
        <w:trPr>
          <w:trHeight w:val="324"/>
        </w:trPr>
        <w:tc>
          <w:tcPr>
            <w:tcW w:w="993" w:type="dxa"/>
            <w:shd w:val="clear" w:color="auto" w:fill="auto"/>
            <w:noWrap/>
          </w:tcPr>
          <w:p w14:paraId="4D6578BA" w14:textId="77777777" w:rsidR="00BD0B57" w:rsidRPr="000D3415" w:rsidRDefault="00BD0B57" w:rsidP="00900E0D">
            <w:pPr>
              <w:rPr>
                <w:bCs/>
              </w:rPr>
            </w:pPr>
            <w:r>
              <w:rPr>
                <w:bCs/>
              </w:rPr>
              <w:t>3.8</w:t>
            </w:r>
            <w:r w:rsidRPr="000D3415">
              <w:rPr>
                <w:bCs/>
              </w:rPr>
              <w:t>.</w:t>
            </w:r>
          </w:p>
        </w:tc>
        <w:tc>
          <w:tcPr>
            <w:tcW w:w="2693" w:type="dxa"/>
          </w:tcPr>
          <w:p w14:paraId="48D56351" w14:textId="77777777" w:rsidR="00BD0B57" w:rsidRPr="000D3415" w:rsidRDefault="00BD0B57" w:rsidP="00900E0D">
            <w:pPr>
              <w:jc w:val="both"/>
            </w:pPr>
            <w:r w:rsidRPr="000D3415">
              <w:t>Kitų protokolų palaikymas</w:t>
            </w:r>
          </w:p>
        </w:tc>
        <w:tc>
          <w:tcPr>
            <w:tcW w:w="10631" w:type="dxa"/>
          </w:tcPr>
          <w:p w14:paraId="3D4FFBE8" w14:textId="77777777" w:rsidR="00BD0B57" w:rsidRPr="000D3415" w:rsidRDefault="00BD0B57" w:rsidP="00900E0D">
            <w:pPr>
              <w:jc w:val="both"/>
            </w:pPr>
            <w:r w:rsidRPr="000D3415">
              <w:t xml:space="preserve">Siūloma įranga privalo palaikyti </w:t>
            </w:r>
            <w:proofErr w:type="spellStart"/>
            <w:r w:rsidRPr="000D3415">
              <w:t>Syslog</w:t>
            </w:r>
            <w:proofErr w:type="spellEnd"/>
            <w:r w:rsidRPr="000D3415">
              <w:t xml:space="preserve"> arba analogišką servisą.</w:t>
            </w:r>
          </w:p>
        </w:tc>
      </w:tr>
      <w:tr w:rsidR="00BD0B57" w:rsidRPr="000D3415" w14:paraId="2D728D4D" w14:textId="77777777" w:rsidTr="00900E0D">
        <w:trPr>
          <w:trHeight w:val="324"/>
        </w:trPr>
        <w:tc>
          <w:tcPr>
            <w:tcW w:w="993" w:type="dxa"/>
            <w:shd w:val="clear" w:color="auto" w:fill="auto"/>
            <w:noWrap/>
          </w:tcPr>
          <w:p w14:paraId="03BBBB1E" w14:textId="77777777" w:rsidR="00BD0B57" w:rsidRPr="000D3415" w:rsidRDefault="00BD0B57" w:rsidP="00900E0D">
            <w:pPr>
              <w:rPr>
                <w:bCs/>
              </w:rPr>
            </w:pPr>
            <w:r>
              <w:rPr>
                <w:bCs/>
              </w:rPr>
              <w:t>3.9</w:t>
            </w:r>
            <w:r w:rsidRPr="000D3415">
              <w:rPr>
                <w:bCs/>
              </w:rPr>
              <w:t>.</w:t>
            </w:r>
          </w:p>
        </w:tc>
        <w:tc>
          <w:tcPr>
            <w:tcW w:w="2693" w:type="dxa"/>
          </w:tcPr>
          <w:p w14:paraId="5406159C" w14:textId="77777777" w:rsidR="00BD0B57" w:rsidRPr="000D3415" w:rsidRDefault="00BD0B57" w:rsidP="00900E0D">
            <w:pPr>
              <w:jc w:val="both"/>
            </w:pPr>
            <w:r w:rsidRPr="000D3415">
              <w:t>Būtinas funkcionalumas</w:t>
            </w:r>
          </w:p>
        </w:tc>
        <w:tc>
          <w:tcPr>
            <w:tcW w:w="10631" w:type="dxa"/>
          </w:tcPr>
          <w:p w14:paraId="0877E5DB" w14:textId="77777777" w:rsidR="00BD0B57" w:rsidRPr="000D3415" w:rsidRDefault="00BD0B57" w:rsidP="00900E0D">
            <w:pPr>
              <w:jc w:val="both"/>
            </w:pPr>
            <w:r w:rsidRPr="000D3415">
              <w:t>Siūloma įranga privalo:</w:t>
            </w:r>
          </w:p>
          <w:p w14:paraId="7AB9B069" w14:textId="77777777" w:rsidR="00BD0B57" w:rsidRPr="000D3415" w:rsidRDefault="00BD0B57" w:rsidP="00900E0D">
            <w:pPr>
              <w:jc w:val="both"/>
            </w:pPr>
            <w:r w:rsidRPr="000D3415">
              <w:t>•</w:t>
            </w:r>
            <w:r w:rsidRPr="000D3415">
              <w:tab/>
              <w:t>Leisti rankiniu būdu įtraukti ir panaikinti įrenginius;</w:t>
            </w:r>
          </w:p>
          <w:p w14:paraId="40B1B2A4" w14:textId="77777777" w:rsidR="00BD0B57" w:rsidRPr="000D3415" w:rsidRDefault="00BD0B57" w:rsidP="00900E0D">
            <w:pPr>
              <w:jc w:val="both"/>
            </w:pPr>
            <w:r w:rsidRPr="000D3415">
              <w:t>•</w:t>
            </w:r>
            <w:r w:rsidRPr="000D3415">
              <w:tab/>
              <w:t>Leisti peržiūrėti kritinius įvykius;</w:t>
            </w:r>
          </w:p>
          <w:p w14:paraId="7C1F1936" w14:textId="77777777" w:rsidR="00BD0B57" w:rsidRPr="000D3415" w:rsidRDefault="00BD0B57" w:rsidP="00900E0D">
            <w:pPr>
              <w:jc w:val="both"/>
            </w:pPr>
            <w:r w:rsidRPr="000D3415">
              <w:t>•</w:t>
            </w:r>
            <w:r w:rsidRPr="000D3415">
              <w:tab/>
              <w:t>Leisti peržiūrėti įrašus realiu laiku;</w:t>
            </w:r>
          </w:p>
          <w:p w14:paraId="50173270" w14:textId="77777777" w:rsidR="00BD0B57" w:rsidRPr="000D3415" w:rsidRDefault="00BD0B57" w:rsidP="00900E0D">
            <w:pPr>
              <w:jc w:val="both"/>
            </w:pPr>
            <w:r w:rsidRPr="000D3415">
              <w:t>•</w:t>
            </w:r>
            <w:r w:rsidRPr="000D3415">
              <w:tab/>
              <w:t>Leisti peržiūrėti istorinius įrašus, saugomus įrenginio atmintyje;</w:t>
            </w:r>
          </w:p>
          <w:p w14:paraId="24F6DC6A" w14:textId="77777777" w:rsidR="00BD0B57" w:rsidRPr="000D3415" w:rsidRDefault="00BD0B57" w:rsidP="00900E0D">
            <w:pPr>
              <w:jc w:val="both"/>
            </w:pPr>
            <w:r w:rsidRPr="000D3415">
              <w:t>•</w:t>
            </w:r>
            <w:r w:rsidRPr="000D3415">
              <w:tab/>
              <w:t>Leisti peržiūrėti įrašus vienoje vietoje.</w:t>
            </w:r>
          </w:p>
        </w:tc>
      </w:tr>
      <w:tr w:rsidR="00BD0B57" w:rsidRPr="000D3415" w14:paraId="3FE6AEAD" w14:textId="77777777" w:rsidTr="00900E0D">
        <w:trPr>
          <w:trHeight w:val="324"/>
        </w:trPr>
        <w:tc>
          <w:tcPr>
            <w:tcW w:w="993" w:type="dxa"/>
            <w:shd w:val="clear" w:color="auto" w:fill="auto"/>
            <w:noWrap/>
          </w:tcPr>
          <w:p w14:paraId="1EA37EB1" w14:textId="77777777" w:rsidR="00BD0B57" w:rsidRPr="000D3415" w:rsidRDefault="00BD0B57" w:rsidP="00900E0D">
            <w:pPr>
              <w:rPr>
                <w:bCs/>
              </w:rPr>
            </w:pPr>
            <w:r>
              <w:rPr>
                <w:bCs/>
              </w:rPr>
              <w:t>3.10</w:t>
            </w:r>
            <w:r w:rsidRPr="000D3415">
              <w:rPr>
                <w:bCs/>
              </w:rPr>
              <w:t>.</w:t>
            </w:r>
          </w:p>
        </w:tc>
        <w:tc>
          <w:tcPr>
            <w:tcW w:w="2693" w:type="dxa"/>
          </w:tcPr>
          <w:p w14:paraId="01401D3A" w14:textId="77777777" w:rsidR="00BD0B57" w:rsidRPr="000D3415" w:rsidRDefault="00BD0B57" w:rsidP="00900E0D">
            <w:pPr>
              <w:jc w:val="both"/>
            </w:pPr>
            <w:r w:rsidRPr="000D3415">
              <w:t>Stebėjimas</w:t>
            </w:r>
          </w:p>
        </w:tc>
        <w:tc>
          <w:tcPr>
            <w:tcW w:w="10631" w:type="dxa"/>
          </w:tcPr>
          <w:p w14:paraId="13ADF425" w14:textId="77777777" w:rsidR="00BD0B57" w:rsidRPr="000D3415" w:rsidRDefault="00BD0B57" w:rsidP="00900E0D">
            <w:pPr>
              <w:jc w:val="both"/>
            </w:pPr>
            <w:r w:rsidRPr="000D3415">
              <w:t>Turi būti galima realiu laiku matyti sistemoje arba įrenginyje:</w:t>
            </w:r>
          </w:p>
          <w:p w14:paraId="137BDA28" w14:textId="77777777" w:rsidR="00BD0B57" w:rsidRPr="000D3415" w:rsidRDefault="00BD0B57" w:rsidP="00BD0B57">
            <w:pPr>
              <w:numPr>
                <w:ilvl w:val="0"/>
                <w:numId w:val="12"/>
              </w:numPr>
              <w:suppressAutoHyphens/>
              <w:jc w:val="both"/>
            </w:pPr>
            <w:r w:rsidRPr="000D3415">
              <w:t>Aktyviausias saugumo grupes  (ne mažiau 5).</w:t>
            </w:r>
          </w:p>
          <w:p w14:paraId="116CDDAE" w14:textId="77777777" w:rsidR="00BD0B57" w:rsidRPr="000D3415" w:rsidRDefault="00BD0B57" w:rsidP="00BD0B57">
            <w:pPr>
              <w:numPr>
                <w:ilvl w:val="0"/>
                <w:numId w:val="12"/>
              </w:numPr>
              <w:suppressAutoHyphens/>
              <w:jc w:val="both"/>
            </w:pPr>
            <w:proofErr w:type="spellStart"/>
            <w:r w:rsidRPr="000D3415">
              <w:rPr>
                <w:i/>
                <w:iCs/>
              </w:rPr>
              <w:t>Botnet</w:t>
            </w:r>
            <w:proofErr w:type="spellEnd"/>
            <w:r w:rsidRPr="000D3415">
              <w:rPr>
                <w:i/>
                <w:iCs/>
              </w:rPr>
              <w:t xml:space="preserve"> </w:t>
            </w:r>
            <w:r w:rsidRPr="000D3415">
              <w:t>prevencijos informaciją:</w:t>
            </w:r>
          </w:p>
          <w:p w14:paraId="18810D54" w14:textId="77777777" w:rsidR="00BD0B57" w:rsidRPr="000D3415" w:rsidRDefault="00BD0B57" w:rsidP="00BD0B57">
            <w:pPr>
              <w:numPr>
                <w:ilvl w:val="0"/>
                <w:numId w:val="13"/>
              </w:numPr>
              <w:suppressAutoHyphens/>
              <w:jc w:val="both"/>
            </w:pPr>
            <w:proofErr w:type="spellStart"/>
            <w:r w:rsidRPr="000D3415">
              <w:rPr>
                <w:i/>
                <w:iCs/>
              </w:rPr>
              <w:t>Botnet</w:t>
            </w:r>
            <w:proofErr w:type="spellEnd"/>
            <w:r w:rsidRPr="000D3415">
              <w:t xml:space="preserve"> parašų (angl. </w:t>
            </w:r>
            <w:proofErr w:type="spellStart"/>
            <w:r w:rsidRPr="000D3415">
              <w:t>Signatures</w:t>
            </w:r>
            <w:proofErr w:type="spellEnd"/>
            <w:r w:rsidRPr="000D3415">
              <w:t>) pagalba, realiu laiku blokuojamas įeinantis srautas.</w:t>
            </w:r>
          </w:p>
          <w:p w14:paraId="29E918AF" w14:textId="77777777" w:rsidR="00BD0B57" w:rsidRPr="000D3415" w:rsidRDefault="00BD0B57" w:rsidP="00BD0B57">
            <w:pPr>
              <w:numPr>
                <w:ilvl w:val="0"/>
                <w:numId w:val="13"/>
              </w:numPr>
              <w:suppressAutoHyphens/>
              <w:jc w:val="both"/>
            </w:pPr>
            <w:r w:rsidRPr="000D3415">
              <w:t>Objektų apsaugos grupės, kurių srautas yra blokuojamas.</w:t>
            </w:r>
          </w:p>
          <w:p w14:paraId="6E64C681" w14:textId="77777777" w:rsidR="00BD0B57" w:rsidRPr="000D3415" w:rsidRDefault="00BD0B57" w:rsidP="00BD0B57">
            <w:pPr>
              <w:numPr>
                <w:ilvl w:val="0"/>
                <w:numId w:val="12"/>
              </w:numPr>
              <w:suppressAutoHyphens/>
              <w:jc w:val="both"/>
            </w:pPr>
            <w:r w:rsidRPr="000D3415">
              <w:lastRenderedPageBreak/>
              <w:t>Grėsmių kategorijas, kurios, ne trumpesniu nei per valandą laikotarpiu, blokavo daugiausiai įeinančio ir išeinančio srauto (ne mažiau 5).</w:t>
            </w:r>
          </w:p>
          <w:p w14:paraId="2B202BA7" w14:textId="77777777" w:rsidR="00BD0B57" w:rsidRPr="000D3415" w:rsidRDefault="00BD0B57" w:rsidP="00BD0B57">
            <w:pPr>
              <w:numPr>
                <w:ilvl w:val="0"/>
                <w:numId w:val="12"/>
              </w:numPr>
              <w:suppressAutoHyphens/>
              <w:jc w:val="both"/>
            </w:pPr>
            <w:r w:rsidRPr="000D3415">
              <w:t xml:space="preserve">Didžiausius įeinančius srautus išsiuntusių, ne trumpesniu nei per valandą laikotarpiu,  paieškos sistemų </w:t>
            </w:r>
            <w:proofErr w:type="spellStart"/>
            <w:r w:rsidRPr="000D3415">
              <w:t>web</w:t>
            </w:r>
            <w:proofErr w:type="spellEnd"/>
            <w:r w:rsidRPr="000D3415">
              <w:t xml:space="preserve"> nuskaitymo programų (</w:t>
            </w:r>
            <w:proofErr w:type="spellStart"/>
            <w:r w:rsidRPr="000D3415">
              <w:rPr>
                <w:i/>
                <w:iCs/>
              </w:rPr>
              <w:t>web</w:t>
            </w:r>
            <w:proofErr w:type="spellEnd"/>
            <w:r w:rsidRPr="000D3415">
              <w:rPr>
                <w:i/>
                <w:iCs/>
              </w:rPr>
              <w:t xml:space="preserve"> </w:t>
            </w:r>
            <w:proofErr w:type="spellStart"/>
            <w:r w:rsidRPr="000D3415">
              <w:rPr>
                <w:i/>
                <w:iCs/>
              </w:rPr>
              <w:t>crawlers</w:t>
            </w:r>
            <w:proofErr w:type="spellEnd"/>
            <w:r w:rsidRPr="000D3415">
              <w:t>) (ne mažiau 5).</w:t>
            </w:r>
          </w:p>
          <w:p w14:paraId="0C376D61" w14:textId="77777777" w:rsidR="00BD0B57" w:rsidRPr="000D3415" w:rsidRDefault="00BD0B57" w:rsidP="00BD0B57">
            <w:pPr>
              <w:numPr>
                <w:ilvl w:val="0"/>
                <w:numId w:val="12"/>
              </w:numPr>
              <w:suppressAutoHyphens/>
              <w:jc w:val="both"/>
            </w:pPr>
            <w:r w:rsidRPr="000D3415">
              <w:t xml:space="preserve">Šalis, kurios ne trumpesniu nei per valandą laikotarpiu siuntė didžiausią srautą  (ne mažiau 5). Apsaugos grupes, kurioms įtakos turi kiekvienos šalies srautas. </w:t>
            </w:r>
          </w:p>
          <w:p w14:paraId="456BCF32" w14:textId="77777777" w:rsidR="00BD0B57" w:rsidRPr="000D3415" w:rsidRDefault="00BD0B57" w:rsidP="00BD0B57">
            <w:pPr>
              <w:numPr>
                <w:ilvl w:val="0"/>
                <w:numId w:val="12"/>
              </w:numPr>
              <w:suppressAutoHyphens/>
              <w:jc w:val="both"/>
            </w:pPr>
            <w:r w:rsidRPr="000D3415">
              <w:t xml:space="preserve">Didžiausius įeinančius ir išeinančius srautus išsiuntusių, ne trumpesniu nei per valandą laikotarpiu IP adresus (ne mažiau 5). </w:t>
            </w:r>
          </w:p>
          <w:p w14:paraId="53F88A67" w14:textId="77777777" w:rsidR="00BD0B57" w:rsidRPr="000D3415" w:rsidRDefault="00BD0B57" w:rsidP="00BD0B57">
            <w:pPr>
              <w:numPr>
                <w:ilvl w:val="0"/>
                <w:numId w:val="12"/>
              </w:numPr>
              <w:suppressAutoHyphens/>
              <w:jc w:val="both"/>
            </w:pPr>
            <w:r w:rsidRPr="000D3415">
              <w:t>Turi būti galima pasirinkti laiko tarpą už kurį norma matyti objektų apsaugos grupių:</w:t>
            </w:r>
          </w:p>
          <w:p w14:paraId="00E27813" w14:textId="77777777" w:rsidR="00BD0B57" w:rsidRPr="000D3415" w:rsidRDefault="00BD0B57" w:rsidP="00BD0B57">
            <w:pPr>
              <w:numPr>
                <w:ilvl w:val="0"/>
                <w:numId w:val="14"/>
              </w:numPr>
              <w:suppressAutoHyphens/>
              <w:jc w:val="both"/>
            </w:pPr>
            <w:r w:rsidRPr="000D3415">
              <w:t>debesijos pagalba filtruojamas DDOS atakas (d</w:t>
            </w:r>
            <w:r w:rsidRPr="000D3415">
              <w:rPr>
                <w:bCs/>
              </w:rPr>
              <w:t xml:space="preserve">ebesijos paslaugos </w:t>
            </w:r>
            <w:r w:rsidRPr="000D3415">
              <w:t>šiuo pirkimu neįsigyjamos);</w:t>
            </w:r>
          </w:p>
          <w:p w14:paraId="0B251E8A" w14:textId="77777777" w:rsidR="00BD0B57" w:rsidRPr="000D3415" w:rsidRDefault="00BD0B57" w:rsidP="00BD0B57">
            <w:pPr>
              <w:numPr>
                <w:ilvl w:val="0"/>
                <w:numId w:val="14"/>
              </w:numPr>
              <w:suppressAutoHyphens/>
              <w:jc w:val="both"/>
            </w:pPr>
            <w:r w:rsidRPr="000D3415">
              <w:t>viso / blokuotą / praleistą srautą;</w:t>
            </w:r>
          </w:p>
          <w:p w14:paraId="2A113900" w14:textId="77777777" w:rsidR="00BD0B57" w:rsidRPr="000D3415" w:rsidRDefault="00BD0B57" w:rsidP="00BD0B57">
            <w:pPr>
              <w:numPr>
                <w:ilvl w:val="0"/>
                <w:numId w:val="14"/>
              </w:numPr>
              <w:suppressAutoHyphens/>
              <w:jc w:val="both"/>
            </w:pPr>
            <w:r w:rsidRPr="000D3415">
              <w:t xml:space="preserve">blokuotas tinklo sistemas (angl. IP </w:t>
            </w:r>
            <w:proofErr w:type="spellStart"/>
            <w:r w:rsidRPr="000D3415">
              <w:t>host</w:t>
            </w:r>
            <w:proofErr w:type="spellEnd"/>
            <w:r w:rsidRPr="000D3415">
              <w:t>/</w:t>
            </w:r>
            <w:proofErr w:type="spellStart"/>
            <w:r w:rsidRPr="000D3415">
              <w:t>network</w:t>
            </w:r>
            <w:proofErr w:type="spellEnd"/>
            <w:r w:rsidRPr="000D3415">
              <w:t xml:space="preserve"> </w:t>
            </w:r>
            <w:proofErr w:type="spellStart"/>
            <w:r w:rsidRPr="000D3415">
              <w:t>host</w:t>
            </w:r>
            <w:proofErr w:type="spellEnd"/>
            <w:r w:rsidRPr="000D3415">
              <w:t>);</w:t>
            </w:r>
          </w:p>
          <w:p w14:paraId="71C48210" w14:textId="77777777" w:rsidR="00BD0B57" w:rsidRPr="000D3415" w:rsidRDefault="00BD0B57" w:rsidP="00BD0B57">
            <w:pPr>
              <w:numPr>
                <w:ilvl w:val="0"/>
                <w:numId w:val="14"/>
              </w:numPr>
              <w:suppressAutoHyphens/>
              <w:jc w:val="both"/>
            </w:pPr>
            <w:r w:rsidRPr="000D3415">
              <w:t>atakų kategorijas;</w:t>
            </w:r>
          </w:p>
          <w:p w14:paraId="1ABE85D4" w14:textId="77777777" w:rsidR="00BD0B57" w:rsidRPr="000D3415" w:rsidRDefault="00BD0B57" w:rsidP="00BD0B57">
            <w:pPr>
              <w:numPr>
                <w:ilvl w:val="0"/>
                <w:numId w:val="14"/>
              </w:numPr>
              <w:suppressAutoHyphens/>
              <w:jc w:val="both"/>
            </w:pPr>
            <w:r w:rsidRPr="000D3415">
              <w:t>laikinai blokuotus šaltinius;</w:t>
            </w:r>
          </w:p>
          <w:p w14:paraId="1A20E85D" w14:textId="77777777" w:rsidR="00BD0B57" w:rsidRPr="000D3415" w:rsidRDefault="00BD0B57" w:rsidP="00BD0B57">
            <w:pPr>
              <w:numPr>
                <w:ilvl w:val="0"/>
                <w:numId w:val="14"/>
              </w:numPr>
              <w:suppressAutoHyphens/>
              <w:jc w:val="both"/>
            </w:pPr>
            <w:proofErr w:type="spellStart"/>
            <w:r w:rsidRPr="000D3415">
              <w:t>web</w:t>
            </w:r>
            <w:proofErr w:type="spellEnd"/>
            <w:r w:rsidRPr="000D3415">
              <w:t xml:space="preserve"> srautą pagal URL puslapius (ne mažiau 10);</w:t>
            </w:r>
          </w:p>
          <w:p w14:paraId="7B7F0329" w14:textId="77777777" w:rsidR="00BD0B57" w:rsidRPr="000D3415" w:rsidRDefault="00BD0B57" w:rsidP="00BD0B57">
            <w:pPr>
              <w:numPr>
                <w:ilvl w:val="0"/>
                <w:numId w:val="14"/>
              </w:numPr>
              <w:suppressAutoHyphens/>
              <w:jc w:val="both"/>
            </w:pPr>
            <w:proofErr w:type="spellStart"/>
            <w:r w:rsidRPr="000D3415">
              <w:t>web</w:t>
            </w:r>
            <w:proofErr w:type="spellEnd"/>
            <w:r w:rsidRPr="000D3415">
              <w:t xml:space="preserve"> srautą pagal domenus (ne mažiau 10);</w:t>
            </w:r>
          </w:p>
          <w:p w14:paraId="52A931C2" w14:textId="77777777" w:rsidR="00BD0B57" w:rsidRPr="000D3415" w:rsidRDefault="00BD0B57" w:rsidP="00900E0D">
            <w:pPr>
              <w:jc w:val="both"/>
            </w:pPr>
            <w:r w:rsidRPr="000D3415">
              <w:t>paslaugas ir protokolus, kurių srautas didžiausias (ne mažiau 10);</w:t>
            </w:r>
          </w:p>
        </w:tc>
      </w:tr>
      <w:tr w:rsidR="00BD0B57" w:rsidRPr="000D3415" w14:paraId="0B8973BB" w14:textId="77777777" w:rsidTr="00900E0D">
        <w:trPr>
          <w:trHeight w:val="324"/>
        </w:trPr>
        <w:tc>
          <w:tcPr>
            <w:tcW w:w="993" w:type="dxa"/>
            <w:shd w:val="clear" w:color="auto" w:fill="auto"/>
            <w:noWrap/>
          </w:tcPr>
          <w:p w14:paraId="0FC7FC77" w14:textId="77777777" w:rsidR="00BD0B57" w:rsidRPr="000D3415" w:rsidRDefault="00BD0B57" w:rsidP="00900E0D">
            <w:pPr>
              <w:rPr>
                <w:bCs/>
              </w:rPr>
            </w:pPr>
            <w:r>
              <w:rPr>
                <w:bCs/>
              </w:rPr>
              <w:lastRenderedPageBreak/>
              <w:t>3.11</w:t>
            </w:r>
            <w:r w:rsidRPr="000D3415">
              <w:rPr>
                <w:bCs/>
              </w:rPr>
              <w:t>.</w:t>
            </w:r>
          </w:p>
        </w:tc>
        <w:tc>
          <w:tcPr>
            <w:tcW w:w="2693" w:type="dxa"/>
          </w:tcPr>
          <w:p w14:paraId="062D1E00" w14:textId="77777777" w:rsidR="00BD0B57" w:rsidRPr="000D3415" w:rsidRDefault="00BD0B57" w:rsidP="00900E0D">
            <w:pPr>
              <w:jc w:val="both"/>
            </w:pPr>
            <w:r w:rsidRPr="000D3415">
              <w:t xml:space="preserve">Ataskaitos (konfigūravimas valdymo </w:t>
            </w:r>
          </w:p>
          <w:p w14:paraId="0BE4A565" w14:textId="77777777" w:rsidR="00BD0B57" w:rsidRPr="000D3415" w:rsidRDefault="00BD0B57" w:rsidP="00900E0D">
            <w:pPr>
              <w:jc w:val="both"/>
            </w:pPr>
            <w:r w:rsidRPr="000D3415">
              <w:t>sistemoje arba įrenginyje)</w:t>
            </w:r>
          </w:p>
        </w:tc>
        <w:tc>
          <w:tcPr>
            <w:tcW w:w="10631" w:type="dxa"/>
          </w:tcPr>
          <w:p w14:paraId="5DA9BA6E" w14:textId="77777777" w:rsidR="00BD0B57" w:rsidRPr="000D3415" w:rsidRDefault="00BD0B57" w:rsidP="00900E0D">
            <w:pPr>
              <w:snapToGrid w:val="0"/>
              <w:rPr>
                <w:rFonts w:eastAsia="Arial Unicode MS"/>
                <w:color w:val="000000"/>
                <w:kern w:val="2"/>
                <w:lang w:eastAsia="zh-CN"/>
              </w:rPr>
            </w:pPr>
            <w:r w:rsidRPr="000D3415">
              <w:rPr>
                <w:rFonts w:eastAsia="Arial Unicode MS"/>
                <w:color w:val="000000"/>
                <w:kern w:val="2"/>
                <w:lang w:eastAsia="zh-CN"/>
              </w:rPr>
              <w:t>Ataskaitose turi būti pateikta įeinančio ir išeinančio srauto informacija pasirinktoms saugomų objektų grupėms:</w:t>
            </w:r>
          </w:p>
          <w:p w14:paraId="5361E447" w14:textId="77777777" w:rsidR="00BD0B57" w:rsidRPr="000D3415" w:rsidRDefault="00BD0B57" w:rsidP="00BD0B57">
            <w:pPr>
              <w:pStyle w:val="ListParagraph"/>
              <w:numPr>
                <w:ilvl w:val="0"/>
                <w:numId w:val="15"/>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Užblokuoto gaunamo srauto kiekis baitais.</w:t>
            </w:r>
          </w:p>
          <w:p w14:paraId="6D7F5B38" w14:textId="77777777" w:rsidR="00BD0B57" w:rsidRPr="000D3415" w:rsidRDefault="00BD0B57" w:rsidP="00BD0B57">
            <w:pPr>
              <w:pStyle w:val="ListParagraph"/>
              <w:numPr>
                <w:ilvl w:val="0"/>
                <w:numId w:val="15"/>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Užblokuoto gaunamo srauto procentas, palyginti su bendru gaunamo srauto kiekiu.</w:t>
            </w:r>
          </w:p>
          <w:p w14:paraId="49DB74F8" w14:textId="77777777" w:rsidR="00BD0B57" w:rsidRPr="000D3415" w:rsidRDefault="00BD0B57" w:rsidP="00BD0B57">
            <w:pPr>
              <w:pStyle w:val="ListParagraph"/>
              <w:numPr>
                <w:ilvl w:val="0"/>
                <w:numId w:val="15"/>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 xml:space="preserve">Užblokuotų unikalių </w:t>
            </w:r>
            <w:r w:rsidRPr="000D3415">
              <w:t xml:space="preserve">tinklo sistemų (angl. IP </w:t>
            </w:r>
            <w:proofErr w:type="spellStart"/>
            <w:r w:rsidRPr="000D3415">
              <w:t>host</w:t>
            </w:r>
            <w:proofErr w:type="spellEnd"/>
            <w:r w:rsidRPr="000D3415">
              <w:t>/</w:t>
            </w:r>
            <w:proofErr w:type="spellStart"/>
            <w:r w:rsidRPr="000D3415">
              <w:t>network</w:t>
            </w:r>
            <w:proofErr w:type="spellEnd"/>
            <w:r w:rsidRPr="000D3415">
              <w:t xml:space="preserve"> </w:t>
            </w:r>
            <w:proofErr w:type="spellStart"/>
            <w:r w:rsidRPr="000D3415">
              <w:t>host</w:t>
            </w:r>
            <w:proofErr w:type="spellEnd"/>
            <w:r w:rsidRPr="000D3415">
              <w:t xml:space="preserve">) </w:t>
            </w:r>
            <w:r w:rsidRPr="000D3415">
              <w:rPr>
                <w:rFonts w:eastAsia="Arial Unicode MS"/>
                <w:color w:val="000000"/>
                <w:kern w:val="2"/>
                <w:lang w:eastAsia="zh-CN"/>
              </w:rPr>
              <w:t>skaičius.</w:t>
            </w:r>
          </w:p>
          <w:p w14:paraId="0323313A" w14:textId="77777777" w:rsidR="00BD0B57" w:rsidRPr="000D3415" w:rsidRDefault="00BD0B57" w:rsidP="00BD0B57">
            <w:pPr>
              <w:pStyle w:val="ListParagraph"/>
              <w:numPr>
                <w:ilvl w:val="0"/>
                <w:numId w:val="15"/>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Vidutinė dienos suma baitais, per pasirinktą laikotarpį:</w:t>
            </w:r>
          </w:p>
          <w:p w14:paraId="78243D75" w14:textId="77777777" w:rsidR="00BD0B57" w:rsidRPr="000D3415" w:rsidRDefault="00BD0B57" w:rsidP="00BD0B57">
            <w:pPr>
              <w:pStyle w:val="ListParagraph"/>
              <w:numPr>
                <w:ilvl w:val="0"/>
                <w:numId w:val="16"/>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blokuojamo įeinančio srauto;</w:t>
            </w:r>
          </w:p>
          <w:p w14:paraId="2156A4F9" w14:textId="77777777" w:rsidR="00BD0B57" w:rsidRPr="000D3415" w:rsidRDefault="00BD0B57" w:rsidP="00BD0B57">
            <w:pPr>
              <w:pStyle w:val="ListParagraph"/>
              <w:numPr>
                <w:ilvl w:val="0"/>
                <w:numId w:val="16"/>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praleisto įeinančio srauto;</w:t>
            </w:r>
          </w:p>
          <w:p w14:paraId="1403AB6B" w14:textId="77777777" w:rsidR="00BD0B57" w:rsidRPr="000D3415" w:rsidRDefault="00BD0B57" w:rsidP="00BD0B57">
            <w:pPr>
              <w:pStyle w:val="ListParagraph"/>
              <w:numPr>
                <w:ilvl w:val="0"/>
                <w:numId w:val="16"/>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viso įeinančio srauto.</w:t>
            </w:r>
          </w:p>
          <w:p w14:paraId="6BD3DBDE" w14:textId="77777777" w:rsidR="00BD0B57" w:rsidRPr="000D3415" w:rsidRDefault="00BD0B57" w:rsidP="00BD0B57">
            <w:pPr>
              <w:pStyle w:val="ListParagraph"/>
              <w:numPr>
                <w:ilvl w:val="0"/>
                <w:numId w:val="15"/>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 xml:space="preserve">Vidutinė dienos suma </w:t>
            </w:r>
            <w:proofErr w:type="spellStart"/>
            <w:r w:rsidRPr="000D3415">
              <w:rPr>
                <w:rFonts w:eastAsia="Arial Unicode MS"/>
                <w:color w:val="000000"/>
                <w:kern w:val="2"/>
                <w:lang w:eastAsia="zh-CN"/>
              </w:rPr>
              <w:t>bps</w:t>
            </w:r>
            <w:proofErr w:type="spellEnd"/>
            <w:r w:rsidRPr="000D3415">
              <w:rPr>
                <w:rFonts w:eastAsia="Arial Unicode MS"/>
                <w:color w:val="000000"/>
                <w:kern w:val="2"/>
                <w:lang w:eastAsia="zh-CN"/>
              </w:rPr>
              <w:t>, per pasirinktą laikotarpį:</w:t>
            </w:r>
          </w:p>
          <w:p w14:paraId="39A6D619" w14:textId="77777777" w:rsidR="00BD0B57" w:rsidRPr="000D3415" w:rsidRDefault="00BD0B57" w:rsidP="00BD0B57">
            <w:pPr>
              <w:pStyle w:val="ListParagraph"/>
              <w:numPr>
                <w:ilvl w:val="0"/>
                <w:numId w:val="16"/>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blokuojamo įeinančio srauto;</w:t>
            </w:r>
          </w:p>
          <w:p w14:paraId="50706010" w14:textId="77777777" w:rsidR="00BD0B57" w:rsidRPr="000D3415" w:rsidRDefault="00BD0B57" w:rsidP="00BD0B57">
            <w:pPr>
              <w:pStyle w:val="ListParagraph"/>
              <w:numPr>
                <w:ilvl w:val="0"/>
                <w:numId w:val="16"/>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praleisto įeinančio srauto;</w:t>
            </w:r>
          </w:p>
          <w:p w14:paraId="02221DA2" w14:textId="77777777" w:rsidR="00BD0B57" w:rsidRPr="000D3415" w:rsidRDefault="00BD0B57" w:rsidP="00BD0B57">
            <w:pPr>
              <w:pStyle w:val="ListParagraph"/>
              <w:numPr>
                <w:ilvl w:val="0"/>
                <w:numId w:val="16"/>
              </w:numPr>
              <w:suppressAutoHyphens/>
              <w:snapToGrid w:val="0"/>
              <w:spacing w:after="0" w:line="240" w:lineRule="auto"/>
              <w:rPr>
                <w:rFonts w:eastAsia="Arial Unicode MS"/>
                <w:color w:val="000000"/>
                <w:kern w:val="2"/>
                <w:lang w:eastAsia="zh-CN"/>
              </w:rPr>
            </w:pPr>
            <w:r w:rsidRPr="000D3415">
              <w:rPr>
                <w:rFonts w:eastAsia="Arial Unicode MS"/>
                <w:color w:val="000000"/>
                <w:kern w:val="2"/>
                <w:lang w:eastAsia="zh-CN"/>
              </w:rPr>
              <w:t>viso įeinančio srauto.</w:t>
            </w:r>
          </w:p>
          <w:p w14:paraId="71D77ED4" w14:textId="77777777" w:rsidR="00BD0B57" w:rsidRPr="000C18A7" w:rsidRDefault="00BD0B57" w:rsidP="00900E0D">
            <w:pPr>
              <w:snapToGrid w:val="0"/>
              <w:rPr>
                <w:rFonts w:eastAsia="Arial Unicode MS"/>
                <w:kern w:val="2"/>
                <w:lang w:eastAsia="zh-CN"/>
              </w:rPr>
            </w:pPr>
            <w:r w:rsidRPr="000C18A7">
              <w:rPr>
                <w:rFonts w:eastAsia="Arial Unicode MS"/>
                <w:kern w:val="2"/>
                <w:lang w:eastAsia="zh-CN"/>
              </w:rPr>
              <w:t>Kitos ataskaitos:</w:t>
            </w:r>
          </w:p>
          <w:p w14:paraId="732986F2" w14:textId="77777777" w:rsidR="00BD0B57" w:rsidRPr="000C18A7" w:rsidRDefault="00BD0B57" w:rsidP="00BD0B57">
            <w:pPr>
              <w:pStyle w:val="ListParagraph"/>
              <w:numPr>
                <w:ilvl w:val="0"/>
                <w:numId w:val="15"/>
              </w:numPr>
              <w:suppressAutoHyphens/>
              <w:snapToGrid w:val="0"/>
              <w:spacing w:after="0" w:line="240" w:lineRule="auto"/>
              <w:ind w:left="1452" w:hanging="732"/>
              <w:rPr>
                <w:rFonts w:eastAsia="Arial Unicode MS"/>
                <w:kern w:val="2"/>
                <w:lang w:eastAsia="zh-CN"/>
              </w:rPr>
            </w:pPr>
            <w:r w:rsidRPr="000C18A7">
              <w:rPr>
                <w:rFonts w:eastAsia="Arial Unicode MS"/>
                <w:kern w:val="2"/>
                <w:lang w:eastAsia="zh-CN"/>
              </w:rPr>
              <w:t>Didžiausias įeinančio srauto kiekis pagal šalis (nemažiau 5-ių). Turi rodyti praleisto ir blokuoto srauto kiekį pagal šalis.</w:t>
            </w:r>
          </w:p>
          <w:p w14:paraId="1B2AF378" w14:textId="77777777" w:rsidR="00BD0B57" w:rsidRPr="000C18A7" w:rsidRDefault="00BD0B57" w:rsidP="00BD0B57">
            <w:pPr>
              <w:pStyle w:val="ListParagraph"/>
              <w:numPr>
                <w:ilvl w:val="0"/>
                <w:numId w:val="15"/>
              </w:numPr>
              <w:suppressAutoHyphens/>
              <w:snapToGrid w:val="0"/>
              <w:spacing w:after="0" w:line="240" w:lineRule="auto"/>
              <w:ind w:left="1452" w:hanging="732"/>
              <w:rPr>
                <w:rFonts w:eastAsia="Arial Unicode MS"/>
                <w:kern w:val="2"/>
                <w:lang w:eastAsia="zh-CN"/>
              </w:rPr>
            </w:pPr>
            <w:r w:rsidRPr="000C18A7">
              <w:rPr>
                <w:rFonts w:eastAsia="Arial Unicode MS"/>
                <w:kern w:val="2"/>
                <w:lang w:eastAsia="zh-CN"/>
              </w:rPr>
              <w:t>Populiariausios grėsmių kategorijos (nemažiau 5-ių). Turi rodyti įeinančio ir išeinančio blokuoto srauto kiekį pagal kategorijas.</w:t>
            </w:r>
          </w:p>
          <w:p w14:paraId="59CAF851" w14:textId="77777777" w:rsidR="00BD0B57" w:rsidRPr="000C18A7" w:rsidRDefault="00BD0B57" w:rsidP="00BD0B57">
            <w:pPr>
              <w:pStyle w:val="ListParagraph"/>
              <w:numPr>
                <w:ilvl w:val="0"/>
                <w:numId w:val="15"/>
              </w:numPr>
              <w:suppressAutoHyphens/>
              <w:spacing w:after="0" w:line="240" w:lineRule="auto"/>
              <w:ind w:left="1452" w:hanging="732"/>
              <w:rPr>
                <w:rFonts w:eastAsia="Arial Unicode MS"/>
                <w:kern w:val="2"/>
                <w:lang w:eastAsia="zh-CN"/>
              </w:rPr>
            </w:pPr>
            <w:r w:rsidRPr="000C18A7">
              <w:rPr>
                <w:rFonts w:eastAsia="Arial Unicode MS"/>
                <w:kern w:val="2"/>
                <w:lang w:eastAsia="zh-CN"/>
              </w:rPr>
              <w:lastRenderedPageBreak/>
              <w:t>Didžiausias įeinančio srauto kiekis pagal šaltinių išorinius IP adresus (nemažiau 5-ių). Turi rodyti visą srauto kiekį pagal išorinius IP adresus.</w:t>
            </w:r>
          </w:p>
          <w:p w14:paraId="5AA51E54" w14:textId="77777777" w:rsidR="00BD0B57" w:rsidRPr="000D3415" w:rsidRDefault="00BD0B57" w:rsidP="00BD0B57">
            <w:pPr>
              <w:pStyle w:val="ListParagraph"/>
              <w:numPr>
                <w:ilvl w:val="0"/>
                <w:numId w:val="15"/>
              </w:numPr>
              <w:suppressAutoHyphens/>
              <w:spacing w:after="0" w:line="240" w:lineRule="auto"/>
              <w:ind w:left="1452" w:hanging="732"/>
              <w:rPr>
                <w:color w:val="FF0000"/>
              </w:rPr>
            </w:pPr>
            <w:r w:rsidRPr="000C18A7">
              <w:rPr>
                <w:rFonts w:eastAsia="Arial Unicode MS"/>
                <w:kern w:val="2"/>
                <w:lang w:eastAsia="zh-CN"/>
              </w:rPr>
              <w:t>Didžiausias įeinančio srauto kiekis pagal gavėjų vidinių IP adresų grupes (nemažiau 5-ių). Turi rodyti visą srauto kiekį pagal IP adresus.</w:t>
            </w:r>
          </w:p>
        </w:tc>
      </w:tr>
      <w:tr w:rsidR="00BD0B57" w:rsidRPr="000D3415" w14:paraId="592ED2DC" w14:textId="77777777" w:rsidTr="00900E0D">
        <w:trPr>
          <w:trHeight w:val="324"/>
        </w:trPr>
        <w:tc>
          <w:tcPr>
            <w:tcW w:w="993" w:type="dxa"/>
            <w:shd w:val="clear" w:color="auto" w:fill="auto"/>
            <w:noWrap/>
          </w:tcPr>
          <w:p w14:paraId="33298009" w14:textId="77777777" w:rsidR="00BD0B57" w:rsidRPr="000D3415" w:rsidRDefault="00BD0B57" w:rsidP="00900E0D">
            <w:pPr>
              <w:rPr>
                <w:bCs/>
              </w:rPr>
            </w:pPr>
            <w:r w:rsidRPr="000D3415">
              <w:rPr>
                <w:bCs/>
              </w:rPr>
              <w:lastRenderedPageBreak/>
              <w:t>3.1</w:t>
            </w:r>
            <w:r>
              <w:rPr>
                <w:bCs/>
              </w:rPr>
              <w:t>2</w:t>
            </w:r>
            <w:r w:rsidRPr="000D3415">
              <w:rPr>
                <w:bCs/>
              </w:rPr>
              <w:t>.</w:t>
            </w:r>
          </w:p>
        </w:tc>
        <w:tc>
          <w:tcPr>
            <w:tcW w:w="13324" w:type="dxa"/>
            <w:gridSpan w:val="2"/>
          </w:tcPr>
          <w:p w14:paraId="5A21AE76" w14:textId="77777777" w:rsidR="00BD0B57" w:rsidRPr="000D3415" w:rsidRDefault="00BD0B57" w:rsidP="00900E0D">
            <w:pPr>
              <w:jc w:val="both"/>
            </w:pPr>
            <w:r w:rsidRPr="000D3415">
              <w:t>Konfigūravimo funkcionalumas:</w:t>
            </w:r>
          </w:p>
        </w:tc>
      </w:tr>
      <w:tr w:rsidR="00BD0B57" w:rsidRPr="000D3415" w14:paraId="07C641E1" w14:textId="77777777" w:rsidTr="00900E0D">
        <w:trPr>
          <w:trHeight w:val="324"/>
        </w:trPr>
        <w:tc>
          <w:tcPr>
            <w:tcW w:w="993" w:type="dxa"/>
            <w:shd w:val="clear" w:color="auto" w:fill="auto"/>
            <w:noWrap/>
          </w:tcPr>
          <w:p w14:paraId="745C34A2" w14:textId="77777777" w:rsidR="00BD0B57" w:rsidRPr="000D3415" w:rsidRDefault="00BD0B57" w:rsidP="00900E0D">
            <w:pPr>
              <w:rPr>
                <w:bCs/>
              </w:rPr>
            </w:pPr>
            <w:r w:rsidRPr="000D3415">
              <w:rPr>
                <w:bCs/>
              </w:rPr>
              <w:t>3.1</w:t>
            </w:r>
            <w:r>
              <w:rPr>
                <w:bCs/>
              </w:rPr>
              <w:t>2</w:t>
            </w:r>
            <w:r w:rsidRPr="000D3415">
              <w:rPr>
                <w:bCs/>
              </w:rPr>
              <w:t>.</w:t>
            </w:r>
            <w:r>
              <w:rPr>
                <w:bCs/>
              </w:rPr>
              <w:t>1</w:t>
            </w:r>
          </w:p>
        </w:tc>
        <w:tc>
          <w:tcPr>
            <w:tcW w:w="2693" w:type="dxa"/>
          </w:tcPr>
          <w:p w14:paraId="105C2E94" w14:textId="77777777" w:rsidR="00BD0B57" w:rsidRPr="000D3415" w:rsidRDefault="00BD0B57" w:rsidP="00900E0D">
            <w:pPr>
              <w:jc w:val="both"/>
            </w:pPr>
            <w:r w:rsidRPr="000D3415">
              <w:t>Konfigūracijų valdymas</w:t>
            </w:r>
          </w:p>
        </w:tc>
        <w:tc>
          <w:tcPr>
            <w:tcW w:w="10631" w:type="dxa"/>
          </w:tcPr>
          <w:p w14:paraId="3B73A3D4" w14:textId="77777777" w:rsidR="00BD0B57" w:rsidRPr="000D3415" w:rsidRDefault="00BD0B57" w:rsidP="00900E0D">
            <w:pPr>
              <w:jc w:val="both"/>
            </w:pPr>
            <w:r w:rsidRPr="000D3415">
              <w:t>Siūloma programinė įranga privalo užtikrinti šias konfigūracijų valdymo galimybes:</w:t>
            </w:r>
          </w:p>
          <w:p w14:paraId="5E60E178" w14:textId="77777777" w:rsidR="00BD0B57" w:rsidRPr="000D3415" w:rsidRDefault="00BD0B57" w:rsidP="00900E0D">
            <w:pPr>
              <w:jc w:val="both"/>
            </w:pPr>
            <w:r w:rsidRPr="000D3415">
              <w:t>•</w:t>
            </w:r>
            <w:r w:rsidRPr="000D3415">
              <w:tab/>
              <w:t>Senų konfigūracijų peržiūrų saugojimas;</w:t>
            </w:r>
            <w:r w:rsidRPr="000D3415" w:rsidDel="006A1AFF">
              <w:t xml:space="preserve"> </w:t>
            </w:r>
          </w:p>
          <w:p w14:paraId="45B6902F" w14:textId="77777777" w:rsidR="00BD0B57" w:rsidRPr="000D3415" w:rsidRDefault="00BD0B57" w:rsidP="00900E0D">
            <w:pPr>
              <w:jc w:val="both"/>
            </w:pPr>
            <w:r w:rsidRPr="000D3415">
              <w:t>•</w:t>
            </w:r>
            <w:r w:rsidRPr="000D3415">
              <w:tab/>
            </w:r>
            <w:proofErr w:type="spellStart"/>
            <w:r w:rsidRPr="000D3415">
              <w:t>Skriptų</w:t>
            </w:r>
            <w:proofErr w:type="spellEnd"/>
            <w:r w:rsidRPr="000D3415">
              <w:t xml:space="preserve"> palaikymas automatizuotam įrenginių konfigūravimui. Gali būti per API;</w:t>
            </w:r>
          </w:p>
        </w:tc>
      </w:tr>
      <w:tr w:rsidR="00BD0B57" w:rsidRPr="000D3415" w14:paraId="25D34740" w14:textId="77777777" w:rsidTr="00900E0D">
        <w:trPr>
          <w:trHeight w:val="324"/>
        </w:trPr>
        <w:tc>
          <w:tcPr>
            <w:tcW w:w="993" w:type="dxa"/>
            <w:shd w:val="clear" w:color="auto" w:fill="auto"/>
            <w:noWrap/>
          </w:tcPr>
          <w:p w14:paraId="5BDA104E" w14:textId="77777777" w:rsidR="00BD0B57" w:rsidRPr="000D3415" w:rsidRDefault="00BD0B57" w:rsidP="00900E0D">
            <w:pPr>
              <w:rPr>
                <w:bCs/>
              </w:rPr>
            </w:pPr>
            <w:r w:rsidRPr="000D3415">
              <w:rPr>
                <w:b/>
                <w:bCs/>
              </w:rPr>
              <w:t>4.</w:t>
            </w:r>
          </w:p>
        </w:tc>
        <w:tc>
          <w:tcPr>
            <w:tcW w:w="13324" w:type="dxa"/>
            <w:gridSpan w:val="2"/>
          </w:tcPr>
          <w:p w14:paraId="57B069AF" w14:textId="77777777" w:rsidR="00BD0B57" w:rsidRPr="000D3415" w:rsidRDefault="00BD0B57" w:rsidP="00900E0D">
            <w:pPr>
              <w:jc w:val="both"/>
              <w:rPr>
                <w:rFonts w:eastAsia="Calibri"/>
                <w:lang w:eastAsia="en-US"/>
              </w:rPr>
            </w:pPr>
            <w:r w:rsidRPr="000D3415">
              <w:rPr>
                <w:b/>
              </w:rPr>
              <w:t>Įrenginio reikalavimai:</w:t>
            </w:r>
          </w:p>
        </w:tc>
      </w:tr>
      <w:tr w:rsidR="00BD0B57" w:rsidRPr="000D3415" w14:paraId="501E9672" w14:textId="77777777" w:rsidTr="00900E0D">
        <w:trPr>
          <w:trHeight w:val="324"/>
        </w:trPr>
        <w:tc>
          <w:tcPr>
            <w:tcW w:w="993" w:type="dxa"/>
            <w:shd w:val="clear" w:color="auto" w:fill="auto"/>
            <w:noWrap/>
          </w:tcPr>
          <w:p w14:paraId="35613293" w14:textId="77777777" w:rsidR="00BD0B57" w:rsidRPr="000D3415" w:rsidRDefault="00BD0B57" w:rsidP="00900E0D">
            <w:pPr>
              <w:rPr>
                <w:bCs/>
              </w:rPr>
            </w:pPr>
            <w:r w:rsidRPr="000D3415">
              <w:rPr>
                <w:bCs/>
              </w:rPr>
              <w:t>4.1.</w:t>
            </w:r>
          </w:p>
        </w:tc>
        <w:tc>
          <w:tcPr>
            <w:tcW w:w="2693" w:type="dxa"/>
            <w:vAlign w:val="center"/>
          </w:tcPr>
          <w:p w14:paraId="6CDE0073" w14:textId="77777777" w:rsidR="00BD0B57" w:rsidRPr="000D3415" w:rsidRDefault="00BD0B57" w:rsidP="00900E0D">
            <w:pPr>
              <w:jc w:val="both"/>
              <w:rPr>
                <w:rFonts w:eastAsia="Calibri"/>
                <w:lang w:eastAsia="en-US"/>
              </w:rPr>
            </w:pPr>
            <w:r w:rsidRPr="000D3415">
              <w:rPr>
                <w:rFonts w:eastAsia="Calibri"/>
                <w:lang w:eastAsia="en-US"/>
              </w:rPr>
              <w:t>Korpusas</w:t>
            </w:r>
          </w:p>
        </w:tc>
        <w:tc>
          <w:tcPr>
            <w:tcW w:w="10631" w:type="dxa"/>
            <w:vAlign w:val="center"/>
          </w:tcPr>
          <w:p w14:paraId="1BC42DD2" w14:textId="77777777" w:rsidR="00BD0B57" w:rsidRPr="000D3415" w:rsidRDefault="00BD0B57" w:rsidP="00900E0D">
            <w:pPr>
              <w:jc w:val="both"/>
              <w:rPr>
                <w:rFonts w:eastAsia="Calibri"/>
                <w:lang w:eastAsia="en-US"/>
              </w:rPr>
            </w:pPr>
            <w:r w:rsidRPr="000D3415">
              <w:rPr>
                <w:rFonts w:eastAsia="Calibri"/>
                <w:lang w:eastAsia="en-US"/>
              </w:rPr>
              <w:t xml:space="preserve">Montuojamas į 19“ komutacinę spintą. </w:t>
            </w:r>
            <w:r w:rsidRPr="000D3415">
              <w:rPr>
                <w:lang w:eastAsia="en-US"/>
              </w:rPr>
              <w:t>Turi būti pateikiamas su visais montavimui reikalingais priedais.</w:t>
            </w:r>
          </w:p>
        </w:tc>
      </w:tr>
      <w:tr w:rsidR="00BD0B57" w:rsidRPr="000D3415" w14:paraId="477019CC" w14:textId="77777777" w:rsidTr="00900E0D">
        <w:trPr>
          <w:trHeight w:val="324"/>
        </w:trPr>
        <w:tc>
          <w:tcPr>
            <w:tcW w:w="993" w:type="dxa"/>
            <w:shd w:val="clear" w:color="auto" w:fill="auto"/>
            <w:noWrap/>
          </w:tcPr>
          <w:p w14:paraId="407E865B" w14:textId="77777777" w:rsidR="00BD0B57" w:rsidRPr="000D3415" w:rsidRDefault="00BD0B57" w:rsidP="00900E0D">
            <w:pPr>
              <w:rPr>
                <w:bCs/>
              </w:rPr>
            </w:pPr>
            <w:r w:rsidRPr="000D3415">
              <w:rPr>
                <w:bCs/>
              </w:rPr>
              <w:t>4.2.</w:t>
            </w:r>
          </w:p>
        </w:tc>
        <w:tc>
          <w:tcPr>
            <w:tcW w:w="2693" w:type="dxa"/>
            <w:vAlign w:val="center"/>
          </w:tcPr>
          <w:p w14:paraId="50F51CF6" w14:textId="77777777" w:rsidR="00BD0B57" w:rsidRPr="000D3415" w:rsidRDefault="00BD0B57" w:rsidP="00900E0D">
            <w:pPr>
              <w:jc w:val="both"/>
            </w:pPr>
            <w:r w:rsidRPr="000D3415">
              <w:rPr>
                <w:rFonts w:eastAsia="Calibri"/>
                <w:lang w:eastAsia="en-US"/>
              </w:rPr>
              <w:t>Aukštis</w:t>
            </w:r>
          </w:p>
        </w:tc>
        <w:tc>
          <w:tcPr>
            <w:tcW w:w="10631" w:type="dxa"/>
            <w:vAlign w:val="center"/>
          </w:tcPr>
          <w:p w14:paraId="6664E347" w14:textId="77777777" w:rsidR="00BD0B57" w:rsidRPr="000D3415" w:rsidRDefault="00BD0B57" w:rsidP="00900E0D">
            <w:pPr>
              <w:jc w:val="both"/>
            </w:pPr>
            <w:r w:rsidRPr="000D3415">
              <w:rPr>
                <w:rFonts w:eastAsia="Calibri"/>
                <w:lang w:eastAsia="en-US"/>
              </w:rPr>
              <w:t>Ne daugiau, kaip 4U.</w:t>
            </w:r>
          </w:p>
        </w:tc>
      </w:tr>
      <w:tr w:rsidR="00BD0B57" w:rsidRPr="000D3415" w14:paraId="65E60893" w14:textId="77777777" w:rsidTr="00900E0D">
        <w:trPr>
          <w:trHeight w:val="324"/>
        </w:trPr>
        <w:tc>
          <w:tcPr>
            <w:tcW w:w="993" w:type="dxa"/>
            <w:shd w:val="clear" w:color="auto" w:fill="auto"/>
            <w:noWrap/>
          </w:tcPr>
          <w:p w14:paraId="329A7C61" w14:textId="77777777" w:rsidR="00BD0B57" w:rsidRPr="000D3415" w:rsidRDefault="00BD0B57" w:rsidP="00900E0D">
            <w:pPr>
              <w:rPr>
                <w:bCs/>
              </w:rPr>
            </w:pPr>
            <w:r w:rsidRPr="000D3415">
              <w:rPr>
                <w:bCs/>
              </w:rPr>
              <w:t>4.3.</w:t>
            </w:r>
          </w:p>
        </w:tc>
        <w:tc>
          <w:tcPr>
            <w:tcW w:w="2693" w:type="dxa"/>
            <w:vAlign w:val="center"/>
          </w:tcPr>
          <w:p w14:paraId="6BA263D6" w14:textId="77777777" w:rsidR="00BD0B57" w:rsidRPr="000D3415" w:rsidRDefault="00BD0B57" w:rsidP="00900E0D">
            <w:pPr>
              <w:rPr>
                <w:rFonts w:eastAsia="Calibri"/>
                <w:lang w:eastAsia="en-US"/>
              </w:rPr>
            </w:pPr>
            <w:r w:rsidRPr="000D3415">
              <w:rPr>
                <w:rFonts w:eastAsia="Calibri"/>
                <w:lang w:eastAsia="en-US"/>
              </w:rPr>
              <w:t>Valdymo jungtis</w:t>
            </w:r>
          </w:p>
        </w:tc>
        <w:tc>
          <w:tcPr>
            <w:tcW w:w="10631" w:type="dxa"/>
            <w:vAlign w:val="center"/>
          </w:tcPr>
          <w:p w14:paraId="4FDCF756" w14:textId="77777777" w:rsidR="00BD0B57" w:rsidRPr="000D3415" w:rsidRDefault="00BD0B57" w:rsidP="00900E0D">
            <w:pPr>
              <w:jc w:val="both"/>
              <w:rPr>
                <w:rFonts w:eastAsia="Calibri"/>
                <w:lang w:eastAsia="en-US"/>
              </w:rPr>
            </w:pPr>
            <w:r w:rsidRPr="000D3415">
              <w:rPr>
                <w:rFonts w:eastAsia="Calibri"/>
                <w:lang w:eastAsia="en-US"/>
              </w:rPr>
              <w:t>Ne mažiau nei 2 vnt. 1000Base-T valdymo jungtys.</w:t>
            </w:r>
          </w:p>
          <w:p w14:paraId="6B097BFA" w14:textId="77777777" w:rsidR="00BD0B57" w:rsidRPr="000D3415" w:rsidRDefault="00BD0B57" w:rsidP="00900E0D">
            <w:pPr>
              <w:jc w:val="both"/>
              <w:rPr>
                <w:rFonts w:eastAsia="Calibri"/>
                <w:lang w:eastAsia="en-US"/>
              </w:rPr>
            </w:pPr>
            <w:r w:rsidRPr="000D3415">
              <w:rPr>
                <w:rFonts w:eastAsia="Calibri"/>
                <w:lang w:eastAsia="en-US"/>
              </w:rPr>
              <w:t>Ne mažiau nei 1 vnt. RJ45 konsolės jungtis.</w:t>
            </w:r>
          </w:p>
        </w:tc>
      </w:tr>
      <w:tr w:rsidR="00BD0B57" w:rsidRPr="000D3415" w14:paraId="17F3C410" w14:textId="77777777" w:rsidTr="00900E0D">
        <w:trPr>
          <w:trHeight w:val="324"/>
        </w:trPr>
        <w:tc>
          <w:tcPr>
            <w:tcW w:w="993" w:type="dxa"/>
            <w:shd w:val="clear" w:color="auto" w:fill="auto"/>
            <w:noWrap/>
          </w:tcPr>
          <w:p w14:paraId="44E3D8D4" w14:textId="77777777" w:rsidR="00BD0B57" w:rsidRPr="000D3415" w:rsidRDefault="00BD0B57" w:rsidP="00900E0D">
            <w:pPr>
              <w:rPr>
                <w:bCs/>
              </w:rPr>
            </w:pPr>
            <w:r w:rsidRPr="000D3415">
              <w:rPr>
                <w:bCs/>
              </w:rPr>
              <w:t>4.4.</w:t>
            </w:r>
          </w:p>
        </w:tc>
        <w:tc>
          <w:tcPr>
            <w:tcW w:w="2693" w:type="dxa"/>
            <w:vAlign w:val="center"/>
          </w:tcPr>
          <w:p w14:paraId="7402064B" w14:textId="77777777" w:rsidR="00BD0B57" w:rsidRPr="000D3415" w:rsidRDefault="00BD0B57" w:rsidP="00900E0D">
            <w:r w:rsidRPr="000D3415">
              <w:rPr>
                <w:rFonts w:eastAsia="Calibri"/>
                <w:lang w:eastAsia="en-US"/>
              </w:rPr>
              <w:t>100 GE QSFP28 prievadai</w:t>
            </w:r>
          </w:p>
        </w:tc>
        <w:tc>
          <w:tcPr>
            <w:tcW w:w="10631" w:type="dxa"/>
            <w:vAlign w:val="center"/>
          </w:tcPr>
          <w:p w14:paraId="0CB85DD1" w14:textId="77777777" w:rsidR="00BD0B57" w:rsidRPr="000D3415" w:rsidRDefault="00BD0B57" w:rsidP="00900E0D">
            <w:pPr>
              <w:jc w:val="both"/>
            </w:pPr>
            <w:r w:rsidRPr="000D3415">
              <w:rPr>
                <w:rFonts w:eastAsia="Calibri"/>
                <w:lang w:eastAsia="en-US"/>
              </w:rPr>
              <w:t>Ne mažiau 4.</w:t>
            </w:r>
          </w:p>
        </w:tc>
      </w:tr>
      <w:tr w:rsidR="00BD0B57" w:rsidRPr="000D3415" w14:paraId="5C1A08BC" w14:textId="77777777" w:rsidTr="00900E0D">
        <w:trPr>
          <w:trHeight w:val="324"/>
        </w:trPr>
        <w:tc>
          <w:tcPr>
            <w:tcW w:w="993" w:type="dxa"/>
            <w:shd w:val="clear" w:color="auto" w:fill="auto"/>
            <w:noWrap/>
          </w:tcPr>
          <w:p w14:paraId="7DB568EF" w14:textId="77777777" w:rsidR="00BD0B57" w:rsidRPr="000D3415" w:rsidRDefault="00BD0B57" w:rsidP="00900E0D">
            <w:pPr>
              <w:rPr>
                <w:bCs/>
              </w:rPr>
            </w:pPr>
            <w:r w:rsidRPr="000D3415">
              <w:rPr>
                <w:bCs/>
              </w:rPr>
              <w:t>4.5.</w:t>
            </w:r>
          </w:p>
        </w:tc>
        <w:tc>
          <w:tcPr>
            <w:tcW w:w="2693" w:type="dxa"/>
            <w:vAlign w:val="center"/>
          </w:tcPr>
          <w:p w14:paraId="338791D6" w14:textId="77777777" w:rsidR="00BD0B57" w:rsidRPr="000D3415" w:rsidRDefault="00BD0B57" w:rsidP="00900E0D">
            <w:r w:rsidRPr="000D3415">
              <w:rPr>
                <w:rFonts w:eastAsia="Calibri"/>
                <w:lang w:eastAsia="en-US"/>
              </w:rPr>
              <w:t>10 GE SFP/SFP+ prievadai</w:t>
            </w:r>
          </w:p>
        </w:tc>
        <w:tc>
          <w:tcPr>
            <w:tcW w:w="10631" w:type="dxa"/>
            <w:vAlign w:val="center"/>
          </w:tcPr>
          <w:p w14:paraId="72F27FB4" w14:textId="77777777" w:rsidR="00BD0B57" w:rsidRPr="000D3415" w:rsidRDefault="00BD0B57" w:rsidP="00900E0D">
            <w:pPr>
              <w:jc w:val="both"/>
            </w:pPr>
            <w:r w:rsidRPr="000D3415">
              <w:rPr>
                <w:rFonts w:eastAsia="Calibri"/>
                <w:lang w:eastAsia="en-US"/>
              </w:rPr>
              <w:t>Ne mažiau 8.</w:t>
            </w:r>
          </w:p>
        </w:tc>
      </w:tr>
      <w:tr w:rsidR="00BD0B57" w:rsidRPr="000D3415" w14:paraId="0B7D9061" w14:textId="77777777" w:rsidTr="00900E0D">
        <w:trPr>
          <w:trHeight w:val="324"/>
        </w:trPr>
        <w:tc>
          <w:tcPr>
            <w:tcW w:w="993" w:type="dxa"/>
            <w:shd w:val="clear" w:color="auto" w:fill="auto"/>
            <w:noWrap/>
          </w:tcPr>
          <w:p w14:paraId="6DCE074F" w14:textId="77777777" w:rsidR="00BD0B57" w:rsidRPr="000D3415" w:rsidRDefault="00BD0B57" w:rsidP="00900E0D">
            <w:pPr>
              <w:rPr>
                <w:bCs/>
              </w:rPr>
            </w:pPr>
            <w:r w:rsidRPr="000D3415">
              <w:rPr>
                <w:bCs/>
              </w:rPr>
              <w:t>4.6.</w:t>
            </w:r>
          </w:p>
        </w:tc>
        <w:tc>
          <w:tcPr>
            <w:tcW w:w="2693" w:type="dxa"/>
            <w:vAlign w:val="center"/>
          </w:tcPr>
          <w:p w14:paraId="13FB5AF0" w14:textId="77777777" w:rsidR="00BD0B57" w:rsidRPr="000D3415" w:rsidRDefault="00BD0B57" w:rsidP="00900E0D">
            <w:r w:rsidRPr="000D3415">
              <w:rPr>
                <w:rFonts w:eastAsia="Calibri"/>
                <w:lang w:eastAsia="en-US"/>
              </w:rPr>
              <w:t>Suminis optinių sąsajų kiekis</w:t>
            </w:r>
          </w:p>
        </w:tc>
        <w:tc>
          <w:tcPr>
            <w:tcW w:w="10631" w:type="dxa"/>
            <w:vAlign w:val="center"/>
          </w:tcPr>
          <w:p w14:paraId="2CDC58C5" w14:textId="77777777" w:rsidR="00BD0B57" w:rsidRPr="000D3415" w:rsidRDefault="00BD0B57" w:rsidP="00900E0D">
            <w:pPr>
              <w:contextualSpacing/>
              <w:rPr>
                <w:rFonts w:eastAsia="Calibri"/>
                <w:lang w:eastAsia="en-US"/>
              </w:rPr>
            </w:pPr>
            <w:r w:rsidRPr="000D3415">
              <w:rPr>
                <w:rFonts w:eastAsia="Calibri"/>
                <w:lang w:eastAsia="en-US"/>
              </w:rPr>
              <w:t>Vienu metu prie įrenginio turi būti galima prijungti:</w:t>
            </w:r>
          </w:p>
          <w:p w14:paraId="1C463E28" w14:textId="77777777" w:rsidR="00BD0B57" w:rsidRPr="000D3415" w:rsidRDefault="00BD0B57" w:rsidP="00900E0D">
            <w:pPr>
              <w:rPr>
                <w:rFonts w:eastAsia="Calibri"/>
                <w:lang w:eastAsia="en-US"/>
              </w:rPr>
            </w:pPr>
            <w:r w:rsidRPr="000D3415">
              <w:rPr>
                <w:rFonts w:eastAsia="Calibri"/>
                <w:lang w:eastAsia="en-US"/>
              </w:rPr>
              <w:t>Ne mažiau 4x100 GE įrenginių;</w:t>
            </w:r>
          </w:p>
          <w:p w14:paraId="4DCB4E09" w14:textId="77777777" w:rsidR="00BD0B57" w:rsidRPr="000D3415" w:rsidRDefault="00BD0B57" w:rsidP="00900E0D">
            <w:r w:rsidRPr="000D3415">
              <w:rPr>
                <w:rFonts w:eastAsia="Calibri"/>
                <w:lang w:eastAsia="en-US"/>
              </w:rPr>
              <w:t>Ne mažiau 8x10 GE įrenginių.</w:t>
            </w:r>
          </w:p>
        </w:tc>
      </w:tr>
      <w:tr w:rsidR="00BD0B57" w:rsidRPr="000D3415" w14:paraId="5872DD17" w14:textId="77777777" w:rsidTr="00900E0D">
        <w:trPr>
          <w:trHeight w:val="324"/>
        </w:trPr>
        <w:tc>
          <w:tcPr>
            <w:tcW w:w="993" w:type="dxa"/>
            <w:shd w:val="clear" w:color="auto" w:fill="auto"/>
            <w:noWrap/>
          </w:tcPr>
          <w:p w14:paraId="6B189C4C" w14:textId="77777777" w:rsidR="00BD0B57" w:rsidRPr="000D3415" w:rsidRDefault="00BD0B57" w:rsidP="00900E0D">
            <w:pPr>
              <w:rPr>
                <w:bCs/>
              </w:rPr>
            </w:pPr>
            <w:r w:rsidRPr="000D3415">
              <w:rPr>
                <w:bCs/>
              </w:rPr>
              <w:t>4.7.</w:t>
            </w:r>
          </w:p>
        </w:tc>
        <w:tc>
          <w:tcPr>
            <w:tcW w:w="2693" w:type="dxa"/>
            <w:vAlign w:val="center"/>
          </w:tcPr>
          <w:p w14:paraId="2A30FF41" w14:textId="77777777" w:rsidR="00BD0B57" w:rsidRPr="000D3415" w:rsidRDefault="00BD0B57" w:rsidP="00900E0D">
            <w:r w:rsidRPr="000D3415">
              <w:rPr>
                <w:rFonts w:eastAsia="Calibri"/>
                <w:lang w:eastAsia="en-US"/>
              </w:rPr>
              <w:t xml:space="preserve">Maitinimas </w:t>
            </w:r>
          </w:p>
        </w:tc>
        <w:tc>
          <w:tcPr>
            <w:tcW w:w="10631" w:type="dxa"/>
            <w:vAlign w:val="center"/>
          </w:tcPr>
          <w:p w14:paraId="34BD2CF7" w14:textId="77777777" w:rsidR="00BD0B57" w:rsidRPr="000D3415" w:rsidRDefault="00BD0B57" w:rsidP="00900E0D">
            <w:pPr>
              <w:jc w:val="both"/>
            </w:pPr>
            <w:r w:rsidRPr="000D3415">
              <w:rPr>
                <w:rFonts w:eastAsia="Calibri"/>
                <w:lang w:eastAsia="en-US"/>
              </w:rPr>
              <w:t>AC 200-240V, 50 Hz.</w:t>
            </w:r>
          </w:p>
        </w:tc>
      </w:tr>
      <w:tr w:rsidR="00BD0B57" w:rsidRPr="000D3415" w14:paraId="6E69374F" w14:textId="77777777" w:rsidTr="00900E0D">
        <w:trPr>
          <w:trHeight w:val="324"/>
        </w:trPr>
        <w:tc>
          <w:tcPr>
            <w:tcW w:w="993" w:type="dxa"/>
            <w:shd w:val="clear" w:color="auto" w:fill="auto"/>
            <w:noWrap/>
          </w:tcPr>
          <w:p w14:paraId="4998A1A2" w14:textId="77777777" w:rsidR="00BD0B57" w:rsidRPr="000D3415" w:rsidRDefault="00BD0B57" w:rsidP="00900E0D">
            <w:pPr>
              <w:rPr>
                <w:bCs/>
              </w:rPr>
            </w:pPr>
            <w:r w:rsidRPr="000D3415">
              <w:rPr>
                <w:bCs/>
              </w:rPr>
              <w:t>4.8.</w:t>
            </w:r>
          </w:p>
        </w:tc>
        <w:tc>
          <w:tcPr>
            <w:tcW w:w="2693" w:type="dxa"/>
            <w:vAlign w:val="center"/>
          </w:tcPr>
          <w:p w14:paraId="7F7D9B5D" w14:textId="77777777" w:rsidR="00BD0B57" w:rsidRPr="000D3415" w:rsidRDefault="00BD0B57" w:rsidP="00900E0D">
            <w:r w:rsidRPr="000D3415">
              <w:rPr>
                <w:rFonts w:eastAsia="Calibri"/>
                <w:lang w:eastAsia="en-US"/>
              </w:rPr>
              <w:t>Dubliuoti maitinimo šaltiniai</w:t>
            </w:r>
          </w:p>
        </w:tc>
        <w:tc>
          <w:tcPr>
            <w:tcW w:w="10631" w:type="dxa"/>
            <w:vAlign w:val="center"/>
          </w:tcPr>
          <w:p w14:paraId="10BE44FC" w14:textId="77777777" w:rsidR="00BD0B57" w:rsidRPr="000D3415" w:rsidRDefault="00BD0B57" w:rsidP="00900E0D">
            <w:pPr>
              <w:jc w:val="both"/>
            </w:pPr>
            <w:r w:rsidRPr="000D3415">
              <w:rPr>
                <w:rFonts w:eastAsia="Calibri"/>
                <w:lang w:eastAsia="en-US"/>
              </w:rPr>
              <w:t xml:space="preserve">Ne mažiau kaip du maitinimo šaltiniai. Vienam iš jų sugedus, įranga turi veikti toliau. Turi būti galimybė pakeisti maitinimo šaltinį veikiančioje įrangoje (angl. </w:t>
            </w:r>
            <w:proofErr w:type="spellStart"/>
            <w:r w:rsidRPr="000D3415">
              <w:rPr>
                <w:rFonts w:eastAsia="Calibri"/>
                <w:lang w:eastAsia="en-US"/>
              </w:rPr>
              <w:t>hot-swapping</w:t>
            </w:r>
            <w:proofErr w:type="spellEnd"/>
            <w:r w:rsidRPr="000D3415">
              <w:rPr>
                <w:rFonts w:eastAsia="Calibri"/>
                <w:lang w:eastAsia="en-US"/>
              </w:rPr>
              <w:t>).</w:t>
            </w:r>
          </w:p>
        </w:tc>
      </w:tr>
      <w:tr w:rsidR="00BD0B57" w:rsidRPr="000D3415" w14:paraId="23D6A4E5" w14:textId="77777777" w:rsidTr="00900E0D">
        <w:trPr>
          <w:trHeight w:val="324"/>
        </w:trPr>
        <w:tc>
          <w:tcPr>
            <w:tcW w:w="993" w:type="dxa"/>
            <w:shd w:val="clear" w:color="auto" w:fill="auto"/>
            <w:noWrap/>
          </w:tcPr>
          <w:p w14:paraId="557BC1A4" w14:textId="77777777" w:rsidR="00BD0B57" w:rsidRPr="000D3415" w:rsidRDefault="00BD0B57" w:rsidP="00900E0D">
            <w:pPr>
              <w:rPr>
                <w:bCs/>
              </w:rPr>
            </w:pPr>
            <w:r w:rsidRPr="000D3415">
              <w:rPr>
                <w:bCs/>
              </w:rPr>
              <w:t>4.9.</w:t>
            </w:r>
          </w:p>
        </w:tc>
        <w:tc>
          <w:tcPr>
            <w:tcW w:w="2693" w:type="dxa"/>
            <w:vAlign w:val="center"/>
          </w:tcPr>
          <w:p w14:paraId="07C098CF" w14:textId="77777777" w:rsidR="00BD0B57" w:rsidRPr="000D3415" w:rsidRDefault="00BD0B57" w:rsidP="00900E0D">
            <w:pPr>
              <w:rPr>
                <w:rFonts w:eastAsia="Calibri"/>
                <w:lang w:eastAsia="en-US"/>
              </w:rPr>
            </w:pPr>
            <w:r w:rsidRPr="000D3415">
              <w:rPr>
                <w:rFonts w:eastAsia="Calibri"/>
                <w:lang w:eastAsia="en-US"/>
              </w:rPr>
              <w:t>VLAN (802.1Q)</w:t>
            </w:r>
          </w:p>
        </w:tc>
        <w:tc>
          <w:tcPr>
            <w:tcW w:w="10631" w:type="dxa"/>
            <w:vAlign w:val="center"/>
          </w:tcPr>
          <w:p w14:paraId="02B2E3B7" w14:textId="77777777" w:rsidR="00BD0B57" w:rsidRPr="000D3415" w:rsidRDefault="00BD0B57" w:rsidP="00900E0D">
            <w:pPr>
              <w:jc w:val="both"/>
              <w:rPr>
                <w:rFonts w:eastAsia="Calibri"/>
                <w:lang w:eastAsia="en-US"/>
              </w:rPr>
            </w:pPr>
            <w:r w:rsidRPr="000D3415">
              <w:rPr>
                <w:rFonts w:eastAsia="Calibri"/>
                <w:lang w:eastAsia="en-US"/>
              </w:rPr>
              <w:t xml:space="preserve">Įrenginys privalo gebėti apdoroti VLAN </w:t>
            </w:r>
            <w:proofErr w:type="spellStart"/>
            <w:r w:rsidRPr="000D3415">
              <w:rPr>
                <w:rFonts w:eastAsia="Calibri"/>
                <w:lang w:eastAsia="en-US"/>
              </w:rPr>
              <w:t>tag</w:t>
            </w:r>
            <w:proofErr w:type="spellEnd"/>
            <w:r w:rsidRPr="000D3415">
              <w:rPr>
                <w:rFonts w:eastAsia="Calibri"/>
                <w:lang w:eastAsia="en-US"/>
              </w:rPr>
              <w:t xml:space="preserve"> pažymėtus paketus.</w:t>
            </w:r>
          </w:p>
        </w:tc>
      </w:tr>
      <w:tr w:rsidR="00BD0B57" w:rsidRPr="000D3415" w14:paraId="19B5569A" w14:textId="77777777" w:rsidTr="00900E0D">
        <w:trPr>
          <w:trHeight w:val="324"/>
        </w:trPr>
        <w:tc>
          <w:tcPr>
            <w:tcW w:w="993" w:type="dxa"/>
            <w:shd w:val="clear" w:color="auto" w:fill="auto"/>
            <w:noWrap/>
          </w:tcPr>
          <w:p w14:paraId="7C80AE9F" w14:textId="77777777" w:rsidR="00BD0B57" w:rsidRPr="000D3415" w:rsidRDefault="00BD0B57" w:rsidP="00900E0D">
            <w:pPr>
              <w:rPr>
                <w:bCs/>
              </w:rPr>
            </w:pPr>
            <w:r w:rsidRPr="000D3415">
              <w:rPr>
                <w:bCs/>
              </w:rPr>
              <w:t>4.10.</w:t>
            </w:r>
          </w:p>
        </w:tc>
        <w:tc>
          <w:tcPr>
            <w:tcW w:w="2693" w:type="dxa"/>
            <w:vAlign w:val="center"/>
          </w:tcPr>
          <w:p w14:paraId="6FB7FAE7" w14:textId="77777777" w:rsidR="00BD0B57" w:rsidRPr="000D3415" w:rsidRDefault="00BD0B57" w:rsidP="00900E0D">
            <w:pPr>
              <w:rPr>
                <w:rFonts w:eastAsia="Calibri"/>
                <w:lang w:eastAsia="en-US"/>
              </w:rPr>
            </w:pPr>
            <w:r w:rsidRPr="000D3415">
              <w:rPr>
                <w:rFonts w:eastAsia="Calibri"/>
                <w:lang w:eastAsia="en-US"/>
              </w:rPr>
              <w:t>Tinklo srauto stebėjimas</w:t>
            </w:r>
          </w:p>
        </w:tc>
        <w:tc>
          <w:tcPr>
            <w:tcW w:w="10631" w:type="dxa"/>
            <w:vAlign w:val="center"/>
          </w:tcPr>
          <w:p w14:paraId="0021548D" w14:textId="77777777" w:rsidR="00BD0B57" w:rsidRPr="000D3415" w:rsidRDefault="00BD0B57" w:rsidP="00900E0D">
            <w:pPr>
              <w:jc w:val="both"/>
              <w:rPr>
                <w:rFonts w:eastAsia="Calibri"/>
                <w:lang w:eastAsia="en-US"/>
              </w:rPr>
            </w:pPr>
            <w:r w:rsidRPr="000D3415">
              <w:rPr>
                <w:rFonts w:eastAsia="Calibri"/>
                <w:lang w:eastAsia="en-US"/>
              </w:rPr>
              <w:t>Įrenginys privalo gebėti įeinančio ar išeinančio stebėjimą ir ryšio blokavimą.</w:t>
            </w:r>
          </w:p>
        </w:tc>
      </w:tr>
      <w:tr w:rsidR="00BD0B57" w:rsidRPr="000D3415" w14:paraId="2B98B802" w14:textId="77777777" w:rsidTr="00900E0D">
        <w:trPr>
          <w:trHeight w:val="324"/>
        </w:trPr>
        <w:tc>
          <w:tcPr>
            <w:tcW w:w="993" w:type="dxa"/>
            <w:shd w:val="clear" w:color="auto" w:fill="auto"/>
            <w:noWrap/>
          </w:tcPr>
          <w:p w14:paraId="5CC82052" w14:textId="77777777" w:rsidR="00BD0B57" w:rsidRPr="000D3415" w:rsidRDefault="00BD0B57" w:rsidP="00900E0D">
            <w:pPr>
              <w:rPr>
                <w:bCs/>
              </w:rPr>
            </w:pPr>
            <w:r w:rsidRPr="000D3415">
              <w:rPr>
                <w:bCs/>
              </w:rPr>
              <w:t>4.11.</w:t>
            </w:r>
          </w:p>
        </w:tc>
        <w:tc>
          <w:tcPr>
            <w:tcW w:w="2693" w:type="dxa"/>
            <w:vAlign w:val="center"/>
          </w:tcPr>
          <w:p w14:paraId="048CD1DA" w14:textId="77777777" w:rsidR="00BD0B57" w:rsidRPr="000D3415" w:rsidRDefault="00BD0B57" w:rsidP="00900E0D">
            <w:pPr>
              <w:rPr>
                <w:rFonts w:eastAsia="Calibri"/>
                <w:lang w:eastAsia="en-US"/>
              </w:rPr>
            </w:pPr>
            <w:r w:rsidRPr="000D3415">
              <w:rPr>
                <w:rFonts w:eastAsia="Calibri"/>
                <w:lang w:eastAsia="en-US"/>
              </w:rPr>
              <w:t>Paketų vėlinimas (</w:t>
            </w:r>
            <w:proofErr w:type="spellStart"/>
            <w:r w:rsidRPr="000D3415">
              <w:rPr>
                <w:rFonts w:eastAsia="Calibri"/>
                <w:lang w:eastAsia="en-US"/>
              </w:rPr>
              <w:t>latency</w:t>
            </w:r>
            <w:proofErr w:type="spellEnd"/>
            <w:r w:rsidRPr="000D3415">
              <w:rPr>
                <w:rFonts w:eastAsia="Calibri"/>
                <w:lang w:eastAsia="en-US"/>
              </w:rPr>
              <w:t>)</w:t>
            </w:r>
          </w:p>
        </w:tc>
        <w:tc>
          <w:tcPr>
            <w:tcW w:w="10631" w:type="dxa"/>
            <w:vAlign w:val="center"/>
          </w:tcPr>
          <w:p w14:paraId="295B38A4" w14:textId="77777777" w:rsidR="00BD0B57" w:rsidRPr="000D3415" w:rsidRDefault="00BD0B57" w:rsidP="00900E0D">
            <w:pPr>
              <w:jc w:val="both"/>
              <w:rPr>
                <w:rFonts w:eastAsia="Calibri"/>
                <w:lang w:eastAsia="en-US"/>
              </w:rPr>
            </w:pPr>
            <w:r w:rsidRPr="000D3415">
              <w:rPr>
                <w:rFonts w:eastAsia="Calibri"/>
                <w:lang w:eastAsia="en-US"/>
              </w:rPr>
              <w:t xml:space="preserve">Ne daugiau nei 80 </w:t>
            </w:r>
            <w:proofErr w:type="spellStart"/>
            <w:r w:rsidRPr="000D3415">
              <w:rPr>
                <w:rFonts w:eastAsia="Calibri"/>
                <w:lang w:eastAsia="en-US"/>
              </w:rPr>
              <w:t>microseconds</w:t>
            </w:r>
            <w:proofErr w:type="spellEnd"/>
            <w:r w:rsidRPr="000D3415">
              <w:rPr>
                <w:rFonts w:eastAsia="Calibri"/>
                <w:lang w:eastAsia="en-US"/>
              </w:rPr>
              <w:t>.</w:t>
            </w:r>
          </w:p>
        </w:tc>
      </w:tr>
      <w:tr w:rsidR="00BD0B57" w:rsidRPr="000D3415" w14:paraId="77E4F100" w14:textId="77777777" w:rsidTr="00900E0D">
        <w:trPr>
          <w:trHeight w:val="324"/>
        </w:trPr>
        <w:tc>
          <w:tcPr>
            <w:tcW w:w="993" w:type="dxa"/>
            <w:shd w:val="clear" w:color="auto" w:fill="auto"/>
            <w:noWrap/>
          </w:tcPr>
          <w:p w14:paraId="1CD7E2B2" w14:textId="77777777" w:rsidR="00BD0B57" w:rsidRPr="000D3415" w:rsidRDefault="00BD0B57" w:rsidP="00900E0D">
            <w:pPr>
              <w:rPr>
                <w:bCs/>
              </w:rPr>
            </w:pPr>
            <w:r w:rsidRPr="000D3415">
              <w:rPr>
                <w:bCs/>
              </w:rPr>
              <w:t>4.12.</w:t>
            </w:r>
          </w:p>
        </w:tc>
        <w:tc>
          <w:tcPr>
            <w:tcW w:w="2693" w:type="dxa"/>
            <w:vAlign w:val="center"/>
          </w:tcPr>
          <w:p w14:paraId="21208276" w14:textId="77777777" w:rsidR="00BD0B57" w:rsidRPr="000D3415" w:rsidRDefault="00BD0B57" w:rsidP="00900E0D">
            <w:pPr>
              <w:rPr>
                <w:rFonts w:eastAsia="Calibri"/>
                <w:lang w:eastAsia="en-US"/>
              </w:rPr>
            </w:pPr>
            <w:r w:rsidRPr="000D3415">
              <w:rPr>
                <w:rFonts w:eastAsia="Calibri"/>
                <w:lang w:eastAsia="en-US"/>
              </w:rPr>
              <w:t xml:space="preserve">Tinklo srauto pralaidumas </w:t>
            </w:r>
          </w:p>
        </w:tc>
        <w:tc>
          <w:tcPr>
            <w:tcW w:w="10631" w:type="dxa"/>
            <w:vAlign w:val="center"/>
          </w:tcPr>
          <w:p w14:paraId="77399A64" w14:textId="77777777" w:rsidR="00BD0B57" w:rsidRPr="000D3415" w:rsidRDefault="00BD0B57" w:rsidP="00900E0D">
            <w:pPr>
              <w:jc w:val="both"/>
              <w:rPr>
                <w:rFonts w:eastAsia="Calibri"/>
                <w:lang w:eastAsia="en-US"/>
              </w:rPr>
            </w:pPr>
            <w:r w:rsidRPr="000D3415">
              <w:rPr>
                <w:rFonts w:eastAsia="Calibri"/>
                <w:lang w:eastAsia="en-US"/>
              </w:rPr>
              <w:t xml:space="preserve">Ne mažiau nei 100 </w:t>
            </w:r>
            <w:proofErr w:type="spellStart"/>
            <w:r w:rsidRPr="000D3415">
              <w:rPr>
                <w:rFonts w:eastAsia="Calibri"/>
                <w:lang w:eastAsia="en-US"/>
              </w:rPr>
              <w:t>Gbps</w:t>
            </w:r>
            <w:proofErr w:type="spellEnd"/>
            <w:r>
              <w:rPr>
                <w:rFonts w:eastAsia="Calibri"/>
                <w:lang w:eastAsia="en-US"/>
              </w:rPr>
              <w:t>.</w:t>
            </w:r>
            <w:r w:rsidRPr="000D3415">
              <w:rPr>
                <w:rFonts w:eastAsia="Calibri"/>
                <w:lang w:eastAsia="en-US"/>
              </w:rPr>
              <w:t xml:space="preserve"> </w:t>
            </w:r>
            <w:r w:rsidRPr="00F527F6">
              <w:rPr>
                <w:rFonts w:eastAsia="Calibri"/>
                <w:lang w:eastAsia="en-US"/>
              </w:rPr>
              <w:t>Jei pralaidumui reikalinga papildoma licencija, ji turi būti neriboto galiojimo ir privaloma nurodyti jos pavadinimą/kodą.</w:t>
            </w:r>
          </w:p>
        </w:tc>
      </w:tr>
      <w:tr w:rsidR="00BD0B57" w:rsidRPr="000D3415" w14:paraId="3C35F0CC" w14:textId="77777777" w:rsidTr="00900E0D">
        <w:trPr>
          <w:trHeight w:val="324"/>
        </w:trPr>
        <w:tc>
          <w:tcPr>
            <w:tcW w:w="993" w:type="dxa"/>
            <w:shd w:val="clear" w:color="auto" w:fill="auto"/>
            <w:noWrap/>
          </w:tcPr>
          <w:p w14:paraId="24FE84D0" w14:textId="77777777" w:rsidR="00BD0B57" w:rsidRPr="000D3415" w:rsidRDefault="00BD0B57" w:rsidP="00900E0D">
            <w:pPr>
              <w:rPr>
                <w:bCs/>
              </w:rPr>
            </w:pPr>
            <w:r w:rsidRPr="000D3415">
              <w:rPr>
                <w:bCs/>
              </w:rPr>
              <w:t>4.13.</w:t>
            </w:r>
          </w:p>
        </w:tc>
        <w:tc>
          <w:tcPr>
            <w:tcW w:w="2693" w:type="dxa"/>
            <w:vAlign w:val="center"/>
          </w:tcPr>
          <w:p w14:paraId="5339E41F" w14:textId="77777777" w:rsidR="00BD0B57" w:rsidRPr="000D3415" w:rsidRDefault="00BD0B57" w:rsidP="00900E0D">
            <w:pPr>
              <w:rPr>
                <w:rFonts w:eastAsia="Calibri"/>
                <w:lang w:eastAsia="en-US"/>
              </w:rPr>
            </w:pPr>
            <w:r w:rsidRPr="000D3415">
              <w:rPr>
                <w:rFonts w:eastAsia="Calibri"/>
                <w:lang w:eastAsia="en-US"/>
              </w:rPr>
              <w:t xml:space="preserve">Tinklo paketų pralaidumas (angl. </w:t>
            </w:r>
            <w:proofErr w:type="spellStart"/>
            <w:r w:rsidRPr="000D3415">
              <w:rPr>
                <w:rFonts w:eastAsia="Calibri"/>
                <w:lang w:eastAsia="en-US"/>
              </w:rPr>
              <w:t>Mitigation</w:t>
            </w:r>
            <w:proofErr w:type="spellEnd"/>
            <w:r w:rsidRPr="000D3415">
              <w:rPr>
                <w:rFonts w:eastAsia="Calibri"/>
                <w:lang w:eastAsia="en-US"/>
              </w:rPr>
              <w:t xml:space="preserve"> </w:t>
            </w:r>
            <w:proofErr w:type="spellStart"/>
            <w:r w:rsidRPr="000D3415">
              <w:rPr>
                <w:rFonts w:eastAsia="Calibri"/>
                <w:lang w:eastAsia="en-US"/>
              </w:rPr>
              <w:t>capacity</w:t>
            </w:r>
            <w:proofErr w:type="spellEnd"/>
            <w:r w:rsidRPr="000D3415">
              <w:rPr>
                <w:rFonts w:eastAsia="Calibri"/>
                <w:lang w:eastAsia="en-US"/>
              </w:rPr>
              <w:t xml:space="preserve"> )</w:t>
            </w:r>
          </w:p>
        </w:tc>
        <w:tc>
          <w:tcPr>
            <w:tcW w:w="10631" w:type="dxa"/>
            <w:vAlign w:val="center"/>
          </w:tcPr>
          <w:p w14:paraId="6EF15AD1" w14:textId="77777777" w:rsidR="00BD0B57" w:rsidRPr="000D3415" w:rsidRDefault="00BD0B57" w:rsidP="00900E0D">
            <w:pPr>
              <w:jc w:val="both"/>
              <w:rPr>
                <w:rFonts w:eastAsia="Calibri"/>
                <w:lang w:eastAsia="en-US"/>
              </w:rPr>
            </w:pPr>
            <w:r w:rsidRPr="000D3415">
              <w:rPr>
                <w:rFonts w:eastAsia="Calibri"/>
                <w:lang w:eastAsia="en-US"/>
              </w:rPr>
              <w:t xml:space="preserve">Ne mažiau nei 33 </w:t>
            </w:r>
            <w:proofErr w:type="spellStart"/>
            <w:r w:rsidRPr="000D3415">
              <w:rPr>
                <w:rFonts w:eastAsia="Calibri"/>
                <w:lang w:eastAsia="en-US"/>
              </w:rPr>
              <w:t>Mpps</w:t>
            </w:r>
            <w:proofErr w:type="spellEnd"/>
            <w:r>
              <w:rPr>
                <w:rFonts w:eastAsia="Calibri"/>
                <w:lang w:eastAsia="en-US"/>
              </w:rPr>
              <w:t xml:space="preserve">. </w:t>
            </w:r>
            <w:r w:rsidRPr="00F527F6">
              <w:rPr>
                <w:rFonts w:eastAsia="Calibri"/>
                <w:lang w:eastAsia="en-US"/>
              </w:rPr>
              <w:t>Jei pralaidumui reikalinga papildoma licencija, ji turi būti neriboto galiojimo ir privaloma nurodyti jos pavadinimą/kodą.</w:t>
            </w:r>
          </w:p>
        </w:tc>
      </w:tr>
      <w:tr w:rsidR="00BD0B57" w:rsidRPr="000D3415" w14:paraId="05EA37A5" w14:textId="77777777" w:rsidTr="00900E0D">
        <w:trPr>
          <w:trHeight w:val="324"/>
        </w:trPr>
        <w:tc>
          <w:tcPr>
            <w:tcW w:w="993" w:type="dxa"/>
            <w:shd w:val="clear" w:color="auto" w:fill="auto"/>
            <w:noWrap/>
          </w:tcPr>
          <w:p w14:paraId="7C639919" w14:textId="77777777" w:rsidR="00BD0B57" w:rsidRPr="000D3415" w:rsidRDefault="00BD0B57" w:rsidP="00900E0D">
            <w:pPr>
              <w:rPr>
                <w:bCs/>
              </w:rPr>
            </w:pPr>
            <w:r w:rsidRPr="000D3415">
              <w:rPr>
                <w:bCs/>
              </w:rPr>
              <w:lastRenderedPageBreak/>
              <w:t>4.14.</w:t>
            </w:r>
          </w:p>
        </w:tc>
        <w:tc>
          <w:tcPr>
            <w:tcW w:w="2693" w:type="dxa"/>
          </w:tcPr>
          <w:p w14:paraId="13F54FDE" w14:textId="77777777" w:rsidR="00BD0B57" w:rsidRPr="000D3415" w:rsidRDefault="00BD0B57" w:rsidP="00900E0D">
            <w:pPr>
              <w:rPr>
                <w:rFonts w:eastAsia="Calibri"/>
                <w:lang w:eastAsia="en-US"/>
              </w:rPr>
            </w:pPr>
            <w:r w:rsidRPr="000D3415">
              <w:t xml:space="preserve">Tikrinamo tinklo srauto pralaidumas (angl. </w:t>
            </w:r>
            <w:proofErr w:type="spellStart"/>
            <w:r w:rsidRPr="000D3415">
              <w:t>Mitigation</w:t>
            </w:r>
            <w:proofErr w:type="spellEnd"/>
            <w:r w:rsidRPr="000D3415">
              <w:t xml:space="preserve"> </w:t>
            </w:r>
            <w:proofErr w:type="spellStart"/>
            <w:r w:rsidRPr="000D3415">
              <w:t>capacity</w:t>
            </w:r>
            <w:proofErr w:type="spellEnd"/>
            <w:r w:rsidRPr="000D3415">
              <w:t xml:space="preserve"> )</w:t>
            </w:r>
          </w:p>
        </w:tc>
        <w:tc>
          <w:tcPr>
            <w:tcW w:w="10631" w:type="dxa"/>
          </w:tcPr>
          <w:p w14:paraId="4505ADD2" w14:textId="77777777" w:rsidR="00BD0B57" w:rsidRPr="000D3415" w:rsidRDefault="00BD0B57" w:rsidP="00900E0D">
            <w:pPr>
              <w:jc w:val="both"/>
              <w:rPr>
                <w:rFonts w:eastAsia="Calibri"/>
                <w:lang w:eastAsia="en-US"/>
              </w:rPr>
            </w:pPr>
            <w:r w:rsidRPr="000D3415">
              <w:t xml:space="preserve">Ne mažiau nei 100 </w:t>
            </w:r>
            <w:proofErr w:type="spellStart"/>
            <w:r w:rsidRPr="000D3415">
              <w:t>Gbps</w:t>
            </w:r>
            <w:proofErr w:type="spellEnd"/>
            <w:r>
              <w:t xml:space="preserve">. </w:t>
            </w:r>
            <w:r w:rsidRPr="000D3415">
              <w:rPr>
                <w:rFonts w:eastAsia="Calibri"/>
                <w:lang w:eastAsia="en-US"/>
              </w:rPr>
              <w:t>Jei pralaidumui reikalinga papildoma licencija, ji turi būti neriboto galiojimo ir privaloma nurodyti jos pavadinimą/kodą.</w:t>
            </w:r>
          </w:p>
        </w:tc>
      </w:tr>
      <w:tr w:rsidR="00BD0B57" w:rsidRPr="000D3415" w14:paraId="0B684A44" w14:textId="77777777" w:rsidTr="00900E0D">
        <w:trPr>
          <w:trHeight w:val="324"/>
        </w:trPr>
        <w:tc>
          <w:tcPr>
            <w:tcW w:w="993" w:type="dxa"/>
            <w:shd w:val="clear" w:color="auto" w:fill="auto"/>
            <w:noWrap/>
          </w:tcPr>
          <w:p w14:paraId="05656D11" w14:textId="77777777" w:rsidR="00BD0B57" w:rsidRPr="000D3415" w:rsidRDefault="00BD0B57" w:rsidP="00900E0D">
            <w:pPr>
              <w:rPr>
                <w:bCs/>
              </w:rPr>
            </w:pPr>
            <w:r w:rsidRPr="000D3415">
              <w:rPr>
                <w:bCs/>
              </w:rPr>
              <w:t>4.15.</w:t>
            </w:r>
          </w:p>
        </w:tc>
        <w:tc>
          <w:tcPr>
            <w:tcW w:w="2693" w:type="dxa"/>
          </w:tcPr>
          <w:p w14:paraId="1F15DA87" w14:textId="77777777" w:rsidR="00BD0B57" w:rsidRPr="000D3415" w:rsidRDefault="00BD0B57" w:rsidP="00900E0D">
            <w:r w:rsidRPr="000D3415">
              <w:t>Garantuoto švaraus srauto pralaidumas atakos metu</w:t>
            </w:r>
          </w:p>
        </w:tc>
        <w:tc>
          <w:tcPr>
            <w:tcW w:w="10631" w:type="dxa"/>
          </w:tcPr>
          <w:p w14:paraId="246D2D1C" w14:textId="77777777" w:rsidR="00BD0B57" w:rsidRPr="00405673" w:rsidRDefault="00BD0B57" w:rsidP="00900E0D">
            <w:pPr>
              <w:jc w:val="both"/>
              <w:rPr>
                <w:lang w:val="en-US"/>
              </w:rPr>
            </w:pPr>
            <w:r w:rsidRPr="000D3415">
              <w:t xml:space="preserve">Ne mažiau nei </w:t>
            </w:r>
            <w:r>
              <w:t xml:space="preserve">40 </w:t>
            </w:r>
            <w:proofErr w:type="spellStart"/>
            <w:r>
              <w:t>Gbps</w:t>
            </w:r>
            <w:proofErr w:type="spellEnd"/>
            <w:r>
              <w:t xml:space="preserve">. </w:t>
            </w:r>
            <w:r w:rsidRPr="00F527F6">
              <w:t>Jei pralaidumui reikalinga papildoma licencija, ji turi būti neriboto galiojimo ir privaloma nurodyti jos pavadinimą/kodą.</w:t>
            </w:r>
          </w:p>
        </w:tc>
      </w:tr>
      <w:tr w:rsidR="00BD0B57" w:rsidRPr="000D3415" w14:paraId="1CC6A46B" w14:textId="77777777" w:rsidTr="00900E0D">
        <w:trPr>
          <w:trHeight w:val="324"/>
        </w:trPr>
        <w:tc>
          <w:tcPr>
            <w:tcW w:w="993" w:type="dxa"/>
            <w:shd w:val="clear" w:color="auto" w:fill="auto"/>
            <w:noWrap/>
          </w:tcPr>
          <w:p w14:paraId="3AF5C3EF" w14:textId="77777777" w:rsidR="00BD0B57" w:rsidRPr="000D3415" w:rsidRDefault="00BD0B57" w:rsidP="00900E0D">
            <w:pPr>
              <w:rPr>
                <w:bCs/>
              </w:rPr>
            </w:pPr>
            <w:r w:rsidRPr="000D3415">
              <w:rPr>
                <w:bCs/>
              </w:rPr>
              <w:t>4.16.</w:t>
            </w:r>
          </w:p>
        </w:tc>
        <w:tc>
          <w:tcPr>
            <w:tcW w:w="2693" w:type="dxa"/>
          </w:tcPr>
          <w:p w14:paraId="016A6844" w14:textId="77777777" w:rsidR="00BD0B57" w:rsidRPr="000D3415" w:rsidRDefault="00BD0B57" w:rsidP="00900E0D">
            <w:r w:rsidRPr="000D3415">
              <w:t>IPv6 palaikymas</w:t>
            </w:r>
          </w:p>
        </w:tc>
        <w:tc>
          <w:tcPr>
            <w:tcW w:w="10631" w:type="dxa"/>
          </w:tcPr>
          <w:p w14:paraId="6A2EB445" w14:textId="77777777" w:rsidR="00BD0B57" w:rsidRPr="000D3415" w:rsidRDefault="00BD0B57" w:rsidP="00900E0D">
            <w:pPr>
              <w:jc w:val="both"/>
            </w:pPr>
            <w:r w:rsidRPr="000D3415">
              <w:t>Įrenginys privalo palaikyti IPv6 protokolą, funkcionalumas turi pilnai atlikti siūlomų įrenginių funkcijas.</w:t>
            </w:r>
          </w:p>
        </w:tc>
      </w:tr>
      <w:tr w:rsidR="00BD0B57" w:rsidRPr="000D3415" w14:paraId="2A074C83" w14:textId="77777777" w:rsidTr="00900E0D">
        <w:trPr>
          <w:trHeight w:val="324"/>
        </w:trPr>
        <w:tc>
          <w:tcPr>
            <w:tcW w:w="993" w:type="dxa"/>
            <w:shd w:val="clear" w:color="auto" w:fill="auto"/>
            <w:noWrap/>
          </w:tcPr>
          <w:p w14:paraId="0B9E6AA6" w14:textId="77777777" w:rsidR="00BD0B57" w:rsidRPr="000D3415" w:rsidRDefault="00BD0B57" w:rsidP="00900E0D">
            <w:pPr>
              <w:rPr>
                <w:bCs/>
              </w:rPr>
            </w:pPr>
            <w:r w:rsidRPr="000D3415">
              <w:rPr>
                <w:bCs/>
              </w:rPr>
              <w:t>4.17</w:t>
            </w:r>
          </w:p>
        </w:tc>
        <w:tc>
          <w:tcPr>
            <w:tcW w:w="2693" w:type="dxa"/>
            <w:vAlign w:val="center"/>
          </w:tcPr>
          <w:p w14:paraId="576E2A9C" w14:textId="77777777" w:rsidR="00BD0B57" w:rsidRPr="000D3415" w:rsidRDefault="00BD0B57" w:rsidP="00900E0D">
            <w:pPr>
              <w:rPr>
                <w:rFonts w:eastAsia="Calibri"/>
                <w:lang w:eastAsia="en-US"/>
              </w:rPr>
            </w:pPr>
            <w:r w:rsidRPr="000D3415">
              <w:rPr>
                <w:rFonts w:eastAsia="Calibri"/>
                <w:lang w:eastAsia="en-US"/>
              </w:rPr>
              <w:t xml:space="preserve">Maksimali </w:t>
            </w:r>
            <w:proofErr w:type="spellStart"/>
            <w:r w:rsidRPr="000D3415">
              <w:rPr>
                <w:rFonts w:eastAsia="Calibri"/>
                <w:lang w:eastAsia="en-US"/>
              </w:rPr>
              <w:t>DDoS</w:t>
            </w:r>
            <w:proofErr w:type="spellEnd"/>
            <w:r w:rsidRPr="000D3415">
              <w:rPr>
                <w:rFonts w:eastAsia="Calibri"/>
                <w:lang w:eastAsia="en-US"/>
              </w:rPr>
              <w:t xml:space="preserve"> tvindymo (</w:t>
            </w:r>
            <w:proofErr w:type="spellStart"/>
            <w:r w:rsidRPr="000D3415">
              <w:rPr>
                <w:rFonts w:eastAsia="Calibri"/>
                <w:lang w:eastAsia="en-US"/>
              </w:rPr>
              <w:t>flood</w:t>
            </w:r>
            <w:proofErr w:type="spellEnd"/>
            <w:r w:rsidRPr="000D3415">
              <w:rPr>
                <w:rFonts w:eastAsia="Calibri"/>
                <w:lang w:eastAsia="en-US"/>
              </w:rPr>
              <w:t>) atakos prevencijos reikšmė</w:t>
            </w:r>
          </w:p>
        </w:tc>
        <w:tc>
          <w:tcPr>
            <w:tcW w:w="10631" w:type="dxa"/>
            <w:vAlign w:val="center"/>
          </w:tcPr>
          <w:p w14:paraId="38658760" w14:textId="77777777" w:rsidR="00BD0B57" w:rsidRPr="000D3415" w:rsidRDefault="00BD0B57" w:rsidP="00900E0D">
            <w:pPr>
              <w:jc w:val="both"/>
              <w:rPr>
                <w:rFonts w:eastAsia="Calibri"/>
                <w:lang w:eastAsia="en-US"/>
              </w:rPr>
            </w:pPr>
            <w:r w:rsidRPr="000D3415">
              <w:rPr>
                <w:rFonts w:eastAsia="Calibri"/>
                <w:lang w:eastAsia="en-US"/>
              </w:rPr>
              <w:t xml:space="preserve">Nemažiau nei </w:t>
            </w:r>
            <w:r>
              <w:rPr>
                <w:rFonts w:eastAsia="Calibri"/>
                <w:lang w:eastAsia="en-US"/>
              </w:rPr>
              <w:t>142</w:t>
            </w:r>
            <w:r w:rsidRPr="000D3415">
              <w:rPr>
                <w:rFonts w:eastAsia="Calibri"/>
                <w:lang w:eastAsia="en-US"/>
              </w:rPr>
              <w:t xml:space="preserve"> </w:t>
            </w:r>
            <w:proofErr w:type="spellStart"/>
            <w:r w:rsidRPr="000D3415">
              <w:rPr>
                <w:rFonts w:eastAsia="Calibri"/>
                <w:lang w:eastAsia="en-US"/>
              </w:rPr>
              <w:t>Mpps</w:t>
            </w:r>
            <w:proofErr w:type="spellEnd"/>
            <w:r w:rsidRPr="000D3415">
              <w:rPr>
                <w:rFonts w:eastAsia="Calibri"/>
                <w:lang w:eastAsia="en-US"/>
              </w:rPr>
              <w:t>.</w:t>
            </w:r>
          </w:p>
        </w:tc>
      </w:tr>
      <w:tr w:rsidR="00BD0B57" w:rsidRPr="000D3415" w14:paraId="00B93397" w14:textId="77777777" w:rsidTr="00900E0D">
        <w:trPr>
          <w:trHeight w:val="324"/>
        </w:trPr>
        <w:tc>
          <w:tcPr>
            <w:tcW w:w="993" w:type="dxa"/>
            <w:shd w:val="clear" w:color="auto" w:fill="auto"/>
            <w:noWrap/>
          </w:tcPr>
          <w:p w14:paraId="750F00DF" w14:textId="77777777" w:rsidR="00BD0B57" w:rsidRPr="000D3415" w:rsidRDefault="00BD0B57" w:rsidP="00900E0D">
            <w:pPr>
              <w:rPr>
                <w:bCs/>
              </w:rPr>
            </w:pPr>
            <w:r w:rsidRPr="000D3415">
              <w:rPr>
                <w:bCs/>
              </w:rPr>
              <w:t>4.18.</w:t>
            </w:r>
          </w:p>
        </w:tc>
        <w:tc>
          <w:tcPr>
            <w:tcW w:w="2693" w:type="dxa"/>
          </w:tcPr>
          <w:p w14:paraId="5BA16F8F" w14:textId="77777777" w:rsidR="00BD0B57" w:rsidRPr="000D3415" w:rsidRDefault="00BD0B57" w:rsidP="00900E0D">
            <w:pPr>
              <w:jc w:val="both"/>
              <w:rPr>
                <w:rFonts w:eastAsia="Calibri"/>
                <w:lang w:eastAsia="en-US"/>
              </w:rPr>
            </w:pPr>
            <w:r w:rsidRPr="000D3415">
              <w:t>Įrenginio diegimo būdas tinkle</w:t>
            </w:r>
          </w:p>
        </w:tc>
        <w:tc>
          <w:tcPr>
            <w:tcW w:w="10631" w:type="dxa"/>
          </w:tcPr>
          <w:p w14:paraId="5B41A73A" w14:textId="77777777" w:rsidR="00BD0B57" w:rsidRPr="000D3415" w:rsidRDefault="00BD0B57" w:rsidP="00900E0D">
            <w:pPr>
              <w:jc w:val="both"/>
              <w:rPr>
                <w:rFonts w:eastAsia="Calibri"/>
                <w:lang w:eastAsia="en-US"/>
              </w:rPr>
            </w:pPr>
            <w:r w:rsidRPr="000D3415">
              <w:t xml:space="preserve">Privalo būti palaikomas įterpimo (angl. </w:t>
            </w:r>
            <w:proofErr w:type="spellStart"/>
            <w:r w:rsidRPr="000D3415">
              <w:t>inline</w:t>
            </w:r>
            <w:proofErr w:type="spellEnd"/>
            <w:r w:rsidRPr="000D3415">
              <w:t>) diegimo būdas.</w:t>
            </w:r>
          </w:p>
        </w:tc>
      </w:tr>
      <w:tr w:rsidR="00BD0B57" w:rsidRPr="000D3415" w14:paraId="7A17C8B1" w14:textId="77777777" w:rsidTr="00900E0D">
        <w:trPr>
          <w:trHeight w:val="324"/>
        </w:trPr>
        <w:tc>
          <w:tcPr>
            <w:tcW w:w="993" w:type="dxa"/>
            <w:shd w:val="clear" w:color="auto" w:fill="auto"/>
            <w:noWrap/>
          </w:tcPr>
          <w:p w14:paraId="5BFCE153" w14:textId="77777777" w:rsidR="00BD0B57" w:rsidRPr="000D3415" w:rsidRDefault="00BD0B57" w:rsidP="00900E0D">
            <w:pPr>
              <w:rPr>
                <w:bCs/>
              </w:rPr>
            </w:pPr>
            <w:r w:rsidRPr="000D3415">
              <w:rPr>
                <w:bCs/>
              </w:rPr>
              <w:t>4.19.</w:t>
            </w:r>
          </w:p>
        </w:tc>
        <w:tc>
          <w:tcPr>
            <w:tcW w:w="2693" w:type="dxa"/>
          </w:tcPr>
          <w:p w14:paraId="0F5D1336" w14:textId="77777777" w:rsidR="00BD0B57" w:rsidRPr="000D3415" w:rsidRDefault="00BD0B57" w:rsidP="00900E0D">
            <w:pPr>
              <w:rPr>
                <w:rFonts w:eastAsia="Calibri"/>
                <w:lang w:eastAsia="en-US"/>
              </w:rPr>
            </w:pPr>
            <w:r w:rsidRPr="000D3415">
              <w:t xml:space="preserve">Tinklo sąsajos būklės pernešimas (angl. link </w:t>
            </w:r>
            <w:proofErr w:type="spellStart"/>
            <w:r w:rsidRPr="000D3415">
              <w:t>state</w:t>
            </w:r>
            <w:proofErr w:type="spellEnd"/>
            <w:r w:rsidRPr="000D3415">
              <w:t xml:space="preserve"> </w:t>
            </w:r>
            <w:proofErr w:type="spellStart"/>
            <w:r w:rsidRPr="000D3415">
              <w:t>propagation</w:t>
            </w:r>
            <w:proofErr w:type="spellEnd"/>
            <w:r w:rsidRPr="000D3415">
              <w:t>)</w:t>
            </w:r>
          </w:p>
        </w:tc>
        <w:tc>
          <w:tcPr>
            <w:tcW w:w="10631" w:type="dxa"/>
          </w:tcPr>
          <w:p w14:paraId="00B6A655" w14:textId="77777777" w:rsidR="00BD0B57" w:rsidRPr="000D3415" w:rsidRDefault="00BD0B57" w:rsidP="00900E0D">
            <w:pPr>
              <w:jc w:val="both"/>
              <w:rPr>
                <w:rFonts w:eastAsia="Calibri"/>
                <w:lang w:eastAsia="en-US"/>
              </w:rPr>
            </w:pPr>
            <w:r w:rsidRPr="000D3415">
              <w:t xml:space="preserve">Turi gebėti pakeisti vidinės/išorinės sąsajos būklę, reaguojant į pasikeitimą (angl. link </w:t>
            </w:r>
            <w:proofErr w:type="spellStart"/>
            <w:r w:rsidRPr="000D3415">
              <w:t>state</w:t>
            </w:r>
            <w:proofErr w:type="spellEnd"/>
            <w:r w:rsidRPr="000D3415">
              <w:t xml:space="preserve"> </w:t>
            </w:r>
            <w:proofErr w:type="spellStart"/>
            <w:r w:rsidRPr="000D3415">
              <w:t>propagation</w:t>
            </w:r>
            <w:proofErr w:type="spellEnd"/>
            <w:r w:rsidRPr="000D3415">
              <w:t>).</w:t>
            </w:r>
          </w:p>
        </w:tc>
      </w:tr>
      <w:tr w:rsidR="00BD0B57" w:rsidRPr="000D3415" w14:paraId="45400005" w14:textId="77777777" w:rsidTr="00900E0D">
        <w:trPr>
          <w:trHeight w:val="324"/>
        </w:trPr>
        <w:tc>
          <w:tcPr>
            <w:tcW w:w="993" w:type="dxa"/>
            <w:shd w:val="clear" w:color="auto" w:fill="auto"/>
            <w:noWrap/>
          </w:tcPr>
          <w:p w14:paraId="7D7B28E2" w14:textId="77777777" w:rsidR="00BD0B57" w:rsidRPr="000D3415" w:rsidRDefault="00BD0B57" w:rsidP="00900E0D">
            <w:pPr>
              <w:rPr>
                <w:bCs/>
              </w:rPr>
            </w:pPr>
            <w:r w:rsidRPr="000D3415">
              <w:rPr>
                <w:bCs/>
              </w:rPr>
              <w:t>4.20.</w:t>
            </w:r>
          </w:p>
        </w:tc>
        <w:tc>
          <w:tcPr>
            <w:tcW w:w="2693" w:type="dxa"/>
          </w:tcPr>
          <w:p w14:paraId="78DC51C5" w14:textId="77777777" w:rsidR="00BD0B57" w:rsidRPr="000D3415" w:rsidRDefault="00BD0B57" w:rsidP="00900E0D">
            <w:pPr>
              <w:rPr>
                <w:rFonts w:eastAsia="Calibri"/>
                <w:lang w:eastAsia="en-US"/>
              </w:rPr>
            </w:pPr>
            <w:r w:rsidRPr="000D3415">
              <w:t>Lygiagrečios sesijos</w:t>
            </w:r>
          </w:p>
        </w:tc>
        <w:tc>
          <w:tcPr>
            <w:tcW w:w="10631" w:type="dxa"/>
          </w:tcPr>
          <w:p w14:paraId="3739F385" w14:textId="77777777" w:rsidR="00BD0B57" w:rsidRPr="000D3415" w:rsidRDefault="00BD0B57" w:rsidP="00900E0D">
            <w:pPr>
              <w:jc w:val="both"/>
              <w:rPr>
                <w:rFonts w:eastAsia="Calibri"/>
                <w:lang w:eastAsia="en-US"/>
              </w:rPr>
            </w:pPr>
            <w:r w:rsidRPr="000D3415">
              <w:t xml:space="preserve">Neribojamos, įrenginys privalo gebėti dirbti nesekdamas sesijų būsenos (angl. </w:t>
            </w:r>
            <w:proofErr w:type="spellStart"/>
            <w:r w:rsidRPr="000D3415">
              <w:t>stateless</w:t>
            </w:r>
            <w:proofErr w:type="spellEnd"/>
            <w:r w:rsidRPr="000D3415">
              <w:t>). Visi techninės specifikacijos reikalavimai turi būti įgyvendinti įrenginiui neribojant lygiagrečių sesijų skaičiaus.</w:t>
            </w:r>
          </w:p>
        </w:tc>
      </w:tr>
      <w:tr w:rsidR="00BD0B57" w:rsidRPr="000D3415" w14:paraId="594A91EF" w14:textId="77777777" w:rsidTr="00900E0D">
        <w:trPr>
          <w:trHeight w:val="324"/>
        </w:trPr>
        <w:tc>
          <w:tcPr>
            <w:tcW w:w="993" w:type="dxa"/>
            <w:shd w:val="clear" w:color="auto" w:fill="auto"/>
            <w:noWrap/>
          </w:tcPr>
          <w:p w14:paraId="434D9D54" w14:textId="77777777" w:rsidR="00BD0B57" w:rsidRPr="000D3415" w:rsidRDefault="00BD0B57" w:rsidP="00900E0D">
            <w:pPr>
              <w:rPr>
                <w:bCs/>
              </w:rPr>
            </w:pPr>
            <w:r w:rsidRPr="000D3415">
              <w:rPr>
                <w:bCs/>
              </w:rPr>
              <w:t>4.21.</w:t>
            </w:r>
          </w:p>
        </w:tc>
        <w:tc>
          <w:tcPr>
            <w:tcW w:w="2693" w:type="dxa"/>
          </w:tcPr>
          <w:p w14:paraId="13996D5F" w14:textId="77777777" w:rsidR="00BD0B57" w:rsidRPr="000D3415" w:rsidRDefault="00BD0B57" w:rsidP="00900E0D">
            <w:pPr>
              <w:rPr>
                <w:rFonts w:eastAsia="Calibri"/>
                <w:lang w:eastAsia="en-US"/>
              </w:rPr>
            </w:pPr>
            <w:r w:rsidRPr="000D3415">
              <w:t>Saugomo objektų grupavimas</w:t>
            </w:r>
          </w:p>
        </w:tc>
        <w:tc>
          <w:tcPr>
            <w:tcW w:w="10631" w:type="dxa"/>
          </w:tcPr>
          <w:p w14:paraId="00057E6D" w14:textId="77777777" w:rsidR="00BD0B57" w:rsidRPr="000D3415" w:rsidRDefault="00BD0B57" w:rsidP="00900E0D">
            <w:pPr>
              <w:jc w:val="both"/>
            </w:pPr>
            <w:r w:rsidRPr="000D3415">
              <w:t xml:space="preserve">Turi būti galima </w:t>
            </w:r>
            <w:proofErr w:type="spellStart"/>
            <w:r w:rsidRPr="000D3415">
              <w:t>DDoS</w:t>
            </w:r>
            <w:proofErr w:type="spellEnd"/>
            <w:r w:rsidRPr="000D3415">
              <w:t xml:space="preserve"> apsaugos taisykles ir filtrus taikyti saugomų objektų grupėms (pagal IP adresų blokus). Turi būti galima išjungti </w:t>
            </w:r>
            <w:proofErr w:type="spellStart"/>
            <w:r w:rsidRPr="000D3415">
              <w:t>DDoS</w:t>
            </w:r>
            <w:proofErr w:type="spellEnd"/>
            <w:r w:rsidRPr="000D3415">
              <w:t xml:space="preserve"> apsaugos taisykles ir filtravimą kiekvienai grupei atskirai. </w:t>
            </w:r>
          </w:p>
          <w:p w14:paraId="6DCFD5D1" w14:textId="77777777" w:rsidR="00BD0B57" w:rsidRPr="000D3415" w:rsidRDefault="00BD0B57" w:rsidP="00900E0D">
            <w:pPr>
              <w:jc w:val="both"/>
              <w:rPr>
                <w:rFonts w:eastAsia="Calibri"/>
                <w:lang w:eastAsia="en-US"/>
              </w:rPr>
            </w:pPr>
            <w:r w:rsidRPr="000D3415">
              <w:t>Saugomų grupių kiekis ne mažiau nei 100.</w:t>
            </w:r>
          </w:p>
        </w:tc>
      </w:tr>
      <w:tr w:rsidR="00BD0B57" w:rsidRPr="000D3415" w14:paraId="43443F70" w14:textId="77777777" w:rsidTr="00900E0D">
        <w:trPr>
          <w:trHeight w:val="324"/>
        </w:trPr>
        <w:tc>
          <w:tcPr>
            <w:tcW w:w="993" w:type="dxa"/>
            <w:shd w:val="clear" w:color="auto" w:fill="auto"/>
            <w:noWrap/>
          </w:tcPr>
          <w:p w14:paraId="1CCD71E4" w14:textId="77777777" w:rsidR="00BD0B57" w:rsidRPr="000D3415" w:rsidRDefault="00BD0B57" w:rsidP="00900E0D">
            <w:pPr>
              <w:rPr>
                <w:bCs/>
              </w:rPr>
            </w:pPr>
            <w:r w:rsidRPr="000D3415">
              <w:rPr>
                <w:bCs/>
              </w:rPr>
              <w:t>4.22.</w:t>
            </w:r>
          </w:p>
        </w:tc>
        <w:tc>
          <w:tcPr>
            <w:tcW w:w="2693" w:type="dxa"/>
          </w:tcPr>
          <w:p w14:paraId="1096F92B" w14:textId="77777777" w:rsidR="00BD0B57" w:rsidRPr="000D3415" w:rsidRDefault="00BD0B57" w:rsidP="00900E0D">
            <w:pPr>
              <w:rPr>
                <w:rFonts w:eastAsia="Calibri"/>
                <w:lang w:eastAsia="en-US"/>
              </w:rPr>
            </w:pPr>
            <w:proofErr w:type="spellStart"/>
            <w:r w:rsidRPr="000D3415">
              <w:rPr>
                <w:rFonts w:eastAsia="Calibri"/>
                <w:lang w:eastAsia="en-US"/>
              </w:rPr>
              <w:t>DDoS</w:t>
            </w:r>
            <w:proofErr w:type="spellEnd"/>
            <w:r w:rsidRPr="000D3415">
              <w:rPr>
                <w:rFonts w:eastAsia="Calibri"/>
                <w:lang w:eastAsia="en-US"/>
              </w:rPr>
              <w:t xml:space="preserve"> apsaugų atnaujinimas</w:t>
            </w:r>
          </w:p>
        </w:tc>
        <w:tc>
          <w:tcPr>
            <w:tcW w:w="10631" w:type="dxa"/>
          </w:tcPr>
          <w:p w14:paraId="0AE1A916" w14:textId="77777777" w:rsidR="00BD0B57" w:rsidRPr="000D3415" w:rsidRDefault="00BD0B57" w:rsidP="00900E0D">
            <w:pPr>
              <w:jc w:val="both"/>
              <w:rPr>
                <w:rFonts w:eastAsia="Calibri"/>
                <w:lang w:eastAsia="en-US"/>
              </w:rPr>
            </w:pPr>
            <w:r w:rsidRPr="000D3415">
              <w:rPr>
                <w:rFonts w:eastAsia="Calibri"/>
                <w:lang w:eastAsia="en-US"/>
              </w:rPr>
              <w:t xml:space="preserve">Automatiškai atnaujinami </w:t>
            </w:r>
            <w:proofErr w:type="spellStart"/>
            <w:r w:rsidRPr="000D3415">
              <w:rPr>
                <w:rFonts w:eastAsia="Calibri"/>
                <w:lang w:eastAsia="en-US"/>
              </w:rPr>
              <w:t>botnet</w:t>
            </w:r>
            <w:proofErr w:type="spellEnd"/>
            <w:r w:rsidRPr="000D3415">
              <w:rPr>
                <w:rFonts w:eastAsia="Calibri"/>
                <w:lang w:eastAsia="en-US"/>
              </w:rPr>
              <w:t xml:space="preserve"> tinklų sąrašai, </w:t>
            </w:r>
            <w:proofErr w:type="spellStart"/>
            <w:r w:rsidRPr="000D3415">
              <w:rPr>
                <w:rFonts w:eastAsia="Calibri"/>
                <w:lang w:eastAsia="en-US"/>
              </w:rPr>
              <w:t>DDoS</w:t>
            </w:r>
            <w:proofErr w:type="spellEnd"/>
            <w:r w:rsidRPr="000D3415">
              <w:rPr>
                <w:rFonts w:eastAsia="Calibri"/>
                <w:lang w:eastAsia="en-US"/>
              </w:rPr>
              <w:t xml:space="preserve"> atakų aprašai;</w:t>
            </w:r>
          </w:p>
          <w:p w14:paraId="0E2068E4" w14:textId="77777777" w:rsidR="00BD0B57" w:rsidRPr="000D3415" w:rsidRDefault="00BD0B57" w:rsidP="00900E0D">
            <w:pPr>
              <w:jc w:val="both"/>
              <w:rPr>
                <w:rFonts w:eastAsia="Calibri"/>
                <w:lang w:eastAsia="en-US"/>
              </w:rPr>
            </w:pPr>
            <w:r w:rsidRPr="000D3415">
              <w:rPr>
                <w:rFonts w:eastAsia="Calibri"/>
                <w:lang w:eastAsia="en-US"/>
              </w:rPr>
              <w:t>• gamintojas turi turėti saugumo komandą, kuri galėtų identifikuoti aktyvias grėsmes nukreiptas prieš Perkančiąją organizaciją. Kilus tokiai grėsmei klientas turi būti informuotas ir jam turi būti suteikta svarbi informacija (pvz., atakos tipas, tikslinis IP adresas, domenas);</w:t>
            </w:r>
          </w:p>
          <w:p w14:paraId="0C64B9A4" w14:textId="77777777" w:rsidR="00BD0B57" w:rsidRPr="000D3415" w:rsidRDefault="00BD0B57" w:rsidP="00900E0D">
            <w:pPr>
              <w:jc w:val="both"/>
              <w:rPr>
                <w:rFonts w:eastAsia="Calibri"/>
                <w:lang w:eastAsia="en-US"/>
              </w:rPr>
            </w:pPr>
            <w:r w:rsidRPr="000D3415">
              <w:rPr>
                <w:rFonts w:eastAsia="Calibri"/>
                <w:lang w:eastAsia="en-US"/>
              </w:rPr>
              <w:t xml:space="preserve">• turi gebėti blokuoti domenus, </w:t>
            </w:r>
            <w:proofErr w:type="spellStart"/>
            <w:r w:rsidRPr="000D3415">
              <w:rPr>
                <w:rFonts w:eastAsia="Calibri"/>
                <w:lang w:eastAsia="en-US"/>
              </w:rPr>
              <w:t>ip</w:t>
            </w:r>
            <w:proofErr w:type="spellEnd"/>
            <w:r w:rsidRPr="000D3415">
              <w:rPr>
                <w:rFonts w:eastAsia="Calibri"/>
                <w:lang w:eastAsia="en-US"/>
              </w:rPr>
              <w:t xml:space="preserve"> adresus susijusius su žinomomis kenkėjiškomis programomis;</w:t>
            </w:r>
          </w:p>
          <w:p w14:paraId="0F326EA5" w14:textId="77777777" w:rsidR="00BD0B57" w:rsidRPr="000D3415" w:rsidRDefault="00BD0B57" w:rsidP="00900E0D">
            <w:pPr>
              <w:jc w:val="both"/>
              <w:rPr>
                <w:rFonts w:eastAsia="Calibri"/>
                <w:lang w:eastAsia="en-US"/>
              </w:rPr>
            </w:pPr>
            <w:r>
              <w:rPr>
                <w:rFonts w:eastAsia="Calibri"/>
                <w:lang w:eastAsia="en-US"/>
              </w:rPr>
              <w:t>• turi gebėti blokuoti ske</w:t>
            </w:r>
            <w:r w:rsidRPr="000D3415">
              <w:rPr>
                <w:rFonts w:eastAsia="Calibri"/>
                <w:lang w:eastAsia="en-US"/>
              </w:rPr>
              <w:t>navimus iš išorės.</w:t>
            </w:r>
          </w:p>
          <w:p w14:paraId="1CCB6DE9" w14:textId="77777777" w:rsidR="00BD0B57" w:rsidRPr="000D3415" w:rsidRDefault="00BD0B57" w:rsidP="00900E0D">
            <w:pPr>
              <w:jc w:val="both"/>
              <w:rPr>
                <w:rFonts w:eastAsia="Calibri"/>
                <w:lang w:eastAsia="en-US"/>
              </w:rPr>
            </w:pPr>
            <w:r w:rsidRPr="000D3415">
              <w:rPr>
                <w:rFonts w:eastAsia="Calibri"/>
                <w:lang w:eastAsia="en-US"/>
              </w:rPr>
              <w:t>Jei atnaujinimai yra mokami, į įrenginio kainą privaloma įskaičiuoti visas reikalingas licencijas taisyklių atnaujinimui garantinio įrenginio terminui.</w:t>
            </w:r>
          </w:p>
        </w:tc>
      </w:tr>
      <w:tr w:rsidR="00BD0B57" w:rsidRPr="000D3415" w14:paraId="56D2307C" w14:textId="77777777" w:rsidTr="00900E0D">
        <w:trPr>
          <w:trHeight w:val="324"/>
        </w:trPr>
        <w:tc>
          <w:tcPr>
            <w:tcW w:w="993" w:type="dxa"/>
            <w:shd w:val="clear" w:color="auto" w:fill="auto"/>
            <w:noWrap/>
          </w:tcPr>
          <w:p w14:paraId="2C428394" w14:textId="77777777" w:rsidR="00BD0B57" w:rsidRPr="000D3415" w:rsidRDefault="00BD0B57" w:rsidP="00900E0D">
            <w:pPr>
              <w:rPr>
                <w:bCs/>
              </w:rPr>
            </w:pPr>
            <w:r w:rsidRPr="000D3415">
              <w:rPr>
                <w:bCs/>
              </w:rPr>
              <w:t>4.23.</w:t>
            </w:r>
          </w:p>
        </w:tc>
        <w:tc>
          <w:tcPr>
            <w:tcW w:w="2693" w:type="dxa"/>
            <w:vAlign w:val="center"/>
          </w:tcPr>
          <w:p w14:paraId="0EBEA115" w14:textId="77777777" w:rsidR="00BD0B57" w:rsidRPr="000D3415" w:rsidRDefault="00BD0B57" w:rsidP="00900E0D">
            <w:pPr>
              <w:jc w:val="both"/>
              <w:rPr>
                <w:rFonts w:eastAsia="Calibri"/>
                <w:lang w:eastAsia="en-US"/>
              </w:rPr>
            </w:pPr>
            <w:proofErr w:type="spellStart"/>
            <w:r w:rsidRPr="000D3415">
              <w:rPr>
                <w:rFonts w:eastAsia="Calibri"/>
                <w:lang w:eastAsia="en-US"/>
              </w:rPr>
              <w:t>DDoS</w:t>
            </w:r>
            <w:proofErr w:type="spellEnd"/>
            <w:r w:rsidRPr="000D3415">
              <w:rPr>
                <w:rFonts w:eastAsia="Calibri"/>
                <w:lang w:eastAsia="en-US"/>
              </w:rPr>
              <w:t xml:space="preserve"> atakų aptikimas ir filtravimas</w:t>
            </w:r>
          </w:p>
        </w:tc>
        <w:tc>
          <w:tcPr>
            <w:tcW w:w="10631" w:type="dxa"/>
            <w:vAlign w:val="center"/>
          </w:tcPr>
          <w:p w14:paraId="42364DB6" w14:textId="77777777" w:rsidR="00BD0B57" w:rsidRPr="008E24ED" w:rsidRDefault="00BD0B57" w:rsidP="00900E0D">
            <w:pPr>
              <w:jc w:val="both"/>
              <w:rPr>
                <w:rFonts w:eastAsia="Calibri"/>
                <w:lang w:eastAsia="en-US"/>
              </w:rPr>
            </w:pPr>
            <w:r w:rsidRPr="008E24ED">
              <w:rPr>
                <w:rFonts w:eastAsia="Calibri"/>
                <w:lang w:eastAsia="en-US"/>
              </w:rPr>
              <w:t>Atakų tipų atpažinimas ir filtravimas:</w:t>
            </w:r>
          </w:p>
          <w:p w14:paraId="385029F7"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CDN </w:t>
            </w:r>
            <w:proofErr w:type="spellStart"/>
            <w:r w:rsidRPr="008E24ED">
              <w:rPr>
                <w:rFonts w:eastAsia="Calibri"/>
                <w:lang w:eastAsia="en-US"/>
              </w:rPr>
              <w:t>and</w:t>
            </w:r>
            <w:proofErr w:type="spellEnd"/>
            <w:r w:rsidRPr="008E24ED">
              <w:rPr>
                <w:rFonts w:eastAsia="Calibri"/>
                <w:lang w:eastAsia="en-US"/>
              </w:rPr>
              <w:t xml:space="preserve"> Proxy </w:t>
            </w:r>
            <w:proofErr w:type="spellStart"/>
            <w:r w:rsidRPr="008E24ED">
              <w:rPr>
                <w:rFonts w:eastAsia="Calibri"/>
                <w:lang w:eastAsia="en-US"/>
              </w:rPr>
              <w:t>Support</w:t>
            </w:r>
            <w:proofErr w:type="spellEnd"/>
            <w:r w:rsidRPr="008E24ED">
              <w:rPr>
                <w:rFonts w:eastAsia="Calibri"/>
                <w:lang w:eastAsia="en-US"/>
              </w:rPr>
              <w:t>;</w:t>
            </w:r>
          </w:p>
          <w:p w14:paraId="7666C351"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ICMP </w:t>
            </w:r>
            <w:proofErr w:type="spellStart"/>
            <w:r w:rsidRPr="008E24ED">
              <w:rPr>
                <w:rFonts w:eastAsia="Calibri"/>
                <w:lang w:eastAsia="en-US"/>
              </w:rPr>
              <w:t>Flood</w:t>
            </w:r>
            <w:proofErr w:type="spellEnd"/>
            <w:r w:rsidRPr="008E24ED">
              <w:rPr>
                <w:rFonts w:eastAsia="Calibri"/>
                <w:lang w:eastAsia="en-US"/>
              </w:rPr>
              <w:t xml:space="preserve"> </w:t>
            </w:r>
            <w:proofErr w:type="spellStart"/>
            <w:r w:rsidRPr="008E24ED">
              <w:rPr>
                <w:rFonts w:eastAsia="Calibri"/>
                <w:lang w:eastAsia="en-US"/>
              </w:rPr>
              <w:t>Detection</w:t>
            </w:r>
            <w:proofErr w:type="spellEnd"/>
            <w:r w:rsidRPr="008E24ED">
              <w:rPr>
                <w:rFonts w:eastAsia="Calibri"/>
                <w:lang w:eastAsia="en-US"/>
              </w:rPr>
              <w:t>;</w:t>
            </w:r>
          </w:p>
          <w:p w14:paraId="5F5FEB6B"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Filter</w:t>
            </w:r>
            <w:proofErr w:type="spellEnd"/>
            <w:r w:rsidRPr="008E24ED">
              <w:rPr>
                <w:rFonts w:eastAsia="Calibri"/>
                <w:lang w:eastAsia="en-US"/>
              </w:rPr>
              <w:t xml:space="preserve"> </w:t>
            </w:r>
            <w:proofErr w:type="spellStart"/>
            <w:r w:rsidRPr="008E24ED">
              <w:rPr>
                <w:rFonts w:eastAsia="Calibri"/>
                <w:lang w:eastAsia="en-US"/>
              </w:rPr>
              <w:t>List</w:t>
            </w:r>
            <w:proofErr w:type="spellEnd"/>
            <w:r w:rsidRPr="008E24ED">
              <w:rPr>
                <w:rFonts w:eastAsia="Calibri"/>
                <w:lang w:eastAsia="en-US"/>
              </w:rPr>
              <w:t xml:space="preserve">;  </w:t>
            </w:r>
          </w:p>
          <w:p w14:paraId="7DD73E69"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Flexible</w:t>
            </w:r>
            <w:proofErr w:type="spellEnd"/>
            <w:r w:rsidRPr="008E24ED">
              <w:rPr>
                <w:rFonts w:eastAsia="Calibri"/>
                <w:lang w:eastAsia="en-US"/>
              </w:rPr>
              <w:t xml:space="preserve"> </w:t>
            </w:r>
            <w:proofErr w:type="spellStart"/>
            <w:r w:rsidRPr="008E24ED">
              <w:rPr>
                <w:rFonts w:eastAsia="Calibri"/>
                <w:lang w:eastAsia="en-US"/>
              </w:rPr>
              <w:t>Ratebased</w:t>
            </w:r>
            <w:proofErr w:type="spellEnd"/>
            <w:r w:rsidRPr="008E24ED">
              <w:rPr>
                <w:rFonts w:eastAsia="Calibri"/>
                <w:lang w:eastAsia="en-US"/>
              </w:rPr>
              <w:t xml:space="preserve"> </w:t>
            </w:r>
            <w:proofErr w:type="spellStart"/>
            <w:r w:rsidRPr="008E24ED">
              <w:rPr>
                <w:rFonts w:eastAsia="Calibri"/>
                <w:lang w:eastAsia="en-US"/>
              </w:rPr>
              <w:t>Blocking</w:t>
            </w:r>
            <w:proofErr w:type="spellEnd"/>
            <w:r w:rsidRPr="008E24ED">
              <w:rPr>
                <w:rFonts w:eastAsia="Calibri"/>
                <w:lang w:eastAsia="en-US"/>
              </w:rPr>
              <w:t xml:space="preserve">; </w:t>
            </w:r>
          </w:p>
          <w:p w14:paraId="45823A7B"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Fragment</w:t>
            </w:r>
            <w:proofErr w:type="spellEnd"/>
            <w:r w:rsidRPr="008E24ED">
              <w:rPr>
                <w:rFonts w:eastAsia="Calibri"/>
                <w:lang w:eastAsia="en-US"/>
              </w:rPr>
              <w:t xml:space="preserve"> </w:t>
            </w:r>
            <w:proofErr w:type="spellStart"/>
            <w:r w:rsidRPr="008E24ED">
              <w:rPr>
                <w:rFonts w:eastAsia="Calibri"/>
                <w:lang w:eastAsia="en-US"/>
              </w:rPr>
              <w:t>Detection</w:t>
            </w:r>
            <w:proofErr w:type="spellEnd"/>
            <w:r w:rsidRPr="008E24ED">
              <w:rPr>
                <w:rFonts w:eastAsia="Calibri"/>
                <w:lang w:eastAsia="en-US"/>
              </w:rPr>
              <w:t xml:space="preserve">; </w:t>
            </w:r>
          </w:p>
          <w:p w14:paraId="300A4FBC"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HTTP </w:t>
            </w:r>
            <w:proofErr w:type="spellStart"/>
            <w:r w:rsidRPr="008E24ED">
              <w:rPr>
                <w:rFonts w:eastAsia="Calibri"/>
                <w:lang w:eastAsia="en-US"/>
              </w:rPr>
              <w:t>Header</w:t>
            </w:r>
            <w:proofErr w:type="spellEnd"/>
            <w:r w:rsidRPr="008E24ED">
              <w:rPr>
                <w:rFonts w:eastAsia="Calibri"/>
                <w:lang w:eastAsia="en-US"/>
              </w:rPr>
              <w:t xml:space="preserve"> </w:t>
            </w:r>
            <w:proofErr w:type="spellStart"/>
            <w:r w:rsidRPr="008E24ED">
              <w:rPr>
                <w:rFonts w:eastAsia="Calibri"/>
                <w:lang w:eastAsia="en-US"/>
              </w:rPr>
              <w:t>Regular</w:t>
            </w:r>
            <w:proofErr w:type="spellEnd"/>
            <w:r w:rsidRPr="008E24ED">
              <w:rPr>
                <w:rFonts w:eastAsia="Calibri"/>
                <w:lang w:eastAsia="en-US"/>
              </w:rPr>
              <w:t xml:space="preserve"> </w:t>
            </w:r>
            <w:proofErr w:type="spellStart"/>
            <w:r w:rsidRPr="008E24ED">
              <w:rPr>
                <w:rFonts w:eastAsia="Calibri"/>
                <w:lang w:eastAsia="en-US"/>
              </w:rPr>
              <w:t>Expressions</w:t>
            </w:r>
            <w:proofErr w:type="spellEnd"/>
            <w:r w:rsidRPr="008E24ED">
              <w:rPr>
                <w:rFonts w:eastAsia="Calibri"/>
                <w:lang w:eastAsia="en-US"/>
              </w:rPr>
              <w:t>;</w:t>
            </w:r>
          </w:p>
          <w:p w14:paraId="16A1AAFA" w14:textId="77777777" w:rsidR="00BD0B57" w:rsidRPr="008E24ED" w:rsidRDefault="00BD0B57" w:rsidP="00900E0D">
            <w:pPr>
              <w:jc w:val="both"/>
              <w:rPr>
                <w:rFonts w:eastAsia="Calibri"/>
                <w:lang w:eastAsia="en-US"/>
              </w:rPr>
            </w:pPr>
            <w:r w:rsidRPr="008E24ED">
              <w:rPr>
                <w:rFonts w:eastAsia="Calibri"/>
                <w:lang w:eastAsia="en-US"/>
              </w:rPr>
              <w:lastRenderedPageBreak/>
              <w:t>•</w:t>
            </w:r>
            <w:r w:rsidRPr="008E24ED">
              <w:rPr>
                <w:rFonts w:eastAsia="Calibri"/>
                <w:lang w:eastAsia="en-US"/>
              </w:rPr>
              <w:tab/>
              <w:t xml:space="preserve">UDP </w:t>
            </w:r>
            <w:proofErr w:type="spellStart"/>
            <w:r w:rsidRPr="008E24ED">
              <w:rPr>
                <w:rFonts w:eastAsia="Calibri"/>
                <w:lang w:eastAsia="en-US"/>
              </w:rPr>
              <w:t>Flood</w:t>
            </w:r>
            <w:proofErr w:type="spellEnd"/>
            <w:r w:rsidRPr="008E24ED">
              <w:rPr>
                <w:rFonts w:eastAsia="Calibri"/>
                <w:lang w:eastAsia="en-US"/>
              </w:rPr>
              <w:t xml:space="preserve"> </w:t>
            </w:r>
            <w:proofErr w:type="spellStart"/>
            <w:r w:rsidRPr="008E24ED">
              <w:rPr>
                <w:rFonts w:eastAsia="Calibri"/>
                <w:lang w:eastAsia="en-US"/>
              </w:rPr>
              <w:t>Detection</w:t>
            </w:r>
            <w:proofErr w:type="spellEnd"/>
            <w:r w:rsidRPr="008E24ED">
              <w:rPr>
                <w:rFonts w:eastAsia="Calibri"/>
                <w:lang w:eastAsia="en-US"/>
              </w:rPr>
              <w:t xml:space="preserve">; </w:t>
            </w:r>
          </w:p>
          <w:p w14:paraId="5328FDD4"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DNS </w:t>
            </w:r>
            <w:proofErr w:type="spellStart"/>
            <w:r w:rsidRPr="008E24ED">
              <w:rPr>
                <w:rFonts w:eastAsia="Calibri"/>
                <w:lang w:eastAsia="en-US"/>
              </w:rPr>
              <w:t>Authentication</w:t>
            </w:r>
            <w:proofErr w:type="spellEnd"/>
            <w:r w:rsidRPr="008E24ED">
              <w:rPr>
                <w:rFonts w:eastAsia="Calibri"/>
                <w:lang w:eastAsia="en-US"/>
              </w:rPr>
              <w:t xml:space="preserve">; </w:t>
            </w:r>
          </w:p>
          <w:p w14:paraId="669E9304"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DNS </w:t>
            </w:r>
            <w:proofErr w:type="spellStart"/>
            <w:r w:rsidRPr="008E24ED">
              <w:rPr>
                <w:rFonts w:eastAsia="Calibri"/>
                <w:lang w:eastAsia="en-US"/>
              </w:rPr>
              <w:t>NXDomain</w:t>
            </w:r>
            <w:proofErr w:type="spellEnd"/>
            <w:r w:rsidRPr="008E24ED">
              <w:rPr>
                <w:rFonts w:eastAsia="Calibri"/>
                <w:lang w:eastAsia="en-US"/>
              </w:rPr>
              <w:t xml:space="preserve"> Rate </w:t>
            </w:r>
            <w:proofErr w:type="spellStart"/>
            <w:r w:rsidRPr="008E24ED">
              <w:rPr>
                <w:rFonts w:eastAsia="Calibri"/>
                <w:lang w:eastAsia="en-US"/>
              </w:rPr>
              <w:t>Limiting</w:t>
            </w:r>
            <w:proofErr w:type="spellEnd"/>
            <w:r w:rsidRPr="008E24ED">
              <w:rPr>
                <w:rFonts w:eastAsia="Calibri"/>
                <w:lang w:eastAsia="en-US"/>
              </w:rPr>
              <w:t>;</w:t>
            </w:r>
          </w:p>
          <w:p w14:paraId="6C7AFAF5"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Traffic</w:t>
            </w:r>
            <w:proofErr w:type="spellEnd"/>
            <w:r w:rsidRPr="008E24ED">
              <w:rPr>
                <w:rFonts w:eastAsia="Calibri"/>
                <w:lang w:eastAsia="en-US"/>
              </w:rPr>
              <w:t xml:space="preserve"> </w:t>
            </w:r>
            <w:proofErr w:type="spellStart"/>
            <w:r w:rsidRPr="008E24ED">
              <w:rPr>
                <w:rFonts w:eastAsia="Calibri"/>
                <w:lang w:eastAsia="en-US"/>
              </w:rPr>
              <w:t>Shaping</w:t>
            </w:r>
            <w:proofErr w:type="spellEnd"/>
            <w:r w:rsidRPr="008E24ED">
              <w:rPr>
                <w:rFonts w:eastAsia="Calibri"/>
                <w:lang w:eastAsia="en-US"/>
              </w:rPr>
              <w:t>;</w:t>
            </w:r>
          </w:p>
          <w:p w14:paraId="44FA8888"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DNS Rate </w:t>
            </w:r>
            <w:proofErr w:type="spellStart"/>
            <w:r w:rsidRPr="008E24ED">
              <w:rPr>
                <w:rFonts w:eastAsia="Calibri"/>
                <w:lang w:eastAsia="en-US"/>
              </w:rPr>
              <w:t>Limiting</w:t>
            </w:r>
            <w:proofErr w:type="spellEnd"/>
            <w:r w:rsidRPr="008E24ED">
              <w:rPr>
                <w:rFonts w:eastAsia="Calibri"/>
                <w:lang w:eastAsia="en-US"/>
              </w:rPr>
              <w:t xml:space="preserve">; </w:t>
            </w:r>
          </w:p>
          <w:p w14:paraId="5A54A93D"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Block</w:t>
            </w:r>
            <w:proofErr w:type="spellEnd"/>
            <w:r w:rsidRPr="008E24ED">
              <w:rPr>
                <w:rFonts w:eastAsia="Calibri"/>
                <w:lang w:eastAsia="en-US"/>
              </w:rPr>
              <w:t xml:space="preserve"> </w:t>
            </w:r>
            <w:proofErr w:type="spellStart"/>
            <w:r w:rsidRPr="008E24ED">
              <w:rPr>
                <w:rFonts w:eastAsia="Calibri"/>
                <w:lang w:eastAsia="en-US"/>
              </w:rPr>
              <w:t>Malformed</w:t>
            </w:r>
            <w:proofErr w:type="spellEnd"/>
            <w:r w:rsidRPr="008E24ED">
              <w:rPr>
                <w:rFonts w:eastAsia="Calibri"/>
                <w:lang w:eastAsia="en-US"/>
              </w:rPr>
              <w:t xml:space="preserve"> DNS </w:t>
            </w:r>
            <w:proofErr w:type="spellStart"/>
            <w:r w:rsidRPr="008E24ED">
              <w:rPr>
                <w:rFonts w:eastAsia="Calibri"/>
                <w:lang w:eastAsia="en-US"/>
              </w:rPr>
              <w:t>Traffic</w:t>
            </w:r>
            <w:proofErr w:type="spellEnd"/>
            <w:r w:rsidRPr="008E24ED">
              <w:rPr>
                <w:rFonts w:eastAsia="Calibri"/>
                <w:lang w:eastAsia="en-US"/>
              </w:rPr>
              <w:t>;</w:t>
            </w:r>
          </w:p>
          <w:p w14:paraId="7CED6F36"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DNS </w:t>
            </w:r>
            <w:proofErr w:type="spellStart"/>
            <w:r w:rsidRPr="008E24ED">
              <w:rPr>
                <w:rFonts w:eastAsia="Calibri"/>
                <w:lang w:eastAsia="en-US"/>
              </w:rPr>
              <w:t>Regular</w:t>
            </w:r>
            <w:proofErr w:type="spellEnd"/>
            <w:r w:rsidRPr="008E24ED">
              <w:rPr>
                <w:rFonts w:eastAsia="Calibri"/>
                <w:lang w:eastAsia="en-US"/>
              </w:rPr>
              <w:t xml:space="preserve"> </w:t>
            </w:r>
            <w:proofErr w:type="spellStart"/>
            <w:r w:rsidRPr="008E24ED">
              <w:rPr>
                <w:rFonts w:eastAsia="Calibri"/>
                <w:lang w:eastAsia="en-US"/>
              </w:rPr>
              <w:t>Expression</w:t>
            </w:r>
            <w:proofErr w:type="spellEnd"/>
            <w:r w:rsidRPr="008E24ED">
              <w:rPr>
                <w:rFonts w:eastAsia="Calibri"/>
                <w:lang w:eastAsia="en-US"/>
              </w:rPr>
              <w:t>;</w:t>
            </w:r>
          </w:p>
          <w:p w14:paraId="3BD05398"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HTTP Rate </w:t>
            </w:r>
            <w:proofErr w:type="spellStart"/>
            <w:r w:rsidRPr="008E24ED">
              <w:rPr>
                <w:rFonts w:eastAsia="Calibri"/>
                <w:lang w:eastAsia="en-US"/>
              </w:rPr>
              <w:t>Limiting</w:t>
            </w:r>
            <w:proofErr w:type="spellEnd"/>
            <w:r w:rsidRPr="008E24ED">
              <w:rPr>
                <w:rFonts w:eastAsia="Calibri"/>
                <w:lang w:eastAsia="en-US"/>
              </w:rPr>
              <w:t xml:space="preserve">; </w:t>
            </w:r>
          </w:p>
          <w:p w14:paraId="4223B421"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HTTP </w:t>
            </w:r>
            <w:proofErr w:type="spellStart"/>
            <w:r w:rsidRPr="008E24ED">
              <w:rPr>
                <w:rFonts w:eastAsia="Calibri"/>
                <w:lang w:eastAsia="en-US"/>
              </w:rPr>
              <w:t>Reporting</w:t>
            </w:r>
            <w:proofErr w:type="spellEnd"/>
            <w:r w:rsidRPr="008E24ED">
              <w:rPr>
                <w:rFonts w:eastAsia="Calibri"/>
                <w:lang w:eastAsia="en-US"/>
              </w:rPr>
              <w:t xml:space="preserve">; </w:t>
            </w:r>
          </w:p>
          <w:p w14:paraId="6EC21B85"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Malformed</w:t>
            </w:r>
            <w:proofErr w:type="spellEnd"/>
            <w:r w:rsidRPr="008E24ED">
              <w:rPr>
                <w:rFonts w:eastAsia="Calibri"/>
                <w:lang w:eastAsia="en-US"/>
              </w:rPr>
              <w:t xml:space="preserve"> HTTP </w:t>
            </w:r>
            <w:proofErr w:type="spellStart"/>
            <w:r w:rsidRPr="008E24ED">
              <w:rPr>
                <w:rFonts w:eastAsia="Calibri"/>
                <w:lang w:eastAsia="en-US"/>
              </w:rPr>
              <w:t>Filtering</w:t>
            </w:r>
            <w:proofErr w:type="spellEnd"/>
            <w:r w:rsidRPr="008E24ED">
              <w:rPr>
                <w:rFonts w:eastAsia="Calibri"/>
                <w:lang w:eastAsia="en-US"/>
              </w:rPr>
              <w:t>;</w:t>
            </w:r>
          </w:p>
          <w:p w14:paraId="27A6ACBD"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TCP </w:t>
            </w:r>
            <w:proofErr w:type="spellStart"/>
            <w:r w:rsidRPr="008E24ED">
              <w:rPr>
                <w:rFonts w:eastAsia="Calibri"/>
                <w:lang w:eastAsia="en-US"/>
              </w:rPr>
              <w:t>Connection</w:t>
            </w:r>
            <w:proofErr w:type="spellEnd"/>
            <w:r w:rsidRPr="008E24ED">
              <w:rPr>
                <w:rFonts w:eastAsia="Calibri"/>
                <w:lang w:eastAsia="en-US"/>
              </w:rPr>
              <w:t xml:space="preserve"> </w:t>
            </w:r>
            <w:proofErr w:type="spellStart"/>
            <w:r w:rsidRPr="008E24ED">
              <w:rPr>
                <w:rFonts w:eastAsia="Calibri"/>
                <w:lang w:eastAsia="en-US"/>
              </w:rPr>
              <w:t>Reset</w:t>
            </w:r>
            <w:proofErr w:type="spellEnd"/>
            <w:r w:rsidRPr="008E24ED">
              <w:rPr>
                <w:rFonts w:eastAsia="Calibri"/>
                <w:lang w:eastAsia="en-US"/>
              </w:rPr>
              <w:t>;</w:t>
            </w:r>
          </w:p>
          <w:p w14:paraId="403D8608"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Multicast</w:t>
            </w:r>
            <w:proofErr w:type="spellEnd"/>
            <w:r w:rsidRPr="008E24ED">
              <w:rPr>
                <w:rFonts w:eastAsia="Calibri"/>
                <w:lang w:eastAsia="en-US"/>
              </w:rPr>
              <w:t xml:space="preserve"> </w:t>
            </w:r>
            <w:proofErr w:type="spellStart"/>
            <w:r w:rsidRPr="008E24ED">
              <w:rPr>
                <w:rFonts w:eastAsia="Calibri"/>
                <w:lang w:eastAsia="en-US"/>
              </w:rPr>
              <w:t>Blocking</w:t>
            </w:r>
            <w:proofErr w:type="spellEnd"/>
            <w:r w:rsidRPr="008E24ED">
              <w:rPr>
                <w:rFonts w:eastAsia="Calibri"/>
                <w:lang w:eastAsia="en-US"/>
              </w:rPr>
              <w:t xml:space="preserve">; </w:t>
            </w:r>
          </w:p>
          <w:p w14:paraId="134BC3AA"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Private</w:t>
            </w:r>
            <w:proofErr w:type="spellEnd"/>
            <w:r w:rsidRPr="008E24ED">
              <w:rPr>
                <w:rFonts w:eastAsia="Calibri"/>
                <w:lang w:eastAsia="en-US"/>
              </w:rPr>
              <w:t xml:space="preserve"> </w:t>
            </w:r>
            <w:proofErr w:type="spellStart"/>
            <w:r w:rsidRPr="008E24ED">
              <w:rPr>
                <w:rFonts w:eastAsia="Calibri"/>
                <w:lang w:eastAsia="en-US"/>
              </w:rPr>
              <w:t>Address</w:t>
            </w:r>
            <w:proofErr w:type="spellEnd"/>
            <w:r w:rsidRPr="008E24ED">
              <w:rPr>
                <w:rFonts w:eastAsia="Calibri"/>
                <w:lang w:eastAsia="en-US"/>
              </w:rPr>
              <w:t xml:space="preserve"> </w:t>
            </w:r>
            <w:proofErr w:type="spellStart"/>
            <w:r w:rsidRPr="008E24ED">
              <w:rPr>
                <w:rFonts w:eastAsia="Calibri"/>
                <w:lang w:eastAsia="en-US"/>
              </w:rPr>
              <w:t>Blocking</w:t>
            </w:r>
            <w:proofErr w:type="spellEnd"/>
            <w:r w:rsidRPr="008E24ED">
              <w:rPr>
                <w:rFonts w:eastAsia="Calibri"/>
                <w:lang w:eastAsia="en-US"/>
              </w:rPr>
              <w:t>;</w:t>
            </w:r>
          </w:p>
          <w:p w14:paraId="5C9E13AB"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SIP </w:t>
            </w:r>
            <w:proofErr w:type="spellStart"/>
            <w:r w:rsidRPr="008E24ED">
              <w:rPr>
                <w:rFonts w:eastAsia="Calibri"/>
                <w:lang w:eastAsia="en-US"/>
              </w:rPr>
              <w:t>Request</w:t>
            </w:r>
            <w:proofErr w:type="spellEnd"/>
            <w:r w:rsidRPr="008E24ED">
              <w:rPr>
                <w:rFonts w:eastAsia="Calibri"/>
                <w:lang w:eastAsia="en-US"/>
              </w:rPr>
              <w:t xml:space="preserve"> </w:t>
            </w:r>
            <w:proofErr w:type="spellStart"/>
            <w:r w:rsidRPr="008E24ED">
              <w:rPr>
                <w:rFonts w:eastAsia="Calibri"/>
                <w:lang w:eastAsia="en-US"/>
              </w:rPr>
              <w:t>Limiting</w:t>
            </w:r>
            <w:proofErr w:type="spellEnd"/>
            <w:r w:rsidRPr="008E24ED">
              <w:rPr>
                <w:rFonts w:eastAsia="Calibri"/>
                <w:lang w:eastAsia="en-US"/>
              </w:rPr>
              <w:t xml:space="preserve">; </w:t>
            </w:r>
          </w:p>
          <w:p w14:paraId="376568D4"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Spoofed</w:t>
            </w:r>
            <w:proofErr w:type="spellEnd"/>
            <w:r w:rsidRPr="008E24ED">
              <w:rPr>
                <w:rFonts w:eastAsia="Calibri"/>
                <w:lang w:eastAsia="en-US"/>
              </w:rPr>
              <w:t xml:space="preserve"> SYN </w:t>
            </w:r>
            <w:proofErr w:type="spellStart"/>
            <w:r w:rsidRPr="008E24ED">
              <w:rPr>
                <w:rFonts w:eastAsia="Calibri"/>
                <w:lang w:eastAsia="en-US"/>
              </w:rPr>
              <w:t>Flood</w:t>
            </w:r>
            <w:proofErr w:type="spellEnd"/>
            <w:r w:rsidRPr="008E24ED">
              <w:rPr>
                <w:rFonts w:eastAsia="Calibri"/>
                <w:lang w:eastAsia="en-US"/>
              </w:rPr>
              <w:t xml:space="preserve"> </w:t>
            </w:r>
            <w:proofErr w:type="spellStart"/>
            <w:r w:rsidRPr="008E24ED">
              <w:rPr>
                <w:rFonts w:eastAsia="Calibri"/>
                <w:lang w:eastAsia="en-US"/>
              </w:rPr>
              <w:t>Prevention</w:t>
            </w:r>
            <w:proofErr w:type="spellEnd"/>
            <w:r w:rsidRPr="008E24ED">
              <w:rPr>
                <w:rFonts w:eastAsia="Calibri"/>
                <w:lang w:eastAsia="en-US"/>
              </w:rPr>
              <w:t>;</w:t>
            </w:r>
          </w:p>
          <w:p w14:paraId="48736176"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r>
            <w:proofErr w:type="spellStart"/>
            <w:r w:rsidRPr="008E24ED">
              <w:rPr>
                <w:rFonts w:eastAsia="Calibri"/>
                <w:lang w:eastAsia="en-US"/>
              </w:rPr>
              <w:t>Block</w:t>
            </w:r>
            <w:proofErr w:type="spellEnd"/>
            <w:r w:rsidRPr="008E24ED">
              <w:rPr>
                <w:rFonts w:eastAsia="Calibri"/>
                <w:lang w:eastAsia="en-US"/>
              </w:rPr>
              <w:t xml:space="preserve"> </w:t>
            </w:r>
            <w:proofErr w:type="spellStart"/>
            <w:r w:rsidRPr="008E24ED">
              <w:rPr>
                <w:rFonts w:eastAsia="Calibri"/>
                <w:lang w:eastAsia="en-US"/>
              </w:rPr>
              <w:t>Malformed</w:t>
            </w:r>
            <w:proofErr w:type="spellEnd"/>
            <w:r w:rsidRPr="008E24ED">
              <w:rPr>
                <w:rFonts w:eastAsia="Calibri"/>
                <w:lang w:eastAsia="en-US"/>
              </w:rPr>
              <w:t xml:space="preserve"> SIP </w:t>
            </w:r>
            <w:proofErr w:type="spellStart"/>
            <w:r w:rsidRPr="008E24ED">
              <w:rPr>
                <w:rFonts w:eastAsia="Calibri"/>
                <w:lang w:eastAsia="en-US"/>
              </w:rPr>
              <w:t>Traffic</w:t>
            </w:r>
            <w:proofErr w:type="spellEnd"/>
            <w:r w:rsidRPr="008E24ED">
              <w:rPr>
                <w:rFonts w:eastAsia="Calibri"/>
                <w:lang w:eastAsia="en-US"/>
              </w:rPr>
              <w:t>;</w:t>
            </w:r>
          </w:p>
          <w:p w14:paraId="0D6EBA8C" w14:textId="77777777" w:rsidR="00BD0B57" w:rsidRPr="008E24ED" w:rsidRDefault="00BD0B57" w:rsidP="00900E0D">
            <w:pPr>
              <w:jc w:val="both"/>
              <w:rPr>
                <w:rFonts w:eastAsia="Calibri"/>
                <w:lang w:eastAsia="en-US"/>
              </w:rPr>
            </w:pPr>
            <w:r w:rsidRPr="008E24ED">
              <w:rPr>
                <w:rFonts w:eastAsia="Calibri"/>
                <w:lang w:eastAsia="en-US"/>
              </w:rPr>
              <w:t>•</w:t>
            </w:r>
            <w:r w:rsidRPr="008E24ED">
              <w:rPr>
                <w:rFonts w:eastAsia="Calibri"/>
                <w:lang w:eastAsia="en-US"/>
              </w:rPr>
              <w:tab/>
              <w:t xml:space="preserve">TCP </w:t>
            </w:r>
            <w:proofErr w:type="spellStart"/>
            <w:r w:rsidRPr="008E24ED">
              <w:rPr>
                <w:rFonts w:eastAsia="Calibri"/>
                <w:lang w:eastAsia="en-US"/>
              </w:rPr>
              <w:t>Connection</w:t>
            </w:r>
            <w:proofErr w:type="spellEnd"/>
            <w:r w:rsidRPr="008E24ED">
              <w:rPr>
                <w:rFonts w:eastAsia="Calibri"/>
                <w:lang w:eastAsia="en-US"/>
              </w:rPr>
              <w:t xml:space="preserve"> </w:t>
            </w:r>
            <w:proofErr w:type="spellStart"/>
            <w:r w:rsidRPr="008E24ED">
              <w:rPr>
                <w:rFonts w:eastAsia="Calibri"/>
                <w:lang w:eastAsia="en-US"/>
              </w:rPr>
              <w:t>Limiting</w:t>
            </w:r>
            <w:proofErr w:type="spellEnd"/>
            <w:r w:rsidRPr="008E24ED">
              <w:rPr>
                <w:rFonts w:eastAsia="Calibri"/>
                <w:lang w:eastAsia="en-US"/>
              </w:rPr>
              <w:t>;</w:t>
            </w:r>
          </w:p>
          <w:p w14:paraId="6BF735B1" w14:textId="77777777" w:rsidR="00BD0B57" w:rsidRPr="008E24ED" w:rsidRDefault="00BD0B57" w:rsidP="00900E0D">
            <w:pPr>
              <w:jc w:val="both"/>
              <w:rPr>
                <w:rFonts w:eastAsia="Calibri"/>
              </w:rPr>
            </w:pPr>
            <w:r w:rsidRPr="008E24ED">
              <w:rPr>
                <w:rFonts w:eastAsia="Calibri"/>
              </w:rPr>
              <w:t>•</w:t>
            </w:r>
            <w:r w:rsidRPr="008E24ED">
              <w:rPr>
                <w:rFonts w:eastAsia="Calibri"/>
              </w:rPr>
              <w:tab/>
              <w:t xml:space="preserve">Atakų filtravimas remiantis atakų aprašais (angl. </w:t>
            </w:r>
            <w:proofErr w:type="spellStart"/>
            <w:r w:rsidRPr="008E24ED">
              <w:rPr>
                <w:rFonts w:eastAsia="Calibri"/>
              </w:rPr>
              <w:t>Signatures</w:t>
            </w:r>
            <w:proofErr w:type="spellEnd"/>
            <w:r w:rsidRPr="008E24ED">
              <w:rPr>
                <w:rFonts w:eastAsia="Calibri"/>
              </w:rPr>
              <w:t>).</w:t>
            </w:r>
          </w:p>
          <w:p w14:paraId="05D3C748" w14:textId="77777777" w:rsidR="00BD0B57" w:rsidRPr="008E24ED" w:rsidRDefault="00BD0B57" w:rsidP="00900E0D">
            <w:pPr>
              <w:jc w:val="both"/>
              <w:rPr>
                <w:rFonts w:ascii="Calibri" w:eastAsia="Calibri" w:hAnsi="Calibri"/>
                <w:sz w:val="22"/>
                <w:szCs w:val="22"/>
              </w:rPr>
            </w:pPr>
          </w:p>
          <w:p w14:paraId="2890D1ED" w14:textId="77777777" w:rsidR="00BD0B57" w:rsidRPr="008E24ED" w:rsidRDefault="00BD0B57" w:rsidP="00900E0D">
            <w:pPr>
              <w:jc w:val="both"/>
              <w:rPr>
                <w:rFonts w:eastAsia="Calibri"/>
                <w:lang w:eastAsia="en-US"/>
              </w:rPr>
            </w:pPr>
            <w:r w:rsidRPr="008E24ED">
              <w:rPr>
                <w:rFonts w:eastAsia="Calibri"/>
                <w:lang w:eastAsia="en-US"/>
              </w:rPr>
              <w:t>Gamintojas turi turėti saugumo komandą, kuri galėtų identifikuoti aktyvias grėsmes nukreiptas prieš Perkančiąją organizaciją. Kilus tokiai grėsmei klientas turi būti informuotas ir jam turi būti suteikta svarbi informacija (pvz., atakos tipas, tikslinis IP adresas, domenas).</w:t>
            </w:r>
          </w:p>
        </w:tc>
      </w:tr>
      <w:tr w:rsidR="00BD0B57" w:rsidRPr="000D3415" w14:paraId="50611361" w14:textId="77777777" w:rsidTr="00900E0D">
        <w:trPr>
          <w:trHeight w:val="324"/>
        </w:trPr>
        <w:tc>
          <w:tcPr>
            <w:tcW w:w="993" w:type="dxa"/>
            <w:shd w:val="clear" w:color="auto" w:fill="auto"/>
            <w:noWrap/>
          </w:tcPr>
          <w:p w14:paraId="589AF883" w14:textId="77777777" w:rsidR="00BD0B57" w:rsidRPr="000D3415" w:rsidRDefault="00BD0B57" w:rsidP="00900E0D">
            <w:pPr>
              <w:rPr>
                <w:bCs/>
              </w:rPr>
            </w:pPr>
            <w:r w:rsidRPr="000D3415">
              <w:rPr>
                <w:bCs/>
              </w:rPr>
              <w:lastRenderedPageBreak/>
              <w:t>4.24.</w:t>
            </w:r>
          </w:p>
        </w:tc>
        <w:tc>
          <w:tcPr>
            <w:tcW w:w="2693" w:type="dxa"/>
            <w:vAlign w:val="center"/>
          </w:tcPr>
          <w:p w14:paraId="4C3C8FE8" w14:textId="77777777" w:rsidR="00BD0B57" w:rsidRPr="000D3415" w:rsidRDefault="00BD0B57" w:rsidP="00900E0D">
            <w:pPr>
              <w:jc w:val="both"/>
              <w:rPr>
                <w:rFonts w:eastAsia="Calibri"/>
                <w:lang w:eastAsia="en-US"/>
              </w:rPr>
            </w:pPr>
            <w:r w:rsidRPr="000D3415">
              <w:rPr>
                <w:rFonts w:eastAsia="Calibri"/>
                <w:lang w:eastAsia="en-US"/>
              </w:rPr>
              <w:t>L7 pagal OSI tinklo modelį srautų analizė</w:t>
            </w:r>
          </w:p>
        </w:tc>
        <w:tc>
          <w:tcPr>
            <w:tcW w:w="10631" w:type="dxa"/>
            <w:vAlign w:val="center"/>
          </w:tcPr>
          <w:p w14:paraId="4A699AB6" w14:textId="77777777" w:rsidR="00BD0B57" w:rsidRPr="000D3415" w:rsidRDefault="00BD0B57" w:rsidP="00900E0D">
            <w:pPr>
              <w:jc w:val="both"/>
              <w:rPr>
                <w:rFonts w:eastAsia="Calibri"/>
                <w:lang w:eastAsia="en-US"/>
              </w:rPr>
            </w:pPr>
            <w:r w:rsidRPr="000D3415">
              <w:rPr>
                <w:rFonts w:eastAsia="Calibri"/>
                <w:lang w:eastAsia="en-US"/>
              </w:rPr>
              <w:t xml:space="preserve">Turi gebėti nustatyti </w:t>
            </w:r>
            <w:proofErr w:type="spellStart"/>
            <w:r w:rsidRPr="000D3415">
              <w:rPr>
                <w:rFonts w:eastAsia="Calibri"/>
                <w:lang w:eastAsia="en-US"/>
              </w:rPr>
              <w:t>DDoS</w:t>
            </w:r>
            <w:proofErr w:type="spellEnd"/>
            <w:r w:rsidRPr="000D3415">
              <w:rPr>
                <w:rFonts w:eastAsia="Calibri"/>
                <w:lang w:eastAsia="en-US"/>
              </w:rPr>
              <w:t xml:space="preserve"> atakas ir atlikti filtravimą L7 lygyje.</w:t>
            </w:r>
          </w:p>
        </w:tc>
      </w:tr>
      <w:tr w:rsidR="00BD0B57" w:rsidRPr="000D3415" w14:paraId="7CDD86CD" w14:textId="77777777" w:rsidTr="00900E0D">
        <w:trPr>
          <w:trHeight w:val="324"/>
        </w:trPr>
        <w:tc>
          <w:tcPr>
            <w:tcW w:w="993" w:type="dxa"/>
            <w:shd w:val="clear" w:color="auto" w:fill="auto"/>
            <w:noWrap/>
          </w:tcPr>
          <w:p w14:paraId="37315338" w14:textId="77777777" w:rsidR="00BD0B57" w:rsidRPr="000D3415" w:rsidRDefault="00BD0B57" w:rsidP="00900E0D">
            <w:pPr>
              <w:rPr>
                <w:bCs/>
              </w:rPr>
            </w:pPr>
            <w:r w:rsidRPr="000D3415">
              <w:rPr>
                <w:bCs/>
              </w:rPr>
              <w:t>4.25.</w:t>
            </w:r>
          </w:p>
        </w:tc>
        <w:tc>
          <w:tcPr>
            <w:tcW w:w="2693" w:type="dxa"/>
          </w:tcPr>
          <w:p w14:paraId="7A526328" w14:textId="77777777" w:rsidR="00BD0B57" w:rsidRPr="000D3415" w:rsidRDefault="00BD0B57" w:rsidP="00900E0D">
            <w:pPr>
              <w:jc w:val="both"/>
              <w:rPr>
                <w:rFonts w:eastAsia="Calibri"/>
                <w:lang w:eastAsia="en-US"/>
              </w:rPr>
            </w:pPr>
            <w:r w:rsidRPr="000D3415">
              <w:t>IP vietovės</w:t>
            </w:r>
          </w:p>
        </w:tc>
        <w:tc>
          <w:tcPr>
            <w:tcW w:w="10631" w:type="dxa"/>
          </w:tcPr>
          <w:p w14:paraId="45B2F13D" w14:textId="77777777" w:rsidR="00BD0B57" w:rsidRPr="000D3415" w:rsidRDefault="00BD0B57" w:rsidP="00900E0D">
            <w:pPr>
              <w:jc w:val="both"/>
              <w:rPr>
                <w:rFonts w:eastAsia="Calibri"/>
                <w:lang w:eastAsia="en-US"/>
              </w:rPr>
            </w:pPr>
            <w:r w:rsidRPr="000D3415">
              <w:t>Turi gebėti nustatyti srauto šaltinių geografines vietas ir blokuoti srautą, kilusį iš konkrečios vietovės.</w:t>
            </w:r>
          </w:p>
        </w:tc>
      </w:tr>
      <w:tr w:rsidR="00BD0B57" w:rsidRPr="000D3415" w14:paraId="52C3A1A6" w14:textId="77777777" w:rsidTr="00900E0D">
        <w:trPr>
          <w:trHeight w:val="324"/>
        </w:trPr>
        <w:tc>
          <w:tcPr>
            <w:tcW w:w="993" w:type="dxa"/>
            <w:shd w:val="clear" w:color="auto" w:fill="auto"/>
            <w:noWrap/>
          </w:tcPr>
          <w:p w14:paraId="598957EA" w14:textId="77777777" w:rsidR="00BD0B57" w:rsidRPr="000D3415" w:rsidRDefault="00BD0B57" w:rsidP="00900E0D">
            <w:pPr>
              <w:rPr>
                <w:bCs/>
              </w:rPr>
            </w:pPr>
            <w:r w:rsidRPr="000D3415">
              <w:rPr>
                <w:bCs/>
              </w:rPr>
              <w:t>4.26.</w:t>
            </w:r>
          </w:p>
        </w:tc>
        <w:tc>
          <w:tcPr>
            <w:tcW w:w="2693" w:type="dxa"/>
          </w:tcPr>
          <w:p w14:paraId="04FE8627" w14:textId="77777777" w:rsidR="00BD0B57" w:rsidRPr="000D3415" w:rsidRDefault="00BD0B57" w:rsidP="00900E0D">
            <w:pPr>
              <w:jc w:val="both"/>
              <w:rPr>
                <w:rFonts w:eastAsia="Calibri"/>
                <w:lang w:eastAsia="en-US"/>
              </w:rPr>
            </w:pPr>
            <w:r w:rsidRPr="000D3415">
              <w:rPr>
                <w:rFonts w:eastAsia="Calibri"/>
                <w:lang w:eastAsia="en-US"/>
              </w:rPr>
              <w:t xml:space="preserve">Tinklo </w:t>
            </w:r>
          </w:p>
          <w:p w14:paraId="336D26FD" w14:textId="77777777" w:rsidR="00BD0B57" w:rsidRPr="000D3415" w:rsidRDefault="00BD0B57" w:rsidP="00900E0D">
            <w:pPr>
              <w:jc w:val="both"/>
              <w:rPr>
                <w:rFonts w:eastAsia="Calibri"/>
                <w:lang w:eastAsia="en-US"/>
              </w:rPr>
            </w:pPr>
            <w:r w:rsidRPr="000D3415">
              <w:rPr>
                <w:rFonts w:eastAsia="Calibri"/>
                <w:lang w:eastAsia="en-US"/>
              </w:rPr>
              <w:t>srautų ribojimas</w:t>
            </w:r>
          </w:p>
        </w:tc>
        <w:tc>
          <w:tcPr>
            <w:tcW w:w="10631" w:type="dxa"/>
          </w:tcPr>
          <w:p w14:paraId="7D7D80D0" w14:textId="77777777" w:rsidR="00BD0B57" w:rsidRPr="000D3415" w:rsidRDefault="00BD0B57" w:rsidP="00900E0D">
            <w:pPr>
              <w:jc w:val="both"/>
              <w:rPr>
                <w:rFonts w:eastAsia="Calibri"/>
                <w:lang w:eastAsia="en-US"/>
              </w:rPr>
            </w:pPr>
            <w:r w:rsidRPr="000D3415">
              <w:rPr>
                <w:rFonts w:eastAsia="Calibri"/>
                <w:lang w:eastAsia="en-US"/>
              </w:rPr>
              <w:t xml:space="preserve">Tinklo srautų ribojamas nurodant maksimalų </w:t>
            </w:r>
            <w:proofErr w:type="spellStart"/>
            <w:r w:rsidRPr="000D3415">
              <w:rPr>
                <w:rFonts w:eastAsia="Calibri"/>
                <w:lang w:eastAsia="en-US"/>
              </w:rPr>
              <w:t>bps</w:t>
            </w:r>
            <w:proofErr w:type="spellEnd"/>
            <w:r w:rsidRPr="000D3415">
              <w:rPr>
                <w:rFonts w:eastAsia="Calibri"/>
                <w:lang w:eastAsia="en-US"/>
              </w:rPr>
              <w:t>/</w:t>
            </w:r>
            <w:proofErr w:type="spellStart"/>
            <w:r w:rsidRPr="000D3415">
              <w:rPr>
                <w:rFonts w:eastAsia="Calibri"/>
                <w:lang w:eastAsia="en-US"/>
              </w:rPr>
              <w:t>pps</w:t>
            </w:r>
            <w:proofErr w:type="spellEnd"/>
            <w:r w:rsidRPr="000D3415">
              <w:rPr>
                <w:rFonts w:eastAsia="Calibri"/>
                <w:lang w:eastAsia="en-US"/>
              </w:rPr>
              <w:t xml:space="preserve"> pagal IP protokolą, IP adresus, TCP/UDP prievadų numerius (angl. </w:t>
            </w:r>
            <w:proofErr w:type="spellStart"/>
            <w:r w:rsidRPr="000D3415">
              <w:rPr>
                <w:rFonts w:eastAsia="Calibri"/>
                <w:lang w:eastAsia="en-US"/>
              </w:rPr>
              <w:t>ports</w:t>
            </w:r>
            <w:proofErr w:type="spellEnd"/>
            <w:r w:rsidRPr="000D3415">
              <w:rPr>
                <w:rFonts w:eastAsia="Calibri"/>
                <w:lang w:eastAsia="en-US"/>
              </w:rPr>
              <w:t>).</w:t>
            </w:r>
          </w:p>
        </w:tc>
      </w:tr>
      <w:tr w:rsidR="00BD0B57" w:rsidRPr="000D3415" w14:paraId="27DDD2E7" w14:textId="77777777" w:rsidTr="00900E0D">
        <w:trPr>
          <w:trHeight w:val="324"/>
        </w:trPr>
        <w:tc>
          <w:tcPr>
            <w:tcW w:w="993" w:type="dxa"/>
            <w:shd w:val="clear" w:color="auto" w:fill="auto"/>
            <w:noWrap/>
          </w:tcPr>
          <w:p w14:paraId="361D4156" w14:textId="77777777" w:rsidR="00BD0B57" w:rsidRPr="000D3415" w:rsidRDefault="00BD0B57" w:rsidP="00900E0D">
            <w:pPr>
              <w:rPr>
                <w:bCs/>
              </w:rPr>
            </w:pPr>
            <w:r w:rsidRPr="000D3415">
              <w:rPr>
                <w:bCs/>
              </w:rPr>
              <w:t>4.27.</w:t>
            </w:r>
          </w:p>
        </w:tc>
        <w:tc>
          <w:tcPr>
            <w:tcW w:w="2693" w:type="dxa"/>
            <w:vAlign w:val="center"/>
          </w:tcPr>
          <w:p w14:paraId="1B604687" w14:textId="77777777" w:rsidR="00BD0B57" w:rsidRPr="000D3415" w:rsidRDefault="00BD0B57" w:rsidP="00900E0D">
            <w:pPr>
              <w:jc w:val="both"/>
              <w:rPr>
                <w:rFonts w:eastAsia="Calibri"/>
                <w:lang w:eastAsia="en-US"/>
              </w:rPr>
            </w:pPr>
            <w:r w:rsidRPr="000D3415">
              <w:rPr>
                <w:rFonts w:eastAsia="Calibri"/>
                <w:lang w:eastAsia="en-US"/>
              </w:rPr>
              <w:t xml:space="preserve">TCP </w:t>
            </w:r>
            <w:proofErr w:type="spellStart"/>
            <w:r w:rsidRPr="000D3415">
              <w:rPr>
                <w:rFonts w:eastAsia="Calibri"/>
                <w:lang w:eastAsia="en-US"/>
              </w:rPr>
              <w:t>Syn</w:t>
            </w:r>
            <w:proofErr w:type="spellEnd"/>
            <w:r w:rsidRPr="000D3415">
              <w:rPr>
                <w:rFonts w:eastAsia="Calibri"/>
                <w:lang w:eastAsia="en-US"/>
              </w:rPr>
              <w:t xml:space="preserve"> apsauga</w:t>
            </w:r>
          </w:p>
        </w:tc>
        <w:tc>
          <w:tcPr>
            <w:tcW w:w="10631" w:type="dxa"/>
            <w:vAlign w:val="center"/>
          </w:tcPr>
          <w:p w14:paraId="577E6B0E" w14:textId="77777777" w:rsidR="00BD0B57" w:rsidRPr="000D3415" w:rsidRDefault="00BD0B57" w:rsidP="00900E0D">
            <w:pPr>
              <w:jc w:val="both"/>
              <w:rPr>
                <w:rFonts w:eastAsia="Calibri"/>
                <w:lang w:eastAsia="en-US"/>
              </w:rPr>
            </w:pPr>
            <w:r w:rsidRPr="000D3415">
              <w:rPr>
                <w:rFonts w:eastAsia="Calibri"/>
                <w:lang w:eastAsia="en-US"/>
              </w:rPr>
              <w:t xml:space="preserve">Įrenginys turi gebėti atlikti TCP sesijos užmezgimą (angl. </w:t>
            </w:r>
            <w:proofErr w:type="spellStart"/>
            <w:r w:rsidRPr="000D3415">
              <w:rPr>
                <w:rFonts w:eastAsia="Calibri"/>
                <w:lang w:eastAsia="en-US"/>
              </w:rPr>
              <w:t>handshake</w:t>
            </w:r>
            <w:proofErr w:type="spellEnd"/>
            <w:r w:rsidRPr="000D3415">
              <w:rPr>
                <w:rFonts w:eastAsia="Calibri"/>
                <w:lang w:eastAsia="en-US"/>
              </w:rPr>
              <w:t>) ir filtruoti suklastotus TCP SYN paketus.</w:t>
            </w:r>
          </w:p>
        </w:tc>
      </w:tr>
      <w:tr w:rsidR="00BD0B57" w:rsidRPr="000D3415" w14:paraId="2E2DFBFC" w14:textId="77777777" w:rsidTr="00900E0D">
        <w:trPr>
          <w:trHeight w:val="324"/>
        </w:trPr>
        <w:tc>
          <w:tcPr>
            <w:tcW w:w="993" w:type="dxa"/>
            <w:shd w:val="clear" w:color="auto" w:fill="auto"/>
            <w:noWrap/>
          </w:tcPr>
          <w:p w14:paraId="03F0A118" w14:textId="77777777" w:rsidR="00BD0B57" w:rsidRPr="000D3415" w:rsidRDefault="00BD0B57" w:rsidP="00900E0D">
            <w:pPr>
              <w:rPr>
                <w:bCs/>
              </w:rPr>
            </w:pPr>
            <w:r w:rsidRPr="000D3415">
              <w:rPr>
                <w:bCs/>
              </w:rPr>
              <w:t>4.28.</w:t>
            </w:r>
          </w:p>
        </w:tc>
        <w:tc>
          <w:tcPr>
            <w:tcW w:w="2693" w:type="dxa"/>
            <w:vAlign w:val="center"/>
          </w:tcPr>
          <w:p w14:paraId="4160B989" w14:textId="77777777" w:rsidR="00BD0B57" w:rsidRPr="000D3415" w:rsidRDefault="00BD0B57" w:rsidP="00900E0D">
            <w:pPr>
              <w:jc w:val="both"/>
              <w:rPr>
                <w:rFonts w:eastAsia="Calibri"/>
                <w:lang w:eastAsia="en-US"/>
              </w:rPr>
            </w:pPr>
            <w:r w:rsidRPr="000D3415">
              <w:rPr>
                <w:rFonts w:eastAsia="Calibri"/>
                <w:lang w:eastAsia="en-US"/>
              </w:rPr>
              <w:t>Filtravimas pagal tinklo paketo turinį</w:t>
            </w:r>
          </w:p>
        </w:tc>
        <w:tc>
          <w:tcPr>
            <w:tcW w:w="10631" w:type="dxa"/>
            <w:vAlign w:val="center"/>
          </w:tcPr>
          <w:p w14:paraId="36BA8FDE" w14:textId="77777777" w:rsidR="00BD0B57" w:rsidRPr="000D3415" w:rsidRDefault="00BD0B57" w:rsidP="00900E0D">
            <w:pPr>
              <w:jc w:val="both"/>
              <w:rPr>
                <w:rFonts w:eastAsia="Calibri"/>
                <w:lang w:eastAsia="en-US"/>
              </w:rPr>
            </w:pPr>
            <w:r w:rsidRPr="000D3415">
              <w:rPr>
                <w:rFonts w:eastAsia="Calibri"/>
                <w:lang w:eastAsia="en-US"/>
              </w:rPr>
              <w:t xml:space="preserve">Turi gebėti blokuoti TCP/UDP paketus pagal turinį, taikant reguliariąsias išraiškas (angl. </w:t>
            </w:r>
            <w:proofErr w:type="spellStart"/>
            <w:r w:rsidRPr="000D3415">
              <w:rPr>
                <w:rFonts w:eastAsia="Calibri"/>
                <w:lang w:eastAsia="en-US"/>
              </w:rPr>
              <w:t>regular</w:t>
            </w:r>
            <w:proofErr w:type="spellEnd"/>
            <w:r w:rsidRPr="000D3415">
              <w:rPr>
                <w:rFonts w:eastAsia="Calibri"/>
                <w:lang w:eastAsia="en-US"/>
              </w:rPr>
              <w:t xml:space="preserve"> </w:t>
            </w:r>
            <w:proofErr w:type="spellStart"/>
            <w:r w:rsidRPr="000D3415">
              <w:rPr>
                <w:rFonts w:eastAsia="Calibri"/>
                <w:lang w:eastAsia="en-US"/>
              </w:rPr>
              <w:t>expressions</w:t>
            </w:r>
            <w:proofErr w:type="spellEnd"/>
            <w:r w:rsidRPr="000D3415">
              <w:rPr>
                <w:rFonts w:eastAsia="Calibri"/>
                <w:lang w:eastAsia="en-US"/>
              </w:rPr>
              <w:t>).</w:t>
            </w:r>
          </w:p>
        </w:tc>
      </w:tr>
      <w:tr w:rsidR="00BD0B57" w:rsidRPr="000D3415" w14:paraId="14C86DED" w14:textId="77777777" w:rsidTr="00900E0D">
        <w:trPr>
          <w:trHeight w:val="324"/>
        </w:trPr>
        <w:tc>
          <w:tcPr>
            <w:tcW w:w="993" w:type="dxa"/>
            <w:shd w:val="clear" w:color="auto" w:fill="auto"/>
            <w:noWrap/>
          </w:tcPr>
          <w:p w14:paraId="3528BF33" w14:textId="77777777" w:rsidR="00BD0B57" w:rsidRPr="000D3415" w:rsidRDefault="00BD0B57" w:rsidP="00900E0D">
            <w:pPr>
              <w:rPr>
                <w:bCs/>
              </w:rPr>
            </w:pPr>
            <w:r w:rsidRPr="000D3415">
              <w:rPr>
                <w:bCs/>
              </w:rPr>
              <w:t>4.29.</w:t>
            </w:r>
          </w:p>
        </w:tc>
        <w:tc>
          <w:tcPr>
            <w:tcW w:w="2693" w:type="dxa"/>
            <w:vAlign w:val="center"/>
          </w:tcPr>
          <w:p w14:paraId="773BDA65" w14:textId="77777777" w:rsidR="00BD0B57" w:rsidRPr="000D3415" w:rsidRDefault="00BD0B57" w:rsidP="00900E0D">
            <w:pPr>
              <w:jc w:val="both"/>
              <w:rPr>
                <w:rFonts w:eastAsia="Calibri"/>
                <w:lang w:eastAsia="en-US"/>
              </w:rPr>
            </w:pPr>
            <w:r w:rsidRPr="000D3415">
              <w:rPr>
                <w:rFonts w:eastAsia="Calibri"/>
                <w:lang w:eastAsia="en-US"/>
              </w:rPr>
              <w:t>Stebėjimo protokolai</w:t>
            </w:r>
          </w:p>
        </w:tc>
        <w:tc>
          <w:tcPr>
            <w:tcW w:w="10631" w:type="dxa"/>
            <w:vAlign w:val="center"/>
          </w:tcPr>
          <w:p w14:paraId="4E3650D9" w14:textId="77777777" w:rsidR="00BD0B57" w:rsidRPr="000D3415" w:rsidRDefault="00BD0B57" w:rsidP="00900E0D">
            <w:pPr>
              <w:jc w:val="both"/>
              <w:rPr>
                <w:rFonts w:eastAsia="Calibri"/>
                <w:lang w:eastAsia="en-US"/>
              </w:rPr>
            </w:pPr>
            <w:r w:rsidRPr="000D3415">
              <w:rPr>
                <w:rFonts w:eastAsia="Calibri"/>
                <w:lang w:eastAsia="en-US"/>
              </w:rPr>
              <w:t>SNMPv2 ir SNMPv3.</w:t>
            </w:r>
          </w:p>
        </w:tc>
      </w:tr>
      <w:tr w:rsidR="00BD0B57" w:rsidRPr="000D3415" w14:paraId="4DE0F55E" w14:textId="77777777" w:rsidTr="00900E0D">
        <w:trPr>
          <w:trHeight w:val="324"/>
        </w:trPr>
        <w:tc>
          <w:tcPr>
            <w:tcW w:w="993" w:type="dxa"/>
            <w:shd w:val="clear" w:color="auto" w:fill="auto"/>
            <w:noWrap/>
          </w:tcPr>
          <w:p w14:paraId="682DCF73" w14:textId="77777777" w:rsidR="00BD0B57" w:rsidRPr="000D3415" w:rsidRDefault="00BD0B57" w:rsidP="00900E0D">
            <w:pPr>
              <w:rPr>
                <w:bCs/>
              </w:rPr>
            </w:pPr>
            <w:r w:rsidRPr="000D3415">
              <w:rPr>
                <w:bCs/>
              </w:rPr>
              <w:t>4.30.</w:t>
            </w:r>
          </w:p>
        </w:tc>
        <w:tc>
          <w:tcPr>
            <w:tcW w:w="2693" w:type="dxa"/>
            <w:vAlign w:val="center"/>
          </w:tcPr>
          <w:p w14:paraId="407C4B04" w14:textId="77777777" w:rsidR="00BD0B57" w:rsidRPr="000D3415" w:rsidRDefault="00BD0B57" w:rsidP="00900E0D">
            <w:pPr>
              <w:jc w:val="both"/>
              <w:rPr>
                <w:rFonts w:eastAsia="Calibri"/>
                <w:lang w:eastAsia="en-US"/>
              </w:rPr>
            </w:pPr>
            <w:r w:rsidRPr="000D3415">
              <w:rPr>
                <w:rFonts w:eastAsia="Calibri"/>
                <w:lang w:eastAsia="en-US"/>
              </w:rPr>
              <w:t>Nuotolinio autentifikavimo protokolai</w:t>
            </w:r>
          </w:p>
        </w:tc>
        <w:tc>
          <w:tcPr>
            <w:tcW w:w="10631" w:type="dxa"/>
            <w:vAlign w:val="center"/>
          </w:tcPr>
          <w:p w14:paraId="7B56A2EE" w14:textId="77777777" w:rsidR="00BD0B57" w:rsidRPr="000D3415" w:rsidRDefault="00BD0B57" w:rsidP="00900E0D">
            <w:pPr>
              <w:jc w:val="both"/>
              <w:rPr>
                <w:rFonts w:eastAsia="Calibri"/>
                <w:lang w:eastAsia="en-US"/>
              </w:rPr>
            </w:pPr>
            <w:r w:rsidRPr="000D3415">
              <w:rPr>
                <w:rFonts w:eastAsia="Calibri"/>
                <w:lang w:eastAsia="en-US"/>
              </w:rPr>
              <w:t>Privalo palaikyti žemiau įvardintus arba lygiaverčius autentifikavimo protokolus:</w:t>
            </w:r>
          </w:p>
          <w:p w14:paraId="45B5736E" w14:textId="77777777" w:rsidR="00BD0B57" w:rsidRPr="000D3415" w:rsidRDefault="00BD0B57" w:rsidP="00900E0D">
            <w:pPr>
              <w:jc w:val="both"/>
              <w:rPr>
                <w:rFonts w:eastAsia="Calibri"/>
                <w:lang w:eastAsia="en-US"/>
              </w:rPr>
            </w:pPr>
            <w:r w:rsidRPr="000D3415">
              <w:rPr>
                <w:rFonts w:eastAsia="Calibri"/>
                <w:lang w:eastAsia="en-US"/>
              </w:rPr>
              <w:t>•</w:t>
            </w:r>
            <w:r w:rsidRPr="000D3415">
              <w:rPr>
                <w:rFonts w:eastAsia="Calibri"/>
                <w:lang w:eastAsia="en-US"/>
              </w:rPr>
              <w:tab/>
              <w:t>RADIUS;</w:t>
            </w:r>
          </w:p>
          <w:p w14:paraId="5D1A1D40" w14:textId="77777777" w:rsidR="00BD0B57" w:rsidRPr="000D3415" w:rsidRDefault="00BD0B57" w:rsidP="00900E0D">
            <w:pPr>
              <w:jc w:val="both"/>
              <w:rPr>
                <w:rFonts w:eastAsia="Calibri"/>
                <w:lang w:eastAsia="en-US"/>
              </w:rPr>
            </w:pPr>
            <w:r w:rsidRPr="000D3415">
              <w:rPr>
                <w:rFonts w:eastAsia="Calibri"/>
                <w:lang w:eastAsia="en-US"/>
              </w:rPr>
              <w:t>•</w:t>
            </w:r>
            <w:r w:rsidRPr="000D3415">
              <w:rPr>
                <w:rFonts w:eastAsia="Calibri"/>
                <w:lang w:eastAsia="en-US"/>
              </w:rPr>
              <w:tab/>
              <w:t>TACACS+.</w:t>
            </w:r>
          </w:p>
        </w:tc>
      </w:tr>
      <w:tr w:rsidR="00BD0B57" w:rsidRPr="000D3415" w14:paraId="575611C7" w14:textId="77777777" w:rsidTr="00900E0D">
        <w:trPr>
          <w:trHeight w:val="324"/>
        </w:trPr>
        <w:tc>
          <w:tcPr>
            <w:tcW w:w="993" w:type="dxa"/>
            <w:shd w:val="clear" w:color="auto" w:fill="auto"/>
            <w:noWrap/>
          </w:tcPr>
          <w:p w14:paraId="4A31FE2D" w14:textId="77777777" w:rsidR="00BD0B57" w:rsidRPr="000D3415" w:rsidRDefault="00BD0B57" w:rsidP="00900E0D">
            <w:pPr>
              <w:rPr>
                <w:bCs/>
              </w:rPr>
            </w:pPr>
            <w:r w:rsidRPr="000D3415">
              <w:rPr>
                <w:bCs/>
              </w:rPr>
              <w:lastRenderedPageBreak/>
              <w:t>4.31.</w:t>
            </w:r>
          </w:p>
        </w:tc>
        <w:tc>
          <w:tcPr>
            <w:tcW w:w="2693" w:type="dxa"/>
            <w:vAlign w:val="center"/>
          </w:tcPr>
          <w:p w14:paraId="7AF0D4D1" w14:textId="77777777" w:rsidR="00BD0B57" w:rsidRPr="000D3415" w:rsidRDefault="00BD0B57" w:rsidP="00900E0D">
            <w:pPr>
              <w:jc w:val="both"/>
              <w:rPr>
                <w:rFonts w:eastAsia="Calibri"/>
                <w:lang w:eastAsia="en-US"/>
              </w:rPr>
            </w:pPr>
            <w:r w:rsidRPr="000D3415">
              <w:rPr>
                <w:rFonts w:eastAsia="Calibri"/>
                <w:lang w:eastAsia="en-US"/>
              </w:rPr>
              <w:t>Prieigos teisių valdymas</w:t>
            </w:r>
          </w:p>
        </w:tc>
        <w:tc>
          <w:tcPr>
            <w:tcW w:w="10631" w:type="dxa"/>
            <w:vAlign w:val="center"/>
          </w:tcPr>
          <w:p w14:paraId="04215947" w14:textId="77777777" w:rsidR="00BD0B57" w:rsidRPr="000D3415" w:rsidRDefault="00BD0B57" w:rsidP="00900E0D">
            <w:pPr>
              <w:jc w:val="both"/>
              <w:rPr>
                <w:rFonts w:eastAsia="Calibri"/>
                <w:lang w:eastAsia="en-US"/>
              </w:rPr>
            </w:pPr>
            <w:r w:rsidRPr="000D3415">
              <w:rPr>
                <w:rFonts w:eastAsia="Calibri"/>
                <w:lang w:eastAsia="en-US"/>
              </w:rPr>
              <w:t>Privalo:</w:t>
            </w:r>
          </w:p>
          <w:p w14:paraId="0E6ABC4F" w14:textId="77777777" w:rsidR="00BD0B57" w:rsidRPr="000D3415" w:rsidRDefault="00BD0B57" w:rsidP="00BD0B57">
            <w:pPr>
              <w:pStyle w:val="ListParagraph"/>
              <w:numPr>
                <w:ilvl w:val="0"/>
                <w:numId w:val="10"/>
              </w:numPr>
              <w:spacing w:line="240" w:lineRule="auto"/>
              <w:jc w:val="both"/>
            </w:pPr>
            <w:r w:rsidRPr="000D3415">
              <w:t>Leisti suteikti prieigos teises tik naudotojams, kurių tapatybė yra patvirtinta;</w:t>
            </w:r>
          </w:p>
          <w:p w14:paraId="2FC6C910" w14:textId="77777777" w:rsidR="00BD0B57" w:rsidRPr="000D3415" w:rsidRDefault="00BD0B57" w:rsidP="00BD0B57">
            <w:pPr>
              <w:pStyle w:val="ListParagraph"/>
              <w:numPr>
                <w:ilvl w:val="0"/>
                <w:numId w:val="10"/>
              </w:numPr>
              <w:spacing w:line="240" w:lineRule="auto"/>
              <w:jc w:val="both"/>
            </w:pPr>
            <w:r w:rsidRPr="000D3415">
              <w:t>Leisti suteikti prieigos teises naudotojams ir/arba naudotojų grupėms;</w:t>
            </w:r>
          </w:p>
          <w:p w14:paraId="781C44A6" w14:textId="77777777" w:rsidR="00BD0B57" w:rsidRPr="000D3415" w:rsidRDefault="00BD0B57" w:rsidP="00BD0B57">
            <w:pPr>
              <w:pStyle w:val="ListParagraph"/>
              <w:numPr>
                <w:ilvl w:val="0"/>
                <w:numId w:val="10"/>
              </w:numPr>
              <w:spacing w:line="240" w:lineRule="auto"/>
              <w:jc w:val="both"/>
            </w:pPr>
            <w:r w:rsidRPr="000D3415">
              <w:t>Leisti nustatyti naudotojų tapatybę, neprašydamas suvesti lokalaus naudotojo vardo ir slaptažodžio, o pasinaudojama jau esamomis tinklo paslaugomis;</w:t>
            </w:r>
          </w:p>
          <w:p w14:paraId="6F828C56" w14:textId="77777777" w:rsidR="00BD0B57" w:rsidRPr="000D3415" w:rsidRDefault="00BD0B57" w:rsidP="00BD0B57">
            <w:pPr>
              <w:pStyle w:val="ListParagraph"/>
              <w:numPr>
                <w:ilvl w:val="0"/>
                <w:numId w:val="10"/>
              </w:numPr>
              <w:spacing w:line="240" w:lineRule="auto"/>
              <w:jc w:val="both"/>
            </w:pPr>
            <w:r w:rsidRPr="000D3415">
              <w:t>Leisti detaliai/individualiai apibrėžti kiekvieno naudotojo/administratoriaus teises:</w:t>
            </w:r>
          </w:p>
          <w:p w14:paraId="7E4EBF24" w14:textId="77777777" w:rsidR="00BD0B57" w:rsidRPr="000D3415" w:rsidRDefault="00BD0B57" w:rsidP="00BD0B57">
            <w:pPr>
              <w:pStyle w:val="ListParagraph"/>
              <w:numPr>
                <w:ilvl w:val="0"/>
                <w:numId w:val="11"/>
              </w:numPr>
              <w:spacing w:line="240" w:lineRule="auto"/>
              <w:jc w:val="both"/>
            </w:pPr>
            <w:r w:rsidRPr="000D3415">
              <w:t>teisė keisti visus įrenginio nustatymus;</w:t>
            </w:r>
          </w:p>
          <w:p w14:paraId="2E07CAAE" w14:textId="77777777" w:rsidR="00BD0B57" w:rsidRPr="000D3415" w:rsidRDefault="00BD0B57" w:rsidP="00BD0B57">
            <w:pPr>
              <w:pStyle w:val="ListParagraph"/>
              <w:numPr>
                <w:ilvl w:val="0"/>
                <w:numId w:val="11"/>
              </w:numPr>
              <w:spacing w:line="240" w:lineRule="auto"/>
              <w:jc w:val="both"/>
            </w:pPr>
            <w:r w:rsidRPr="000D3415">
              <w:t>teisė matyti ir konfigūruoti DDOS apsaugos nustatymus;</w:t>
            </w:r>
          </w:p>
          <w:p w14:paraId="7BF73FC3" w14:textId="77777777" w:rsidR="00BD0B57" w:rsidRPr="000D3415" w:rsidRDefault="00BD0B57" w:rsidP="00BD0B57">
            <w:pPr>
              <w:pStyle w:val="ListParagraph"/>
              <w:numPr>
                <w:ilvl w:val="0"/>
                <w:numId w:val="11"/>
              </w:numPr>
              <w:spacing w:after="0" w:line="240" w:lineRule="auto"/>
              <w:jc w:val="both"/>
            </w:pPr>
            <w:r w:rsidRPr="000D3415">
              <w:t xml:space="preserve">teisė peržiūrėti įvykius ir blokuotas tinklo sistemas (angl. IP </w:t>
            </w:r>
            <w:proofErr w:type="spellStart"/>
            <w:r w:rsidRPr="000D3415">
              <w:t>host</w:t>
            </w:r>
            <w:proofErr w:type="spellEnd"/>
            <w:r w:rsidRPr="000D3415">
              <w:t>/</w:t>
            </w:r>
            <w:proofErr w:type="spellStart"/>
            <w:r w:rsidRPr="000D3415">
              <w:t>network</w:t>
            </w:r>
            <w:proofErr w:type="spellEnd"/>
            <w:r w:rsidRPr="000D3415">
              <w:t xml:space="preserve"> </w:t>
            </w:r>
            <w:proofErr w:type="spellStart"/>
            <w:r w:rsidRPr="000D3415">
              <w:t>host</w:t>
            </w:r>
            <w:proofErr w:type="spellEnd"/>
            <w:r w:rsidRPr="000D3415">
              <w:t>);</w:t>
            </w:r>
          </w:p>
        </w:tc>
      </w:tr>
      <w:tr w:rsidR="00BD0B57" w:rsidRPr="000D3415" w14:paraId="1C4EFF89" w14:textId="77777777" w:rsidTr="00900E0D">
        <w:trPr>
          <w:trHeight w:val="324"/>
        </w:trPr>
        <w:tc>
          <w:tcPr>
            <w:tcW w:w="993" w:type="dxa"/>
            <w:shd w:val="clear" w:color="auto" w:fill="auto"/>
            <w:noWrap/>
          </w:tcPr>
          <w:p w14:paraId="1BF4D58A" w14:textId="77777777" w:rsidR="00BD0B57" w:rsidRPr="000D3415" w:rsidRDefault="00BD0B57" w:rsidP="00900E0D">
            <w:pPr>
              <w:rPr>
                <w:bCs/>
              </w:rPr>
            </w:pPr>
            <w:r w:rsidRPr="000D3415">
              <w:rPr>
                <w:bCs/>
              </w:rPr>
              <w:t>4.32.</w:t>
            </w:r>
          </w:p>
        </w:tc>
        <w:tc>
          <w:tcPr>
            <w:tcW w:w="2693" w:type="dxa"/>
          </w:tcPr>
          <w:p w14:paraId="1AB0C53C" w14:textId="77777777" w:rsidR="00BD0B57" w:rsidRPr="000D3415" w:rsidRDefault="00BD0B57" w:rsidP="00900E0D">
            <w:pPr>
              <w:jc w:val="both"/>
              <w:rPr>
                <w:rFonts w:eastAsia="Calibri"/>
                <w:lang w:eastAsia="en-US"/>
              </w:rPr>
            </w:pPr>
            <w:r w:rsidRPr="000D3415">
              <w:t>Srauto tyrimas</w:t>
            </w:r>
          </w:p>
        </w:tc>
        <w:tc>
          <w:tcPr>
            <w:tcW w:w="10631" w:type="dxa"/>
          </w:tcPr>
          <w:p w14:paraId="0A8B47D2" w14:textId="77777777" w:rsidR="00BD0B57" w:rsidRPr="000D3415" w:rsidRDefault="00BD0B57" w:rsidP="00900E0D">
            <w:pPr>
              <w:jc w:val="both"/>
              <w:rPr>
                <w:rFonts w:eastAsia="Calibri"/>
                <w:lang w:eastAsia="en-US"/>
              </w:rPr>
            </w:pPr>
            <w:r w:rsidRPr="000D3415">
              <w:t>Įrenginys turi palaikyti aktyvų veikimo būdą, kai yra pritaikomas atakų slopinimas ir neaktyvų veikimo būdą, kai srautas yra analizuojamas nesiimant jokių veiksmų.</w:t>
            </w:r>
          </w:p>
        </w:tc>
      </w:tr>
      <w:tr w:rsidR="00BD0B57" w:rsidRPr="000D3415" w14:paraId="24170EE3" w14:textId="77777777" w:rsidTr="00900E0D">
        <w:trPr>
          <w:trHeight w:val="324"/>
        </w:trPr>
        <w:tc>
          <w:tcPr>
            <w:tcW w:w="993" w:type="dxa"/>
            <w:shd w:val="clear" w:color="auto" w:fill="auto"/>
            <w:noWrap/>
          </w:tcPr>
          <w:p w14:paraId="1DADDFBF" w14:textId="77777777" w:rsidR="00BD0B57" w:rsidRPr="000D3415" w:rsidRDefault="00BD0B57" w:rsidP="00900E0D">
            <w:pPr>
              <w:rPr>
                <w:bCs/>
              </w:rPr>
            </w:pPr>
            <w:r w:rsidRPr="000D3415">
              <w:rPr>
                <w:bCs/>
              </w:rPr>
              <w:t>4.33.</w:t>
            </w:r>
          </w:p>
        </w:tc>
        <w:tc>
          <w:tcPr>
            <w:tcW w:w="2693" w:type="dxa"/>
          </w:tcPr>
          <w:p w14:paraId="326D65F9" w14:textId="77777777" w:rsidR="00BD0B57" w:rsidRPr="000D3415" w:rsidRDefault="00BD0B57" w:rsidP="00900E0D">
            <w:pPr>
              <w:jc w:val="both"/>
              <w:rPr>
                <w:rFonts w:eastAsia="Calibri"/>
                <w:lang w:eastAsia="en-US"/>
              </w:rPr>
            </w:pPr>
            <w:r w:rsidRPr="000D3415">
              <w:t>Srauto apsaugos ribos</w:t>
            </w:r>
          </w:p>
        </w:tc>
        <w:tc>
          <w:tcPr>
            <w:tcW w:w="10631" w:type="dxa"/>
          </w:tcPr>
          <w:p w14:paraId="29EDD527" w14:textId="77777777" w:rsidR="00BD0B57" w:rsidRPr="000D3415" w:rsidRDefault="00BD0B57" w:rsidP="00900E0D">
            <w:pPr>
              <w:jc w:val="both"/>
              <w:rPr>
                <w:rFonts w:eastAsia="Calibri"/>
                <w:lang w:eastAsia="en-US"/>
              </w:rPr>
            </w:pPr>
            <w:r w:rsidRPr="000D3415">
              <w:t>Įrenginys turi gebėti nustatyti normalaus srauto lygius ir pasiūlyti atitinkamas apsaugos ribas kiekvienam stebimam įrenginiui.</w:t>
            </w:r>
          </w:p>
        </w:tc>
      </w:tr>
      <w:tr w:rsidR="00BD0B57" w:rsidRPr="000D3415" w14:paraId="04825C0A" w14:textId="77777777" w:rsidTr="00900E0D">
        <w:trPr>
          <w:trHeight w:val="324"/>
        </w:trPr>
        <w:tc>
          <w:tcPr>
            <w:tcW w:w="993" w:type="dxa"/>
            <w:shd w:val="clear" w:color="auto" w:fill="auto"/>
            <w:noWrap/>
          </w:tcPr>
          <w:p w14:paraId="23A2EC83" w14:textId="77777777" w:rsidR="00BD0B57" w:rsidRPr="000D3415" w:rsidRDefault="00BD0B57" w:rsidP="00900E0D">
            <w:pPr>
              <w:rPr>
                <w:bCs/>
              </w:rPr>
            </w:pPr>
            <w:r w:rsidRPr="000D3415">
              <w:rPr>
                <w:bCs/>
              </w:rPr>
              <w:t>4.35.</w:t>
            </w:r>
          </w:p>
        </w:tc>
        <w:tc>
          <w:tcPr>
            <w:tcW w:w="2693" w:type="dxa"/>
          </w:tcPr>
          <w:p w14:paraId="3C583375" w14:textId="77777777" w:rsidR="00BD0B57" w:rsidRPr="000D3415" w:rsidRDefault="00BD0B57" w:rsidP="00900E0D">
            <w:pPr>
              <w:jc w:val="both"/>
              <w:rPr>
                <w:rFonts w:eastAsia="Calibri"/>
                <w:lang w:eastAsia="en-US"/>
              </w:rPr>
            </w:pPr>
            <w:r w:rsidRPr="000D3415">
              <w:t>Automatizavimo sąsaja</w:t>
            </w:r>
          </w:p>
        </w:tc>
        <w:tc>
          <w:tcPr>
            <w:tcW w:w="10631" w:type="dxa"/>
          </w:tcPr>
          <w:p w14:paraId="1EBAEF7D" w14:textId="77777777" w:rsidR="00BD0B57" w:rsidRPr="000D3415" w:rsidRDefault="00BD0B57" w:rsidP="00900E0D">
            <w:pPr>
              <w:jc w:val="both"/>
              <w:rPr>
                <w:rFonts w:eastAsia="Calibri"/>
                <w:lang w:eastAsia="en-US"/>
              </w:rPr>
            </w:pPr>
            <w:r w:rsidRPr="000D3415">
              <w:t>REST API veikianti HTTPS protokolu arba lygiavertis.</w:t>
            </w:r>
          </w:p>
        </w:tc>
      </w:tr>
      <w:tr w:rsidR="00BD0B57" w:rsidRPr="000D3415" w14:paraId="365409E1" w14:textId="77777777" w:rsidTr="00900E0D">
        <w:trPr>
          <w:trHeight w:val="324"/>
        </w:trPr>
        <w:tc>
          <w:tcPr>
            <w:tcW w:w="993" w:type="dxa"/>
            <w:shd w:val="clear" w:color="auto" w:fill="auto"/>
            <w:noWrap/>
          </w:tcPr>
          <w:p w14:paraId="1811A601" w14:textId="77777777" w:rsidR="00BD0B57" w:rsidRPr="000D3415" w:rsidRDefault="00BD0B57" w:rsidP="00900E0D">
            <w:pPr>
              <w:rPr>
                <w:bCs/>
              </w:rPr>
            </w:pPr>
            <w:r w:rsidRPr="000D3415">
              <w:rPr>
                <w:bCs/>
              </w:rPr>
              <w:t>4.36.</w:t>
            </w:r>
          </w:p>
        </w:tc>
        <w:tc>
          <w:tcPr>
            <w:tcW w:w="2693" w:type="dxa"/>
          </w:tcPr>
          <w:p w14:paraId="781A3AF1" w14:textId="77777777" w:rsidR="00BD0B57" w:rsidRPr="000D3415" w:rsidRDefault="00BD0B57" w:rsidP="00900E0D">
            <w:pPr>
              <w:jc w:val="both"/>
              <w:rPr>
                <w:rFonts w:eastAsia="Calibri"/>
                <w:lang w:eastAsia="en-US"/>
              </w:rPr>
            </w:pPr>
            <w:r w:rsidRPr="000D3415">
              <w:t>Informavimo protokolai</w:t>
            </w:r>
          </w:p>
        </w:tc>
        <w:tc>
          <w:tcPr>
            <w:tcW w:w="10631" w:type="dxa"/>
          </w:tcPr>
          <w:p w14:paraId="215433CD" w14:textId="77777777" w:rsidR="00BD0B57" w:rsidRPr="000D3415" w:rsidRDefault="00BD0B57" w:rsidP="00900E0D">
            <w:pPr>
              <w:jc w:val="both"/>
              <w:rPr>
                <w:rFonts w:eastAsia="Calibri"/>
                <w:lang w:eastAsia="en-US"/>
              </w:rPr>
            </w:pPr>
            <w:proofErr w:type="spellStart"/>
            <w:r w:rsidRPr="000D3415">
              <w:t>Syslog</w:t>
            </w:r>
            <w:proofErr w:type="spellEnd"/>
            <w:r w:rsidRPr="000D3415">
              <w:t xml:space="preserve"> (UDP) arba lygiavertis.</w:t>
            </w:r>
          </w:p>
        </w:tc>
      </w:tr>
      <w:tr w:rsidR="00BD0B57" w:rsidRPr="000D3415" w14:paraId="4DBEDAFF" w14:textId="77777777" w:rsidTr="00900E0D">
        <w:trPr>
          <w:trHeight w:val="324"/>
        </w:trPr>
        <w:tc>
          <w:tcPr>
            <w:tcW w:w="993" w:type="dxa"/>
            <w:shd w:val="clear" w:color="auto" w:fill="auto"/>
            <w:noWrap/>
          </w:tcPr>
          <w:p w14:paraId="510BBE60" w14:textId="77777777" w:rsidR="00BD0B57" w:rsidRPr="000D3415" w:rsidRDefault="00BD0B57" w:rsidP="00900E0D">
            <w:pPr>
              <w:rPr>
                <w:bCs/>
              </w:rPr>
            </w:pPr>
            <w:r w:rsidRPr="000D3415">
              <w:rPr>
                <w:bCs/>
              </w:rPr>
              <w:t>4.37.</w:t>
            </w:r>
          </w:p>
        </w:tc>
        <w:tc>
          <w:tcPr>
            <w:tcW w:w="2693" w:type="dxa"/>
          </w:tcPr>
          <w:p w14:paraId="4A934736" w14:textId="77777777" w:rsidR="00BD0B57" w:rsidRPr="000D3415" w:rsidRDefault="00BD0B57" w:rsidP="00900E0D">
            <w:pPr>
              <w:jc w:val="both"/>
              <w:rPr>
                <w:rFonts w:eastAsia="Calibri"/>
                <w:lang w:eastAsia="en-US"/>
              </w:rPr>
            </w:pPr>
            <w:r w:rsidRPr="000D3415">
              <w:t>Laiko protokolai</w:t>
            </w:r>
          </w:p>
        </w:tc>
        <w:tc>
          <w:tcPr>
            <w:tcW w:w="10631" w:type="dxa"/>
          </w:tcPr>
          <w:p w14:paraId="0F1FB065" w14:textId="77777777" w:rsidR="00BD0B57" w:rsidRPr="000D3415" w:rsidRDefault="00BD0B57" w:rsidP="00900E0D">
            <w:pPr>
              <w:jc w:val="both"/>
              <w:rPr>
                <w:rFonts w:eastAsia="Calibri"/>
                <w:lang w:eastAsia="en-US"/>
              </w:rPr>
            </w:pPr>
            <w:r w:rsidRPr="000D3415">
              <w:t>NTP, su galimybe nurodyti ne mažiau kaip du laiko serverių IP adresus.</w:t>
            </w:r>
          </w:p>
        </w:tc>
      </w:tr>
      <w:tr w:rsidR="00BD0B57" w:rsidRPr="000D3415" w14:paraId="70594562" w14:textId="77777777" w:rsidTr="00900E0D">
        <w:trPr>
          <w:trHeight w:val="324"/>
        </w:trPr>
        <w:tc>
          <w:tcPr>
            <w:tcW w:w="993" w:type="dxa"/>
            <w:shd w:val="clear" w:color="auto" w:fill="auto"/>
            <w:noWrap/>
          </w:tcPr>
          <w:p w14:paraId="2DE44D57" w14:textId="77777777" w:rsidR="00BD0B57" w:rsidRPr="000D3415" w:rsidRDefault="00BD0B57" w:rsidP="00900E0D">
            <w:pPr>
              <w:rPr>
                <w:bCs/>
              </w:rPr>
            </w:pPr>
            <w:r w:rsidRPr="000D3415">
              <w:rPr>
                <w:bCs/>
              </w:rPr>
              <w:t>4.38.</w:t>
            </w:r>
          </w:p>
        </w:tc>
        <w:tc>
          <w:tcPr>
            <w:tcW w:w="2693" w:type="dxa"/>
          </w:tcPr>
          <w:p w14:paraId="2A77E13E" w14:textId="77777777" w:rsidR="00BD0B57" w:rsidRPr="000D3415" w:rsidRDefault="00BD0B57" w:rsidP="00900E0D">
            <w:pPr>
              <w:jc w:val="both"/>
              <w:rPr>
                <w:rFonts w:eastAsia="Calibri"/>
                <w:lang w:eastAsia="en-US"/>
              </w:rPr>
            </w:pPr>
            <w:r w:rsidRPr="000D3415">
              <w:t>Programinė įranga</w:t>
            </w:r>
          </w:p>
        </w:tc>
        <w:tc>
          <w:tcPr>
            <w:tcW w:w="10631" w:type="dxa"/>
          </w:tcPr>
          <w:p w14:paraId="5408CACF" w14:textId="77777777" w:rsidR="00BD0B57" w:rsidRPr="000D3415" w:rsidRDefault="00BD0B57" w:rsidP="00900E0D">
            <w:pPr>
              <w:jc w:val="both"/>
              <w:rPr>
                <w:rFonts w:eastAsia="Calibri"/>
                <w:lang w:eastAsia="en-US"/>
              </w:rPr>
            </w:pPr>
            <w:r w:rsidRPr="000D3415">
              <w:t>Turi būti pateikiamos visos licencijos reikalingos visoms reikalavimuose išvardintoms funkcijoms aktyvuoti.</w:t>
            </w:r>
          </w:p>
        </w:tc>
      </w:tr>
    </w:tbl>
    <w:p w14:paraId="2BC7A6CE" w14:textId="77777777" w:rsidR="00BD0B57" w:rsidRPr="000D3415" w:rsidRDefault="00BD0B57" w:rsidP="00BD0B57">
      <w:pPr>
        <w:pStyle w:val="ListParagraph"/>
        <w:jc w:val="both"/>
      </w:pPr>
    </w:p>
    <w:p w14:paraId="2556FD63" w14:textId="77777777" w:rsidR="00BD0B57" w:rsidRDefault="00BD0B57" w:rsidP="00BD0B57">
      <w:pPr>
        <w:pStyle w:val="ListParagraph"/>
        <w:jc w:val="both"/>
        <w:sectPr w:rsidR="00BD0B57" w:rsidSect="00BD0B57">
          <w:pgSz w:w="16838" w:h="11906" w:orient="landscape"/>
          <w:pgMar w:top="1260" w:right="1079" w:bottom="746" w:left="993" w:header="567" w:footer="567" w:gutter="0"/>
          <w:cols w:space="1296"/>
          <w:titlePg/>
          <w:docGrid w:linePitch="360"/>
        </w:sectPr>
      </w:pPr>
    </w:p>
    <w:p w14:paraId="15437C8F" w14:textId="77777777" w:rsidR="0089183C" w:rsidRPr="00CF73F3" w:rsidRDefault="007E0EE6" w:rsidP="0089183C">
      <w:pPr>
        <w:ind w:left="5387" w:firstLine="373"/>
        <w:rPr>
          <w:sz w:val="20"/>
          <w:szCs w:val="20"/>
        </w:rPr>
      </w:pPr>
      <w:r w:rsidRPr="00CF73F3">
        <w:lastRenderedPageBreak/>
        <w:t>Nuomos s</w:t>
      </w:r>
      <w:r w:rsidR="0089183C" w:rsidRPr="00CF73F3">
        <w:t xml:space="preserve">utarties Nr.      </w:t>
      </w:r>
    </w:p>
    <w:p w14:paraId="590E3943" w14:textId="77777777" w:rsidR="0089183C" w:rsidRPr="00CF73F3" w:rsidRDefault="0089183C" w:rsidP="0089183C">
      <w:pPr>
        <w:ind w:left="5040" w:firstLine="720"/>
      </w:pPr>
      <w:r w:rsidRPr="00CF73F3">
        <w:t>2 priedas</w:t>
      </w:r>
    </w:p>
    <w:p w14:paraId="11B7ABD7" w14:textId="77777777" w:rsidR="0089183C" w:rsidRDefault="0089183C" w:rsidP="0089183C"/>
    <w:p w14:paraId="4E480B2E" w14:textId="77777777" w:rsidR="00CC39B0" w:rsidRPr="00CF73F3" w:rsidRDefault="00CC39B0" w:rsidP="0089183C"/>
    <w:p w14:paraId="3CE1C6C4" w14:textId="77777777" w:rsidR="0089183C" w:rsidRPr="00CF73F3" w:rsidRDefault="0089183C" w:rsidP="0089183C"/>
    <w:p w14:paraId="3C932BFD" w14:textId="77777777" w:rsidR="0089183C" w:rsidRPr="00CF73F3" w:rsidRDefault="00BD0B57" w:rsidP="0089183C">
      <w:pPr>
        <w:jc w:val="center"/>
        <w:rPr>
          <w:b/>
        </w:rPr>
      </w:pPr>
      <w:r>
        <w:rPr>
          <w:b/>
        </w:rPr>
        <w:t>ĮKAINIO</w:t>
      </w:r>
      <w:r w:rsidR="0089183C" w:rsidRPr="00CF73F3">
        <w:rPr>
          <w:b/>
        </w:rPr>
        <w:t xml:space="preserve"> LENTELĖ</w:t>
      </w:r>
    </w:p>
    <w:p w14:paraId="750B5A21" w14:textId="77777777" w:rsidR="0089183C" w:rsidRPr="008E5BF4" w:rsidRDefault="0089183C" w:rsidP="0089183C">
      <w:pPr>
        <w:jc w:val="center"/>
        <w:rPr>
          <w:b/>
          <w:highlight w:val="yellow"/>
        </w:rPr>
      </w:pPr>
    </w:p>
    <w:tbl>
      <w:tblPr>
        <w:tblW w:w="9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4348"/>
        <w:gridCol w:w="4196"/>
      </w:tblGrid>
      <w:tr w:rsidR="0026316A" w:rsidRPr="008E5BF4" w14:paraId="643D128C" w14:textId="77777777" w:rsidTr="0026316A">
        <w:trPr>
          <w:jc w:val="center"/>
        </w:trPr>
        <w:tc>
          <w:tcPr>
            <w:tcW w:w="912" w:type="dxa"/>
            <w:shd w:val="clear" w:color="auto" w:fill="DEEAF6"/>
          </w:tcPr>
          <w:p w14:paraId="4F8DA04B" w14:textId="77777777" w:rsidR="0026316A" w:rsidRPr="00CF73F3" w:rsidRDefault="0026316A" w:rsidP="00837D90">
            <w:pPr>
              <w:rPr>
                <w:b/>
                <w:bCs/>
                <w:color w:val="000000"/>
              </w:rPr>
            </w:pPr>
            <w:r w:rsidRPr="00CF73F3">
              <w:rPr>
                <w:b/>
                <w:bCs/>
                <w:color w:val="000000"/>
              </w:rPr>
              <w:t>Eil. Nr.</w:t>
            </w:r>
          </w:p>
        </w:tc>
        <w:tc>
          <w:tcPr>
            <w:tcW w:w="4348" w:type="dxa"/>
            <w:shd w:val="clear" w:color="auto" w:fill="DEEAF6"/>
            <w:vAlign w:val="center"/>
          </w:tcPr>
          <w:p w14:paraId="074B4447" w14:textId="77777777" w:rsidR="0026316A" w:rsidRPr="0026316A" w:rsidRDefault="0026316A" w:rsidP="0026316A">
            <w:pPr>
              <w:jc w:val="center"/>
              <w:rPr>
                <w:b/>
                <w:color w:val="000000"/>
              </w:rPr>
            </w:pPr>
            <w:r w:rsidRPr="00CF73F3">
              <w:rPr>
                <w:b/>
                <w:color w:val="000000"/>
              </w:rPr>
              <w:t>Prekės pavadinimas</w:t>
            </w:r>
          </w:p>
        </w:tc>
        <w:tc>
          <w:tcPr>
            <w:tcW w:w="4196" w:type="dxa"/>
            <w:shd w:val="clear" w:color="auto" w:fill="DEEAF6"/>
          </w:tcPr>
          <w:p w14:paraId="6D8701E6" w14:textId="77777777" w:rsidR="0026316A" w:rsidRPr="00CF73F3" w:rsidRDefault="0026316A" w:rsidP="00837D90">
            <w:pPr>
              <w:jc w:val="center"/>
              <w:rPr>
                <w:b/>
                <w:color w:val="000000"/>
              </w:rPr>
            </w:pPr>
          </w:p>
          <w:p w14:paraId="6F60D7E7" w14:textId="77777777" w:rsidR="0026316A" w:rsidRPr="00CF73F3" w:rsidRDefault="00CC39B0" w:rsidP="00837D90">
            <w:pPr>
              <w:jc w:val="center"/>
              <w:rPr>
                <w:b/>
                <w:color w:val="000000"/>
              </w:rPr>
            </w:pPr>
            <w:r>
              <w:rPr>
                <w:b/>
                <w:color w:val="000000"/>
              </w:rPr>
              <w:t>Vieno</w:t>
            </w:r>
            <w:r w:rsidR="00BD0B57">
              <w:rPr>
                <w:b/>
                <w:color w:val="000000"/>
              </w:rPr>
              <w:t xml:space="preserve"> mėnesio</w:t>
            </w:r>
            <w:r>
              <w:rPr>
                <w:b/>
                <w:color w:val="000000"/>
              </w:rPr>
              <w:t xml:space="preserve"> įkainis, Eur su</w:t>
            </w:r>
            <w:r w:rsidR="0026316A" w:rsidRPr="00CF73F3">
              <w:rPr>
                <w:b/>
                <w:color w:val="000000"/>
              </w:rPr>
              <w:t xml:space="preserve"> PVM</w:t>
            </w:r>
          </w:p>
          <w:p w14:paraId="7147A2CA" w14:textId="77777777" w:rsidR="0026316A" w:rsidRPr="00CF73F3" w:rsidRDefault="0026316A" w:rsidP="00837D90">
            <w:pPr>
              <w:jc w:val="center"/>
              <w:rPr>
                <w:b/>
                <w:color w:val="000000"/>
              </w:rPr>
            </w:pPr>
          </w:p>
        </w:tc>
      </w:tr>
      <w:tr w:rsidR="0026316A" w:rsidRPr="008E5BF4" w14:paraId="5DAA6028" w14:textId="77777777" w:rsidTr="0026316A">
        <w:trPr>
          <w:jc w:val="center"/>
        </w:trPr>
        <w:tc>
          <w:tcPr>
            <w:tcW w:w="912" w:type="dxa"/>
            <w:tcBorders>
              <w:bottom w:val="single" w:sz="4" w:space="0" w:color="auto"/>
            </w:tcBorders>
            <w:shd w:val="clear" w:color="auto" w:fill="DEEAF6"/>
            <w:vAlign w:val="center"/>
          </w:tcPr>
          <w:p w14:paraId="15FD65BF" w14:textId="77777777" w:rsidR="0026316A" w:rsidRPr="00CF73F3" w:rsidRDefault="0026316A" w:rsidP="00837D90">
            <w:pPr>
              <w:jc w:val="center"/>
              <w:rPr>
                <w:color w:val="000000"/>
              </w:rPr>
            </w:pPr>
            <w:r w:rsidRPr="00CF73F3">
              <w:rPr>
                <w:color w:val="000000"/>
              </w:rPr>
              <w:t>1</w:t>
            </w:r>
          </w:p>
        </w:tc>
        <w:tc>
          <w:tcPr>
            <w:tcW w:w="4348" w:type="dxa"/>
            <w:tcBorders>
              <w:bottom w:val="single" w:sz="4" w:space="0" w:color="auto"/>
            </w:tcBorders>
            <w:shd w:val="clear" w:color="auto" w:fill="DEEAF6"/>
          </w:tcPr>
          <w:p w14:paraId="3534FE8B" w14:textId="77777777" w:rsidR="0026316A" w:rsidRPr="00CF73F3" w:rsidRDefault="0026316A" w:rsidP="00837D90">
            <w:pPr>
              <w:jc w:val="center"/>
              <w:rPr>
                <w:color w:val="000000"/>
              </w:rPr>
            </w:pPr>
            <w:r w:rsidRPr="00CF73F3">
              <w:rPr>
                <w:color w:val="000000"/>
              </w:rPr>
              <w:t>2</w:t>
            </w:r>
          </w:p>
        </w:tc>
        <w:tc>
          <w:tcPr>
            <w:tcW w:w="4196" w:type="dxa"/>
            <w:tcBorders>
              <w:bottom w:val="single" w:sz="4" w:space="0" w:color="auto"/>
            </w:tcBorders>
            <w:shd w:val="clear" w:color="auto" w:fill="DEEAF6"/>
          </w:tcPr>
          <w:p w14:paraId="4D15F023" w14:textId="77777777" w:rsidR="0026316A" w:rsidRPr="00CF73F3" w:rsidRDefault="0026316A" w:rsidP="00837D90">
            <w:pPr>
              <w:jc w:val="center"/>
              <w:rPr>
                <w:color w:val="000000"/>
              </w:rPr>
            </w:pPr>
            <w:r w:rsidRPr="00CF73F3">
              <w:rPr>
                <w:color w:val="000000"/>
              </w:rPr>
              <w:t>3</w:t>
            </w:r>
          </w:p>
        </w:tc>
      </w:tr>
      <w:tr w:rsidR="0026316A" w:rsidRPr="008B0317" w14:paraId="6C33ADDC" w14:textId="77777777" w:rsidTr="0026316A">
        <w:trPr>
          <w:trHeight w:val="1336"/>
          <w:jc w:val="center"/>
        </w:trPr>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6C37B885" w14:textId="77777777" w:rsidR="0026316A" w:rsidRPr="00CF73F3" w:rsidRDefault="0026316A" w:rsidP="00837D90">
            <w:pPr>
              <w:jc w:val="center"/>
              <w:rPr>
                <w:color w:val="000000"/>
              </w:rPr>
            </w:pPr>
            <w:r w:rsidRPr="00CF73F3">
              <w:rPr>
                <w:color w:val="000000"/>
              </w:rPr>
              <w:t>1.</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tcPr>
          <w:p w14:paraId="30AEA5ED" w14:textId="77777777" w:rsidR="0026316A" w:rsidRPr="00CF73F3" w:rsidRDefault="00BD0B57" w:rsidP="00BD0B57">
            <w:pPr>
              <w:pStyle w:val="Default"/>
              <w:jc w:val="both"/>
            </w:pPr>
            <w:r>
              <w:rPr>
                <w:bCs/>
              </w:rPr>
              <w:t>Saugiojo tinklo saugumo (</w:t>
            </w:r>
            <w:proofErr w:type="spellStart"/>
            <w:r>
              <w:rPr>
                <w:bCs/>
              </w:rPr>
              <w:t>Anti-DDoS</w:t>
            </w:r>
            <w:proofErr w:type="spellEnd"/>
            <w:r>
              <w:rPr>
                <w:bCs/>
              </w:rPr>
              <w:t>) įrangos (1 vnt.) nuoma</w:t>
            </w:r>
          </w:p>
        </w:tc>
        <w:tc>
          <w:tcPr>
            <w:tcW w:w="4196" w:type="dxa"/>
            <w:tcBorders>
              <w:top w:val="single" w:sz="4" w:space="0" w:color="auto"/>
              <w:left w:val="single" w:sz="4" w:space="0" w:color="auto"/>
              <w:bottom w:val="single" w:sz="4" w:space="0" w:color="auto"/>
              <w:right w:val="single" w:sz="4" w:space="0" w:color="auto"/>
            </w:tcBorders>
            <w:vAlign w:val="center"/>
          </w:tcPr>
          <w:p w14:paraId="3720463F" w14:textId="77777777" w:rsidR="0026316A" w:rsidRPr="008E5BF4" w:rsidRDefault="00682F8A" w:rsidP="00CF73F3">
            <w:pPr>
              <w:ind w:firstLine="720"/>
              <w:jc w:val="center"/>
              <w:rPr>
                <w:color w:val="000000"/>
                <w:highlight w:val="yellow"/>
              </w:rPr>
            </w:pPr>
            <w:r w:rsidRPr="00682F8A">
              <w:rPr>
                <w:color w:val="000000"/>
              </w:rPr>
              <w:t>11 495,00</w:t>
            </w:r>
          </w:p>
        </w:tc>
      </w:tr>
    </w:tbl>
    <w:p w14:paraId="15A1BBFF" w14:textId="77777777" w:rsidR="0089183C" w:rsidRDefault="0089183C" w:rsidP="0089183C">
      <w:pPr>
        <w:jc w:val="both"/>
        <w:rPr>
          <w:sz w:val="20"/>
          <w:szCs w:val="20"/>
        </w:rPr>
      </w:pPr>
    </w:p>
    <w:p w14:paraId="78B5EED7" w14:textId="77777777" w:rsidR="0089183C" w:rsidRPr="00EA73AC" w:rsidRDefault="0089183C" w:rsidP="0089183C"/>
    <w:p w14:paraId="769899B3" w14:textId="77777777" w:rsidR="003B1F71" w:rsidRPr="000F5445" w:rsidRDefault="003B1F71" w:rsidP="000F5445"/>
    <w:sectPr w:rsidR="003B1F71" w:rsidRPr="000F5445" w:rsidSect="00BD0B57">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B326" w14:textId="77777777" w:rsidR="00C63F6B" w:rsidRDefault="00C63F6B">
      <w:r>
        <w:separator/>
      </w:r>
    </w:p>
  </w:endnote>
  <w:endnote w:type="continuationSeparator" w:id="0">
    <w:p w14:paraId="1B081D7D" w14:textId="77777777" w:rsidR="00C63F6B" w:rsidRDefault="00C6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0002AFF" w:usb1="C0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20B0604020202020204"/>
    <w:charset w:val="BA"/>
    <w:family w:val="roman"/>
    <w:pitch w:val="variable"/>
  </w:font>
  <w:font w:name="Arial">
    <w:panose1 w:val="020B0604020202020204"/>
    <w:charset w:val="00"/>
    <w:family w:val="swiss"/>
    <w:pitch w:val="variable"/>
    <w:sig w:usb0="E0002AFF" w:usb1="C0007843" w:usb2="00000009" w:usb3="00000000" w:csb0="000001FF" w:csb1="00000000"/>
  </w:font>
  <w:font w:name="Myriad Pro Con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04BF" w14:textId="77777777" w:rsidR="00C63F6B" w:rsidRDefault="00C63F6B">
      <w:r>
        <w:separator/>
      </w:r>
    </w:p>
  </w:footnote>
  <w:footnote w:type="continuationSeparator" w:id="0">
    <w:p w14:paraId="2D70181F" w14:textId="77777777" w:rsidR="00C63F6B" w:rsidRDefault="00C6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0F59" w14:textId="77777777" w:rsidR="003B3107" w:rsidRDefault="003B310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DA3FE" w14:textId="77777777" w:rsidR="003B3107" w:rsidRDefault="003B3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B34A" w14:textId="77777777" w:rsidR="003B3107" w:rsidRDefault="003B3107" w:rsidP="00EB04AE">
    <w:pPr>
      <w:pStyle w:val="Header"/>
      <w:framePr w:wrap="around" w:vAnchor="text" w:hAnchor="margin" w:xAlign="center" w:y="1"/>
      <w:rPr>
        <w:rStyle w:val="PageNumber"/>
      </w:rPr>
    </w:pPr>
  </w:p>
  <w:p w14:paraId="1D0A1D90" w14:textId="77777777" w:rsidR="003B3107" w:rsidRDefault="003B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24D83"/>
    <w:multiLevelType w:val="hybridMultilevel"/>
    <w:tmpl w:val="C7849842"/>
    <w:lvl w:ilvl="0" w:tplc="A9BAD104">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481"/>
    <w:multiLevelType w:val="hybridMultilevel"/>
    <w:tmpl w:val="3EB07490"/>
    <w:lvl w:ilvl="0" w:tplc="0427000F">
      <w:start w:val="1"/>
      <w:numFmt w:val="decimal"/>
      <w:lvlText w:val="%1."/>
      <w:lvlJc w:val="left"/>
      <w:pPr>
        <w:ind w:left="927"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89353C"/>
    <w:multiLevelType w:val="hybridMultilevel"/>
    <w:tmpl w:val="853E2A04"/>
    <w:lvl w:ilvl="0" w:tplc="9D680AD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759A9"/>
    <w:multiLevelType w:val="hybridMultilevel"/>
    <w:tmpl w:val="C4E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E656CB"/>
    <w:multiLevelType w:val="hybridMultilevel"/>
    <w:tmpl w:val="CE4CB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CF15AD2"/>
    <w:multiLevelType w:val="hybridMultilevel"/>
    <w:tmpl w:val="DBDA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C81ACF"/>
    <w:multiLevelType w:val="hybridMultilevel"/>
    <w:tmpl w:val="6B6EBE60"/>
    <w:lvl w:ilvl="0" w:tplc="042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3C315FE"/>
    <w:multiLevelType w:val="hybridMultilevel"/>
    <w:tmpl w:val="D5104496"/>
    <w:lvl w:ilvl="0" w:tplc="736ECD4E">
      <w:start w:val="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901719"/>
    <w:multiLevelType w:val="hybridMultilevel"/>
    <w:tmpl w:val="8C5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13850">
    <w:abstractNumId w:val="10"/>
  </w:num>
  <w:num w:numId="2" w16cid:durableId="2082486574">
    <w:abstractNumId w:val="5"/>
  </w:num>
  <w:num w:numId="3" w16cid:durableId="49349496">
    <w:abstractNumId w:val="15"/>
  </w:num>
  <w:num w:numId="4" w16cid:durableId="388112774">
    <w:abstractNumId w:val="12"/>
  </w:num>
  <w:num w:numId="5" w16cid:durableId="126681194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3539142">
    <w:abstractNumId w:val="0"/>
  </w:num>
  <w:num w:numId="7" w16cid:durableId="1336692192">
    <w:abstractNumId w:val="13"/>
  </w:num>
  <w:num w:numId="8" w16cid:durableId="1913156472">
    <w:abstractNumId w:val="14"/>
  </w:num>
  <w:num w:numId="9" w16cid:durableId="473372949">
    <w:abstractNumId w:val="2"/>
  </w:num>
  <w:num w:numId="10" w16cid:durableId="1833178101">
    <w:abstractNumId w:val="4"/>
  </w:num>
  <w:num w:numId="11" w16cid:durableId="657729934">
    <w:abstractNumId w:val="3"/>
  </w:num>
  <w:num w:numId="12" w16cid:durableId="443311286">
    <w:abstractNumId w:val="16"/>
  </w:num>
  <w:num w:numId="13" w16cid:durableId="66925061">
    <w:abstractNumId w:val="6"/>
  </w:num>
  <w:num w:numId="14" w16cid:durableId="1449623425">
    <w:abstractNumId w:val="8"/>
  </w:num>
  <w:num w:numId="15" w16cid:durableId="568926333">
    <w:abstractNumId w:val="1"/>
  </w:num>
  <w:num w:numId="16" w16cid:durableId="2056853989">
    <w:abstractNumId w:val="9"/>
  </w:num>
  <w:num w:numId="17" w16cid:durableId="859591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36998"/>
    <w:rsid w:val="00043F0E"/>
    <w:rsid w:val="00044E1B"/>
    <w:rsid w:val="00046519"/>
    <w:rsid w:val="000530A6"/>
    <w:rsid w:val="00053538"/>
    <w:rsid w:val="000670D5"/>
    <w:rsid w:val="00067FB9"/>
    <w:rsid w:val="00074550"/>
    <w:rsid w:val="00074DAB"/>
    <w:rsid w:val="00075263"/>
    <w:rsid w:val="000803B6"/>
    <w:rsid w:val="0008050E"/>
    <w:rsid w:val="00091508"/>
    <w:rsid w:val="0009328E"/>
    <w:rsid w:val="000970F7"/>
    <w:rsid w:val="000A3634"/>
    <w:rsid w:val="000A3C99"/>
    <w:rsid w:val="000A3FAF"/>
    <w:rsid w:val="000A53B8"/>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3EE4"/>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9F2"/>
    <w:rsid w:val="00142A15"/>
    <w:rsid w:val="0014305B"/>
    <w:rsid w:val="0014313F"/>
    <w:rsid w:val="001458AF"/>
    <w:rsid w:val="00146E57"/>
    <w:rsid w:val="001473D3"/>
    <w:rsid w:val="00152921"/>
    <w:rsid w:val="00152DDB"/>
    <w:rsid w:val="00155B77"/>
    <w:rsid w:val="00156293"/>
    <w:rsid w:val="001568B0"/>
    <w:rsid w:val="00162212"/>
    <w:rsid w:val="00163CFB"/>
    <w:rsid w:val="00164ED9"/>
    <w:rsid w:val="00164FA0"/>
    <w:rsid w:val="001669F0"/>
    <w:rsid w:val="00170B15"/>
    <w:rsid w:val="00171524"/>
    <w:rsid w:val="001724C1"/>
    <w:rsid w:val="00172F4B"/>
    <w:rsid w:val="00173548"/>
    <w:rsid w:val="00173D19"/>
    <w:rsid w:val="00174CEB"/>
    <w:rsid w:val="00190248"/>
    <w:rsid w:val="00196FEF"/>
    <w:rsid w:val="001A0D32"/>
    <w:rsid w:val="001A1C50"/>
    <w:rsid w:val="001A1F7A"/>
    <w:rsid w:val="001A3672"/>
    <w:rsid w:val="001A4564"/>
    <w:rsid w:val="001A7311"/>
    <w:rsid w:val="001B1F64"/>
    <w:rsid w:val="001B41AA"/>
    <w:rsid w:val="001B47DB"/>
    <w:rsid w:val="001B5D81"/>
    <w:rsid w:val="001C61FF"/>
    <w:rsid w:val="001D005E"/>
    <w:rsid w:val="001D1EEA"/>
    <w:rsid w:val="001D20A4"/>
    <w:rsid w:val="001D222D"/>
    <w:rsid w:val="001D4DE5"/>
    <w:rsid w:val="001D69C6"/>
    <w:rsid w:val="001D7E6A"/>
    <w:rsid w:val="001E17A9"/>
    <w:rsid w:val="001E637F"/>
    <w:rsid w:val="001F14E1"/>
    <w:rsid w:val="001F5074"/>
    <w:rsid w:val="002007A3"/>
    <w:rsid w:val="00201C02"/>
    <w:rsid w:val="00202F29"/>
    <w:rsid w:val="0020486A"/>
    <w:rsid w:val="00211E52"/>
    <w:rsid w:val="00213F8C"/>
    <w:rsid w:val="002171B8"/>
    <w:rsid w:val="00221422"/>
    <w:rsid w:val="00230C73"/>
    <w:rsid w:val="00236A22"/>
    <w:rsid w:val="00242262"/>
    <w:rsid w:val="00242BED"/>
    <w:rsid w:val="002443FF"/>
    <w:rsid w:val="002455E4"/>
    <w:rsid w:val="00254816"/>
    <w:rsid w:val="00257B89"/>
    <w:rsid w:val="0026173E"/>
    <w:rsid w:val="0026316A"/>
    <w:rsid w:val="00263377"/>
    <w:rsid w:val="00264C29"/>
    <w:rsid w:val="00273403"/>
    <w:rsid w:val="00273767"/>
    <w:rsid w:val="00274F0A"/>
    <w:rsid w:val="002765AE"/>
    <w:rsid w:val="00280A96"/>
    <w:rsid w:val="00284C03"/>
    <w:rsid w:val="002857F9"/>
    <w:rsid w:val="00290B54"/>
    <w:rsid w:val="0029437E"/>
    <w:rsid w:val="00297CD8"/>
    <w:rsid w:val="002A0272"/>
    <w:rsid w:val="002A0F1D"/>
    <w:rsid w:val="002A7B95"/>
    <w:rsid w:val="002B2724"/>
    <w:rsid w:val="002B3381"/>
    <w:rsid w:val="002B6BE8"/>
    <w:rsid w:val="002C048E"/>
    <w:rsid w:val="002C24F4"/>
    <w:rsid w:val="002C37D7"/>
    <w:rsid w:val="002C38B0"/>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A622A"/>
    <w:rsid w:val="003B0799"/>
    <w:rsid w:val="003B0CA0"/>
    <w:rsid w:val="003B0FCA"/>
    <w:rsid w:val="003B15CC"/>
    <w:rsid w:val="003B1F71"/>
    <w:rsid w:val="003B3107"/>
    <w:rsid w:val="003B319E"/>
    <w:rsid w:val="003B4BCD"/>
    <w:rsid w:val="003B65D9"/>
    <w:rsid w:val="003B75EC"/>
    <w:rsid w:val="003B79A7"/>
    <w:rsid w:val="003B7BF9"/>
    <w:rsid w:val="003C3415"/>
    <w:rsid w:val="003D09D2"/>
    <w:rsid w:val="003D3BB4"/>
    <w:rsid w:val="003D3FC8"/>
    <w:rsid w:val="003D5542"/>
    <w:rsid w:val="003D5E39"/>
    <w:rsid w:val="003E090F"/>
    <w:rsid w:val="003E6412"/>
    <w:rsid w:val="003E7AF9"/>
    <w:rsid w:val="003F34A3"/>
    <w:rsid w:val="003F46EA"/>
    <w:rsid w:val="003F7EB0"/>
    <w:rsid w:val="00403322"/>
    <w:rsid w:val="004055FB"/>
    <w:rsid w:val="00410503"/>
    <w:rsid w:val="00411ECC"/>
    <w:rsid w:val="00413D2A"/>
    <w:rsid w:val="00414355"/>
    <w:rsid w:val="00415D1F"/>
    <w:rsid w:val="00425E86"/>
    <w:rsid w:val="00427155"/>
    <w:rsid w:val="00427A96"/>
    <w:rsid w:val="00427F9A"/>
    <w:rsid w:val="00430481"/>
    <w:rsid w:val="00436A9B"/>
    <w:rsid w:val="00440292"/>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14ED"/>
    <w:rsid w:val="004B2A04"/>
    <w:rsid w:val="004B4FFE"/>
    <w:rsid w:val="004C4E7C"/>
    <w:rsid w:val="004C6623"/>
    <w:rsid w:val="004D4B9C"/>
    <w:rsid w:val="004E3654"/>
    <w:rsid w:val="004E5569"/>
    <w:rsid w:val="004E6219"/>
    <w:rsid w:val="004E6B59"/>
    <w:rsid w:val="004E6F83"/>
    <w:rsid w:val="004F2201"/>
    <w:rsid w:val="004F38D0"/>
    <w:rsid w:val="004F4AEB"/>
    <w:rsid w:val="005004C4"/>
    <w:rsid w:val="0050107A"/>
    <w:rsid w:val="005050F5"/>
    <w:rsid w:val="00505CF1"/>
    <w:rsid w:val="00507315"/>
    <w:rsid w:val="00510336"/>
    <w:rsid w:val="00515E8C"/>
    <w:rsid w:val="0051758C"/>
    <w:rsid w:val="00520E13"/>
    <w:rsid w:val="00521E04"/>
    <w:rsid w:val="00523F9A"/>
    <w:rsid w:val="005266B5"/>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6EA"/>
    <w:rsid w:val="00562BE2"/>
    <w:rsid w:val="005639C2"/>
    <w:rsid w:val="00564489"/>
    <w:rsid w:val="00564717"/>
    <w:rsid w:val="00564C5F"/>
    <w:rsid w:val="0056524B"/>
    <w:rsid w:val="005679DC"/>
    <w:rsid w:val="00571C08"/>
    <w:rsid w:val="00572D87"/>
    <w:rsid w:val="005739F8"/>
    <w:rsid w:val="00574A76"/>
    <w:rsid w:val="005815B9"/>
    <w:rsid w:val="00593CF1"/>
    <w:rsid w:val="00593E93"/>
    <w:rsid w:val="00595ABA"/>
    <w:rsid w:val="00596BAB"/>
    <w:rsid w:val="005A3553"/>
    <w:rsid w:val="005B2AFB"/>
    <w:rsid w:val="005B45F7"/>
    <w:rsid w:val="005B6897"/>
    <w:rsid w:val="005B742C"/>
    <w:rsid w:val="005C1112"/>
    <w:rsid w:val="005C316B"/>
    <w:rsid w:val="005C3AC7"/>
    <w:rsid w:val="005C5046"/>
    <w:rsid w:val="005C6C20"/>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10CF0"/>
    <w:rsid w:val="006123AC"/>
    <w:rsid w:val="006125D7"/>
    <w:rsid w:val="00612CBF"/>
    <w:rsid w:val="00613FCA"/>
    <w:rsid w:val="00615C01"/>
    <w:rsid w:val="00617CBB"/>
    <w:rsid w:val="0062140A"/>
    <w:rsid w:val="0062376F"/>
    <w:rsid w:val="00631A51"/>
    <w:rsid w:val="006346BE"/>
    <w:rsid w:val="006404BF"/>
    <w:rsid w:val="00641428"/>
    <w:rsid w:val="00645EAE"/>
    <w:rsid w:val="0064641E"/>
    <w:rsid w:val="00646DC6"/>
    <w:rsid w:val="00652C7D"/>
    <w:rsid w:val="00653344"/>
    <w:rsid w:val="006565EC"/>
    <w:rsid w:val="006573EA"/>
    <w:rsid w:val="0066117A"/>
    <w:rsid w:val="0066134A"/>
    <w:rsid w:val="006654B6"/>
    <w:rsid w:val="00670913"/>
    <w:rsid w:val="00670AC5"/>
    <w:rsid w:val="00671D4B"/>
    <w:rsid w:val="00674589"/>
    <w:rsid w:val="00681C35"/>
    <w:rsid w:val="00681D91"/>
    <w:rsid w:val="00682F8A"/>
    <w:rsid w:val="00683419"/>
    <w:rsid w:val="006841A5"/>
    <w:rsid w:val="00684E2A"/>
    <w:rsid w:val="0068537A"/>
    <w:rsid w:val="00690AB0"/>
    <w:rsid w:val="00693E67"/>
    <w:rsid w:val="006958AF"/>
    <w:rsid w:val="006976FE"/>
    <w:rsid w:val="006A44F6"/>
    <w:rsid w:val="006A5F42"/>
    <w:rsid w:val="006B392F"/>
    <w:rsid w:val="006B479B"/>
    <w:rsid w:val="006B507A"/>
    <w:rsid w:val="006B64F4"/>
    <w:rsid w:val="006C05C4"/>
    <w:rsid w:val="006C0E9C"/>
    <w:rsid w:val="006D35E8"/>
    <w:rsid w:val="006D67EE"/>
    <w:rsid w:val="006E16CC"/>
    <w:rsid w:val="006E3687"/>
    <w:rsid w:val="006F008D"/>
    <w:rsid w:val="006F078E"/>
    <w:rsid w:val="006F0E08"/>
    <w:rsid w:val="006F5433"/>
    <w:rsid w:val="006F709F"/>
    <w:rsid w:val="00700824"/>
    <w:rsid w:val="00700D08"/>
    <w:rsid w:val="0070112A"/>
    <w:rsid w:val="0070327D"/>
    <w:rsid w:val="00705CFD"/>
    <w:rsid w:val="00706E7E"/>
    <w:rsid w:val="007202AD"/>
    <w:rsid w:val="007239E1"/>
    <w:rsid w:val="00724FB4"/>
    <w:rsid w:val="007268A9"/>
    <w:rsid w:val="00730A14"/>
    <w:rsid w:val="00730A62"/>
    <w:rsid w:val="00731E84"/>
    <w:rsid w:val="00732AB0"/>
    <w:rsid w:val="0073507F"/>
    <w:rsid w:val="0073554B"/>
    <w:rsid w:val="00736297"/>
    <w:rsid w:val="00736C6F"/>
    <w:rsid w:val="00741FB5"/>
    <w:rsid w:val="007442D5"/>
    <w:rsid w:val="00746F04"/>
    <w:rsid w:val="007511AF"/>
    <w:rsid w:val="007517E0"/>
    <w:rsid w:val="007522B4"/>
    <w:rsid w:val="00754BA4"/>
    <w:rsid w:val="0077168A"/>
    <w:rsid w:val="00771DB6"/>
    <w:rsid w:val="007749DB"/>
    <w:rsid w:val="00775D43"/>
    <w:rsid w:val="00777F64"/>
    <w:rsid w:val="00781D66"/>
    <w:rsid w:val="00782F8D"/>
    <w:rsid w:val="0078369A"/>
    <w:rsid w:val="007848F0"/>
    <w:rsid w:val="00787FB7"/>
    <w:rsid w:val="007915E8"/>
    <w:rsid w:val="00793EA3"/>
    <w:rsid w:val="00794FD8"/>
    <w:rsid w:val="007961D0"/>
    <w:rsid w:val="0079744B"/>
    <w:rsid w:val="007A0CD9"/>
    <w:rsid w:val="007A5B76"/>
    <w:rsid w:val="007B1675"/>
    <w:rsid w:val="007B3BB9"/>
    <w:rsid w:val="007B5864"/>
    <w:rsid w:val="007B607C"/>
    <w:rsid w:val="007B6AA0"/>
    <w:rsid w:val="007C3926"/>
    <w:rsid w:val="007C497A"/>
    <w:rsid w:val="007C7744"/>
    <w:rsid w:val="007D1042"/>
    <w:rsid w:val="007D1445"/>
    <w:rsid w:val="007D2F1C"/>
    <w:rsid w:val="007D2FDE"/>
    <w:rsid w:val="007D3592"/>
    <w:rsid w:val="007D3CF1"/>
    <w:rsid w:val="007D57DC"/>
    <w:rsid w:val="007E0EE6"/>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CBA"/>
    <w:rsid w:val="00815EAA"/>
    <w:rsid w:val="008163BF"/>
    <w:rsid w:val="0082340A"/>
    <w:rsid w:val="008274E5"/>
    <w:rsid w:val="00832175"/>
    <w:rsid w:val="0083398E"/>
    <w:rsid w:val="008370AC"/>
    <w:rsid w:val="00837D90"/>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0DE6"/>
    <w:rsid w:val="0088508E"/>
    <w:rsid w:val="0089183C"/>
    <w:rsid w:val="0089280A"/>
    <w:rsid w:val="00892904"/>
    <w:rsid w:val="00894457"/>
    <w:rsid w:val="00896F39"/>
    <w:rsid w:val="008A029F"/>
    <w:rsid w:val="008A1B1E"/>
    <w:rsid w:val="008A1BFD"/>
    <w:rsid w:val="008A24D9"/>
    <w:rsid w:val="008A36E6"/>
    <w:rsid w:val="008A3B5D"/>
    <w:rsid w:val="008B09CE"/>
    <w:rsid w:val="008B46E6"/>
    <w:rsid w:val="008B5732"/>
    <w:rsid w:val="008C1E8D"/>
    <w:rsid w:val="008E5BF4"/>
    <w:rsid w:val="008E64FC"/>
    <w:rsid w:val="008E7C0A"/>
    <w:rsid w:val="008F0586"/>
    <w:rsid w:val="008F29B4"/>
    <w:rsid w:val="00900E0D"/>
    <w:rsid w:val="00910B3B"/>
    <w:rsid w:val="00910C84"/>
    <w:rsid w:val="009123ED"/>
    <w:rsid w:val="00914BD3"/>
    <w:rsid w:val="0091504A"/>
    <w:rsid w:val="0092560D"/>
    <w:rsid w:val="009262BD"/>
    <w:rsid w:val="00927B15"/>
    <w:rsid w:val="009300B1"/>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2E30"/>
    <w:rsid w:val="009E2E9B"/>
    <w:rsid w:val="009E43E9"/>
    <w:rsid w:val="009F412A"/>
    <w:rsid w:val="009F51DA"/>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78B9"/>
    <w:rsid w:val="00A47F36"/>
    <w:rsid w:val="00A55C30"/>
    <w:rsid w:val="00A570DD"/>
    <w:rsid w:val="00A57CA3"/>
    <w:rsid w:val="00A710F2"/>
    <w:rsid w:val="00A73687"/>
    <w:rsid w:val="00A73B3F"/>
    <w:rsid w:val="00A759CC"/>
    <w:rsid w:val="00A777FF"/>
    <w:rsid w:val="00A82B7E"/>
    <w:rsid w:val="00A83637"/>
    <w:rsid w:val="00A920C2"/>
    <w:rsid w:val="00A926FA"/>
    <w:rsid w:val="00A9352E"/>
    <w:rsid w:val="00AA0D56"/>
    <w:rsid w:val="00AA2BD4"/>
    <w:rsid w:val="00AA6A6D"/>
    <w:rsid w:val="00AA6F6E"/>
    <w:rsid w:val="00AB1860"/>
    <w:rsid w:val="00AB4E34"/>
    <w:rsid w:val="00AB5FBE"/>
    <w:rsid w:val="00AC110A"/>
    <w:rsid w:val="00AC214A"/>
    <w:rsid w:val="00AC38B8"/>
    <w:rsid w:val="00AC3965"/>
    <w:rsid w:val="00AC5C03"/>
    <w:rsid w:val="00AC739B"/>
    <w:rsid w:val="00AD1F49"/>
    <w:rsid w:val="00AD36F7"/>
    <w:rsid w:val="00AD67C9"/>
    <w:rsid w:val="00AE153C"/>
    <w:rsid w:val="00AE446D"/>
    <w:rsid w:val="00AF2974"/>
    <w:rsid w:val="00AF377A"/>
    <w:rsid w:val="00AF3D5D"/>
    <w:rsid w:val="00AF5175"/>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41F59"/>
    <w:rsid w:val="00B475CF"/>
    <w:rsid w:val="00B517EB"/>
    <w:rsid w:val="00B5208D"/>
    <w:rsid w:val="00B55010"/>
    <w:rsid w:val="00B5664B"/>
    <w:rsid w:val="00B56C6E"/>
    <w:rsid w:val="00B577A8"/>
    <w:rsid w:val="00B71CCD"/>
    <w:rsid w:val="00B77B63"/>
    <w:rsid w:val="00B82D68"/>
    <w:rsid w:val="00B95FA3"/>
    <w:rsid w:val="00BA14EB"/>
    <w:rsid w:val="00BA530F"/>
    <w:rsid w:val="00BB13B6"/>
    <w:rsid w:val="00BB37EC"/>
    <w:rsid w:val="00BB53D3"/>
    <w:rsid w:val="00BC08D4"/>
    <w:rsid w:val="00BC230A"/>
    <w:rsid w:val="00BC3320"/>
    <w:rsid w:val="00BC3AEA"/>
    <w:rsid w:val="00BD0B57"/>
    <w:rsid w:val="00BD3350"/>
    <w:rsid w:val="00BD4A1E"/>
    <w:rsid w:val="00BE2C85"/>
    <w:rsid w:val="00BE2DD2"/>
    <w:rsid w:val="00BE5351"/>
    <w:rsid w:val="00BE57A9"/>
    <w:rsid w:val="00BF14D3"/>
    <w:rsid w:val="00BF1AF7"/>
    <w:rsid w:val="00BF33CA"/>
    <w:rsid w:val="00C031CB"/>
    <w:rsid w:val="00C03DBC"/>
    <w:rsid w:val="00C0644E"/>
    <w:rsid w:val="00C066EB"/>
    <w:rsid w:val="00C102B0"/>
    <w:rsid w:val="00C212AA"/>
    <w:rsid w:val="00C26557"/>
    <w:rsid w:val="00C332AB"/>
    <w:rsid w:val="00C33813"/>
    <w:rsid w:val="00C33CC2"/>
    <w:rsid w:val="00C33D3A"/>
    <w:rsid w:val="00C41C5A"/>
    <w:rsid w:val="00C43BC5"/>
    <w:rsid w:val="00C4732A"/>
    <w:rsid w:val="00C51B07"/>
    <w:rsid w:val="00C52D42"/>
    <w:rsid w:val="00C61A76"/>
    <w:rsid w:val="00C63F6B"/>
    <w:rsid w:val="00C646EE"/>
    <w:rsid w:val="00C676E6"/>
    <w:rsid w:val="00C67A3D"/>
    <w:rsid w:val="00C7180C"/>
    <w:rsid w:val="00C73B88"/>
    <w:rsid w:val="00C76538"/>
    <w:rsid w:val="00C80824"/>
    <w:rsid w:val="00C93876"/>
    <w:rsid w:val="00C96953"/>
    <w:rsid w:val="00CB2BDE"/>
    <w:rsid w:val="00CC382D"/>
    <w:rsid w:val="00CC39B0"/>
    <w:rsid w:val="00CC44D6"/>
    <w:rsid w:val="00CC4F62"/>
    <w:rsid w:val="00CC5009"/>
    <w:rsid w:val="00CD09AA"/>
    <w:rsid w:val="00CD2301"/>
    <w:rsid w:val="00CD315E"/>
    <w:rsid w:val="00CD3D84"/>
    <w:rsid w:val="00CD4D59"/>
    <w:rsid w:val="00CD7EFB"/>
    <w:rsid w:val="00CE01CE"/>
    <w:rsid w:val="00CE0252"/>
    <w:rsid w:val="00CE2399"/>
    <w:rsid w:val="00CE345A"/>
    <w:rsid w:val="00CE5F56"/>
    <w:rsid w:val="00CE76DB"/>
    <w:rsid w:val="00CF390E"/>
    <w:rsid w:val="00CF52FE"/>
    <w:rsid w:val="00CF5485"/>
    <w:rsid w:val="00CF63E7"/>
    <w:rsid w:val="00CF7232"/>
    <w:rsid w:val="00CF73F3"/>
    <w:rsid w:val="00CF7CD9"/>
    <w:rsid w:val="00D0053B"/>
    <w:rsid w:val="00D0549D"/>
    <w:rsid w:val="00D06ACE"/>
    <w:rsid w:val="00D1015D"/>
    <w:rsid w:val="00D136E9"/>
    <w:rsid w:val="00D262A9"/>
    <w:rsid w:val="00D276C8"/>
    <w:rsid w:val="00D31B48"/>
    <w:rsid w:val="00D31CFE"/>
    <w:rsid w:val="00D426A3"/>
    <w:rsid w:val="00D4555C"/>
    <w:rsid w:val="00D478FC"/>
    <w:rsid w:val="00D564FE"/>
    <w:rsid w:val="00D63C36"/>
    <w:rsid w:val="00D646F4"/>
    <w:rsid w:val="00D657D5"/>
    <w:rsid w:val="00D70353"/>
    <w:rsid w:val="00D70CB6"/>
    <w:rsid w:val="00D73574"/>
    <w:rsid w:val="00D7482F"/>
    <w:rsid w:val="00D8002B"/>
    <w:rsid w:val="00D804D5"/>
    <w:rsid w:val="00D92F70"/>
    <w:rsid w:val="00DA00ED"/>
    <w:rsid w:val="00DA133F"/>
    <w:rsid w:val="00DA282E"/>
    <w:rsid w:val="00DB2A11"/>
    <w:rsid w:val="00DC0FDE"/>
    <w:rsid w:val="00DC7C13"/>
    <w:rsid w:val="00DD2B77"/>
    <w:rsid w:val="00DD32E5"/>
    <w:rsid w:val="00DD41CC"/>
    <w:rsid w:val="00DD5BA0"/>
    <w:rsid w:val="00DD6B0A"/>
    <w:rsid w:val="00DD777F"/>
    <w:rsid w:val="00DE03D6"/>
    <w:rsid w:val="00DE219D"/>
    <w:rsid w:val="00DE4757"/>
    <w:rsid w:val="00DE5488"/>
    <w:rsid w:val="00DF18D4"/>
    <w:rsid w:val="00DF268A"/>
    <w:rsid w:val="00DF6F4D"/>
    <w:rsid w:val="00E02AE4"/>
    <w:rsid w:val="00E02CA9"/>
    <w:rsid w:val="00E03423"/>
    <w:rsid w:val="00E054DB"/>
    <w:rsid w:val="00E063B4"/>
    <w:rsid w:val="00E15AFA"/>
    <w:rsid w:val="00E20234"/>
    <w:rsid w:val="00E21B83"/>
    <w:rsid w:val="00E24E38"/>
    <w:rsid w:val="00E31EED"/>
    <w:rsid w:val="00E32B3D"/>
    <w:rsid w:val="00E35D4E"/>
    <w:rsid w:val="00E40BDB"/>
    <w:rsid w:val="00E505D8"/>
    <w:rsid w:val="00E520D1"/>
    <w:rsid w:val="00E52292"/>
    <w:rsid w:val="00E53CB8"/>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A81"/>
    <w:rsid w:val="00EA6CFD"/>
    <w:rsid w:val="00EA73AC"/>
    <w:rsid w:val="00EA7641"/>
    <w:rsid w:val="00EB04AE"/>
    <w:rsid w:val="00EB1DD8"/>
    <w:rsid w:val="00EB3B83"/>
    <w:rsid w:val="00EB4422"/>
    <w:rsid w:val="00EB5D84"/>
    <w:rsid w:val="00EB7F79"/>
    <w:rsid w:val="00EC69B8"/>
    <w:rsid w:val="00ED0D23"/>
    <w:rsid w:val="00ED2CF8"/>
    <w:rsid w:val="00ED4FDB"/>
    <w:rsid w:val="00ED6A8D"/>
    <w:rsid w:val="00ED7083"/>
    <w:rsid w:val="00EE3D9E"/>
    <w:rsid w:val="00EE7A43"/>
    <w:rsid w:val="00EF1E5D"/>
    <w:rsid w:val="00EF517F"/>
    <w:rsid w:val="00EF5674"/>
    <w:rsid w:val="00EF7207"/>
    <w:rsid w:val="00F000E2"/>
    <w:rsid w:val="00F028D1"/>
    <w:rsid w:val="00F0310D"/>
    <w:rsid w:val="00F039F8"/>
    <w:rsid w:val="00F0567C"/>
    <w:rsid w:val="00F13282"/>
    <w:rsid w:val="00F1478D"/>
    <w:rsid w:val="00F152A2"/>
    <w:rsid w:val="00F16613"/>
    <w:rsid w:val="00F17EA0"/>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A1DE3"/>
    <w:rsid w:val="00FB0202"/>
    <w:rsid w:val="00FB33F0"/>
    <w:rsid w:val="00FB3959"/>
    <w:rsid w:val="00FC07AF"/>
    <w:rsid w:val="00FC364A"/>
    <w:rsid w:val="00FD157B"/>
    <w:rsid w:val="00FE5BE0"/>
    <w:rsid w:val="00FF05D5"/>
    <w:rsid w:val="00FF2272"/>
    <w:rsid w:val="00FF2D8F"/>
    <w:rsid w:val="00FF2F6A"/>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BD527"/>
  <w15:chartTrackingRefBased/>
  <w15:docId w15:val="{CCFF626C-F201-4F20-9197-88B78F1E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BD0B57"/>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89183C"/>
    <w:pPr>
      <w:autoSpaceDE w:val="0"/>
      <w:autoSpaceDN w:val="0"/>
      <w:adjustRightInd w:val="0"/>
    </w:pPr>
    <w:rPr>
      <w:rFonts w:eastAsia="Calibri"/>
      <w:color w:val="000000"/>
      <w:sz w:val="24"/>
      <w:szCs w:val="24"/>
      <w:lang w:val="lt-LT"/>
    </w:rPr>
  </w:style>
  <w:style w:type="character" w:customStyle="1" w:styleId="Heading1Char">
    <w:name w:val="Heading 1 Char"/>
    <w:link w:val="Heading1"/>
    <w:rsid w:val="00BD0B57"/>
    <w:rPr>
      <w:rFonts w:ascii="Calibri Light" w:eastAsia="Times New Roman" w:hAnsi="Calibri Light" w:cs="Times New Roman"/>
      <w:b/>
      <w:bCs/>
      <w:kern w:val="32"/>
      <w:sz w:val="32"/>
      <w:szCs w:val="32"/>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BD0B57"/>
    <w:rPr>
      <w:rFonts w:eastAsia="Calibri"/>
      <w:sz w:val="24"/>
      <w:szCs w:val="24"/>
      <w:lang w:val="lt-LT"/>
    </w:rPr>
  </w:style>
  <w:style w:type="character" w:styleId="UnresolvedMention">
    <w:name w:val="Unresolved Mention"/>
    <w:basedOn w:val="DefaultParagraphFont"/>
    <w:uiPriority w:val="99"/>
    <w:semiHidden/>
    <w:unhideWhenUsed/>
    <w:rsid w:val="00723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gimantas@aved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vtc.go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ius.ulys@kvtc.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gimantas@avedus.lt" TargetMode="External"/><Relationship Id="rId4" Type="http://schemas.openxmlformats.org/officeDocument/2006/relationships/settings" Target="settings.xml"/><Relationship Id="rId9" Type="http://schemas.openxmlformats.org/officeDocument/2006/relationships/hyperlink" Target="mailto:audrius.ulys@kvtc.gov.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7D2D-F1D9-4C1F-A914-163B9551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8548</Words>
  <Characters>48724</Characters>
  <Application>Microsoft Office Word</Application>
  <DocSecurity>0</DocSecurity>
  <Lines>406</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57158</CharactersWithSpaces>
  <SharedDoc>false</SharedDoc>
  <HLinks>
    <vt:vector size="6" baseType="variant">
      <vt:variant>
        <vt:i4>4522043</vt:i4>
      </vt:variant>
      <vt:variant>
        <vt:i4>0</vt:i4>
      </vt:variant>
      <vt:variant>
        <vt:i4>0</vt:i4>
      </vt:variant>
      <vt:variant>
        <vt:i4>5</vt:i4>
      </vt:variant>
      <vt:variant>
        <vt:lpwstr>mailto:info@kvtc.gov.lt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Algimantas Inčius</cp:lastModifiedBy>
  <cp:revision>2</cp:revision>
  <cp:lastPrinted>2013-04-29T10:59:00Z</cp:lastPrinted>
  <dcterms:created xsi:type="dcterms:W3CDTF">2022-09-27T11:39:00Z</dcterms:created>
  <dcterms:modified xsi:type="dcterms:W3CDTF">2022-09-27T11:39:00Z</dcterms:modified>
</cp:coreProperties>
</file>