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73" w:rsidRDefault="00CD3773" w:rsidP="00CD3773">
      <w:pPr>
        <w:spacing w:before="120"/>
        <w:rPr>
          <w:b/>
          <w:sz w:val="22"/>
          <w:szCs w:val="22"/>
        </w:rPr>
      </w:pPr>
    </w:p>
    <w:p w:rsidR="00CD3773" w:rsidRDefault="00CD3773" w:rsidP="00CD3773">
      <w:pPr>
        <w:spacing w:before="120"/>
        <w:jc w:val="center"/>
        <w:rPr>
          <w:b/>
          <w:sz w:val="22"/>
          <w:szCs w:val="22"/>
        </w:rPr>
      </w:pPr>
      <w:r>
        <w:rPr>
          <w:b/>
          <w:sz w:val="22"/>
          <w:szCs w:val="22"/>
        </w:rPr>
        <w:t>VIEŠOJO PIRKIMO – PARDAVIMO  SUTARTIS  Nr.2015/12-</w:t>
      </w:r>
      <w:r w:rsidR="00CF7D1D">
        <w:rPr>
          <w:b/>
          <w:sz w:val="22"/>
          <w:szCs w:val="22"/>
        </w:rPr>
        <w:t>099</w:t>
      </w:r>
    </w:p>
    <w:p w:rsidR="00CD3773" w:rsidRDefault="00CD3773" w:rsidP="00CD3773">
      <w:pPr>
        <w:jc w:val="center"/>
        <w:rPr>
          <w:sz w:val="22"/>
          <w:szCs w:val="22"/>
        </w:rPr>
      </w:pPr>
    </w:p>
    <w:p w:rsidR="00CD3773" w:rsidRDefault="00CD3773" w:rsidP="00CD3773">
      <w:pPr>
        <w:jc w:val="center"/>
        <w:rPr>
          <w:sz w:val="22"/>
          <w:szCs w:val="22"/>
        </w:rPr>
      </w:pPr>
      <w:r>
        <w:rPr>
          <w:sz w:val="22"/>
          <w:szCs w:val="22"/>
        </w:rPr>
        <w:t>2015m. gruodžio mėn.18.d.</w:t>
      </w:r>
    </w:p>
    <w:p w:rsidR="00CD3773" w:rsidRDefault="00CD3773" w:rsidP="00CD3773">
      <w:pPr>
        <w:jc w:val="center"/>
        <w:rPr>
          <w:sz w:val="22"/>
          <w:szCs w:val="22"/>
        </w:rPr>
      </w:pPr>
      <w:r>
        <w:rPr>
          <w:sz w:val="22"/>
          <w:szCs w:val="22"/>
        </w:rPr>
        <w:t>Vilnius</w:t>
      </w:r>
    </w:p>
    <w:p w:rsidR="00A43488" w:rsidRDefault="00A43488" w:rsidP="00A43488">
      <w:pPr>
        <w:jc w:val="both"/>
      </w:pPr>
    </w:p>
    <w:p w:rsidR="00587330" w:rsidRDefault="00587330" w:rsidP="00A43488">
      <w:pPr>
        <w:jc w:val="both"/>
      </w:pPr>
    </w:p>
    <w:p w:rsidR="00CD3773" w:rsidRPr="002235FD" w:rsidRDefault="00CF7D1D" w:rsidP="006E433D">
      <w:pPr>
        <w:jc w:val="both"/>
      </w:pPr>
      <w:r w:rsidRPr="007974D7">
        <w:t>UAB  „Roche Lietuva“ į.k.300089404</w:t>
      </w:r>
      <w:r w:rsidR="006E433D">
        <w:t xml:space="preserve"> </w:t>
      </w:r>
      <w:r w:rsidR="00CD3773" w:rsidRPr="0092187A">
        <w:rPr>
          <w:iCs/>
          <w:sz w:val="22"/>
          <w:szCs w:val="22"/>
        </w:rPr>
        <w:t>(</w:t>
      </w:r>
      <w:r w:rsidR="00CD3773" w:rsidRPr="0092187A">
        <w:rPr>
          <w:sz w:val="22"/>
          <w:szCs w:val="22"/>
        </w:rPr>
        <w:t>toliau</w:t>
      </w:r>
      <w:r w:rsidR="00CD3773" w:rsidRPr="0092187A">
        <w:rPr>
          <w:b/>
          <w:bCs/>
          <w:sz w:val="22"/>
          <w:szCs w:val="22"/>
        </w:rPr>
        <w:t xml:space="preserve"> - Pardavėjas</w:t>
      </w:r>
      <w:r w:rsidR="00CD3773" w:rsidRPr="0092187A">
        <w:rPr>
          <w:bCs/>
          <w:sz w:val="22"/>
          <w:szCs w:val="22"/>
        </w:rPr>
        <w:t>)</w:t>
      </w:r>
      <w:r w:rsidR="00CD3773" w:rsidRPr="0092187A">
        <w:rPr>
          <w:sz w:val="22"/>
          <w:szCs w:val="22"/>
        </w:rPr>
        <w:t>, ir</w:t>
      </w:r>
    </w:p>
    <w:p w:rsidR="00CD3773" w:rsidRDefault="00CD3773" w:rsidP="00CD3773">
      <w:pPr>
        <w:jc w:val="both"/>
        <w:rPr>
          <w:sz w:val="22"/>
          <w:szCs w:val="22"/>
        </w:rPr>
      </w:pPr>
    </w:p>
    <w:p w:rsidR="00CD3773" w:rsidRDefault="00CD3773" w:rsidP="00CD3773">
      <w:pPr>
        <w:jc w:val="both"/>
        <w:rPr>
          <w:sz w:val="22"/>
          <w:szCs w:val="22"/>
        </w:rPr>
      </w:pPr>
      <w:r>
        <w:rPr>
          <w:b/>
          <w:bCs/>
          <w:sz w:val="22"/>
          <w:szCs w:val="22"/>
        </w:rPr>
        <w:t>VšĮ Vilniaus gimdymo namai</w:t>
      </w:r>
      <w:r>
        <w:rPr>
          <w:sz w:val="22"/>
          <w:szCs w:val="22"/>
        </w:rPr>
        <w:t>, pagal Lietuvos Respublikos įstatymus įsteigta ir veikianti įstaiga, juridinio asmens kodas</w:t>
      </w:r>
      <w:r>
        <w:rPr>
          <w:b/>
          <w:sz w:val="22"/>
          <w:szCs w:val="22"/>
        </w:rPr>
        <w:t xml:space="preserve"> 124368392</w:t>
      </w:r>
      <w:r>
        <w:rPr>
          <w:sz w:val="22"/>
          <w:szCs w:val="22"/>
        </w:rPr>
        <w:t xml:space="preserve">, kurios registruota buveinė yra </w:t>
      </w:r>
      <w:r>
        <w:rPr>
          <w:b/>
          <w:sz w:val="22"/>
          <w:szCs w:val="22"/>
        </w:rPr>
        <w:t>Tyzenhauzų g. 18A, Vilniuje</w:t>
      </w:r>
      <w:r>
        <w:rPr>
          <w:sz w:val="22"/>
          <w:szCs w:val="22"/>
        </w:rPr>
        <w:t xml:space="preserve">, </w:t>
      </w:r>
      <w:r>
        <w:rPr>
          <w:bCs/>
          <w:iCs/>
          <w:sz w:val="22"/>
          <w:szCs w:val="22"/>
        </w:rPr>
        <w:t xml:space="preserve">duomenys apie įmonę kaupiami ir saugomi Lietuvos Respublikos Juridinių asmenų registre, </w:t>
      </w:r>
      <w:r>
        <w:rPr>
          <w:sz w:val="22"/>
          <w:szCs w:val="22"/>
        </w:rPr>
        <w:t xml:space="preserve">atstovaujama </w:t>
      </w:r>
      <w:r>
        <w:rPr>
          <w:b/>
          <w:sz w:val="22"/>
          <w:szCs w:val="22"/>
        </w:rPr>
        <w:t>direktorės</w:t>
      </w:r>
      <w:r>
        <w:rPr>
          <w:sz w:val="22"/>
          <w:szCs w:val="22"/>
        </w:rPr>
        <w:t xml:space="preserve">  </w:t>
      </w:r>
      <w:r>
        <w:rPr>
          <w:b/>
          <w:sz w:val="22"/>
          <w:szCs w:val="22"/>
        </w:rPr>
        <w:t>Kornelijos Mačiulienės,</w:t>
      </w:r>
      <w:r>
        <w:rPr>
          <w:sz w:val="22"/>
          <w:szCs w:val="22"/>
        </w:rPr>
        <w:t xml:space="preserve"> veikiančios pagal įstaigos įstatus</w:t>
      </w:r>
      <w:r>
        <w:rPr>
          <w:iCs/>
          <w:sz w:val="22"/>
          <w:szCs w:val="22"/>
        </w:rPr>
        <w:t xml:space="preserve"> (</w:t>
      </w:r>
      <w:r>
        <w:rPr>
          <w:sz w:val="22"/>
          <w:szCs w:val="22"/>
        </w:rPr>
        <w:t xml:space="preserve">toliau </w:t>
      </w:r>
      <w:r>
        <w:rPr>
          <w:sz w:val="22"/>
          <w:szCs w:val="22"/>
        </w:rPr>
        <w:sym w:font="Symbol" w:char="002D"/>
      </w:r>
      <w:r>
        <w:rPr>
          <w:sz w:val="22"/>
          <w:szCs w:val="22"/>
        </w:rPr>
        <w:t xml:space="preserve"> </w:t>
      </w:r>
      <w:r>
        <w:rPr>
          <w:b/>
          <w:sz w:val="22"/>
          <w:szCs w:val="22"/>
        </w:rPr>
        <w:t>Pirkėjas</w:t>
      </w:r>
      <w:r>
        <w:rPr>
          <w:bCs/>
          <w:sz w:val="22"/>
          <w:szCs w:val="22"/>
        </w:rPr>
        <w:t>)</w:t>
      </w:r>
      <w:r>
        <w:rPr>
          <w:sz w:val="22"/>
          <w:szCs w:val="22"/>
        </w:rPr>
        <w:t xml:space="preserve">, sudarė šią viešojo pirkimo – pardavimo  sutartį (toliau – </w:t>
      </w:r>
      <w:r>
        <w:rPr>
          <w:b/>
          <w:sz w:val="22"/>
          <w:szCs w:val="22"/>
        </w:rPr>
        <w:t>Sutartis</w:t>
      </w:r>
      <w:r>
        <w:rPr>
          <w:sz w:val="22"/>
          <w:szCs w:val="22"/>
        </w:rPr>
        <w:t>).</w:t>
      </w:r>
    </w:p>
    <w:p w:rsidR="00CD3773" w:rsidRDefault="00CD3773" w:rsidP="00CD3773">
      <w:pPr>
        <w:jc w:val="both"/>
        <w:rPr>
          <w:sz w:val="22"/>
          <w:szCs w:val="22"/>
        </w:rPr>
      </w:pPr>
    </w:p>
    <w:p w:rsidR="00CD3773" w:rsidRDefault="00CD3773" w:rsidP="00CD3773">
      <w:pPr>
        <w:pStyle w:val="BodyText"/>
        <w:rPr>
          <w:bCs/>
          <w:sz w:val="22"/>
        </w:rPr>
      </w:pPr>
      <w:r>
        <w:rPr>
          <w:sz w:val="22"/>
        </w:rPr>
        <w:t xml:space="preserve">Toliau Pardavėjas ir Pirkėjas kartu šioje </w:t>
      </w:r>
      <w:smartTag w:uri="schemas-tilde-lt/tildestengine" w:element="templates">
        <w:smartTagPr>
          <w:attr w:name="baseform" w:val="sutart|is"/>
          <w:attr w:name="id" w:val="-1"/>
          <w:attr w:name="2006" w:val="sutartyje"/>
        </w:smartTagPr>
        <w:r>
          <w:rPr>
            <w:sz w:val="22"/>
          </w:rPr>
          <w:t>Sutartyje</w:t>
        </w:r>
      </w:smartTag>
      <w:r>
        <w:rPr>
          <w:sz w:val="22"/>
        </w:rPr>
        <w:t xml:space="preserve"> gali būti vadinami </w:t>
      </w:r>
      <w:r>
        <w:rPr>
          <w:b/>
          <w:sz w:val="22"/>
        </w:rPr>
        <w:t>Šalimis</w:t>
      </w:r>
      <w:r>
        <w:rPr>
          <w:sz w:val="22"/>
        </w:rPr>
        <w:t xml:space="preserve">, o kiekvienas atskirai – </w:t>
      </w:r>
      <w:r>
        <w:rPr>
          <w:b/>
          <w:sz w:val="22"/>
        </w:rPr>
        <w:t>Šalimi</w:t>
      </w:r>
      <w:r>
        <w:rPr>
          <w:sz w:val="22"/>
        </w:rPr>
        <w:t>.</w:t>
      </w:r>
    </w:p>
    <w:p w:rsidR="00CD3773" w:rsidRDefault="00CD3773" w:rsidP="00CD3773">
      <w:pPr>
        <w:pStyle w:val="BodyText"/>
        <w:numPr>
          <w:ilvl w:val="0"/>
          <w:numId w:val="2"/>
        </w:numPr>
        <w:spacing w:after="0" w:line="240" w:lineRule="auto"/>
        <w:jc w:val="both"/>
        <w:rPr>
          <w:b/>
          <w:bCs/>
          <w:sz w:val="22"/>
        </w:rPr>
      </w:pPr>
      <w:smartTag w:uri="schemas-tilde-lt/tildestengine" w:element="templates">
        <w:smartTagPr>
          <w:attr w:name="baseform" w:val="sutart|is"/>
          <w:attr w:name="id" w:val="-1"/>
          <w:attr w:name="text" w:val="Sutarties"/>
        </w:smartTagPr>
        <w:r>
          <w:rPr>
            <w:b/>
            <w:bCs/>
            <w:sz w:val="22"/>
          </w:rPr>
          <w:t>Sutarties</w:t>
        </w:r>
      </w:smartTag>
      <w:r>
        <w:rPr>
          <w:b/>
          <w:bCs/>
          <w:sz w:val="22"/>
        </w:rPr>
        <w:t xml:space="preserve"> dalykas</w:t>
      </w:r>
    </w:p>
    <w:p w:rsidR="00CD3773" w:rsidRDefault="00CD3773" w:rsidP="00CD3773">
      <w:pPr>
        <w:numPr>
          <w:ilvl w:val="1"/>
          <w:numId w:val="2"/>
        </w:numPr>
        <w:spacing w:before="120"/>
        <w:ind w:left="708"/>
        <w:jc w:val="both"/>
        <w:rPr>
          <w:sz w:val="22"/>
          <w:szCs w:val="22"/>
        </w:rPr>
      </w:pPr>
      <w:r>
        <w:rPr>
          <w:sz w:val="22"/>
          <w:szCs w:val="22"/>
        </w:rPr>
        <w:t xml:space="preserve">Šia </w:t>
      </w:r>
      <w:smartTag w:uri="schemas-tilde-lt/tildestengine" w:element="templates">
        <w:smartTagPr>
          <w:attr w:name="baseform" w:val="sutart|is"/>
          <w:attr w:name="id" w:val="-1"/>
          <w:attr w:name="text" w:val="Sutartimi"/>
        </w:smartTagPr>
        <w:r>
          <w:rPr>
            <w:sz w:val="22"/>
            <w:szCs w:val="22"/>
          </w:rPr>
          <w:t>Sutartimi</w:t>
        </w:r>
      </w:smartTag>
      <w:r>
        <w:rPr>
          <w:sz w:val="22"/>
          <w:szCs w:val="22"/>
        </w:rPr>
        <w:t xml:space="preserve"> Pardavėjas įsipareigoja perduoti Pirkėjui nuosavybės teise Prekes, o Pirkėjas įsipareigoja Prekes priimti ir atsiskaityti su Pardavėju </w:t>
      </w:r>
      <w:smartTag w:uri="schemas-tilde-lt/tildestengine" w:element="templates">
        <w:smartTagPr>
          <w:attr w:name="baseform" w:val="sutart|is"/>
          <w:attr w:name="id" w:val="-1"/>
          <w:attr w:name="text" w:val="Sutarties"/>
        </w:smartTagPr>
        <w:r>
          <w:rPr>
            <w:sz w:val="22"/>
            <w:szCs w:val="22"/>
          </w:rPr>
          <w:t>Sutarties</w:t>
        </w:r>
      </w:smartTag>
      <w:r>
        <w:rPr>
          <w:sz w:val="22"/>
          <w:szCs w:val="22"/>
        </w:rPr>
        <w:t xml:space="preserve"> 4 punkte nurodyta tvarka.</w:t>
      </w:r>
    </w:p>
    <w:p w:rsidR="00CD3773" w:rsidRDefault="00CD3773" w:rsidP="00CD3773">
      <w:pPr>
        <w:numPr>
          <w:ilvl w:val="1"/>
          <w:numId w:val="2"/>
        </w:numPr>
        <w:spacing w:before="120"/>
        <w:ind w:left="708"/>
        <w:jc w:val="both"/>
        <w:rPr>
          <w:sz w:val="22"/>
          <w:szCs w:val="22"/>
        </w:rPr>
      </w:pPr>
      <w:r>
        <w:rPr>
          <w:sz w:val="22"/>
          <w:szCs w:val="22"/>
        </w:rPr>
        <w:t>Prekių pavadinimai ir maksimalūs kiekiai nurodyti Sutarties priede Nr.1, kuris yra neatskiriama šios Sutarties dalis. Pirkėjas neįsipareigoja nupirkti nurodyto maksimalaus prekių kiekio.</w:t>
      </w:r>
    </w:p>
    <w:p w:rsidR="00CD3773" w:rsidRDefault="00CD3773" w:rsidP="00CD3773">
      <w:pPr>
        <w:spacing w:before="120"/>
        <w:jc w:val="both"/>
        <w:rPr>
          <w:sz w:val="22"/>
          <w:szCs w:val="22"/>
        </w:rPr>
      </w:pPr>
    </w:p>
    <w:p w:rsidR="00CD3773" w:rsidRDefault="00CD3773" w:rsidP="00CD3773">
      <w:pPr>
        <w:numPr>
          <w:ilvl w:val="0"/>
          <w:numId w:val="2"/>
        </w:numPr>
        <w:jc w:val="both"/>
        <w:rPr>
          <w:b/>
          <w:bCs/>
          <w:sz w:val="22"/>
          <w:szCs w:val="22"/>
        </w:rPr>
      </w:pPr>
      <w:r>
        <w:rPr>
          <w:b/>
          <w:bCs/>
          <w:sz w:val="22"/>
          <w:szCs w:val="22"/>
        </w:rPr>
        <w:t>Pardavėjo įsipareigojimai</w:t>
      </w:r>
    </w:p>
    <w:p w:rsidR="00CD3773" w:rsidRDefault="00CD3773" w:rsidP="00CD3773">
      <w:pPr>
        <w:numPr>
          <w:ilvl w:val="1"/>
          <w:numId w:val="2"/>
        </w:numPr>
        <w:spacing w:before="120"/>
        <w:ind w:left="708"/>
        <w:rPr>
          <w:sz w:val="22"/>
          <w:szCs w:val="22"/>
        </w:rPr>
      </w:pPr>
      <w:r>
        <w:rPr>
          <w:sz w:val="22"/>
          <w:szCs w:val="22"/>
        </w:rPr>
        <w:t>Pardavėjas įsipareigoja:</w:t>
      </w:r>
    </w:p>
    <w:p w:rsidR="00CD3773" w:rsidRDefault="00CD3773" w:rsidP="00CD3773">
      <w:pPr>
        <w:numPr>
          <w:ilvl w:val="2"/>
          <w:numId w:val="2"/>
        </w:numPr>
        <w:spacing w:before="120"/>
        <w:rPr>
          <w:sz w:val="22"/>
          <w:szCs w:val="22"/>
        </w:rPr>
      </w:pPr>
      <w:r>
        <w:rPr>
          <w:sz w:val="22"/>
          <w:szCs w:val="22"/>
        </w:rPr>
        <w:t>savo transportu pristatyti Prekes Pirkėjui adresu Tyzenhauzų g. 18 A, Vilnius;</w:t>
      </w:r>
    </w:p>
    <w:p w:rsidR="00CD3773" w:rsidRDefault="00CD3773" w:rsidP="00CD3773">
      <w:pPr>
        <w:numPr>
          <w:ilvl w:val="2"/>
          <w:numId w:val="2"/>
        </w:numPr>
        <w:tabs>
          <w:tab w:val="clear" w:pos="737"/>
          <w:tab w:val="num" w:pos="851"/>
        </w:tabs>
        <w:spacing w:before="120"/>
        <w:rPr>
          <w:sz w:val="22"/>
          <w:szCs w:val="22"/>
        </w:rPr>
      </w:pPr>
      <w:r>
        <w:rPr>
          <w:sz w:val="22"/>
          <w:szCs w:val="22"/>
        </w:rPr>
        <w:t>pristatyti Prekes, atitinkančias supaprastinto atviro klinikinės diagnostikos laboratorijos</w:t>
      </w:r>
      <w:r>
        <w:rPr>
          <w:sz w:val="22"/>
          <w:szCs w:val="22"/>
        </w:rPr>
        <w:br/>
        <w:t>reagentų ir pagalbinių priemonių  pirkimo konkurso techninėje specifikacijoje nurodytas charakteristikas, užtikrinant atitikimą tokių rūšių ir tokio naudojimo laiko daiktams įprastai keliamiems reikalavimams;</w:t>
      </w:r>
    </w:p>
    <w:p w:rsidR="00CD3773" w:rsidRDefault="00CD3773" w:rsidP="00CD3773">
      <w:pPr>
        <w:numPr>
          <w:ilvl w:val="2"/>
          <w:numId w:val="2"/>
        </w:numPr>
        <w:spacing w:before="120"/>
        <w:rPr>
          <w:sz w:val="22"/>
          <w:szCs w:val="22"/>
        </w:rPr>
      </w:pPr>
      <w:r>
        <w:rPr>
          <w:sz w:val="22"/>
          <w:szCs w:val="22"/>
        </w:rPr>
        <w:t>tinkamai vykdyti kitus įsipareigojimus, numatytus Sutartyje.</w:t>
      </w:r>
    </w:p>
    <w:p w:rsidR="00CD3773" w:rsidRDefault="00CD3773" w:rsidP="00CD3773">
      <w:pPr>
        <w:spacing w:before="120"/>
        <w:ind w:left="360"/>
        <w:rPr>
          <w:sz w:val="22"/>
          <w:szCs w:val="22"/>
        </w:rPr>
      </w:pPr>
    </w:p>
    <w:p w:rsidR="00CD3773" w:rsidRDefault="00CD3773" w:rsidP="00CD3773">
      <w:pPr>
        <w:numPr>
          <w:ilvl w:val="0"/>
          <w:numId w:val="2"/>
        </w:numPr>
        <w:rPr>
          <w:b/>
          <w:bCs/>
          <w:sz w:val="22"/>
          <w:szCs w:val="22"/>
        </w:rPr>
      </w:pPr>
      <w:r>
        <w:rPr>
          <w:b/>
          <w:bCs/>
          <w:sz w:val="22"/>
          <w:szCs w:val="22"/>
        </w:rPr>
        <w:t>Pirkėjo įsipareigojimai</w:t>
      </w:r>
    </w:p>
    <w:p w:rsidR="00CD3773" w:rsidRDefault="00CD3773" w:rsidP="00CD3773">
      <w:pPr>
        <w:numPr>
          <w:ilvl w:val="1"/>
          <w:numId w:val="2"/>
        </w:numPr>
        <w:spacing w:before="120"/>
        <w:ind w:left="708"/>
        <w:rPr>
          <w:sz w:val="22"/>
          <w:szCs w:val="22"/>
        </w:rPr>
      </w:pPr>
      <w:r>
        <w:rPr>
          <w:sz w:val="22"/>
          <w:szCs w:val="22"/>
        </w:rPr>
        <w:t>Pirkėjas įsipareigoja:</w:t>
      </w:r>
    </w:p>
    <w:p w:rsidR="00CD3773" w:rsidRDefault="00CD3773" w:rsidP="00CD3773">
      <w:pPr>
        <w:numPr>
          <w:ilvl w:val="2"/>
          <w:numId w:val="2"/>
        </w:numPr>
        <w:spacing w:before="120"/>
        <w:rPr>
          <w:sz w:val="22"/>
          <w:szCs w:val="22"/>
        </w:rPr>
      </w:pPr>
      <w:r>
        <w:rPr>
          <w:sz w:val="22"/>
          <w:szCs w:val="22"/>
        </w:rPr>
        <w:t xml:space="preserve">priimti Šalių sutartu laiku pristatytas Prekes, jeigu jos atitinka šios Sutarties sąlygas; </w:t>
      </w:r>
    </w:p>
    <w:p w:rsidR="00CD3773" w:rsidRDefault="00CD3773" w:rsidP="00CD3773">
      <w:pPr>
        <w:numPr>
          <w:ilvl w:val="2"/>
          <w:numId w:val="2"/>
        </w:numPr>
        <w:spacing w:before="120"/>
        <w:rPr>
          <w:sz w:val="22"/>
          <w:szCs w:val="22"/>
        </w:rPr>
      </w:pPr>
      <w:r>
        <w:rPr>
          <w:sz w:val="22"/>
          <w:szCs w:val="22"/>
        </w:rPr>
        <w:t>priėmimo metu patikrinti perduodamas Prekes bei po patikrinimo pasirašyti Prekių</w:t>
      </w:r>
      <w:r>
        <w:rPr>
          <w:b/>
          <w:sz w:val="22"/>
          <w:szCs w:val="22"/>
        </w:rPr>
        <w:t xml:space="preserve"> </w:t>
      </w:r>
      <w:r>
        <w:rPr>
          <w:sz w:val="22"/>
          <w:szCs w:val="22"/>
        </w:rPr>
        <w:t>gavimo dokumentus;</w:t>
      </w:r>
    </w:p>
    <w:p w:rsidR="00CD3773" w:rsidRDefault="00CD3773" w:rsidP="00CD3773">
      <w:pPr>
        <w:numPr>
          <w:ilvl w:val="2"/>
          <w:numId w:val="2"/>
        </w:numPr>
        <w:spacing w:before="120"/>
        <w:rPr>
          <w:sz w:val="22"/>
          <w:szCs w:val="22"/>
        </w:rPr>
      </w:pPr>
      <w:r>
        <w:rPr>
          <w:sz w:val="22"/>
          <w:szCs w:val="22"/>
        </w:rPr>
        <w:t>sumokėti už perduotas Prekes Sutarties 4 punkte nustatyta tvarka ir terminais;</w:t>
      </w:r>
    </w:p>
    <w:p w:rsidR="00CD3773" w:rsidRDefault="00CD3773" w:rsidP="00CD3773">
      <w:pPr>
        <w:numPr>
          <w:ilvl w:val="2"/>
          <w:numId w:val="2"/>
        </w:numPr>
        <w:spacing w:before="120"/>
        <w:rPr>
          <w:sz w:val="22"/>
          <w:szCs w:val="22"/>
        </w:rPr>
      </w:pPr>
      <w:r>
        <w:rPr>
          <w:sz w:val="22"/>
          <w:szCs w:val="22"/>
        </w:rPr>
        <w:t>tinkamai vykdyti kitus įsipareigojimus, numatytus Sutartyje.</w:t>
      </w:r>
    </w:p>
    <w:p w:rsidR="00CD3773" w:rsidRDefault="00CD3773" w:rsidP="00CD3773">
      <w:pPr>
        <w:spacing w:before="120"/>
        <w:rPr>
          <w:sz w:val="22"/>
          <w:szCs w:val="22"/>
        </w:rPr>
      </w:pPr>
    </w:p>
    <w:p w:rsidR="00CD3773" w:rsidRDefault="00CD3773" w:rsidP="00CD3773">
      <w:pPr>
        <w:numPr>
          <w:ilvl w:val="0"/>
          <w:numId w:val="2"/>
        </w:numPr>
        <w:rPr>
          <w:b/>
          <w:bCs/>
          <w:sz w:val="22"/>
          <w:szCs w:val="22"/>
        </w:rPr>
      </w:pPr>
      <w:r>
        <w:rPr>
          <w:b/>
          <w:bCs/>
          <w:sz w:val="22"/>
          <w:szCs w:val="22"/>
        </w:rPr>
        <w:t>Kainos ir atsiskaitymo tvarka</w:t>
      </w:r>
    </w:p>
    <w:p w:rsidR="00CD3773" w:rsidRDefault="00CD3773" w:rsidP="00CD3773">
      <w:pPr>
        <w:rPr>
          <w:b/>
          <w:bCs/>
          <w:sz w:val="22"/>
          <w:szCs w:val="22"/>
        </w:rPr>
      </w:pPr>
    </w:p>
    <w:p w:rsidR="00CD3773" w:rsidRDefault="00CD3773" w:rsidP="00CD3773">
      <w:pPr>
        <w:pStyle w:val="Header"/>
        <w:widowControl/>
        <w:numPr>
          <w:ilvl w:val="1"/>
          <w:numId w:val="2"/>
        </w:numPr>
        <w:tabs>
          <w:tab w:val="left" w:pos="1296"/>
        </w:tabs>
        <w:spacing w:after="0"/>
        <w:ind w:left="708"/>
        <w:rPr>
          <w:sz w:val="22"/>
        </w:rPr>
      </w:pPr>
      <w:r>
        <w:rPr>
          <w:sz w:val="22"/>
        </w:rPr>
        <w:t>Prekių vienetų įkainiai ir Sutarties kaina nurodyti Sutarties priede Nr. 1.</w:t>
      </w:r>
    </w:p>
    <w:p w:rsidR="00CD3773" w:rsidRDefault="00CD3773" w:rsidP="00CD3773">
      <w:pPr>
        <w:pStyle w:val="Header"/>
        <w:widowControl/>
        <w:numPr>
          <w:ilvl w:val="1"/>
          <w:numId w:val="2"/>
        </w:numPr>
        <w:tabs>
          <w:tab w:val="left" w:pos="1296"/>
        </w:tabs>
        <w:spacing w:after="0"/>
        <w:ind w:left="708"/>
        <w:rPr>
          <w:sz w:val="22"/>
        </w:rPr>
      </w:pPr>
      <w:r>
        <w:rPr>
          <w:sz w:val="22"/>
        </w:rPr>
        <w:t xml:space="preserve">Pirkėjas su Pardavėju atsiskaitys ne vėliau kaip per 30 </w:t>
      </w:r>
      <w:r>
        <w:rPr>
          <w:bCs/>
          <w:sz w:val="22"/>
        </w:rPr>
        <w:t>(</w:t>
      </w:r>
      <w:r>
        <w:rPr>
          <w:sz w:val="22"/>
        </w:rPr>
        <w:t xml:space="preserve">trisdešimt) kalendorinių dienų, skaičiuojamų nuo sąskaitos už užsakytas ir pristatytas Prekes išrašymo dienos. Sąskaita už Prekes išrašoma jų pristatymo Pirkėjui dieną. Sąskaitos suma priklauso nuo užsakytų Prekių kiekio bei asortimento ir yra apskaičiuojama pagal įkainius nurodytus Sutarties priede Nr 1. Pirkėjas su Pardavėju atsiskaitys pavedimu, pervesdamas pinigus į šioje </w:t>
      </w:r>
      <w:smartTag w:uri="schemas-tilde-lt/tildestengine" w:element="templates">
        <w:smartTagPr>
          <w:attr w:name="baseform" w:val="sutart|is"/>
          <w:attr w:name="id" w:val="-1"/>
          <w:attr w:name="text" w:val="sutartyje"/>
        </w:smartTagPr>
        <w:r>
          <w:rPr>
            <w:sz w:val="22"/>
          </w:rPr>
          <w:t>Sutartyje</w:t>
        </w:r>
      </w:smartTag>
      <w:r>
        <w:rPr>
          <w:sz w:val="22"/>
        </w:rPr>
        <w:t xml:space="preserve"> nurodytą Pardavėjo banko sąskaitą.</w:t>
      </w:r>
    </w:p>
    <w:p w:rsidR="00CD3773" w:rsidRDefault="00CD3773" w:rsidP="00CD3773">
      <w:pPr>
        <w:pStyle w:val="Header"/>
        <w:widowControl/>
        <w:numPr>
          <w:ilvl w:val="1"/>
          <w:numId w:val="2"/>
        </w:numPr>
        <w:tabs>
          <w:tab w:val="left" w:pos="1296"/>
        </w:tabs>
        <w:spacing w:after="0"/>
        <w:ind w:left="708"/>
        <w:rPr>
          <w:sz w:val="22"/>
        </w:rPr>
      </w:pPr>
      <w:r>
        <w:rPr>
          <w:sz w:val="22"/>
        </w:rPr>
        <w:t xml:space="preserve">Tuo atveju, jeigu atskirai neišskirtos kokios nors išlaidos, pavyzdžiui, išlaidos apsaugai, sandėliavimui arba išlaidos tretiesiems asmenims, laikoma, kad Šalių tokios išlaidos yra įvertintos ir įskaičiuotos į </w:t>
      </w:r>
      <w:smartTag w:uri="schemas-tilde-lt/tildestengine" w:element="templates">
        <w:smartTagPr>
          <w:attr w:name="baseform" w:val="sutart|is"/>
          <w:attr w:name="id" w:val="-1"/>
          <w:attr w:name="text" w:val="Sutarties"/>
        </w:smartTagPr>
        <w:r>
          <w:rPr>
            <w:sz w:val="22"/>
          </w:rPr>
          <w:t>Sutarties</w:t>
        </w:r>
      </w:smartTag>
      <w:r>
        <w:rPr>
          <w:sz w:val="22"/>
        </w:rPr>
        <w:t xml:space="preserve"> kainą ir dėl šių priežasčių </w:t>
      </w:r>
      <w:smartTag w:uri="schemas-tilde-lt/tildestengine" w:element="templates">
        <w:smartTagPr>
          <w:attr w:name="baseform" w:val="sutart|is"/>
          <w:attr w:name="id" w:val="-1"/>
          <w:attr w:name="text" w:val="Sutarties"/>
        </w:smartTagPr>
        <w:r>
          <w:rPr>
            <w:sz w:val="22"/>
          </w:rPr>
          <w:t>Sutarties</w:t>
        </w:r>
      </w:smartTag>
      <w:r>
        <w:rPr>
          <w:sz w:val="22"/>
        </w:rPr>
        <w:t xml:space="preserve"> kaina negali būti pakeista.</w:t>
      </w:r>
    </w:p>
    <w:p w:rsidR="00CD3773" w:rsidRDefault="00CD3773" w:rsidP="00CD3773">
      <w:pPr>
        <w:pStyle w:val="Header"/>
        <w:widowControl/>
        <w:numPr>
          <w:ilvl w:val="1"/>
          <w:numId w:val="2"/>
        </w:numPr>
        <w:tabs>
          <w:tab w:val="left" w:pos="1296"/>
        </w:tabs>
        <w:spacing w:after="0"/>
        <w:ind w:left="708"/>
        <w:rPr>
          <w:sz w:val="22"/>
        </w:rPr>
      </w:pPr>
      <w:r>
        <w:rPr>
          <w:sz w:val="22"/>
        </w:rPr>
        <w:lastRenderedPageBreak/>
        <w:t>Sutarties kaina gali kisti (didėti ar mažėti) dėl Valstybės institucijų priimtų teisės aktų, keičiančių PVM dydį ir priimtų po pasiūlymų supaprastintam atviram konkursui pateikimo termino pabaigos. Tokiu atveju Sutarties kaina pasikeičia tiek, kiek pasikeičia mokestis.</w:t>
      </w:r>
    </w:p>
    <w:p w:rsidR="00CD3773" w:rsidRDefault="00CD3773" w:rsidP="00CD3773">
      <w:pPr>
        <w:pStyle w:val="Header"/>
        <w:widowControl/>
        <w:numPr>
          <w:ilvl w:val="1"/>
          <w:numId w:val="2"/>
        </w:numPr>
        <w:tabs>
          <w:tab w:val="left" w:pos="1296"/>
        </w:tabs>
        <w:spacing w:after="0"/>
        <w:ind w:left="142" w:firstLine="0"/>
        <w:rPr>
          <w:sz w:val="22"/>
        </w:rPr>
      </w:pPr>
      <w:r>
        <w:rPr>
          <w:sz w:val="22"/>
        </w:rPr>
        <w:t>Nurodyti prekių kiekiai yra preliminarūs. Perkančioji organizacija neįsipareigoja nupirkti maksimalaus  prekių kiekio.</w:t>
      </w:r>
    </w:p>
    <w:p w:rsidR="00CD3773" w:rsidRDefault="00CD3773" w:rsidP="00CD3773">
      <w:pPr>
        <w:pStyle w:val="Header"/>
        <w:widowControl/>
        <w:tabs>
          <w:tab w:val="left" w:pos="1296"/>
        </w:tabs>
        <w:spacing w:after="0"/>
        <w:ind w:left="708"/>
        <w:rPr>
          <w:sz w:val="22"/>
          <w:szCs w:val="22"/>
        </w:rPr>
      </w:pPr>
    </w:p>
    <w:p w:rsidR="00CD3773" w:rsidRDefault="00CD3773" w:rsidP="00CD3773">
      <w:pPr>
        <w:jc w:val="both"/>
        <w:rPr>
          <w:b/>
          <w:bCs/>
          <w:sz w:val="22"/>
          <w:szCs w:val="22"/>
        </w:rPr>
      </w:pPr>
    </w:p>
    <w:p w:rsidR="00CD3773" w:rsidRDefault="00CD3773" w:rsidP="00CD3773">
      <w:pPr>
        <w:numPr>
          <w:ilvl w:val="0"/>
          <w:numId w:val="2"/>
        </w:numPr>
        <w:jc w:val="both"/>
        <w:rPr>
          <w:b/>
          <w:bCs/>
          <w:sz w:val="22"/>
          <w:szCs w:val="22"/>
        </w:rPr>
      </w:pPr>
      <w:r>
        <w:rPr>
          <w:b/>
          <w:bCs/>
          <w:sz w:val="22"/>
          <w:szCs w:val="22"/>
        </w:rPr>
        <w:t>Prekių pristatymas, perdavimas ir nuosavybės teisių perėjimas</w:t>
      </w:r>
    </w:p>
    <w:p w:rsidR="00CD3773" w:rsidRDefault="00CD3773" w:rsidP="00CD3773">
      <w:pPr>
        <w:pStyle w:val="BodyText"/>
        <w:numPr>
          <w:ilvl w:val="1"/>
          <w:numId w:val="2"/>
        </w:numPr>
        <w:spacing w:before="120" w:after="0" w:line="240" w:lineRule="auto"/>
        <w:ind w:left="708"/>
        <w:jc w:val="both"/>
        <w:rPr>
          <w:sz w:val="22"/>
        </w:rPr>
      </w:pPr>
      <w:r>
        <w:rPr>
          <w:sz w:val="22"/>
        </w:rPr>
        <w:t>Prekės</w:t>
      </w:r>
      <w:r>
        <w:rPr>
          <w:b/>
          <w:sz w:val="22"/>
        </w:rPr>
        <w:t xml:space="preserve"> </w:t>
      </w:r>
      <w:r>
        <w:rPr>
          <w:sz w:val="22"/>
        </w:rPr>
        <w:t>pristatomos Pirkėjui per tris darbo dienas nuo užsakymo pateikimo Pardavėjui dienos.</w:t>
      </w:r>
    </w:p>
    <w:p w:rsidR="00CD3773" w:rsidRDefault="00CD3773" w:rsidP="00CD3773">
      <w:pPr>
        <w:pStyle w:val="BodyText"/>
        <w:numPr>
          <w:ilvl w:val="1"/>
          <w:numId w:val="2"/>
        </w:numPr>
        <w:spacing w:before="120" w:after="0" w:line="240" w:lineRule="auto"/>
        <w:ind w:left="708"/>
        <w:jc w:val="both"/>
        <w:rPr>
          <w:sz w:val="22"/>
        </w:rPr>
      </w:pPr>
      <w:r>
        <w:rPr>
          <w:sz w:val="22"/>
        </w:rPr>
        <w:t>Prekės Pirkėjui pristatomos ir perduodamos (iškraunamos) adresu Tyzenhauzų g. 18A, Vilnius. Nuosavybės teisės į Prekes pereina Pirkėjui nuo apmokėjimo už Prekes momento.</w:t>
      </w:r>
    </w:p>
    <w:p w:rsidR="00CD3773" w:rsidRDefault="00CD3773" w:rsidP="00CD3773">
      <w:pPr>
        <w:pStyle w:val="BodyText"/>
        <w:spacing w:before="120" w:after="0" w:line="240" w:lineRule="auto"/>
        <w:ind w:left="141"/>
        <w:jc w:val="both"/>
        <w:rPr>
          <w:sz w:val="22"/>
        </w:rPr>
      </w:pPr>
    </w:p>
    <w:p w:rsidR="00CD3773" w:rsidRDefault="00CD3773" w:rsidP="00CD3773">
      <w:pPr>
        <w:pStyle w:val="BodyText2"/>
        <w:numPr>
          <w:ilvl w:val="0"/>
          <w:numId w:val="2"/>
        </w:numPr>
        <w:spacing w:after="0" w:line="240" w:lineRule="auto"/>
        <w:jc w:val="both"/>
        <w:rPr>
          <w:b/>
          <w:bCs/>
          <w:sz w:val="22"/>
          <w:szCs w:val="22"/>
        </w:rPr>
      </w:pPr>
      <w:r>
        <w:rPr>
          <w:b/>
          <w:bCs/>
          <w:sz w:val="22"/>
          <w:szCs w:val="22"/>
        </w:rPr>
        <w:t>Prekės kokybė</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Pardavėjas garantuoja, kad perduodamos</w:t>
      </w:r>
      <w:r>
        <w:rPr>
          <w:b/>
          <w:sz w:val="22"/>
          <w:szCs w:val="22"/>
        </w:rPr>
        <w:t xml:space="preserve"> </w:t>
      </w:r>
      <w:r>
        <w:rPr>
          <w:sz w:val="22"/>
          <w:szCs w:val="22"/>
        </w:rPr>
        <w:t xml:space="preserve">Prekės atitinka joms paprastai keliamus kokybės reikalavimus ir sąlygas ir kad šios </w:t>
      </w:r>
      <w:smartTag w:uri="schemas-tilde-lt/tildestengine" w:element="templates">
        <w:smartTagPr>
          <w:attr w:name="baseform" w:val="sutart|is"/>
          <w:attr w:name="id" w:val="-1"/>
          <w:attr w:name="text" w:val="Sutarties"/>
        </w:smartTagPr>
        <w:r>
          <w:rPr>
            <w:sz w:val="22"/>
            <w:szCs w:val="22"/>
          </w:rPr>
          <w:t>Sutarties</w:t>
        </w:r>
      </w:smartTag>
      <w:r>
        <w:rPr>
          <w:sz w:val="22"/>
          <w:szCs w:val="22"/>
        </w:rPr>
        <w:t xml:space="preserve"> sudarymo metu nėra paslėptų trūkumų, dėl kurių Prekių</w:t>
      </w:r>
      <w:r>
        <w:rPr>
          <w:b/>
          <w:sz w:val="22"/>
          <w:szCs w:val="22"/>
        </w:rPr>
        <w:t xml:space="preserve"> </w:t>
      </w:r>
      <w:r>
        <w:rPr>
          <w:sz w:val="22"/>
          <w:szCs w:val="22"/>
        </w:rPr>
        <w:t>nebūtų galima naudoti tam tikslui, kuriam Pirkėjas jas</w:t>
      </w:r>
      <w:r>
        <w:rPr>
          <w:b/>
          <w:sz w:val="22"/>
          <w:szCs w:val="22"/>
        </w:rPr>
        <w:t xml:space="preserve"> </w:t>
      </w:r>
      <w:r>
        <w:rPr>
          <w:sz w:val="22"/>
          <w:szCs w:val="22"/>
        </w:rPr>
        <w:t xml:space="preserve">ketina naudoti arba dėl kurių Prekių naudingumas sumažėtų taip, kad Pirkėjas, žinodamas apie tuos trūkumus, Prekių nebūtų pirkęs arba nebūtų mokėjęs </w:t>
      </w:r>
      <w:smartTag w:uri="schemas-tilde-lt/tildestengine" w:element="templates">
        <w:smartTagPr>
          <w:attr w:name="baseform" w:val="sutart|is"/>
          <w:attr w:name="id" w:val="-1"/>
          <w:attr w:name="text" w:val="sutartyje"/>
        </w:smartTagPr>
        <w:r>
          <w:rPr>
            <w:sz w:val="22"/>
            <w:szCs w:val="22"/>
          </w:rPr>
          <w:t>Sutartyje</w:t>
        </w:r>
      </w:smartTag>
      <w:r>
        <w:rPr>
          <w:sz w:val="22"/>
          <w:szCs w:val="22"/>
        </w:rPr>
        <w:t xml:space="preserve"> nurodytos kainos.</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Jei per 14 (keturiolika) dienų garantinį terminą po Prekių perdavimo Pirkėjui dienos išryškėja paslėptų Prekių</w:t>
      </w:r>
      <w:r>
        <w:rPr>
          <w:b/>
          <w:sz w:val="22"/>
          <w:szCs w:val="22"/>
        </w:rPr>
        <w:t xml:space="preserve"> </w:t>
      </w:r>
      <w:r>
        <w:rPr>
          <w:sz w:val="22"/>
          <w:szCs w:val="22"/>
        </w:rPr>
        <w:t>trūkumų, kurie yra atsiradę ne dėl to, kad Pirkėjas pažeidė Prekių</w:t>
      </w:r>
      <w:r>
        <w:rPr>
          <w:b/>
          <w:sz w:val="22"/>
          <w:szCs w:val="22"/>
        </w:rPr>
        <w:t xml:space="preserve"> </w:t>
      </w:r>
      <w:r>
        <w:rPr>
          <w:sz w:val="22"/>
          <w:szCs w:val="22"/>
        </w:rPr>
        <w:t xml:space="preserve">naudojimo ir (ar) saugojimo taisykles, Pirkėjas nedelsiant turi pranešti apie tokius neatitikimus Pardavėjui. Gavęs </w:t>
      </w:r>
      <w:smartTag w:uri="schemas-tilde-lt/tildestengine" w:element="templates">
        <w:smartTagPr>
          <w:attr w:name="baseform" w:val="pranešim|as"/>
          <w:attr w:name="id" w:val="-1"/>
          <w:attr w:name="text" w:val="pranešimą"/>
        </w:smartTagPr>
        <w:r>
          <w:rPr>
            <w:sz w:val="22"/>
            <w:szCs w:val="22"/>
          </w:rPr>
          <w:t>pranešimą</w:t>
        </w:r>
      </w:smartTag>
      <w:r>
        <w:rPr>
          <w:sz w:val="22"/>
          <w:szCs w:val="22"/>
        </w:rPr>
        <w:t>, Pardavėjas per tris darbo dienas privalo pakeisti netinkamos kokybės Prekes</w:t>
      </w:r>
      <w:r>
        <w:rPr>
          <w:b/>
          <w:sz w:val="22"/>
          <w:szCs w:val="22"/>
        </w:rPr>
        <w:t xml:space="preserve"> </w:t>
      </w:r>
      <w:r>
        <w:rPr>
          <w:sz w:val="22"/>
          <w:szCs w:val="22"/>
        </w:rPr>
        <w:t>tinkamos kokybės Prekėmis.</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Pirkėjas turi teisę reikalauti grąžinti sumokėtą kainą ir nutraukti Sutartį, jei Pardavėjas nepakeičia nekokybiškų prekių.</w:t>
      </w:r>
    </w:p>
    <w:p w:rsidR="00CD3773" w:rsidRDefault="00CD3773" w:rsidP="00CD3773">
      <w:pPr>
        <w:pStyle w:val="BodyText2"/>
        <w:spacing w:before="120" w:after="0" w:line="240" w:lineRule="auto"/>
        <w:jc w:val="both"/>
        <w:rPr>
          <w:sz w:val="22"/>
          <w:szCs w:val="22"/>
          <w:highlight w:val="red"/>
        </w:rPr>
      </w:pPr>
    </w:p>
    <w:p w:rsidR="00CD3773" w:rsidRDefault="00CD3773" w:rsidP="00CD3773">
      <w:pPr>
        <w:pStyle w:val="BodyText2"/>
        <w:numPr>
          <w:ilvl w:val="0"/>
          <w:numId w:val="2"/>
        </w:numPr>
        <w:spacing w:after="0" w:line="240" w:lineRule="auto"/>
        <w:jc w:val="both"/>
        <w:rPr>
          <w:b/>
          <w:bCs/>
          <w:sz w:val="22"/>
          <w:szCs w:val="22"/>
        </w:rPr>
      </w:pPr>
      <w:r>
        <w:rPr>
          <w:b/>
          <w:sz w:val="22"/>
          <w:szCs w:val="22"/>
        </w:rPr>
        <w:t>Sutarties galiojimas, keitimas ir nutraukimas</w:t>
      </w:r>
    </w:p>
    <w:p w:rsidR="00CD3773" w:rsidRDefault="00CD3773" w:rsidP="00CD3773">
      <w:pPr>
        <w:pStyle w:val="BodyText2"/>
        <w:spacing w:after="0" w:line="240" w:lineRule="auto"/>
        <w:jc w:val="both"/>
        <w:rPr>
          <w:b/>
          <w:sz w:val="22"/>
          <w:szCs w:val="22"/>
        </w:rPr>
      </w:pPr>
    </w:p>
    <w:p w:rsidR="00CD3773" w:rsidRDefault="00CD3773" w:rsidP="00CD3773">
      <w:pPr>
        <w:pStyle w:val="BodyText2"/>
        <w:numPr>
          <w:ilvl w:val="1"/>
          <w:numId w:val="2"/>
        </w:numPr>
        <w:spacing w:after="0" w:line="240" w:lineRule="auto"/>
        <w:ind w:left="708"/>
        <w:jc w:val="both"/>
        <w:rPr>
          <w:sz w:val="22"/>
          <w:szCs w:val="22"/>
        </w:rPr>
      </w:pPr>
      <w:r>
        <w:rPr>
          <w:sz w:val="22"/>
          <w:szCs w:val="22"/>
        </w:rPr>
        <w:t xml:space="preserve">Ši </w:t>
      </w:r>
      <w:smartTag w:uri="schemas-tilde-lt/tildestengine" w:element="templates">
        <w:smartTagPr>
          <w:attr w:name="text" w:val="SUTARTIS"/>
          <w:attr w:name="id" w:val="-1"/>
          <w:attr w:name="baseform" w:val="sutart|is"/>
        </w:smartTagPr>
        <w:r>
          <w:rPr>
            <w:sz w:val="22"/>
            <w:szCs w:val="22"/>
          </w:rPr>
          <w:t>sutartis</w:t>
        </w:r>
      </w:smartTag>
      <w:r>
        <w:rPr>
          <w:sz w:val="22"/>
          <w:szCs w:val="22"/>
        </w:rPr>
        <w:t xml:space="preserve"> įsigalioja nuo datos nurodytos Sutartyje, ir galioja metus;</w:t>
      </w:r>
    </w:p>
    <w:p w:rsidR="00CD3773" w:rsidRDefault="00CD3773" w:rsidP="00CD3773">
      <w:pPr>
        <w:pStyle w:val="BodyText2"/>
        <w:numPr>
          <w:ilvl w:val="1"/>
          <w:numId w:val="2"/>
        </w:numPr>
        <w:spacing w:after="0" w:line="240" w:lineRule="auto"/>
        <w:ind w:left="708"/>
        <w:jc w:val="both"/>
        <w:rPr>
          <w:bCs/>
          <w:sz w:val="22"/>
          <w:szCs w:val="22"/>
        </w:rPr>
      </w:pPr>
      <w:r>
        <w:rPr>
          <w:sz w:val="22"/>
          <w:szCs w:val="22"/>
        </w:rPr>
        <w:t>Sutarties sąlygos jos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w:t>
      </w:r>
    </w:p>
    <w:p w:rsidR="00CD3773" w:rsidRDefault="00CD3773" w:rsidP="00CD3773">
      <w:pPr>
        <w:pStyle w:val="BodyText2"/>
        <w:numPr>
          <w:ilvl w:val="1"/>
          <w:numId w:val="2"/>
        </w:numPr>
        <w:spacing w:after="0" w:line="240" w:lineRule="auto"/>
        <w:ind w:left="708"/>
        <w:jc w:val="both"/>
        <w:rPr>
          <w:bCs/>
          <w:sz w:val="22"/>
          <w:szCs w:val="22"/>
        </w:rPr>
      </w:pPr>
      <w:r>
        <w:rPr>
          <w:sz w:val="22"/>
          <w:szCs w:val="22"/>
        </w:rPr>
        <w:t>Sutartis gali būti nutraukta vienai iš Šalių nesilaikant šios Sutarties sąlygų arba įstatymų numatytais teisėtais Sutarčių nutraukimo atvejais. Apie Sutarties nutraukimą viena Šalis turi raštu pranešti kitai Šaliai prieš 30 (trisdešimt) kalendorinių dienų.</w:t>
      </w:r>
    </w:p>
    <w:p w:rsidR="00CD3773" w:rsidRDefault="00CD3773" w:rsidP="00CD3773">
      <w:pPr>
        <w:pStyle w:val="BodyText2"/>
        <w:spacing w:after="0" w:line="240" w:lineRule="auto"/>
        <w:jc w:val="both"/>
        <w:rPr>
          <w:bCs/>
          <w:sz w:val="22"/>
          <w:szCs w:val="22"/>
        </w:rPr>
      </w:pPr>
    </w:p>
    <w:p w:rsidR="00CD3773" w:rsidRDefault="00CD3773" w:rsidP="00CD3773">
      <w:pPr>
        <w:numPr>
          <w:ilvl w:val="0"/>
          <w:numId w:val="2"/>
        </w:numPr>
        <w:jc w:val="both"/>
        <w:rPr>
          <w:b/>
          <w:bCs/>
          <w:sz w:val="22"/>
          <w:szCs w:val="22"/>
        </w:rPr>
      </w:pPr>
      <w:r>
        <w:rPr>
          <w:b/>
          <w:bCs/>
          <w:sz w:val="22"/>
          <w:szCs w:val="22"/>
        </w:rPr>
        <w:t>Šalių atsakomybė</w:t>
      </w:r>
    </w:p>
    <w:p w:rsidR="00CD3773" w:rsidRDefault="00CD3773" w:rsidP="00CD3773">
      <w:pPr>
        <w:numPr>
          <w:ilvl w:val="1"/>
          <w:numId w:val="2"/>
        </w:numPr>
        <w:spacing w:before="120"/>
        <w:ind w:left="708"/>
        <w:jc w:val="both"/>
        <w:rPr>
          <w:sz w:val="22"/>
          <w:szCs w:val="22"/>
        </w:rPr>
      </w:pPr>
      <w:r>
        <w:rPr>
          <w:sz w:val="22"/>
          <w:szCs w:val="22"/>
        </w:rPr>
        <w:t>Šalys įsipareigoja tinkamai vykdyti savo įsipareigojimus, prisiimtus šia Sutartimi, ir susilaikyti nuo bet kokių veiksmų, kuriais galėtų padaryti žalos viena kitai;</w:t>
      </w:r>
    </w:p>
    <w:p w:rsidR="00CD3773" w:rsidRPr="007F6318" w:rsidRDefault="00CD3773" w:rsidP="00CD3773">
      <w:pPr>
        <w:numPr>
          <w:ilvl w:val="1"/>
          <w:numId w:val="2"/>
        </w:numPr>
        <w:spacing w:before="120"/>
        <w:ind w:left="708"/>
        <w:jc w:val="both"/>
        <w:rPr>
          <w:sz w:val="22"/>
          <w:szCs w:val="22"/>
        </w:rPr>
      </w:pPr>
      <w:r w:rsidRPr="007F6318">
        <w:rPr>
          <w:sz w:val="22"/>
          <w:szCs w:val="22"/>
        </w:rPr>
        <w:t>Jeigu Pardavėjas Sutartyje nustatytais terminais nepristato Prekių Pirkėjui, tai Pirkėjui pareikalavus, moka jam 0,02 procento dydžio delspinigius nuo pradelstų pristatyti Prekių kainos už kiekvieną uždelstą kalendorinę dieną iki pradelstų pristatyti Prekių pristatymo ir delspinigių sumokėjimo dienos.</w:t>
      </w:r>
    </w:p>
    <w:p w:rsidR="00CD3773" w:rsidRDefault="00CD3773" w:rsidP="00CD3773">
      <w:pPr>
        <w:spacing w:before="120"/>
        <w:jc w:val="both"/>
        <w:rPr>
          <w:sz w:val="22"/>
          <w:szCs w:val="22"/>
        </w:rPr>
      </w:pPr>
    </w:p>
    <w:p w:rsidR="00CD3773" w:rsidRDefault="00CD3773" w:rsidP="00CD3773">
      <w:pPr>
        <w:numPr>
          <w:ilvl w:val="0"/>
          <w:numId w:val="2"/>
        </w:numPr>
        <w:jc w:val="both"/>
        <w:rPr>
          <w:b/>
          <w:sz w:val="22"/>
          <w:szCs w:val="22"/>
        </w:rPr>
      </w:pPr>
      <w:r>
        <w:rPr>
          <w:b/>
          <w:sz w:val="22"/>
          <w:szCs w:val="22"/>
        </w:rPr>
        <w:t>Baigiamosios nuostatos</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Visi pranešimai laikomi tinkamai įteiktais kitai Šaliai, jeigu jie perduoti Šalims ar jų atstovams pasirašytinai, išsiųsti registruotu laišku, faksu ryšiu ar elektroniniu paštu, adresais, nurodytais šioje sutartyje.</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 xml:space="preserve">Šalys įsipareigoja iš anksto viena kitai pranešti apie savo buveinės adreso, pavadinimo ar banko </w:t>
      </w:r>
      <w:smartTag w:uri="schemas-tilde-lt/tildestengine" w:element="templates">
        <w:smartTagPr>
          <w:attr w:name="text" w:val="sąskaitos"/>
          <w:attr w:name="id" w:val="-1"/>
          <w:attr w:name="baseform" w:val="sąskait|a"/>
        </w:smartTagPr>
        <w:r>
          <w:rPr>
            <w:sz w:val="22"/>
            <w:szCs w:val="22"/>
          </w:rPr>
          <w:t>sąskaitos</w:t>
        </w:r>
      </w:smartTag>
      <w:r>
        <w:rPr>
          <w:sz w:val="22"/>
          <w:szCs w:val="22"/>
        </w:rPr>
        <w:t xml:space="preserve"> rekvizitų pasikeitimus.</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lastRenderedPageBreak/>
        <w:t>Šalys nenugalimos jėgos (</w:t>
      </w:r>
      <w:r>
        <w:rPr>
          <w:i/>
          <w:iCs/>
          <w:sz w:val="22"/>
          <w:szCs w:val="22"/>
        </w:rPr>
        <w:t>force majeure</w:t>
      </w:r>
      <w:r>
        <w:rPr>
          <w:sz w:val="22"/>
          <w:szCs w:val="22"/>
        </w:rPr>
        <w:t>) aplinkybes supranta ir traktuoja taip, kaip jos apibrėžtos Lietuvos Respublikos Vyriausybės 1996-07-15 nutarimu Nr. 840 patvirtintomis „Atleidimo nuo atsakomybės, esant nenugalimos jėgos (force majeure) aplinkybėms“ taisyklėmis.</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 xml:space="preserve">Šiai </w:t>
      </w:r>
      <w:smartTag w:uri="schemas-tilde-lt/tildestengine" w:element="templates">
        <w:smartTagPr>
          <w:attr w:name="baseform" w:val="sutart|is"/>
          <w:attr w:name="id" w:val="-1"/>
          <w:attr w:name="text" w:val="Sutarciai"/>
        </w:smartTagPr>
        <w:r>
          <w:rPr>
            <w:sz w:val="22"/>
            <w:szCs w:val="22"/>
          </w:rPr>
          <w:t>Sutarčiai</w:t>
        </w:r>
      </w:smartTag>
      <w:r>
        <w:rPr>
          <w:sz w:val="22"/>
          <w:szCs w:val="22"/>
        </w:rPr>
        <w:t xml:space="preserve"> ir visoms iš šios </w:t>
      </w:r>
      <w:smartTag w:uri="schemas-tilde-lt/tildestengine" w:element="templates">
        <w:smartTagPr>
          <w:attr w:name="baseform" w:val="sutart|is"/>
          <w:attr w:name="id" w:val="-1"/>
          <w:attr w:name="text" w:val="Sutarties"/>
        </w:smartTagPr>
        <w:r>
          <w:rPr>
            <w:sz w:val="22"/>
            <w:szCs w:val="22"/>
          </w:rPr>
          <w:t>Sutarties</w:t>
        </w:r>
      </w:smartTag>
      <w:r>
        <w:rPr>
          <w:sz w:val="22"/>
          <w:szCs w:val="22"/>
        </w:rPr>
        <w:t xml:space="preserve"> atsirandančioms teisėms ir pareigoms taikomi Lietuvos Respublikos įstatymai. </w:t>
      </w:r>
      <w:smartTag w:uri="schemas-tilde-lt/tildestengine" w:element="templates">
        <w:smartTagPr>
          <w:attr w:name="baseform" w:val="sutart|is"/>
          <w:attr w:name="id" w:val="-1"/>
          <w:attr w:name="text" w:val="SUTARTIS"/>
        </w:smartTagPr>
        <w:r>
          <w:rPr>
            <w:sz w:val="22"/>
            <w:szCs w:val="22"/>
          </w:rPr>
          <w:t>Sutartis</w:t>
        </w:r>
      </w:smartTag>
      <w:r>
        <w:rPr>
          <w:sz w:val="22"/>
          <w:szCs w:val="22"/>
        </w:rPr>
        <w:t xml:space="preserve"> sudaryta ir turi būti aiškinama pagal Lietuvos Respublikos teisę.</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 xml:space="preserve">Šalys susitaria, kad visi su šia </w:t>
      </w:r>
      <w:smartTag w:uri="schemas-tilde-lt/tildestengine" w:element="templates">
        <w:smartTagPr>
          <w:attr w:name="baseform" w:val="sutart|is"/>
          <w:attr w:name="id" w:val="-1"/>
          <w:attr w:name="text" w:val="Sutartimi"/>
        </w:smartTagPr>
        <w:r>
          <w:rPr>
            <w:sz w:val="22"/>
            <w:szCs w:val="22"/>
          </w:rPr>
          <w:t>Sutartimi</w:t>
        </w:r>
      </w:smartTag>
      <w:r>
        <w:rPr>
          <w:sz w:val="22"/>
          <w:szCs w:val="22"/>
        </w:rPr>
        <w:t xml:space="preserve"> susiję ar dėl jos vykdymo, pažeidimo, nutraukimo ar negaliojimo kilę ginčai, </w:t>
      </w:r>
      <w:smartTag w:uri="schemas-tilde-lt/tildestengine" w:element="templates">
        <w:smartTagPr>
          <w:attr w:name="baseform" w:val="pretenzij|a"/>
          <w:attr w:name="id" w:val="-1"/>
          <w:attr w:name="text" w:val="pretenzijos"/>
        </w:smartTagPr>
        <w:r>
          <w:rPr>
            <w:sz w:val="22"/>
            <w:szCs w:val="22"/>
          </w:rPr>
          <w:t>pretenzijos</w:t>
        </w:r>
      </w:smartTag>
      <w:r>
        <w:rPr>
          <w:sz w:val="22"/>
          <w:szCs w:val="22"/>
        </w:rPr>
        <w:t xml:space="preserve">, nesutarimai sprendžiami derybų būdu. Jei </w:t>
      </w:r>
      <w:smartTag w:uri="schemas-tilde-lt/tildestengine" w:element="templates">
        <w:smartTagPr>
          <w:attr w:name="baseform" w:val="susitarim|as"/>
          <w:attr w:name="id" w:val="-1"/>
          <w:attr w:name="text" w:val="susitarimo"/>
        </w:smartTagPr>
        <w:r>
          <w:rPr>
            <w:sz w:val="22"/>
            <w:szCs w:val="22"/>
          </w:rPr>
          <w:t>susitarimo</w:t>
        </w:r>
      </w:smartTag>
      <w:r>
        <w:rPr>
          <w:sz w:val="22"/>
          <w:szCs w:val="22"/>
        </w:rPr>
        <w:t xml:space="preserve"> nepavyksta pasiekti derybomis, ginčai yra sprendžiami Lietuvos teisme Lietuvos Respublikos įstatymų nustatyta tvarka.</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 xml:space="preserve">Ši </w:t>
      </w:r>
      <w:smartTag w:uri="schemas-tilde-lt/tildestengine" w:element="templates">
        <w:smartTagPr>
          <w:attr w:name="baseform" w:val="sutart|is"/>
          <w:attr w:name="id" w:val="-1"/>
          <w:attr w:name="text" w:val="SUTARTIS"/>
        </w:smartTagPr>
        <w:r>
          <w:rPr>
            <w:sz w:val="22"/>
            <w:szCs w:val="22"/>
          </w:rPr>
          <w:t>sutartis</w:t>
        </w:r>
      </w:smartTag>
      <w:r>
        <w:rPr>
          <w:sz w:val="22"/>
          <w:szCs w:val="22"/>
        </w:rPr>
        <w:t xml:space="preserve"> surašyta lietuvių kalba 2 (dviem) egzemplioriais, turinčiais vienodą teisinę galią – po vieną kiekvienai Šaliai;</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 xml:space="preserve">Šiuo Šalys patvirtina, kad </w:t>
      </w:r>
      <w:smartTag w:uri="schemas-tilde-lt/tildestengine" w:element="templates">
        <w:smartTagPr>
          <w:attr w:name="baseform" w:val="sutart|is"/>
          <w:attr w:name="id" w:val="-1"/>
          <w:attr w:name="text" w:val="Sutarti"/>
        </w:smartTagPr>
        <w:r>
          <w:rPr>
            <w:sz w:val="22"/>
            <w:szCs w:val="22"/>
          </w:rPr>
          <w:t>Sutartį</w:t>
        </w:r>
      </w:smartTag>
      <w:r>
        <w:rPr>
          <w:sz w:val="22"/>
          <w:szCs w:val="22"/>
        </w:rPr>
        <w:t xml:space="preserve"> perskaitė, suprato jos turinį ir pasekmes, priėmė ją kaip atitinkančią jų tikslus ir pasirašė pirmiau nurodyta data.</w:t>
      </w:r>
    </w:p>
    <w:p w:rsidR="00CD3773" w:rsidRDefault="00CD3773" w:rsidP="00CD3773">
      <w:pPr>
        <w:spacing w:before="120"/>
        <w:jc w:val="both"/>
        <w:rPr>
          <w:b/>
          <w:sz w:val="22"/>
          <w:szCs w:val="22"/>
        </w:rPr>
      </w:pPr>
    </w:p>
    <w:p w:rsidR="004D1F49" w:rsidRDefault="004D1F49" w:rsidP="004D1F49">
      <w:pPr>
        <w:jc w:val="both"/>
      </w:pPr>
    </w:p>
    <w:p w:rsidR="004D1F49" w:rsidRPr="004D1F49" w:rsidRDefault="004D1F49" w:rsidP="004D1F49">
      <w:pPr>
        <w:jc w:val="both"/>
      </w:pPr>
      <w:r w:rsidRPr="004D1F49">
        <w:t>Pirkimo dalies numeris ir  pavadinimas:</w:t>
      </w:r>
    </w:p>
    <w:p w:rsidR="00CF7D1D" w:rsidRDefault="00CF7D1D" w:rsidP="00CF7D1D">
      <w:pPr>
        <w:jc w:val="both"/>
      </w:pPr>
      <w:r>
        <w:t>4.Reagentai „Sysmex XS-1000i“ analizatoriui</w:t>
      </w:r>
    </w:p>
    <w:p w:rsidR="006E433D" w:rsidRDefault="006E433D" w:rsidP="006E433D">
      <w:pPr>
        <w:jc w:val="both"/>
      </w:pPr>
    </w:p>
    <w:p w:rsidR="006E433D" w:rsidRDefault="00065203" w:rsidP="006E433D">
      <w:pPr>
        <w:jc w:val="both"/>
      </w:pPr>
      <w:r w:rsidRPr="00800FC2">
        <w:t xml:space="preserve">Bendra sutarties suma  </w:t>
      </w:r>
      <w:r w:rsidR="00CF7D1D">
        <w:t>7774,29 € su PVM</w:t>
      </w:r>
      <w:r w:rsidR="006E433D">
        <w:t>.</w:t>
      </w:r>
    </w:p>
    <w:p w:rsidR="0069126D" w:rsidRDefault="0069126D" w:rsidP="00F537C1">
      <w:pPr>
        <w:rPr>
          <w:i/>
        </w:rPr>
      </w:pPr>
    </w:p>
    <w:sectPr w:rsidR="0069126D" w:rsidSect="00CD3773">
      <w:pgSz w:w="11906" w:h="16838"/>
      <w:pgMar w:top="709"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663B"/>
    <w:multiLevelType w:val="multilevel"/>
    <w:tmpl w:val="9224D39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37"/>
        </w:tabs>
        <w:ind w:left="737" w:hanging="737"/>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
    <w:nsid w:val="796D0B68"/>
    <w:multiLevelType w:val="multilevel"/>
    <w:tmpl w:val="37E4AF5A"/>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31" w:firstLine="720"/>
      </w:p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CD3773"/>
    <w:rsid w:val="00065203"/>
    <w:rsid w:val="00081A59"/>
    <w:rsid w:val="0008743B"/>
    <w:rsid w:val="001D1503"/>
    <w:rsid w:val="002235FD"/>
    <w:rsid w:val="004D1F49"/>
    <w:rsid w:val="004E4797"/>
    <w:rsid w:val="004E64B6"/>
    <w:rsid w:val="00587330"/>
    <w:rsid w:val="0069126D"/>
    <w:rsid w:val="006B7291"/>
    <w:rsid w:val="006E433D"/>
    <w:rsid w:val="007C652E"/>
    <w:rsid w:val="007D7F56"/>
    <w:rsid w:val="0092187A"/>
    <w:rsid w:val="00A16C1F"/>
    <w:rsid w:val="00A43488"/>
    <w:rsid w:val="00A6103A"/>
    <w:rsid w:val="00B55ED2"/>
    <w:rsid w:val="00B87001"/>
    <w:rsid w:val="00CD3773"/>
    <w:rsid w:val="00CF71AC"/>
    <w:rsid w:val="00CF7D1D"/>
    <w:rsid w:val="00F537C1"/>
    <w:rsid w:val="00F746C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73"/>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9"/>
    <w:qFormat/>
    <w:rsid w:val="00CD3773"/>
    <w:pPr>
      <w:keepNext/>
      <w:numPr>
        <w:numId w:val="1"/>
      </w:numPr>
      <w:spacing w:before="360" w:after="360"/>
      <w:jc w:val="center"/>
      <w:outlineLvl w:val="0"/>
    </w:pPr>
    <w:rPr>
      <w:sz w:val="28"/>
      <w:szCs w:val="20"/>
      <w:lang w:eastAsia="en-US"/>
    </w:rPr>
  </w:style>
  <w:style w:type="paragraph" w:styleId="Heading2">
    <w:name w:val="heading 2"/>
    <w:basedOn w:val="Normal"/>
    <w:next w:val="Normal"/>
    <w:link w:val="Heading2Char"/>
    <w:uiPriority w:val="99"/>
    <w:semiHidden/>
    <w:unhideWhenUsed/>
    <w:qFormat/>
    <w:rsid w:val="00CD3773"/>
    <w:pPr>
      <w:numPr>
        <w:ilvl w:val="1"/>
        <w:numId w:val="1"/>
      </w:numPr>
      <w:jc w:val="both"/>
      <w:outlineLvl w:val="1"/>
    </w:pPr>
    <w:rPr>
      <w:szCs w:val="20"/>
      <w:lang w:eastAsia="en-US"/>
    </w:rPr>
  </w:style>
  <w:style w:type="paragraph" w:styleId="Heading3">
    <w:name w:val="heading 3"/>
    <w:basedOn w:val="Normal"/>
    <w:next w:val="Normal"/>
    <w:link w:val="Heading3Char"/>
    <w:uiPriority w:val="99"/>
    <w:semiHidden/>
    <w:unhideWhenUsed/>
    <w:qFormat/>
    <w:rsid w:val="00CD3773"/>
    <w:pPr>
      <w:keepNext/>
      <w:numPr>
        <w:ilvl w:val="2"/>
        <w:numId w:val="1"/>
      </w:numPr>
      <w:jc w:val="both"/>
      <w:outlineLvl w:val="2"/>
    </w:pPr>
    <w:rPr>
      <w:szCs w:val="20"/>
      <w:lang w:eastAsia="en-US"/>
    </w:rPr>
  </w:style>
  <w:style w:type="paragraph" w:styleId="Heading4">
    <w:name w:val="heading 4"/>
    <w:basedOn w:val="Normal"/>
    <w:next w:val="Normal"/>
    <w:link w:val="Heading4Char"/>
    <w:uiPriority w:val="99"/>
    <w:semiHidden/>
    <w:unhideWhenUsed/>
    <w:qFormat/>
    <w:rsid w:val="00CD3773"/>
    <w:pPr>
      <w:keepNext/>
      <w:numPr>
        <w:ilvl w:val="3"/>
        <w:numId w:val="1"/>
      </w:numPr>
      <w:outlineLvl w:val="3"/>
    </w:pPr>
    <w:rPr>
      <w:b/>
      <w:sz w:val="44"/>
      <w:szCs w:val="20"/>
      <w:lang w:eastAsia="en-US"/>
    </w:rPr>
  </w:style>
  <w:style w:type="paragraph" w:styleId="Heading5">
    <w:name w:val="heading 5"/>
    <w:basedOn w:val="Normal"/>
    <w:next w:val="Normal"/>
    <w:link w:val="Heading5Char"/>
    <w:uiPriority w:val="99"/>
    <w:semiHidden/>
    <w:unhideWhenUsed/>
    <w:qFormat/>
    <w:rsid w:val="00CD3773"/>
    <w:pPr>
      <w:keepNext/>
      <w:numPr>
        <w:ilvl w:val="4"/>
        <w:numId w:val="1"/>
      </w:numPr>
      <w:outlineLvl w:val="4"/>
    </w:pPr>
    <w:rPr>
      <w:b/>
      <w:sz w:val="40"/>
      <w:szCs w:val="20"/>
      <w:lang w:eastAsia="en-US"/>
    </w:rPr>
  </w:style>
  <w:style w:type="paragraph" w:styleId="Heading6">
    <w:name w:val="heading 6"/>
    <w:basedOn w:val="Normal"/>
    <w:next w:val="Normal"/>
    <w:link w:val="Heading6Char"/>
    <w:uiPriority w:val="99"/>
    <w:semiHidden/>
    <w:unhideWhenUsed/>
    <w:qFormat/>
    <w:rsid w:val="00CD3773"/>
    <w:pPr>
      <w:keepNext/>
      <w:numPr>
        <w:ilvl w:val="5"/>
        <w:numId w:val="1"/>
      </w:numPr>
      <w:outlineLvl w:val="5"/>
    </w:pPr>
    <w:rPr>
      <w:b/>
      <w:sz w:val="36"/>
      <w:szCs w:val="20"/>
      <w:lang w:eastAsia="en-US"/>
    </w:rPr>
  </w:style>
  <w:style w:type="paragraph" w:styleId="Heading7">
    <w:name w:val="heading 7"/>
    <w:basedOn w:val="Normal"/>
    <w:next w:val="Normal"/>
    <w:link w:val="Heading7Char"/>
    <w:uiPriority w:val="99"/>
    <w:semiHidden/>
    <w:unhideWhenUsed/>
    <w:qFormat/>
    <w:rsid w:val="00CD3773"/>
    <w:pPr>
      <w:keepNext/>
      <w:numPr>
        <w:ilvl w:val="6"/>
        <w:numId w:val="1"/>
      </w:numPr>
      <w:outlineLvl w:val="6"/>
    </w:pPr>
    <w:rPr>
      <w:sz w:val="48"/>
      <w:szCs w:val="20"/>
      <w:lang w:eastAsia="en-US"/>
    </w:rPr>
  </w:style>
  <w:style w:type="paragraph" w:styleId="Heading8">
    <w:name w:val="heading 8"/>
    <w:basedOn w:val="Normal"/>
    <w:next w:val="Normal"/>
    <w:link w:val="Heading8Char"/>
    <w:uiPriority w:val="99"/>
    <w:semiHidden/>
    <w:unhideWhenUsed/>
    <w:qFormat/>
    <w:rsid w:val="00CD3773"/>
    <w:pPr>
      <w:keepNext/>
      <w:numPr>
        <w:ilvl w:val="7"/>
        <w:numId w:val="1"/>
      </w:numPr>
      <w:outlineLvl w:val="7"/>
    </w:pPr>
    <w:rPr>
      <w:b/>
      <w:sz w:val="18"/>
      <w:szCs w:val="20"/>
      <w:lang w:eastAsia="en-US"/>
    </w:rPr>
  </w:style>
  <w:style w:type="paragraph" w:styleId="Heading9">
    <w:name w:val="heading 9"/>
    <w:basedOn w:val="Normal"/>
    <w:next w:val="Normal"/>
    <w:link w:val="Heading9Char"/>
    <w:uiPriority w:val="99"/>
    <w:semiHidden/>
    <w:unhideWhenUsed/>
    <w:qFormat/>
    <w:rsid w:val="00CD377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3773"/>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9"/>
    <w:semiHidden/>
    <w:rsid w:val="00CD3773"/>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9"/>
    <w:semiHidden/>
    <w:rsid w:val="00CD3773"/>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9"/>
    <w:semiHidden/>
    <w:rsid w:val="00CD3773"/>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9"/>
    <w:semiHidden/>
    <w:rsid w:val="00CD3773"/>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9"/>
    <w:semiHidden/>
    <w:rsid w:val="00CD3773"/>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9"/>
    <w:semiHidden/>
    <w:rsid w:val="00CD3773"/>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semiHidden/>
    <w:rsid w:val="00CD3773"/>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9"/>
    <w:semiHidden/>
    <w:rsid w:val="00CD3773"/>
    <w:rPr>
      <w:rFonts w:ascii="Times New Roman" w:eastAsia="Times New Roman" w:hAnsi="Times New Roman" w:cs="Times New Roman"/>
      <w:sz w:val="40"/>
      <w:szCs w:val="20"/>
    </w:rPr>
  </w:style>
  <w:style w:type="character" w:styleId="Hyperlink">
    <w:name w:val="Hyperlink"/>
    <w:basedOn w:val="DefaultParagraphFont"/>
    <w:semiHidden/>
    <w:unhideWhenUsed/>
    <w:rsid w:val="00CD3773"/>
    <w:rPr>
      <w:color w:val="0000FF"/>
      <w:u w:val="single"/>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semiHidden/>
    <w:locked/>
    <w:rsid w:val="00CD3773"/>
    <w:rPr>
      <w:rFonts w:ascii="Times New Roman" w:eastAsia="Times New Roman" w:hAnsi="Times New Roman" w:cs="Times New Roman"/>
      <w:sz w:val="24"/>
      <w:szCs w:val="20"/>
      <w:lang w:eastAsia="lt-LT"/>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semiHidden/>
    <w:unhideWhenUsed/>
    <w:rsid w:val="00CD3773"/>
    <w:pPr>
      <w:widowControl w:val="0"/>
      <w:tabs>
        <w:tab w:val="center" w:pos="4153"/>
        <w:tab w:val="right" w:pos="8306"/>
      </w:tabs>
      <w:spacing w:after="20"/>
      <w:jc w:val="both"/>
    </w:pPr>
    <w:rPr>
      <w:szCs w:val="20"/>
    </w:rPr>
  </w:style>
  <w:style w:type="character" w:customStyle="1" w:styleId="HeaderChar1">
    <w:name w:val="Header Char1"/>
    <w:basedOn w:val="DefaultParagraphFont"/>
    <w:link w:val="Header"/>
    <w:uiPriority w:val="99"/>
    <w:semiHidden/>
    <w:rsid w:val="00CD3773"/>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semiHidden/>
    <w:unhideWhenUsed/>
    <w:rsid w:val="00CD3773"/>
    <w:pPr>
      <w:spacing w:after="120" w:line="276" w:lineRule="auto"/>
    </w:pPr>
    <w:rPr>
      <w:rFonts w:eastAsia="Calibri"/>
      <w:szCs w:val="22"/>
      <w:lang w:eastAsia="en-US"/>
    </w:rPr>
  </w:style>
  <w:style w:type="character" w:customStyle="1" w:styleId="BodyTextChar">
    <w:name w:val="Body Text Char"/>
    <w:basedOn w:val="DefaultParagraphFont"/>
    <w:link w:val="BodyText"/>
    <w:uiPriority w:val="99"/>
    <w:semiHidden/>
    <w:rsid w:val="00CD3773"/>
    <w:rPr>
      <w:rFonts w:ascii="Times New Roman" w:eastAsia="Calibri" w:hAnsi="Times New Roman" w:cs="Times New Roman"/>
      <w:sz w:val="24"/>
    </w:rPr>
  </w:style>
  <w:style w:type="paragraph" w:styleId="BodyText2">
    <w:name w:val="Body Text 2"/>
    <w:basedOn w:val="Normal"/>
    <w:link w:val="BodyText2Char"/>
    <w:uiPriority w:val="99"/>
    <w:semiHidden/>
    <w:unhideWhenUsed/>
    <w:rsid w:val="00CD3773"/>
    <w:pPr>
      <w:spacing w:after="120" w:line="480" w:lineRule="auto"/>
    </w:pPr>
    <w:rPr>
      <w:lang w:eastAsia="en-US"/>
    </w:rPr>
  </w:style>
  <w:style w:type="character" w:customStyle="1" w:styleId="BodyText2Char">
    <w:name w:val="Body Text 2 Char"/>
    <w:basedOn w:val="DefaultParagraphFont"/>
    <w:link w:val="BodyText2"/>
    <w:uiPriority w:val="99"/>
    <w:semiHidden/>
    <w:rsid w:val="00CD37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4710</Words>
  <Characters>2685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AVEVITA</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KarinaCh</dc:creator>
  <cp:keywords/>
  <dc:description/>
  <cp:lastModifiedBy>KarinaCh</cp:lastModifiedBy>
  <cp:revision>12</cp:revision>
  <dcterms:created xsi:type="dcterms:W3CDTF">2016-01-27T14:51:00Z</dcterms:created>
  <dcterms:modified xsi:type="dcterms:W3CDTF">2016-01-27T17:37:00Z</dcterms:modified>
</cp:coreProperties>
</file>