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6236" w:hanging="0"/>
        <w:jc w:val="both"/>
        <w:rPr>
          <w:rFonts w:ascii="Times New Roman" w:hAnsi="Times New Roman"/>
          <w:sz w:val="21"/>
          <w:szCs w:val="21"/>
          <w:lang w:val="en-US"/>
        </w:rPr>
      </w:pPr>
      <w:r>
        <w:rPr>
          <w:rFonts w:ascii="Times New Roman" w:hAnsi="Times New Roman"/>
          <w:sz w:val="21"/>
          <w:szCs w:val="21"/>
          <w:lang w:val="en-US"/>
        </w:rPr>
      </w:r>
    </w:p>
    <w:p>
      <w:pPr>
        <w:pStyle w:val="Normal"/>
        <w:spacing w:lineRule="auto" w:line="240" w:before="0" w:after="0"/>
        <w:ind w:firstLine="5726"/>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67"/>
        <w:jc w:val="center"/>
        <w:rPr/>
      </w:pPr>
      <w:r>
        <w:rPr>
          <w:rFonts w:cs="Times New Roman" w:ascii="Times New Roman" w:hAnsi="Times New Roman"/>
          <w:b/>
        </w:rPr>
        <w:t>ŠILUMOS PUNKTŲ PRIEŽIŪROS PASLAUGŲ IR CENTRINIO ŠILDYMO SISTEMŲ, KARŠTO VANDENS ŠILDYMO ĮRENGINIŲ PRIEŽIŪROS PASLAUGŲ PANEVĖŽYJE, TULPIŲ G. 60, K. BINKIO G. 14, MOLAINIŲ G.4,</w:t>
      </w:r>
      <w:r>
        <w:rPr>
          <w:rFonts w:eastAsia="Times New Roman" w:cs="Times New Roman" w:ascii="Times New Roman" w:hAnsi="Times New Roman"/>
          <w:color w:val="000000"/>
          <w:highlight w:val="white"/>
        </w:rPr>
        <w:t xml:space="preserve"> </w:t>
      </w:r>
      <w:r>
        <w:rPr>
          <w:rFonts w:cs="Times New Roman" w:ascii="Times New Roman" w:hAnsi="Times New Roman"/>
          <w:b/>
        </w:rPr>
        <w:t>VIEŠOJO PIRKIMO–PARDAVIMO</w:t>
      </w:r>
      <w:r>
        <w:rPr>
          <w:rFonts w:ascii="Times New Roman" w:hAnsi="Times New Roman"/>
        </w:rPr>
        <w:t xml:space="preserve"> </w:t>
      </w:r>
      <w:r>
        <w:rPr>
          <w:rFonts w:cs="Times New Roman" w:ascii="Times New Roman" w:hAnsi="Times New Roman"/>
          <w:b/>
        </w:rPr>
        <w:t>SUTARTIS</w:t>
      </w:r>
    </w:p>
    <w:p>
      <w:pPr>
        <w:pStyle w:val="Normal"/>
        <w:spacing w:lineRule="auto" w:line="240" w:before="0" w:after="0"/>
        <w:ind w:firstLine="567"/>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2022 m. spalio 3 d. Nr. 50-ST2-82/CP-222073</w:t>
      </w:r>
    </w:p>
    <w:p>
      <w:pPr>
        <w:pStyle w:val="Normal"/>
        <w:spacing w:lineRule="auto" w:line="240" w:before="0" w:after="0"/>
        <w:jc w:val="center"/>
        <w:rPr>
          <w:rFonts w:ascii="Times New Roman" w:hAnsi="Times New Roman"/>
        </w:rPr>
      </w:pPr>
      <w:r>
        <w:rPr>
          <w:rFonts w:cs="Times New Roman" w:ascii="Times New Roman" w:hAnsi="Times New Roman"/>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rPr>
      </w:pPr>
      <w:r>
        <w:rPr>
          <w:rFonts w:cs="Times New Roman" w:ascii="Times New Roman" w:hAnsi="Times New Roman"/>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UAB „CORPUS PRO“ (toliau – Tiekėjas), atstovaujama direktorės Gedos Stankovičiūtės, veikiančios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rPr>
        <w:t>toliau kartu vadinami Šalimis, o kiekvienas atskirai – Šalimi, vadovaudamiesi skelbiamos apklausos</w:t>
      </w:r>
      <w:r>
        <w:rPr>
          <w:rFonts w:cs="Times New Roman" w:ascii="Times New Roman" w:hAnsi="Times New Roman"/>
          <w:shd w:fill="FFFFFF" w:val="clear"/>
        </w:rPr>
        <w:t xml:space="preserve"> būdu atlikto viešojo pirkimo „Šilumos punktų priežiūra“ (pirkimo Nr. 624470) sąlygomis ir rezultatais,</w:t>
      </w:r>
    </w:p>
    <w:p>
      <w:pPr>
        <w:pStyle w:val="Normal"/>
        <w:spacing w:lineRule="auto" w:line="240" w:before="0" w:after="0"/>
        <w:ind w:firstLine="567"/>
        <w:jc w:val="both"/>
        <w:rPr>
          <w:shd w:fill="FFFFFF" w:val="clear"/>
        </w:rPr>
      </w:pPr>
      <w:r>
        <w:rPr>
          <w:rFonts w:cs="Times New Roman" w:ascii="Times New Roman" w:hAnsi="Times New Roman"/>
          <w:shd w:fill="FFFFFF" w:val="clear"/>
        </w:rPr>
        <w:t>sudarė šią paslaugų viešojo pirkimo–pardavimo sutartį (toliau – Sutartis).</w:t>
      </w:r>
    </w:p>
    <w:p>
      <w:pPr>
        <w:pStyle w:val="Normal"/>
        <w:spacing w:lineRule="auto" w:line="240" w:before="0" w:after="0"/>
        <w:ind w:firstLine="567"/>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lineRule="auto" w:line="240" w:before="0" w:after="0"/>
        <w:ind w:firstLine="567"/>
        <w:jc w:val="center"/>
        <w:rPr/>
      </w:pPr>
      <w:r>
        <w:rPr>
          <w:rFonts w:cs="Times New Roman" w:ascii="Times New Roman" w:hAnsi="Times New Roman"/>
          <w:b/>
          <w:shd w:fill="FFFFFF" w:val="clear"/>
        </w:rPr>
        <w:t>I. SUTARTIES DALYKAS</w:t>
      </w:r>
    </w:p>
    <w:p>
      <w:pPr>
        <w:pStyle w:val="Normal"/>
        <w:spacing w:lineRule="auto" w:line="240" w:before="0" w:after="0"/>
        <w:ind w:firstLine="567"/>
        <w:jc w:val="center"/>
        <w:rPr>
          <w:rFonts w:ascii="Times New Roman" w:hAnsi="Times New Roman" w:cs="Times New Roman"/>
          <w:b/>
          <w:b/>
          <w:shd w:fill="FFFFFF" w:val="clear"/>
        </w:rPr>
      </w:pPr>
      <w:r>
        <w:rPr>
          <w:rFonts w:cs="Times New Roman" w:ascii="Times New Roman" w:hAnsi="Times New Roman"/>
          <w:b/>
          <w:shd w:fill="FFFFFF" w:val="clear"/>
        </w:rPr>
      </w:r>
    </w:p>
    <w:p>
      <w:pPr>
        <w:pStyle w:val="Normal"/>
        <w:spacing w:lineRule="auto" w:line="240" w:before="0" w:after="0"/>
        <w:ind w:firstLine="567"/>
        <w:jc w:val="both"/>
        <w:rPr/>
      </w:pPr>
      <w:r>
        <w:rPr>
          <w:rFonts w:cs="Times New Roman" w:ascii="Times New Roman" w:hAnsi="Times New Roman"/>
          <w:shd w:fill="FFFFFF" w:val="clear"/>
        </w:rPr>
        <w:t>1.1. Sutarties dalykas yra š</w:t>
      </w:r>
      <w:r>
        <w:rPr>
          <w:rFonts w:eastAsia="Times New Roman" w:cs="Times New Roman" w:ascii="Times New Roman" w:hAnsi="Times New Roman"/>
          <w:color w:val="000000"/>
          <w:highlight w:val="white"/>
        </w:rPr>
        <w:t>ilumos punktų</w:t>
      </w:r>
      <w:r>
        <w:rPr>
          <w:rFonts w:cs="Times New Roman" w:ascii="Times New Roman" w:hAnsi="Times New Roman"/>
          <w:color w:val="000000"/>
        </w:rPr>
        <w:t xml:space="preserve"> priežiūros ir c</w:t>
      </w:r>
      <w:r>
        <w:rPr>
          <w:rFonts w:eastAsia="Times New Roman" w:cs="Times New Roman" w:ascii="Times New Roman" w:hAnsi="Times New Roman"/>
          <w:color w:val="000000"/>
          <w:highlight w:val="white"/>
        </w:rPr>
        <w:t xml:space="preserve">entrinio šildymo sistemų, karšto vandens šildymo įrenginių priežiūros </w:t>
      </w:r>
      <w:r>
        <w:rPr>
          <w:rFonts w:cs="Times New Roman" w:ascii="Times New Roman" w:hAnsi="Times New Roman"/>
          <w:shd w:fill="FFFFFF" w:val="clear"/>
        </w:rPr>
        <w:t>paslaugos pastatuose Panevėžyje, Tulpių g. 60, K. Binkio g. 14, Molainių g. 4 (toliau – Paslaugos). Teikiamų paslaugų apimtis, kokybė bei kiti paslaugoms keliami reikalavimai apibrėžti techninėje specifikacijoje (Sutarties 1 priedas).</w:t>
      </w:r>
    </w:p>
    <w:p>
      <w:pPr>
        <w:pStyle w:val="Normal"/>
        <w:spacing w:lineRule="auto" w:line="240" w:before="0" w:after="0"/>
        <w:ind w:firstLine="567"/>
        <w:jc w:val="both"/>
        <w:rPr/>
      </w:pPr>
      <w:r>
        <w:rPr>
          <w:rFonts w:cs="Times New Roman" w:ascii="Times New Roman" w:hAnsi="Times New Roman"/>
          <w:shd w:fill="FFFFFF" w:val="clear"/>
        </w:rPr>
        <w:t xml:space="preserve">1.2. Paslaugų BVPŽ kodas – </w:t>
      </w:r>
      <w:r>
        <w:rPr>
          <w:rFonts w:ascii="Times New Roman" w:hAnsi="Times New Roman"/>
          <w:color w:val="000000"/>
          <w:shd w:fill="FFFFFF" w:val="clear"/>
        </w:rPr>
        <w:t>50720000-8</w:t>
      </w:r>
      <w:r>
        <w:rPr>
          <w:rFonts w:cs="Times New Roman" w:ascii="Times New Roman" w:hAnsi="Times New Roman"/>
          <w:shd w:fill="FFFFFF" w:val="clear"/>
        </w:rPr>
        <w:t>.</w:t>
      </w:r>
    </w:p>
    <w:p>
      <w:pPr>
        <w:pStyle w:val="Normal"/>
        <w:spacing w:lineRule="auto" w:line="240" w:before="0" w:after="0"/>
        <w:ind w:firstLine="567"/>
        <w:jc w:val="both"/>
        <w:rPr/>
      </w:pPr>
      <w:r>
        <w:rPr>
          <w:rFonts w:cs="Times New Roman" w:ascii="Times New Roman" w:hAnsi="Times New Roman"/>
          <w:shd w:fill="FFFFFF" w:val="clear"/>
        </w:rPr>
        <w:t xml:space="preserve">1.3. Paslaugų teikimo vieta – Panevėžys, </w:t>
      </w:r>
      <w:r>
        <w:rPr>
          <w:rFonts w:ascii="Times New Roman" w:hAnsi="Times New Roman"/>
        </w:rPr>
        <w:t xml:space="preserve">Tulpių g. 60, K. Binkio g. 14, </w:t>
      </w:r>
      <w:r>
        <w:rPr>
          <w:rFonts w:ascii="Times New Roman" w:hAnsi="Times New Roman"/>
          <w:shd w:fill="FFFFFF" w:val="clear"/>
        </w:rPr>
        <w:t>Molainių g. 4</w:t>
      </w:r>
      <w:r>
        <w:rPr>
          <w:rFonts w:cs="Times New Roman" w:ascii="Times New Roman" w:hAnsi="Times New Roman"/>
          <w:shd w:fill="FFFFFF" w:val="clear"/>
        </w:rPr>
        <w:t>.</w:t>
      </w:r>
    </w:p>
    <w:p>
      <w:pPr>
        <w:pStyle w:val="Normal"/>
        <w:spacing w:lineRule="auto" w:line="240" w:before="0" w:after="0"/>
        <w:ind w:firstLine="567"/>
        <w:jc w:val="both"/>
        <w:rPr/>
      </w:pPr>
      <w:r>
        <w:rPr>
          <w:rFonts w:cs="Times New Roman" w:ascii="Times New Roman" w:hAnsi="Times New Roman"/>
          <w:shd w:fill="FFFFFF" w:val="clear"/>
        </w:rPr>
        <w:t>1.4. Perkamų Paslaugų sąrašas pateikiamas techninėje specifikacijoje (Sutarties 1 priedas).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1.5. Sutarties galiojimo laikotarpiu Tiekėjas Paslaugas teikia vadovaudamasis teisės aktais. Avarijų likvidavimo paslaugas Pirkėjas Paslaugas užsako raštu (elektroniniu paštu, oficialiu raštu) ar/ir žodžiu.</w:t>
      </w:r>
    </w:p>
    <w:p>
      <w:pPr>
        <w:pStyle w:val="Normal"/>
        <w:spacing w:lineRule="auto" w:line="240" w:before="0" w:after="0"/>
        <w:ind w:firstLine="567"/>
        <w:jc w:val="both"/>
        <w:rPr>
          <w:rFonts w:ascii="Times New Roman" w:hAnsi="Times New Roman"/>
        </w:rPr>
      </w:pPr>
      <w:r>
        <w:rPr>
          <w:rFonts w:cs="Times New Roman" w:ascii="Times New Roman" w:hAnsi="Times New Roman"/>
        </w:rPr>
        <w:t>1.6. Tiekėjo sutartinių įsipareigojimų vykdymo trukmė – 12 mėnesių nuo Sutarties įsigaliojimo dienos. Šis terminas negali būti pratęstas.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 Ši Sutartis yra fiksuoto įkainio ir sutarties vykdymo išlaidų atlyginimo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2.1.1. mėnesinis įkainis už Tiekėjo suteiktas planines paslaugas ir valandinis įkainis teikiant paslaugas po š</w:t>
      </w:r>
      <w:r>
        <w:rPr>
          <w:rFonts w:cs="Times New Roman" w:ascii="Times New Roman" w:hAnsi="Times New Roman"/>
          <w:shd w:fill="FFFFFF" w:val="clear"/>
        </w:rPr>
        <w:t>ildymo sistemos, karšto ir šalto vandentiekio, kanalizacijos tinklų avarijų yra fik</w:t>
      </w:r>
      <w:r>
        <w:rPr>
          <w:rFonts w:cs="Times New Roman" w:ascii="Times New Roman" w:hAnsi="Times New Roman"/>
        </w:rPr>
        <w:t>suoti ir nurodyti Tiekėjo pasiūlyme (Sutarties 2 priedas);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2.1.2. faktinės išlaidos už remontui reikalingas detales ir medžiagas, bus apmokamos pagal Tiekėjo pateiktas sąskaitas faktūras vadovaujantis Sutarties 1 priedo 4 punkte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2.2. Pirkėjui pareikalavus, Tiekėjas privalo per 3 (tris) darbo dienas pateikti faktines išlaidas pagrindžiančius trečiųjų šalių dokumentus. Tiekėjui, vadovaujantis kainodaros taisyklėmis neturi būti sudėtinga šias išlaidas pagrįsti, o Pirkėjui neturi būti sudėtinga patikrinti šių išlaidų pagrįstumą.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2.3. Sutarties vykdymo metu, priimami Tiekėjo sprendimai, susiję su faktinėmis išlaidomis, su Pirkėju turi būti derinami iš anksto.</w:t>
      </w:r>
    </w:p>
    <w:p>
      <w:pPr>
        <w:pStyle w:val="Normal"/>
        <w:spacing w:lineRule="auto" w:line="240" w:before="0" w:after="0"/>
        <w:ind w:firstLine="567"/>
        <w:jc w:val="both"/>
        <w:rPr>
          <w:rFonts w:ascii="Times New Roman" w:hAnsi="Times New Roman"/>
        </w:rPr>
      </w:pPr>
      <w:r>
        <w:rPr>
          <w:rFonts w:cs="Times New Roman" w:ascii="Times New Roman" w:hAnsi="Times New Roman"/>
        </w:rPr>
        <w:t>2.4. Fiksuotų įkainių reikšmės yra tokios: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984"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721"/>
        <w:gridCol w:w="5458"/>
        <w:gridCol w:w="1872"/>
        <w:gridCol w:w="1932"/>
      </w:tblGrid>
      <w:tr>
        <w:trPr>
          <w:trHeight w:val="684" w:hRule="atLeast"/>
        </w:trPr>
        <w:tc>
          <w:tcPr>
            <w:tcW w:w="721" w:type="dxa"/>
            <w:tcBorders>
              <w:top w:val="single" w:sz="4" w:space="0" w:color="000000"/>
              <w:left w:val="single" w:sz="4" w:space="0" w:color="000000"/>
              <w:bottom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Eil. Nr.</w:t>
            </w:r>
          </w:p>
        </w:tc>
        <w:tc>
          <w:tcPr>
            <w:tcW w:w="5458"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Paslaugų pavadinimas</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Mato vienetas</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Įkainis, Eur be PVM</w:t>
            </w:r>
          </w:p>
        </w:tc>
      </w:tr>
      <w:tr>
        <w:trPr>
          <w:trHeight w:val="282" w:hRule="atLeast"/>
        </w:trPr>
        <w:tc>
          <w:tcPr>
            <w:tcW w:w="7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1</w:t>
            </w:r>
          </w:p>
        </w:tc>
        <w:tc>
          <w:tcPr>
            <w:tcW w:w="5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2</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color w:val="000000"/>
                <w:sz w:val="20"/>
                <w:szCs w:val="20"/>
              </w:rPr>
              <w:t>3</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i/>
                <w:i/>
                <w:iCs/>
                <w:color w:val="auto"/>
                <w:sz w:val="20"/>
                <w:szCs w:val="20"/>
              </w:rPr>
            </w:pPr>
            <w:r>
              <w:rPr>
                <w:rFonts w:cs="Times New Roman" w:ascii="Times New Roman" w:hAnsi="Times New Roman"/>
                <w:i/>
                <w:iCs/>
                <w:color w:val="000000"/>
                <w:sz w:val="20"/>
                <w:szCs w:val="20"/>
              </w:rPr>
              <w:t>4</w:t>
            </w:r>
          </w:p>
        </w:tc>
      </w:tr>
      <w:tr>
        <w:trPr>
          <w:trHeight w:val="229" w:hRule="atLeast"/>
        </w:trPr>
        <w:tc>
          <w:tcPr>
            <w:tcW w:w="721" w:type="dxa"/>
            <w:tcBorders>
              <w:left w:val="single" w:sz="4" w:space="0" w:color="000000"/>
              <w:bottom w:val="single" w:sz="4" w:space="0" w:color="000000"/>
            </w:tcBorders>
            <w:vAlign w:val="center"/>
          </w:tcPr>
          <w:p>
            <w:pPr>
              <w:pStyle w:val="LONormal"/>
              <w:widowControl w:val="false"/>
              <w:jc w:val="center"/>
              <w:textAlignment w:val="center"/>
              <w:rPr>
                <w:rFonts w:ascii="Times New Roman" w:hAnsi="Times New Roman"/>
                <w:color w:val="auto"/>
              </w:rPr>
            </w:pPr>
            <w:r>
              <w:rPr>
                <w:rFonts w:ascii="Times New Roman" w:hAnsi="Times New Roman"/>
                <w:color w:val="000000"/>
              </w:rPr>
              <w:t>1.</w:t>
            </w:r>
          </w:p>
        </w:tc>
        <w:tc>
          <w:tcPr>
            <w:tcW w:w="5458" w:type="dxa"/>
            <w:tcBorders>
              <w:left w:val="single" w:sz="4" w:space="0" w:color="000000"/>
              <w:bottom w:val="single" w:sz="4" w:space="0" w:color="000000"/>
              <w:right w:val="single" w:sz="4" w:space="0" w:color="000000"/>
            </w:tcBorders>
            <w:vAlign w:val="center"/>
          </w:tcPr>
          <w:p>
            <w:pPr>
              <w:pStyle w:val="LONormal"/>
              <w:widowControl w:val="false"/>
              <w:textAlignment w:val="center"/>
              <w:rPr>
                <w:rFonts w:ascii="Times New Roman" w:hAnsi="Times New Roman"/>
                <w:color w:val="auto"/>
              </w:rPr>
            </w:pPr>
            <w:r>
              <w:rPr>
                <w:rFonts w:cs="Times New Roman" w:ascii="Times New Roman" w:hAnsi="Times New Roman"/>
                <w:iCs/>
                <w:color w:val="000000"/>
              </w:rPr>
              <w:t>Sutarties 1 priedo „Techninė specifikacija“ 1 punkte nurodytos planinės paslaugos</w:t>
            </w:r>
          </w:p>
        </w:tc>
        <w:tc>
          <w:tcPr>
            <w:tcW w:w="187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olor w:val="auto"/>
              </w:rPr>
            </w:pPr>
            <w:bookmarkStart w:id="0" w:name="__DdeLink__1756_13668927701"/>
            <w:r>
              <w:rPr>
                <w:rFonts w:ascii="Times New Roman" w:hAnsi="Times New Roman"/>
                <w:color w:val="000000"/>
              </w:rPr>
              <w:t>Vieno mėnesio paslaugų kaina</w:t>
            </w:r>
            <w:bookmarkEnd w:id="0"/>
          </w:p>
        </w:tc>
        <w:tc>
          <w:tcPr>
            <w:tcW w:w="193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s="Times New Roman"/>
                <w:color w:val="auto"/>
              </w:rPr>
            </w:pPr>
            <w:r>
              <w:rPr>
                <w:rFonts w:cs="Times New Roman" w:ascii="Times New Roman" w:hAnsi="Times New Roman"/>
                <w:color w:val="000000"/>
              </w:rPr>
              <w:t>134,00</w:t>
            </w:r>
          </w:p>
        </w:tc>
      </w:tr>
      <w:tr>
        <w:trPr>
          <w:trHeight w:val="229" w:hRule="atLeast"/>
        </w:trPr>
        <w:tc>
          <w:tcPr>
            <w:tcW w:w="721" w:type="dxa"/>
            <w:tcBorders>
              <w:left w:val="single" w:sz="4" w:space="0" w:color="000000"/>
              <w:bottom w:val="single" w:sz="4" w:space="0" w:color="000000"/>
            </w:tcBorders>
            <w:vAlign w:val="center"/>
          </w:tcPr>
          <w:p>
            <w:pPr>
              <w:pStyle w:val="Normal"/>
              <w:widowControl w:val="false"/>
              <w:spacing w:lineRule="auto" w:line="240" w:before="0" w:after="160"/>
              <w:jc w:val="center"/>
              <w:rPr>
                <w:rFonts w:ascii="Times New Roman" w:hAnsi="Times New Roman"/>
                <w:color w:val="auto"/>
              </w:rPr>
            </w:pPr>
            <w:r>
              <w:rPr>
                <w:rFonts w:cs="Times New Roman" w:ascii="Times New Roman" w:hAnsi="Times New Roman"/>
                <w:iCs/>
                <w:color w:val="000000"/>
              </w:rPr>
              <w:t>2.</w:t>
            </w:r>
          </w:p>
        </w:tc>
        <w:tc>
          <w:tcPr>
            <w:tcW w:w="545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olor w:val="auto"/>
              </w:rPr>
            </w:pPr>
            <w:r>
              <w:rPr>
                <w:rFonts w:cs="Times New Roman" w:ascii="Times New Roman" w:hAnsi="Times New Roman"/>
                <w:iCs/>
                <w:color w:val="000000"/>
              </w:rPr>
              <w:t>Pagal iškvietimą atliekami remonto darbai ir paslaugos (po avarijų)</w:t>
            </w:r>
          </w:p>
          <w:p>
            <w:pPr>
              <w:pStyle w:val="Normal"/>
              <w:widowControl w:val="false"/>
              <w:snapToGrid w:val="false"/>
              <w:spacing w:lineRule="auto" w:line="240" w:before="0" w:after="0"/>
              <w:rPr>
                <w:rFonts w:ascii="Times New Roman" w:hAnsi="Times New Roman"/>
                <w:color w:val="auto"/>
                <w:sz w:val="20"/>
                <w:szCs w:val="20"/>
              </w:rPr>
            </w:pPr>
            <w:r>
              <w:rPr>
                <w:rFonts w:cs="Times New Roman" w:ascii="Times New Roman" w:hAnsi="Times New Roman"/>
                <w:iCs/>
                <w:color w:val="000000"/>
                <w:sz w:val="20"/>
                <w:szCs w:val="20"/>
              </w:rPr>
              <w:t>(detalės ir medžiagos į paslaugų ir darbų kainą neįskaičiuojamos, už jas bus mokama pagal faktinį panaudojimą)</w:t>
            </w:r>
          </w:p>
        </w:tc>
        <w:tc>
          <w:tcPr>
            <w:tcW w:w="18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textAlignment w:val="center"/>
              <w:rPr>
                <w:rFonts w:ascii="Times New Roman" w:hAnsi="Times New Roman" w:cs="Times New Roman"/>
                <w:iCs/>
                <w:color w:val="auto"/>
              </w:rPr>
            </w:pPr>
            <w:r>
              <w:rPr>
                <w:rFonts w:cs="Times New Roman" w:ascii="Times New Roman" w:hAnsi="Times New Roman"/>
                <w:color w:val="000000"/>
              </w:rPr>
              <w:t>Vienos valandos darbų ar paslaugų kaina</w:t>
            </w:r>
          </w:p>
        </w:tc>
        <w:tc>
          <w:tcPr>
            <w:tcW w:w="193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auto"/>
              </w:rPr>
            </w:pPr>
            <w:r>
              <w:rPr>
                <w:rFonts w:cs="Times New Roman" w:ascii="Times New Roman" w:hAnsi="Times New Roman"/>
                <w:color w:val="000000"/>
              </w:rPr>
              <w:t>20,00</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2.5. Maksimali Sutarties kaina (lygi pirkimo dokumentuose užfiksuotai maksimaliai Sutarties kainai) yra  10 000 Eur su PVM.</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2.6. Pirkėjas Sutarties galiojimo laikotarpiu pirks arba užsakys Paslaugas pagal poreikį ir skiriamą finansavimą, neviršydamas maksimalios Sutarties kainos. Pirkėjas neįsipareigoja nupirkti viso Paslaugų kiekio ir (arba) sumokėti visos Sutarties kainos, numatytos šios Sutarties </w:t>
      </w:r>
      <w:r>
        <w:rPr>
          <w:rFonts w:cs="Times New Roman" w:ascii="Times New Roman" w:hAnsi="Times New Roman"/>
          <w:lang w:val="en-US"/>
        </w:rPr>
        <w:t>2.5</w:t>
      </w:r>
      <w:r>
        <w:rPr>
          <w:rFonts w:cs="Times New Roman" w:ascii="Times New Roman" w:hAnsi="Times New Roman"/>
        </w:rPr>
        <w:t xml:space="preserve"> papunktyje.</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 xml:space="preserve">2.7. </w:t>
      </w:r>
      <w:r>
        <w:rPr>
          <w:rFonts w:cs="Times New Roman" w:ascii="Times New Roman" w:hAnsi="Times New Roman"/>
        </w:rPr>
        <w:t xml:space="preserve">Į Paslaugų įkainius yra įskaičiuotos visos Paslaugų įkainio sudedamosios dalys, visos Tiekėjo patiriamos išlaidos ir mokesčiai. Jokios papildomos Tiekėjo išlaidos paslaugų teikimui nebus apmokamos ar kompensuojamos. Tinkamam paslaugų teikimui reikalingų </w:t>
      </w:r>
      <w:bookmarkStart w:id="1" w:name="__DdeLink__1248_822795266"/>
      <w:r>
        <w:rPr>
          <w:rFonts w:cs="Times New Roman" w:ascii="Times New Roman" w:hAnsi="Times New Roman"/>
        </w:rPr>
        <w:t>prekių (dalių, detalių) kaina</w:t>
      </w:r>
      <w:bookmarkEnd w:id="1"/>
      <w:r>
        <w:rPr>
          <w:rFonts w:cs="Times New Roman" w:ascii="Times New Roman" w:hAnsi="Times New Roman"/>
        </w:rPr>
        <w:t xml:space="preserve"> nustatoma </w:t>
      </w:r>
      <w:r>
        <w:rPr>
          <w:rFonts w:cs="Times New Roman" w:ascii="Times New Roman" w:hAnsi="Times New Roman"/>
          <w:iCs/>
          <w:color w:val="000000"/>
          <w:lang w:eastAsia="lt-LT"/>
        </w:rPr>
        <w:t>pagal Tiekėjo pateiktas sąskaitas faktūras.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2.8</w:t>
      </w:r>
      <w:r>
        <w:rPr>
          <w:rFonts w:cs="Times New Roman" w:ascii="Times New Roman" w:hAnsi="Times New Roman"/>
        </w:rPr>
        <w:t>. Nustatyti Sutarties 2.4 papunktyje fiksuoti Paslaugų įkainiai gali būti perskaičiuojami:</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2.8.1. </w:t>
      </w:r>
      <w:r>
        <w:rPr>
          <w:rFonts w:ascii="Times New Roman" w:hAnsi="Times New Roman"/>
        </w:rPr>
        <w:t xml:space="preserve">kai </w:t>
      </w:r>
      <w:r>
        <w:rPr>
          <w:rFonts w:cs="Calibri" w:ascii="Times New Roman" w:hAnsi="Times New Roman" w:cstheme="minorHAnsi"/>
        </w:rPr>
        <w:t>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Normal"/>
        <w:spacing w:lineRule="auto" w:line="240" w:before="0" w:after="0"/>
        <w:ind w:firstLine="567"/>
        <w:jc w:val="both"/>
        <w:rPr>
          <w:rFonts w:ascii="Times New Roman" w:hAnsi="Times New Roman"/>
        </w:rPr>
      </w:pPr>
      <w:r>
        <w:rPr>
          <w:rFonts w:cs="Calibri" w:ascii="Times New Roman" w:hAnsi="Times New Roman" w:cstheme="minorHAnsi"/>
        </w:rPr>
        <w:t xml:space="preserve">2.8.2. kai vieną iš Sutarties 1.3 papunktyje nurodytų pastatų Pirkėjas perduoda kitam savininkui (patikėtiniui). Tokiu atveju nuo kiekvieno pastato perdavimo momento </w:t>
      </w:r>
      <w:r>
        <w:rPr>
          <w:rFonts w:cs="Times New Roman" w:ascii="Times New Roman" w:hAnsi="Times New Roman"/>
        </w:rPr>
        <w:t xml:space="preserve">mėnesinis įkainis už Tiekėjo suteiktas planines paslaugas mažinamas trečdaliu. </w:t>
      </w:r>
      <w:r>
        <w:rPr>
          <w:rFonts w:cs="Calibri" w:ascii="Times New Roman" w:hAnsi="Times New Roman" w:cstheme="minorHAnsi"/>
        </w:rPr>
        <w:t>Perskaičiavimas įforminamas Šalių susitarimu, kuris tampa neatsiejama Sutarties dalimi.</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w:t>
      </w:r>
      <w:r>
        <w:rPr>
          <w:rFonts w:cs="Times New Roman" w:ascii="Times New Roman" w:hAnsi="Times New Roman"/>
        </w:rPr>
        <w:t xml:space="preserve">. Mokėjimai atliekami eurais tokia tvarka: </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2.9.1</w:t>
      </w:r>
      <w:r>
        <w:rPr>
          <w:rFonts w:cs="Times New Roman" w:ascii="Times New Roman" w:hAnsi="Times New Roman"/>
        </w:rPr>
        <w:t xml:space="preserve">. Su Tiekėju už laiku ir kokybiškai suteiktas Paslaugas bus atsiskaitoma ne vėliau kaip per 30 (trisdešimt) kalendorinių dienų nuo Paslaugų suteikimo ir sąskaitos faktūros pateikimo dienos. </w:t>
      </w:r>
      <w:r>
        <w:rPr>
          <w:rFonts w:ascii="Times New Roman" w:hAnsi="Times New Roman"/>
          <w:color w:val="000000"/>
        </w:rPr>
        <w:t>Sąskaitos faktūros pateikimo Pirkėjui diena laikoma sekanti po sąskaitos faktūros pateikimo informacinės sistemos ,,E. sąskaita“ priemonėmis darbo diena. Laikoma, kad Tiekėjas pateikė sąskaitą faktūrą, jei informacinės sistemos ,,E. sąskaita“ priemonėmis ta sąskaita pažymėta kaip „Pateikta“;</w:t>
      </w:r>
    </w:p>
    <w:p>
      <w:pPr>
        <w:pStyle w:val="Normal"/>
        <w:spacing w:lineRule="auto" w:line="240" w:before="0" w:after="0"/>
        <w:ind w:firstLine="567"/>
        <w:jc w:val="both"/>
        <w:rPr>
          <w:rFonts w:ascii="Times New Roman" w:hAnsi="Times New Roman"/>
        </w:rPr>
      </w:pPr>
      <w:r>
        <w:rPr>
          <w:rFonts w:ascii="Times New Roman" w:hAnsi="Times New Roman"/>
          <w:color w:val="000000"/>
        </w:rPr>
        <w:t xml:space="preserve">2.9.2. Paslaugų perdavimas ir priėmimas įforminamas </w:t>
      </w:r>
      <w:r>
        <w:rPr>
          <w:rFonts w:cs="Times New Roman" w:ascii="Times New Roman" w:hAnsi="Times New Roman"/>
          <w:color w:val="000000"/>
        </w:rPr>
        <w:t>Paslaugų perdavimo-priėmimo aktu, kuris pasirašomas Tiekėjo ir Pirkėjo įgaliotų atstovų; detali Paslaugų priėmimo – perdavimo tvarka aprašyta šios Sutarties III skyriuje;</w:t>
      </w:r>
      <w:bookmarkStart w:id="2" w:name="__DdeLink__5864_50431398"/>
      <w:bookmarkEnd w:id="2"/>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2.9.3</w:t>
      </w:r>
      <w:r>
        <w:rPr>
          <w:rFonts w:cs="Times New Roman" w:ascii="Times New Roman" w:hAnsi="Times New Roman"/>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2.9.4</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2.10</w:t>
      </w:r>
      <w:r>
        <w:rPr>
          <w:rFonts w:cs="Times New Roman" w:ascii="Times New Roman" w:hAnsi="Times New Roman"/>
        </w:rPr>
        <w:t>. Numatoma, kad vykdant Sutartį bus atliekami tarpiniai mokėjimai, tarpiniai mokėjimai atliekami vieną kartą per mėnesį. Tarpiniai mokėjimai atliekami remiantis Tiekėjo pateiktomis ir Pirkėjo priimtomis sąskaitomis faktūromis.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2.11</w:t>
      </w:r>
      <w:r>
        <w:rPr>
          <w:rFonts w:cs="Times New Roman" w:ascii="Times New Roman" w:hAnsi="Times New Roman"/>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lang w:val="en-US"/>
        </w:rPr>
        <w:t>3 darbo dienas</w:t>
      </w:r>
      <w:r>
        <w:rPr>
          <w:rFonts w:cs="Times New Roman" w:ascii="Times New Roman" w:hAnsi="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rPr>
      </w:pPr>
      <w:r>
        <w:rPr>
          <w:rFonts w:cs="Times New Roman" w:ascii="Times New Roman" w:hAnsi="Times New Roman"/>
        </w:rPr>
        <w:t>3.1. Suteiktų Paslaugų kokybė patikrinama iš pateiktų dokumentų (kai tokią dokumentaciją Tiekėjas rengti privalo) arba vizualiai (paslaugos po avarijų), Paslaugų priėmimo-perdavimo Pirkėjo atstovui metu, Šalims pasirašant paslaugų priėmimo-perdavimo aktą, kurį rengia Tiekėjas pagal šios Sutarties 3 priede pateiktą pavyzdinę formą.</w:t>
      </w:r>
    </w:p>
    <w:p>
      <w:pPr>
        <w:pStyle w:val="Normal"/>
        <w:spacing w:lineRule="auto" w:line="240" w:before="0" w:after="0"/>
        <w:ind w:firstLine="567"/>
        <w:jc w:val="both"/>
        <w:rPr/>
      </w:pPr>
      <w:r>
        <w:rPr>
          <w:rFonts w:cs="Times New Roman" w:ascii="Times New Roman" w:hAnsi="Times New Roman"/>
        </w:rPr>
        <w:t>3.2. Pirkėjo atstovas, patikrinęs ir įsitikinęs, kad Paslaugos atitinka Sutartyje ir jos prieduose nustatytus reikalavimus, privalo priimti suteiktas Paslaugas.</w:t>
      </w:r>
    </w:p>
    <w:p>
      <w:pPr>
        <w:pStyle w:val="Normal"/>
        <w:spacing w:lineRule="auto" w:line="240" w:before="0" w:after="0"/>
        <w:ind w:firstLine="567"/>
        <w:jc w:val="both"/>
        <w:rPr/>
      </w:pPr>
      <w:r>
        <w:rPr>
          <w:rFonts w:cs="Times New Roman" w:ascii="Times New Roman" w:hAnsi="Times New Roman"/>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Tiekėjui.</w:t>
      </w:r>
    </w:p>
    <w:p>
      <w:pPr>
        <w:pStyle w:val="Normal"/>
        <w:spacing w:lineRule="auto" w:line="240" w:before="0" w:after="0"/>
        <w:ind w:firstLine="567"/>
        <w:jc w:val="both"/>
        <w:rPr/>
      </w:pPr>
      <w:r>
        <w:rPr>
          <w:rFonts w:cs="Times New Roman" w:ascii="Times New Roman" w:hAnsi="Times New Roman"/>
        </w:rPr>
        <w:t>3.4. Pirkėjas, atsižvelgdamas į trūkumų pobūdį, kiekį bei sudėtingumą, raštu nurodo Tiekėjui protingą terminą pašalinti Paslaugų trūkumus nuo raštiškų pastabų pateikimo dienos. Tiekėjui pašalinus per Pirkėjo nurodytą protingą terminą Paslaugų trūkumus ar neatitikimus, suteiktos Paslaugos priimamos.</w:t>
      </w:r>
    </w:p>
    <w:p>
      <w:pPr>
        <w:pStyle w:val="Normal"/>
        <w:spacing w:lineRule="auto" w:line="240" w:before="0" w:after="0"/>
        <w:ind w:firstLine="567"/>
        <w:jc w:val="both"/>
        <w:rPr/>
      </w:pPr>
      <w:r>
        <w:rPr>
          <w:rFonts w:cs="Times New Roman" w:ascii="Times New Roman" w:hAnsi="Times New Roman"/>
        </w:rPr>
        <w:t>3.5. Pirkėjui pareikalavus, Tiekėjas pateikia visą informaciją apie tiektinų Paslaugų eigą ir apimtis.</w:t>
      </w:r>
    </w:p>
    <w:p>
      <w:pPr>
        <w:pStyle w:val="Normal"/>
        <w:spacing w:lineRule="auto" w:line="240" w:before="0" w:after="0"/>
        <w:ind w:firstLine="567"/>
        <w:jc w:val="both"/>
        <w:rPr/>
      </w:pPr>
      <w:r>
        <w:rPr>
          <w:rFonts w:cs="Times New Roman" w:ascii="Times New Roman" w:hAnsi="Times New Roman"/>
        </w:rPr>
        <w:t>3.6. Jeigu Paslaugų teikimo metu buvo montuojamos ar įdiegiamos prekės ar įranga, nuosavybės teisės ir atsakomybė už Prekes ir (ar) įrangą pereina Pirkėjui nuo Paslaugų priėmimo-perdavimo momento.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3.7. Paslaugų priėmimo–perdavimo aktas pasirašomas 2 (dviem) vienodą teisinę galią turinčiais egzemplioriais.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w:t>
      </w:r>
      <w:r>
        <w:rPr>
          <w:rFonts w:cs="Times New Roman" w:ascii="Times New Roman" w:hAnsi="Times New Roman"/>
          <w:color w:val="000000"/>
        </w:rPr>
        <w:t>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000000"/>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w:t>
      </w:r>
      <w:r>
        <w:rPr>
          <w:rFonts w:cs="Times New Roman" w:ascii="Times New Roman" w:hAnsi="Times New Roman"/>
        </w:rPr>
        <w:t xml:space="preserve">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pPr>
      <w:r>
        <w:rPr>
          <w:rFonts w:cs="Times New Roman" w:ascii="Times New Roman" w:hAnsi="Times New Roman"/>
        </w:rPr>
        <w:t>4.1.4.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raštu paprašius, grąžinti visus iš Pirkėjo gautus Sutarčiai vykdyti reikalingus dokumentus;</w:t>
      </w:r>
    </w:p>
    <w:p>
      <w:pPr>
        <w:pStyle w:val="Normal"/>
        <w:spacing w:lineRule="auto" w:line="240" w:before="0" w:after="0"/>
        <w:ind w:firstLine="567"/>
        <w:jc w:val="both"/>
        <w:rPr/>
      </w:pPr>
      <w:r>
        <w:rPr>
          <w:rFonts w:cs="Times New Roman" w:ascii="Times New Roman" w:hAnsi="Times New Roman"/>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 xml:space="preserve">4.1.10. vykdant Sutartį, pridėtinės vertės mokesčio sąskaitas faktūras, sąskaitas faktūras, kreditinius ir debetinius dokumentus bei avansines sąskaitas </w:t>
      </w:r>
      <w:r>
        <w:rPr>
          <w:rFonts w:cs="Times New Roman" w:ascii="Times New Roman" w:hAnsi="Times New Roman"/>
          <w:lang w:val="en-US"/>
        </w:rPr>
        <w:t>(jei sutartyje numatyti avansiniai mok</w:t>
      </w:r>
      <w:r>
        <w:rPr>
          <w:rFonts w:cs="Times New Roman" w:ascii="Times New Roman" w:hAnsi="Times New Roman"/>
        </w:rPr>
        <w:t>ėjimai</w:t>
      </w:r>
      <w:r>
        <w:rPr>
          <w:rFonts w:cs="Times New Roman" w:ascii="Times New Roman" w:hAnsi="Times New Roman"/>
          <w:lang w:val="en-US"/>
        </w:rPr>
        <w:t>)</w:t>
      </w:r>
      <w:r>
        <w:rPr>
          <w:rFonts w:cs="Times New Roman" w:ascii="Times New Roman" w:hAnsi="Times New Roman"/>
        </w:rPr>
        <w:t xml:space="preserve">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 xml:space="preserve">4.2.2. jei Pirkėjas naudojasi Sutarties </w:t>
      </w:r>
      <w:r>
        <w:rPr>
          <w:rFonts w:cs="Times New Roman" w:ascii="Times New Roman" w:hAnsi="Times New Roman"/>
          <w:lang w:val="en-US"/>
        </w:rPr>
        <w:t>2.11</w:t>
      </w:r>
      <w:r>
        <w:rPr>
          <w:rFonts w:cs="Times New Roman" w:ascii="Times New Roman" w:hAnsi="Times New Roman"/>
        </w:rPr>
        <w:t xml:space="preserve"> papunktyje įtvirtinta tiesioginio atsiskaitymo su subtiekėjais galimybe, Tiekėjas turi teisę prieštarauti nepagrįstiems mokėjimams subtiekėjams;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šioje Sutartyje nustatyta tvarka keičiamų arba naujai pasitelkiamų subtiekėjų;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lang w:val="en-US"/>
        </w:rPr>
        <w:t>5.2.</w:t>
      </w:r>
      <w:r>
        <w:rPr>
          <w:rFonts w:cs="Times New Roman" w:ascii="Times New Roman" w:hAnsi="Times New Roman"/>
        </w:rPr>
        <w:t xml:space="preserve"> </w:t>
      </w:r>
      <w:r>
        <w:rPr>
          <w:rFonts w:cs="Times New Roman" w:ascii="Times New Roman" w:hAnsi="Times New Roman"/>
          <w:color w:val="000000"/>
        </w:rPr>
        <w:t xml:space="preserve">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color w:val="000000"/>
        </w:rPr>
        <w:t>5.3. Jei reikalavimas pateikiamas dėl Sutarties dalyko sudėtinės dalies, jame nurodoma konkreti Sutarties dalyko sudėtinė dalis pagal techninėje specifikacijoje (Sutarties 1 priedas) pateiktą Paslaugų detalizavimą.</w:t>
      </w:r>
    </w:p>
    <w:p>
      <w:pPr>
        <w:pStyle w:val="Normal"/>
        <w:spacing w:lineRule="auto" w:line="240" w:before="0" w:after="0"/>
        <w:ind w:firstLine="567"/>
        <w:jc w:val="both"/>
        <w:rPr/>
      </w:pPr>
      <w:bookmarkStart w:id="3" w:name="__DdeLink__8578_1766817876"/>
      <w:bookmarkStart w:id="4" w:name="__DdeLink__2926_6941793551"/>
      <w:bookmarkEnd w:id="3"/>
      <w:bookmarkEnd w:id="4"/>
      <w:r>
        <w:rPr>
          <w:rFonts w:cs="Times New Roman" w:ascii="Times New Roman" w:hAnsi="Times New Roman"/>
          <w:color w:val="000000"/>
        </w:rPr>
        <w:t xml:space="preserve">5.4. </w:t>
      </w:r>
      <w:r>
        <w:rPr>
          <w:rFonts w:eastAsia="Arial Unicode MS" w:cs="Calibri" w:ascii="Times New Roman" w:hAnsi="Times New Roman" w:cstheme="minorHAnsi"/>
          <w:color w:val="000000"/>
        </w:rPr>
        <w:t xml:space="preserve">Netesybų sumokėjimas nepanaikina Šalies teisės reikalauti, kad kita Šalis kompensuotų jos patirtus tiesioginius nuostolius. </w:t>
      </w:r>
      <w:r>
        <w:rPr>
          <w:rFonts w:cs="Calibri" w:ascii="Times New Roman" w:hAnsi="Times New Roman" w:cstheme="minorHAnsi"/>
          <w:color w:val="000000"/>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bookmarkStart w:id="5" w:name="__DdeLink__2926_694179355"/>
      <w:bookmarkEnd w:id="5"/>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w:t>
        <w:tab/>
        <w:t>SUBTIEKĖJŲ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en-US"/>
        </w:rPr>
        <w:t>Subtiekėjas gali</w:t>
      </w:r>
      <w:r>
        <w:rPr>
          <w:rFonts w:cs="Times New Roman" w:ascii="Times New Roman" w:hAnsi="Times New Roman"/>
          <w:color w:val="000000"/>
        </w:rPr>
        <w:t xml:space="preserve"> būti keičiamas tik šiais atvejais:</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dėl objektyvių priežasčių (nutrūkus teisiniams santykiams su T</w:t>
      </w:r>
      <w:r>
        <w:rPr>
          <w:rFonts w:cs="Times New Roman" w:ascii="Times New Roman" w:hAnsi="Times New Roman"/>
          <w:color w:val="000000"/>
          <w:lang w:val="en-US"/>
        </w:rPr>
        <w:t>iek</w:t>
      </w:r>
      <w:r>
        <w:rPr>
          <w:rFonts w:cs="Times New Roman" w:ascii="Times New Roman" w:hAnsi="Times New Roman"/>
          <w:color w:val="000000"/>
        </w:rPr>
        <w:t>ėju, subtiekėjui  atsisakius teikti Paslaugas, išėjus atostogų, susirgus, susižeidus, mirus ir pan.) nebegali suteikti visų ar dalies Sutartyje nurodytų Paslaugų.</w:t>
      </w:r>
    </w:p>
    <w:p>
      <w:pPr>
        <w:pStyle w:val="Normal"/>
        <w:spacing w:lineRule="auto" w:line="240" w:before="0" w:after="0"/>
        <w:ind w:firstLine="567"/>
        <w:jc w:val="both"/>
        <w:rPr/>
      </w:pPr>
      <w:r>
        <w:rPr>
          <w:rFonts w:cs="Times New Roman" w:ascii="Times New Roman" w:hAnsi="Times New Roman"/>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pPr>
      <w:r>
        <w:rPr>
          <w:rFonts w:cs="Times New Roman" w:ascii="Times New Roman" w:hAnsi="Times New Roman"/>
        </w:rPr>
        <w:t xml:space="preserve">7.5. </w:t>
      </w:r>
      <w:r>
        <w:rPr>
          <w:rFonts w:eastAsia="Arial Unicode MS" w:cs="Calibri" w:ascii="Times New Roman" w:hAnsi="Times New Roman"/>
        </w:rPr>
        <w:t xml:space="preserve">Tiekėjas </w:t>
      </w:r>
      <w:r>
        <w:rPr>
          <w:rFonts w:cs="Calibri" w:ascii="Times New Roman" w:hAnsi="Times New Roman"/>
          <w:szCs w:val="24"/>
          <w:lang w:bidi="lo-LA"/>
        </w:rPr>
        <w:t>atsako už visus pagal Sutartį prisiimtus įsipareigojimus, nepaisant to, ar jiems vykdyti bus pasitelkiami subtiekėjai</w:t>
      </w:r>
      <w:r>
        <w:rPr>
          <w:rFonts w:eastAsia="Arial Unicode MS" w:cs="Calibri" w:ascii="Times New Roman" w:hAnsi="Times New Roman"/>
        </w:rPr>
        <w:t>.</w:t>
      </w:r>
    </w:p>
    <w:p>
      <w:pPr>
        <w:pStyle w:val="Normal"/>
        <w:spacing w:lineRule="auto" w:line="240" w:before="0" w:after="0"/>
        <w:ind w:firstLine="567"/>
        <w:jc w:val="both"/>
        <w:rPr/>
      </w:pPr>
      <w:r>
        <w:rPr>
          <w:rFonts w:cs="Times New Roman" w:ascii="Times New Roman" w:hAnsi="Times New Roman"/>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pPr>
      <w:r>
        <w:rPr>
          <w:rFonts w:cs="Times New Roman" w:ascii="Times New Roman" w:hAnsi="Times New Roman"/>
        </w:rPr>
        <w:t>7.7. Subtiekėjo keitimo tvarkos, numatytos Sutarties 7.6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bookmarkStart w:id="6" w:name="__DdeLink__1252_1770242583"/>
      <w:r>
        <w:rPr>
          <w:rFonts w:cs="Times New Roman" w:ascii="Times New Roman" w:hAnsi="Times New Roman"/>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už kiekvieną termino praleidimo dieną, neviršijant 180 kalendorinių dienų</w:t>
      </w:r>
      <w:bookmarkEnd w:id="6"/>
      <w:r>
        <w:rPr>
          <w:rFonts w:cs="Times New Roman" w:ascii="Times New Roman" w:hAnsi="Times New Roman"/>
        </w:rPr>
        <w:t xml:space="preserve"> termino. </w:t>
      </w:r>
    </w:p>
    <w:p>
      <w:pPr>
        <w:pStyle w:val="Normal"/>
        <w:spacing w:lineRule="auto" w:line="240" w:before="0" w:after="0"/>
        <w:ind w:firstLine="567"/>
        <w:jc w:val="both"/>
        <w:rPr/>
      </w:pPr>
      <w:r>
        <w:rPr>
          <w:rFonts w:cs="Times New Roman" w:ascii="Times New Roman" w:hAnsi="Times New Roman"/>
        </w:rPr>
        <w:t>8.4. Jei Tiekėjas vėluoja vykdyti savo įsipareigojimus, Pirkėjas, prieš tai raštu įspėjęs Tiekėją:</w:t>
      </w:r>
    </w:p>
    <w:p>
      <w:pPr>
        <w:pStyle w:val="Normal"/>
        <w:spacing w:lineRule="auto" w:line="240" w:before="0" w:after="0"/>
        <w:ind w:firstLine="567"/>
        <w:jc w:val="both"/>
        <w:rPr/>
      </w:pPr>
      <w:r>
        <w:rPr>
          <w:rFonts w:cs="Times New Roman" w:ascii="Times New Roman" w:hAnsi="Times New Roman"/>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10.2. Sudarytos Sutarties Šalis gali būti pakeista Viešųjų pirkimų įstatymo 89 straipsnio 1 dalies 4 punkte numatytais atvejais.</w:t>
      </w:r>
    </w:p>
    <w:p>
      <w:pPr>
        <w:pStyle w:val="Normal"/>
        <w:spacing w:lineRule="auto" w:line="240" w:before="0" w:after="0"/>
        <w:ind w:firstLine="567"/>
        <w:jc w:val="both"/>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pPr>
      <w:r>
        <w:rPr>
          <w:rFonts w:cs="Times New Roman" w:ascii="Times New Roman" w:hAnsi="Times New Roman"/>
        </w:rPr>
        <w:t>12.2.4. reikalauti sumokėti Sutarties V skyriuje nustatytą baudą;</w:t>
      </w:r>
    </w:p>
    <w:p>
      <w:pPr>
        <w:pStyle w:val="Normal"/>
        <w:spacing w:lineRule="auto" w:line="240" w:before="0" w:after="0"/>
        <w:ind w:firstLine="567"/>
        <w:jc w:val="both"/>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12.2.7. taikyti kitus Lietuvos Respublikos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subtiekėjo (-ų),  keitimo tvarka;</w:t>
      </w:r>
    </w:p>
    <w:p>
      <w:pPr>
        <w:pStyle w:val="Normal"/>
        <w:spacing w:lineRule="auto" w:line="240" w:before="0" w:after="0"/>
        <w:ind w:firstLine="567"/>
        <w:jc w:val="both"/>
        <w:rPr/>
      </w:pPr>
      <w:r>
        <w:rPr>
          <w:rFonts w:cs="Times New Roman" w:ascii="Times New Roman" w:hAnsi="Times New Roman"/>
        </w:rPr>
        <w:t>12.5.6. paslaugų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rPr>
        <w:t>12.5.7. kitos sąlygos, kurias Pirkėjas nusimato kaip esmines.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13.1. Sutartis įsigalioja, kai Sutartį pasirašo abi Sutarties Šalys, ir galioja iki visiško Šalių įsipareigojimų įvykdymo, arba iki kol bus pasiekta maksimali sutarties kaina, tačiau ne ilgiau kaip 13 mėnesių nuo Sutarties vykdymo pradžios dienos įskaitant apmokėjimo terminą. Sutarties vykdymo pradžia – 2022 m. spalio 8 d. Sutarties terminas negali būti pratęsiamas.</w:t>
      </w:r>
    </w:p>
    <w:p>
      <w:pPr>
        <w:pStyle w:val="Normal"/>
        <w:spacing w:lineRule="auto" w:line="240" w:before="0" w:after="0"/>
        <w:ind w:firstLine="567"/>
        <w:jc w:val="both"/>
        <w:rPr/>
      </w:pPr>
      <w:r>
        <w:rPr>
          <w:rFonts w:cs="Times New Roman" w:ascii="Times New Roman" w:hAnsi="Times New Roman"/>
        </w:rPr>
        <w:t>13.2. Sutartis gali būti nutraukiama Viešųjų pirkimų įstatymo 90 straipsnyje numatytais atvejais arba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rPr>
        <w:t>13.3.3.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rPr>
        <w:t>13.3.7. kai Paslaugos tampa nebereikalingos;</w:t>
      </w:r>
    </w:p>
    <w:p>
      <w:pPr>
        <w:pStyle w:val="Normal"/>
        <w:spacing w:lineRule="auto" w:line="240" w:before="0" w:after="0"/>
        <w:ind w:firstLine="567"/>
        <w:jc w:val="both"/>
        <w:rPr/>
      </w:pPr>
      <w:r>
        <w:rPr>
          <w:rFonts w:cs="Times New Roman" w:ascii="Times New Roman" w:hAnsi="Times New Roman"/>
        </w:rPr>
        <w:t>13.3.8. kai visi Sutarties 1.3 papunktyje nurodyti pastatai perduodami kitam savininkui arba patikėtiniui;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14.1.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pPr>
      <w:r>
        <w:rPr>
          <w:rFonts w:cs="Times New Roman" w:ascii="Times New Roman" w:hAnsi="Times New Roman"/>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15.1.1. Pirkėjo atstovai: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15.1.2. Tiekėjo atstovai: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15.2. Asmuo, atsakingas už Sutarties ir pakeitimų paskelbimą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15.7.1. Sutarties 1 priedas – Paslaugų techninė specifikacija;</w:t>
      </w:r>
    </w:p>
    <w:p>
      <w:pPr>
        <w:pStyle w:val="Normal"/>
        <w:spacing w:lineRule="auto" w:line="240" w:before="0" w:after="0"/>
        <w:ind w:firstLine="567"/>
        <w:jc w:val="both"/>
        <w:rPr/>
      </w:pPr>
      <w:r>
        <w:rPr>
          <w:rFonts w:cs="Times New Roman" w:ascii="Times New Roman" w:hAnsi="Times New Roman"/>
        </w:rPr>
        <w:t>15.7.2. Sutarties 2 priedas – Tiekėjo pasiūlymas.</w:t>
      </w:r>
    </w:p>
    <w:p>
      <w:pPr>
        <w:pStyle w:val="Normal"/>
        <w:spacing w:lineRule="auto" w:line="240" w:before="0" w:after="0"/>
        <w:ind w:firstLine="567"/>
        <w:jc w:val="both"/>
        <w:rPr/>
      </w:pPr>
      <w:r>
        <w:rPr>
          <w:rFonts w:cs="Times New Roman" w:ascii="Times New Roman" w:hAnsi="Times New Roman"/>
        </w:rPr>
        <w:t>15.7.3. Paslaugų priėmimo-perdavimo aktas.</w:t>
      </w:r>
    </w:p>
    <w:p>
      <w:pPr>
        <w:pStyle w:val="Normal"/>
        <w:spacing w:lineRule="auto" w:line="240" w:before="0" w:after="0"/>
        <w:jc w:val="right"/>
        <w:rPr>
          <w:rFonts w:ascii="Times New Roman" w:hAnsi="Times New Roman" w:cs="Times New Roman"/>
        </w:rPr>
      </w:pPr>
      <w:r>
        <w:rPr>
          <w:rFonts w:cs="Times New Roman" w:ascii="Times New Roman" w:hAnsi="Times New Roman"/>
        </w:rPr>
      </w:r>
    </w:p>
    <w:tbl>
      <w:tblPr>
        <w:tblStyle w:val="TableGrid"/>
        <w:tblW w:w="9157" w:type="dxa"/>
        <w:jc w:val="left"/>
        <w:tblInd w:w="288" w:type="dxa"/>
        <w:tblLayout w:type="fixed"/>
        <w:tblCellMar>
          <w:top w:w="0" w:type="dxa"/>
          <w:left w:w="288" w:type="dxa"/>
          <w:bottom w:w="0" w:type="dxa"/>
          <w:right w:w="108" w:type="dxa"/>
        </w:tblCellMar>
        <w:tblLook w:firstRow="1" w:noVBand="1" w:lastRow="0" w:firstColumn="1" w:lastColumn="0" w:noHBand="0" w:val="04a0"/>
      </w:tblPr>
      <w:tblGrid>
        <w:gridCol w:w="4820"/>
        <w:gridCol w:w="4336"/>
      </w:tblGrid>
      <w:tr>
        <w:trPr/>
        <w:tc>
          <w:tcPr>
            <w:tcW w:w="4820"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PIRKĖJAS</w:t>
            </w:r>
          </w:p>
          <w:p>
            <w:pPr>
              <w:pStyle w:val="Normal"/>
              <w:widowControl w:val="false"/>
              <w:suppressAutoHyphens w:val="true"/>
              <w:spacing w:lineRule="auto" w:line="240" w:before="0" w:after="0"/>
              <w:jc w:val="left"/>
              <w:rPr>
                <w:rFonts w:ascii="Times New Roman" w:hAnsi="Times New Roman" w:cs="Times New Roman"/>
                <w:b/>
                <w:b/>
                <w:bCs/>
                <w:kern w:val="0"/>
                <w:sz w:val="22"/>
                <w:szCs w:val="22"/>
                <w:lang w:val="lt-LT" w:eastAsia="en-US" w:bidi="ar-SA"/>
              </w:rPr>
            </w:pPr>
            <w:r>
              <w:rPr>
                <w:rFonts w:cs="Times New Roman" w:ascii="Times New Roman" w:hAnsi="Times New Roman"/>
                <w:b/>
                <w:bCs/>
                <w:kern w:val="0"/>
                <w:sz w:val="22"/>
                <w:szCs w:val="22"/>
                <w:lang w:val="lt-LT" w:eastAsia="en-US" w:bidi="ar-SA"/>
              </w:rPr>
              <w:t>Panevėžio apskrities vyriausiasis policijos komisariatas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Įstaigos kodas 291008610</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PVM mokėtojo kodas – nėra PVM mokėtojas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Adresas Tulpių g. 60, 35501 Panevėžys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Telefonas, el. paštas: 8 700 62 477;</w:t>
            </w:r>
          </w:p>
          <w:p>
            <w:pPr>
              <w:pStyle w:val="Normal"/>
              <w:widowControl w:val="false"/>
              <w:suppressAutoHyphens w:val="true"/>
              <w:spacing w:lineRule="auto" w:line="240" w:before="0" w:after="0"/>
              <w:jc w:val="left"/>
              <w:rPr/>
            </w:pPr>
            <w:hyperlink r:id="rId2">
              <w:r>
                <w:rPr>
                  <w:rStyle w:val="Internetosaitas"/>
                  <w:rFonts w:cs="Times New Roman" w:ascii="Times New Roman" w:hAnsi="Times New Roman"/>
                  <w:kern w:val="0"/>
                  <w:sz w:val="22"/>
                  <w:szCs w:val="22"/>
                  <w:lang w:val="lt-LT" w:eastAsia="en-US" w:bidi="ar-SA"/>
                </w:rPr>
                <w:t>paneveziovpk@policija.lt</w:t>
              </w:r>
            </w:hyperlink>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Sąskaitos Nr. LT19 7044 0600 0782 8723</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AB SEB bankas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Viršininkas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Rimantas Bobinas</w:t>
            </w:r>
          </w:p>
          <w:p>
            <w:pPr>
              <w:pStyle w:val="Normal"/>
              <w:widowControl w:val="false"/>
              <w:suppressAutoHyphens w:val="true"/>
              <w:spacing w:lineRule="auto" w:line="240" w:before="0" w:after="0"/>
              <w:jc w:val="left"/>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tc>
        <w:tc>
          <w:tcPr>
            <w:tcW w:w="4336"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TIEKĖJAS</w:t>
            </w:r>
          </w:p>
          <w:p>
            <w:pPr>
              <w:pStyle w:val="BodyText1"/>
              <w:widowControl w:val="false"/>
              <w:tabs>
                <w:tab w:val="clear" w:pos="709"/>
                <w:tab w:val="left" w:pos="0" w:leader="none"/>
                <w:tab w:val="left" w:pos="567" w:leader="none"/>
                <w:tab w:val="left" w:pos="1201" w:leader="none"/>
              </w:tabs>
              <w:suppressAutoHyphens w:val="true"/>
              <w:spacing w:before="0" w:after="0"/>
              <w:ind w:hanging="0"/>
              <w:rPr>
                <w:rFonts w:ascii="Times New Roman" w:hAnsi="Times New Roman"/>
                <w:b/>
                <w:b/>
                <w:bCs/>
                <w:kern w:val="0"/>
                <w:sz w:val="22"/>
                <w:szCs w:val="22"/>
                <w:lang w:bidi="ar-SA"/>
              </w:rPr>
            </w:pPr>
            <w:r>
              <w:rPr>
                <w:rFonts w:ascii="Times New Roman" w:hAnsi="Times New Roman"/>
                <w:b/>
                <w:bCs/>
                <w:kern w:val="0"/>
                <w:sz w:val="22"/>
                <w:szCs w:val="22"/>
                <w:lang w:bidi="ar-SA"/>
              </w:rPr>
              <w:t>UAB “CORPUS PRO”</w:t>
            </w:r>
          </w:p>
          <w:p>
            <w:pPr>
              <w:pStyle w:val="Normal"/>
              <w:widowControl w:val="false"/>
              <w:tabs>
                <w:tab w:val="clear" w:pos="709"/>
                <w:tab w:val="left" w:pos="0" w:leader="none"/>
                <w:tab w:val="left" w:pos="567" w:leader="none"/>
                <w:tab w:val="left" w:pos="1201" w:leader="none"/>
              </w:tabs>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J. a. kodas 304865887</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PVM mokėtojo kodas LT100011813914</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Adresas Gabijos g. 52, 06157 Vilnius</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Telefonas, el. paštas: 8 700 33390;</w:t>
            </w:r>
          </w:p>
          <w:p>
            <w:pPr>
              <w:pStyle w:val="Normal"/>
              <w:widowControl w:val="false"/>
              <w:suppressAutoHyphens w:val="true"/>
              <w:spacing w:lineRule="auto" w:line="240" w:before="0" w:after="0"/>
              <w:jc w:val="both"/>
              <w:rPr/>
            </w:pPr>
            <w:hyperlink r:id="rId3">
              <w:r>
                <w:rPr>
                  <w:rStyle w:val="Hyperlink1"/>
                  <w:rFonts w:cs="" w:ascii="Times New Roman" w:hAnsi="Times New Roman"/>
                  <w:kern w:val="0"/>
                  <w:sz w:val="22"/>
                  <w:szCs w:val="22"/>
                  <w:lang w:val="lt-LT" w:eastAsia="en-US" w:bidi="ar-SA"/>
                </w:rPr>
                <w:t>info</w:t>
              </w:r>
              <w:r>
                <w:rPr>
                  <w:rStyle w:val="Hyperlink1"/>
                  <w:rFonts w:cs="" w:ascii="Times New Roman" w:hAnsi="Times New Roman"/>
                  <w:kern w:val="0"/>
                  <w:sz w:val="22"/>
                  <w:szCs w:val="22"/>
                  <w:lang w:val="en-US" w:eastAsia="en-US" w:bidi="ar-SA"/>
                </w:rPr>
                <w:t>@corpuspro.lt</w:t>
              </w:r>
            </w:hyperlink>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 s. LT70 7044 0600 0823 7824</w:t>
            </w:r>
          </w:p>
          <w:p>
            <w:pPr>
              <w:pStyle w:val="Normal"/>
              <w:widowControl w:val="false"/>
              <w:suppressAutoHyphens w:val="true"/>
              <w:spacing w:lineRule="auto" w:line="240" w:before="0" w:after="0"/>
              <w:jc w:val="both"/>
              <w:rPr>
                <w:rFonts w:ascii="Times New Roman" w:hAnsi="Times New Roman" w:cs=""/>
                <w:kern w:val="0"/>
                <w:sz w:val="22"/>
                <w:szCs w:val="22"/>
                <w:lang w:val="en-US" w:eastAsia="en-US" w:bidi="ar-SA"/>
              </w:rPr>
            </w:pPr>
            <w:r>
              <w:rPr>
                <w:rFonts w:cs="" w:ascii="Times New Roman" w:hAnsi="Times New Roman"/>
                <w:kern w:val="0"/>
                <w:sz w:val="22"/>
                <w:szCs w:val="22"/>
                <w:lang w:val="en-US" w:eastAsia="en-US" w:bidi="ar-SA"/>
              </w:rPr>
              <w:t>AB SEB bankas</w:t>
            </w:r>
          </w:p>
          <w:p>
            <w:pPr>
              <w:pStyle w:val="Normal"/>
              <w:widowControl w:val="false"/>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Direktorė</w:t>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Geda Stankovičiūtė</w:t>
            </w:r>
          </w:p>
        </w:tc>
      </w:tr>
    </w:tbl>
    <w:p>
      <w:pPr>
        <w:pStyle w:val="Normal"/>
        <w:spacing w:lineRule="auto" w:line="240" w:before="0" w:after="0"/>
        <w:jc w:val="both"/>
        <w:rPr>
          <w:rFonts w:ascii="Times New Roman" w:hAnsi="Times New Roman" w:cs="Times New Roman"/>
        </w:rPr>
      </w:pPr>
      <w:r>
        <w:rPr/>
      </w:r>
    </w:p>
    <w:sectPr>
      <w:headerReference w:type="default" r:id="rId4"/>
      <w:type w:val="nextPage"/>
      <w:pgSz w:w="11906" w:h="16838"/>
      <w:pgMar w:left="1418" w:right="567" w:header="567" w:top="1134"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50407094"/>
    </w:sdtPr>
    <w:sdtContent>
      <w:p>
        <w:pPr>
          <w:pStyle w:val="Header"/>
          <w:jc w:val="center"/>
          <w:rPr>
            <w:color w:val="FFFFFF"/>
            <w:shd w:fill="FFFFFF" w:val="clear"/>
          </w:rPr>
        </w:pPr>
        <w:r>
          <w:rPr>
            <w:color w:val="FFFFFF"/>
            <w:shd w:fill="FFFFFF" w:val="clear"/>
          </w:rPr>
          <w:fldChar w:fldCharType="begin"/>
        </w:r>
        <w:r>
          <w:rPr>
            <w:shd w:fill="FFFFFF" w:val="clear"/>
            <w:color w:val="FFFFFF"/>
          </w:rPr>
          <w:instrText> PAGE </w:instrText>
        </w:r>
        <w:r>
          <w:rPr>
            <w:shd w:fill="FFFFFF" w:val="clear"/>
            <w:color w:val="FFFFFF"/>
          </w:rPr>
          <w:fldChar w:fldCharType="separate"/>
        </w:r>
        <w:r>
          <w:rPr>
            <w:shd w:fill="FFFFFF" w:val="clear"/>
            <w:color w:val="FFFFFF"/>
          </w:rPr>
          <w:t>8</w:t>
        </w:r>
        <w:r>
          <w:rPr>
            <w:shd w:fill="FFFFFF" w:val="clear"/>
            <w:color w:val="FFFFFF"/>
          </w:rPr>
          <w:fldChar w:fldCharType="end"/>
        </w:r>
      </w:p>
      <w:p>
        <w:pPr>
          <w:pStyle w:val="Header"/>
          <w:rPr/>
        </w:pPr>
        <w:r>
          <w:rPr/>
        </w:r>
      </w:p>
    </w:sdtContent>
  </w:sdt>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LineNumbering" w:customStyle="1">
    <w:name w:val="Line Numbering"/>
    <w:qFormat/>
    <w:rPr/>
  </w:style>
  <w:style w:type="character" w:styleId="Hyperlink1" w:customStyle="1">
    <w:name w:val="Hyperlink1"/>
    <w:qFormat/>
    <w:rPr>
      <w:color w:val="000080"/>
      <w:u w:val="single"/>
    </w:rPr>
  </w:style>
  <w:style w:type="character" w:styleId="Internetosaitas" w:customStyle="1">
    <w:name w:val="Interneto saitas"/>
    <w:basedOn w:val="DefaultParagraphFont"/>
    <w:uiPriority w:val="99"/>
    <w:unhideWhenUsed/>
    <w:qFormat/>
    <w:rsid w:val="00160782"/>
    <w:rPr>
      <w:color w:val="0563C1" w:themeColor="hyperlink"/>
      <w:u w:val="single"/>
    </w:rPr>
  </w:style>
  <w:style w:type="character" w:styleId="Numatytasispastraiposriftas" w:customStyle="1">
    <w:name w:val="Numatytasis pastraipos šriftas"/>
    <w:qFormat/>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ascii="Times New Roman" w:hAnsi="Times New Roman" w:cs="Arial"/>
    </w:rPr>
  </w:style>
  <w:style w:type="paragraph" w:styleId="Caption1">
    <w:name w:val="caption"/>
    <w:basedOn w:val="Normal"/>
    <w:qFormat/>
    <w:pPr>
      <w:suppressLineNumbers/>
      <w:spacing w:before="120" w:after="120"/>
    </w:pPr>
    <w:rPr>
      <w:rFonts w:cs="Lucida Sans"/>
      <w:i/>
      <w:iCs/>
      <w:sz w:val="24"/>
      <w:szCs w:val="24"/>
    </w:rPr>
  </w:style>
  <w:style w:type="paragraph" w:styleId="Antrat" w:customStyle="1">
    <w:name w:val="Antraštė"/>
    <w:basedOn w:val="Normal"/>
    <w:next w:val="TextBody"/>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Antrat1" w:customStyle="1">
    <w:name w:val="Antraštė1"/>
    <w:basedOn w:val="Normal"/>
    <w:qFormat/>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83fb5"/>
    <w:pPr>
      <w:tabs>
        <w:tab w:val="clear" w:pos="709"/>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709"/>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andard" w:customStyle="1">
    <w:name w:val="Standard"/>
    <w:qFormat/>
    <w:pPr>
      <w:widowControl/>
      <w:suppressAutoHyphens w:val="true"/>
      <w:overflowPunct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entelsturinys" w:customStyle="1">
    <w:name w:val="Lentelės turinys"/>
    <w:basedOn w:val="Normal"/>
    <w:qFormat/>
    <w:pPr>
      <w:suppressLineNumbers/>
    </w:pPr>
    <w:rPr/>
  </w:style>
  <w:style w:type="paragraph" w:styleId="TableNormal1" w:customStyle="1">
    <w:name w:val="Table Normal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2"/>
      <w:sz w:val="22"/>
      <w:szCs w:val="22"/>
      <w:lang w:val="en-US" w:eastAsia="en-US" w:bidi="ar-SA"/>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corpuspro.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Application>LibreOffice/7.1.2.2$Windows_X86_64 LibreOffice_project/8a45595d069ef5570103caea1b71cc9d82b2aae4</Application>
  <AppVersion>15.0000</AppVersion>
  <Pages>8</Pages>
  <Words>20742</Words>
  <Characters>11823</Characters>
  <CharactersWithSpaces>32501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2022-09-30T11:09:00Z</dcterms:created>
  <dc:creator>Ona Mišeikienė</dc:creator>
  <dc:description/>
  <dc:language>lt-LT</dc:language>
  <cp:lastModifiedBy>K. Cibulskis</cp:lastModifiedBy>
  <dcterms:modified xsi:type="dcterms:W3CDTF">2022-10-07T13:25:37Z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