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63428F16" w:rsidR="008C3FD1" w:rsidRPr="00EA4248" w:rsidRDefault="007F26D1" w:rsidP="008C3FD1">
      <w:pPr>
        <w:spacing w:after="0" w:line="240" w:lineRule="auto"/>
        <w:ind w:firstLine="567"/>
        <w:rPr>
          <w:rFonts w:ascii="Times New Roman" w:eastAsia="Times New Roman" w:hAnsi="Times New Roman" w:cs="Times New Roman"/>
          <w:sz w:val="24"/>
          <w:szCs w:val="24"/>
          <w:lang w:val="lt-LT" w:eastAsia="lt-LT"/>
        </w:rPr>
      </w:pPr>
      <w:r w:rsidRPr="00C22420">
        <w:rPr>
          <w:rFonts w:ascii="Times New Roman" w:hAnsi="Times New Roman" w:cs="Times New Roman"/>
          <w:sz w:val="24"/>
          <w:szCs w:val="24"/>
        </w:rPr>
        <w:t xml:space="preserve">Vilma </w:t>
      </w:r>
      <w:proofErr w:type="spellStart"/>
      <w:r w:rsidRPr="007F26D1">
        <w:rPr>
          <w:rFonts w:ascii="Times New Roman" w:hAnsi="Times New Roman" w:cs="Times New Roman"/>
          <w:sz w:val="24"/>
          <w:szCs w:val="24"/>
          <w:lang w:val="lt-LT"/>
        </w:rPr>
        <w:t>Juozapavičiūtė</w:t>
      </w:r>
      <w:proofErr w:type="spellEnd"/>
      <w:r w:rsidRPr="00C22420">
        <w:rPr>
          <w:rFonts w:ascii="Times New Roman" w:hAnsi="Times New Roman" w:cs="Times New Roman"/>
          <w:sz w:val="24"/>
          <w:szCs w:val="24"/>
        </w:rPr>
        <w:t>-</w:t>
      </w:r>
      <w:proofErr w:type="spellStart"/>
      <w:r w:rsidRPr="00C22420">
        <w:rPr>
          <w:rFonts w:ascii="Times New Roman" w:hAnsi="Times New Roman" w:cs="Times New Roman"/>
          <w:sz w:val="24"/>
          <w:szCs w:val="24"/>
        </w:rPr>
        <w:t>Kuprienė</w:t>
      </w:r>
      <w:proofErr w:type="spellEnd"/>
      <w:proofErr w:type="gramStart"/>
      <w:r w:rsidRPr="00C22420">
        <w:rPr>
          <w:rStyle w:val="clear"/>
          <w:rFonts w:ascii="Times New Roman" w:hAnsi="Times New Roman" w:cs="Times New Roman"/>
          <w:sz w:val="24"/>
          <w:szCs w:val="24"/>
          <w:lang w:val="da-DK"/>
        </w:rPr>
        <w:t xml:space="preserve">, </w:t>
      </w:r>
      <w:r w:rsidR="008B4DFB" w:rsidRPr="00CD368B">
        <w:rPr>
          <w:rStyle w:val="clear"/>
          <w:rFonts w:ascii="Times New Roman" w:hAnsi="Times New Roman" w:cs="Times New Roman"/>
          <w:sz w:val="24"/>
          <w:szCs w:val="24"/>
        </w:rPr>
        <w:t>,</w:t>
      </w:r>
      <w:proofErr w:type="gramEnd"/>
      <w:r w:rsidR="008B4DFB" w:rsidRPr="00CD368B">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2E560C06"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7F26D1" w:rsidRPr="007F26D1">
        <w:rPr>
          <w:rFonts w:ascii="Times New Roman" w:hAnsi="Times New Roman" w:cs="Times New Roman"/>
          <w:bCs/>
          <w:color w:val="000000"/>
          <w:sz w:val="24"/>
          <w:szCs w:val="24"/>
          <w:bdr w:val="none" w:sz="0" w:space="0" w:color="auto" w:frame="1"/>
          <w:lang w:val="lt-LT"/>
        </w:rPr>
        <w:t>Panevėžio pradinės mokyklos vadovui</w:t>
      </w:r>
      <w:r w:rsidR="007F26D1" w:rsidRPr="007F26D1" w:rsidDel="007F26D1">
        <w:rPr>
          <w:rFonts w:ascii="Times New Roman" w:hAnsi="Times New Roman" w:cs="Times New Roman"/>
          <w:bCs/>
          <w:color w:val="000000"/>
          <w:sz w:val="24"/>
          <w:szCs w:val="24"/>
          <w:bdr w:val="none" w:sz="0" w:space="0" w:color="auto" w:frame="1"/>
        </w:rPr>
        <w:t xml:space="preserve"> </w:t>
      </w:r>
      <w:r w:rsidR="008B4DFB" w:rsidRPr="00CD368B">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6DD14AD"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A384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14D6A720"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8A384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8537687"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8A384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38"/>
        <w:gridCol w:w="4800"/>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101DCD34" w14:textId="77777777" w:rsidR="007F26D1" w:rsidRPr="007F26D1" w:rsidRDefault="007F26D1" w:rsidP="007F26D1">
            <w:pPr>
              <w:spacing w:after="0" w:line="240" w:lineRule="auto"/>
              <w:rPr>
                <w:rFonts w:ascii="Times New Roman" w:hAnsi="Times New Roman" w:cs="Times New Roman"/>
                <w:bCs/>
                <w:sz w:val="24"/>
                <w:szCs w:val="24"/>
                <w:lang w:val="lt-LT"/>
              </w:rPr>
            </w:pPr>
            <w:r w:rsidRPr="007F26D1">
              <w:rPr>
                <w:rFonts w:ascii="Times New Roman" w:hAnsi="Times New Roman" w:cs="Times New Roman"/>
                <w:bCs/>
                <w:sz w:val="24"/>
                <w:szCs w:val="24"/>
                <w:lang w:val="lt-LT"/>
              </w:rPr>
              <w:t xml:space="preserve">Vilma </w:t>
            </w:r>
            <w:proofErr w:type="spellStart"/>
            <w:r w:rsidRPr="007F26D1">
              <w:rPr>
                <w:rFonts w:ascii="Times New Roman" w:hAnsi="Times New Roman" w:cs="Times New Roman"/>
                <w:bCs/>
                <w:sz w:val="24"/>
                <w:szCs w:val="24"/>
                <w:lang w:val="lt-LT"/>
              </w:rPr>
              <w:t>Juozapavičiūtė</w:t>
            </w:r>
            <w:proofErr w:type="spellEnd"/>
            <w:r w:rsidRPr="007F26D1">
              <w:rPr>
                <w:rFonts w:ascii="Times New Roman" w:hAnsi="Times New Roman" w:cs="Times New Roman"/>
                <w:bCs/>
                <w:sz w:val="24"/>
                <w:szCs w:val="24"/>
                <w:lang w:val="lt-LT"/>
              </w:rPr>
              <w:t>-Kuprienė</w:t>
            </w:r>
          </w:p>
          <w:p w14:paraId="15D59048" w14:textId="77777777" w:rsidR="007F26D1" w:rsidRPr="007F26D1" w:rsidRDefault="007F26D1" w:rsidP="007F26D1">
            <w:pPr>
              <w:spacing w:after="0" w:line="240" w:lineRule="auto"/>
              <w:rPr>
                <w:rFonts w:ascii="Times New Roman" w:hAnsi="Times New Roman" w:cs="Times New Roman"/>
                <w:bCs/>
                <w:sz w:val="24"/>
                <w:szCs w:val="24"/>
                <w:lang w:val="lt-LT"/>
              </w:rPr>
            </w:pPr>
            <w:bookmarkStart w:id="14" w:name="_GoBack"/>
            <w:bookmarkEnd w:id="14"/>
          </w:p>
          <w:p w14:paraId="03B103B1" w14:textId="3D0CD833" w:rsidR="007F26D1" w:rsidRPr="007F26D1" w:rsidRDefault="007F26D1" w:rsidP="007F26D1">
            <w:pPr>
              <w:spacing w:after="0" w:line="240" w:lineRule="auto"/>
              <w:rPr>
                <w:rFonts w:ascii="Times New Roman" w:hAnsi="Times New Roman" w:cs="Times New Roman"/>
                <w:bCs/>
                <w:sz w:val="24"/>
                <w:szCs w:val="24"/>
                <w:lang w:val="lt-LT"/>
              </w:rPr>
            </w:pPr>
            <w:r w:rsidRPr="007F26D1">
              <w:rPr>
                <w:rFonts w:ascii="Times New Roman" w:hAnsi="Times New Roman" w:cs="Times New Roman"/>
                <w:bCs/>
                <w:sz w:val="24"/>
                <w:szCs w:val="24"/>
                <w:lang w:val="lt-LT"/>
              </w:rPr>
              <w:t xml:space="preserve">Vilma </w:t>
            </w:r>
            <w:proofErr w:type="spellStart"/>
            <w:r w:rsidRPr="007F26D1">
              <w:rPr>
                <w:rFonts w:ascii="Times New Roman" w:hAnsi="Times New Roman" w:cs="Times New Roman"/>
                <w:bCs/>
                <w:sz w:val="24"/>
                <w:szCs w:val="24"/>
                <w:lang w:val="lt-LT"/>
              </w:rPr>
              <w:t>Juozapavičiūtė</w:t>
            </w:r>
            <w:proofErr w:type="spellEnd"/>
            <w:r w:rsidRPr="007F26D1">
              <w:rPr>
                <w:rFonts w:ascii="Times New Roman" w:hAnsi="Times New Roman" w:cs="Times New Roman"/>
                <w:bCs/>
                <w:sz w:val="24"/>
                <w:szCs w:val="24"/>
                <w:lang w:val="lt-LT"/>
              </w:rPr>
              <w:t>-Kuprienė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A701" w14:textId="77777777" w:rsidR="00E875A3" w:rsidRDefault="00E875A3" w:rsidP="008C3FD1">
      <w:pPr>
        <w:spacing w:after="0" w:line="240" w:lineRule="auto"/>
      </w:pPr>
      <w:r>
        <w:separator/>
      </w:r>
    </w:p>
  </w:endnote>
  <w:endnote w:type="continuationSeparator" w:id="0">
    <w:p w14:paraId="388472F9" w14:textId="77777777" w:rsidR="00E875A3" w:rsidRDefault="00E875A3"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5FC2" w14:textId="77777777" w:rsidR="00E875A3" w:rsidRDefault="00E875A3" w:rsidP="008C3FD1">
      <w:pPr>
        <w:spacing w:after="0" w:line="240" w:lineRule="auto"/>
      </w:pPr>
      <w:r>
        <w:separator/>
      </w:r>
    </w:p>
  </w:footnote>
  <w:footnote w:type="continuationSeparator" w:id="0">
    <w:p w14:paraId="7F2376A7" w14:textId="77777777" w:rsidR="00E875A3" w:rsidRDefault="00E875A3"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35E2151E"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E65F2C" w:rsidRPr="00E65F2C">
          <w:rPr>
            <w:rFonts w:ascii="Times New Roman" w:hAnsi="Times New Roman" w:cs="Times New Roman"/>
            <w:noProof/>
            <w:lang w:val="lt-LT"/>
          </w:rPr>
          <w:t>6</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7F26D1"/>
    <w:rsid w:val="008A384B"/>
    <w:rsid w:val="008B4DFB"/>
    <w:rsid w:val="008C3FD1"/>
    <w:rsid w:val="008E175A"/>
    <w:rsid w:val="00955FEC"/>
    <w:rsid w:val="00981450"/>
    <w:rsid w:val="009C2B2C"/>
    <w:rsid w:val="009E730C"/>
    <w:rsid w:val="009F28BE"/>
    <w:rsid w:val="00A17E89"/>
    <w:rsid w:val="00A37187"/>
    <w:rsid w:val="00A60BD8"/>
    <w:rsid w:val="00A805ED"/>
    <w:rsid w:val="00AD0551"/>
    <w:rsid w:val="00AE32A1"/>
    <w:rsid w:val="00AE5B39"/>
    <w:rsid w:val="00B67251"/>
    <w:rsid w:val="00C07C4E"/>
    <w:rsid w:val="00C07F85"/>
    <w:rsid w:val="00C20B70"/>
    <w:rsid w:val="00C848AA"/>
    <w:rsid w:val="00D13551"/>
    <w:rsid w:val="00D260BD"/>
    <w:rsid w:val="00DF0A8C"/>
    <w:rsid w:val="00DF7D21"/>
    <w:rsid w:val="00E23096"/>
    <w:rsid w:val="00E65F2C"/>
    <w:rsid w:val="00E875A3"/>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70e84bf1-8243-4edb-bbec-32ed2d0750c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3F60C8-62BE-4B56-B827-D31DD3A25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19772</Words>
  <Characters>11271</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2022-10-07T12:09:00Z</dcterms:created>
  <dcterms:modified xsi:type="dcterms:W3CDTF">2022-10-07T12:09:00Z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