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547F29B3" w:rsidR="008C3FD1" w:rsidRPr="00EA4248" w:rsidRDefault="00307967" w:rsidP="008C3FD1">
      <w:pPr>
        <w:spacing w:after="0" w:line="240" w:lineRule="auto"/>
        <w:ind w:firstLine="567"/>
        <w:rPr>
          <w:rFonts w:ascii="Times New Roman" w:eastAsia="Times New Roman" w:hAnsi="Times New Roman" w:cs="Times New Roman"/>
          <w:sz w:val="24"/>
          <w:szCs w:val="24"/>
          <w:lang w:val="lt-LT" w:eastAsia="lt-LT"/>
        </w:rPr>
      </w:pPr>
      <w:r w:rsidRPr="009130BA">
        <w:rPr>
          <w:rFonts w:ascii="Times New Roman" w:hAnsi="Times New Roman" w:cs="Times New Roman"/>
          <w:bCs/>
          <w:sz w:val="24"/>
          <w:szCs w:val="24"/>
        </w:rPr>
        <w:t xml:space="preserve">Eglė </w:t>
      </w:r>
      <w:proofErr w:type="spellStart"/>
      <w:r w:rsidRPr="009130BA">
        <w:rPr>
          <w:rFonts w:ascii="Times New Roman" w:hAnsi="Times New Roman" w:cs="Times New Roman"/>
          <w:bCs/>
          <w:sz w:val="24"/>
          <w:szCs w:val="24"/>
        </w:rPr>
        <w:t>Mačionienė</w:t>
      </w:r>
      <w:proofErr w:type="spellEnd"/>
      <w:r w:rsidRPr="009130BA">
        <w:rPr>
          <w:rStyle w:val="clear"/>
          <w:rFonts w:ascii="Times New Roman" w:hAnsi="Times New Roman" w:cs="Times New Roman"/>
          <w:sz w:val="24"/>
          <w:szCs w:val="24"/>
          <w:lang w:val="da-DK"/>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15FE1A65"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r w:rsidR="00BF3C2F" w:rsidRPr="009130BA">
        <w:rPr>
          <w:rFonts w:ascii="Times New Roman" w:hAnsi="Times New Roman" w:cs="Times New Roman"/>
          <w:bCs/>
          <w:color w:val="000000"/>
          <w:sz w:val="24"/>
          <w:szCs w:val="24"/>
          <w:bdr w:val="none" w:sz="0" w:space="0" w:color="auto" w:frame="1"/>
          <w:lang w:val="lt-LT"/>
        </w:rPr>
        <w:t xml:space="preserve">Trakų rajono savivaldybės pedagoginės psichologinės tarnybos </w:t>
      </w:r>
      <w:proofErr w:type="spellStart"/>
      <w:r w:rsidR="00BF3C2F" w:rsidRPr="009130BA">
        <w:rPr>
          <w:rFonts w:ascii="Times New Roman" w:hAnsi="Times New Roman" w:cs="Times New Roman"/>
          <w:bCs/>
          <w:color w:val="000000"/>
          <w:sz w:val="24"/>
          <w:szCs w:val="24"/>
          <w:bdr w:val="none" w:sz="0" w:space="0" w:color="auto" w:frame="1"/>
        </w:rPr>
        <w:t>vadovui</w:t>
      </w:r>
      <w:proofErr w:type="spellEnd"/>
      <w:r w:rsidR="00BF3C2F" w:rsidRPr="009130BA">
        <w:rPr>
          <w:rFonts w:ascii="Times New Roman" w:hAnsi="Times New Roman" w:cs="Times New Roman"/>
          <w:bCs/>
          <w:color w:val="000000"/>
          <w:sz w:val="24"/>
          <w:szCs w:val="24"/>
          <w:bdr w:val="none" w:sz="0" w:space="0" w:color="auto" w:frame="1"/>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lastRenderedPageBreak/>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w:t>
      </w:r>
      <w:r w:rsidRPr="00EA4248">
        <w:rPr>
          <w:rFonts w:cs="Times New Roman"/>
          <w:sz w:val="24"/>
          <w:szCs w:val="24"/>
          <w:lang w:val="lt-LT"/>
        </w:rPr>
        <w:lastRenderedPageBreak/>
        <w:t>priėmimo–perdavimo aktą arba atmesti Paslaugų teikėjo prašymą pasirašyti Paslaugų perdavimo–priėmimo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lastRenderedPageBreak/>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(trims) 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Subteikėjai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w:t>
      </w:r>
      <w:r w:rsidRPr="00EA4248">
        <w:rPr>
          <w:rFonts w:cs="Times New Roman"/>
          <w:color w:val="auto"/>
          <w:sz w:val="24"/>
          <w:szCs w:val="24"/>
          <w:lang w:val="lt-LT"/>
        </w:rPr>
        <w:lastRenderedPageBreak/>
        <w:t>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5D589E85"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9B5D59">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2BC6301B"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9B5D59">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6D3042D7"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9B5D59">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3"/>
        <w:gridCol w:w="4795"/>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3AB67279" w14:textId="77777777" w:rsidR="0021731B" w:rsidRPr="0021731B" w:rsidRDefault="0021731B" w:rsidP="0021731B">
            <w:pPr>
              <w:spacing w:after="0" w:line="240" w:lineRule="auto"/>
              <w:rPr>
                <w:rFonts w:ascii="Times New Roman" w:hAnsi="Times New Roman" w:cs="Times New Roman"/>
                <w:sz w:val="24"/>
                <w:szCs w:val="24"/>
                <w:lang w:val="lt-LT"/>
              </w:rPr>
            </w:pPr>
            <w:r w:rsidRPr="0021731B">
              <w:rPr>
                <w:rFonts w:ascii="Times New Roman" w:hAnsi="Times New Roman" w:cs="Times New Roman"/>
                <w:sz w:val="24"/>
                <w:szCs w:val="24"/>
                <w:lang w:val="lt-LT"/>
              </w:rPr>
              <w:t>Eglė Mačionienė</w:t>
            </w:r>
          </w:p>
          <w:p w14:paraId="2FBFC6DD" w14:textId="22266A34" w:rsidR="0021731B" w:rsidRPr="0021731B" w:rsidRDefault="0021731B" w:rsidP="0021731B">
            <w:pPr>
              <w:spacing w:after="0" w:line="240" w:lineRule="auto"/>
              <w:rPr>
                <w:rFonts w:ascii="Times New Roman" w:hAnsi="Times New Roman" w:cs="Times New Roman"/>
                <w:sz w:val="24"/>
                <w:szCs w:val="24"/>
                <w:lang w:val="lt-LT"/>
              </w:rPr>
            </w:pPr>
            <w:bookmarkStart w:id="14" w:name="_GoBack"/>
            <w:bookmarkEnd w:id="14"/>
          </w:p>
          <w:p w14:paraId="6B3CE23A" w14:textId="77777777" w:rsidR="0021731B" w:rsidRPr="0021731B" w:rsidRDefault="0021731B" w:rsidP="0021731B">
            <w:pPr>
              <w:spacing w:after="0" w:line="240" w:lineRule="auto"/>
              <w:rPr>
                <w:rFonts w:ascii="Times New Roman" w:hAnsi="Times New Roman" w:cs="Times New Roman"/>
                <w:sz w:val="24"/>
                <w:szCs w:val="24"/>
                <w:lang w:val="lt-LT"/>
              </w:rPr>
            </w:pPr>
            <w:r w:rsidRPr="0021731B">
              <w:rPr>
                <w:rFonts w:ascii="Times New Roman" w:hAnsi="Times New Roman" w:cs="Times New Roman"/>
                <w:sz w:val="24"/>
                <w:szCs w:val="24"/>
                <w:lang w:val="lt-LT"/>
              </w:rPr>
              <w:t>Eglė Mačionienė</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 xml:space="preserve">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sidRPr="00EA4248">
        <w:rPr>
          <w:rFonts w:ascii="Times New Roman" w:hAnsi="Times New Roman" w:cs="Times New Roman"/>
          <w:sz w:val="24"/>
          <w:szCs w:val="24"/>
          <w:lang w:val="lt-LT" w:eastAsia="en-GB"/>
        </w:rPr>
        <w:lastRenderedPageBreak/>
        <w:t>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480245"/>
      <w:docPartObj>
        <w:docPartGallery w:val="Page Numbers (Top of Page)"/>
        <w:docPartUnique/>
      </w:docPartObj>
    </w:sdtPr>
    <w:sdtEndPr>
      <w:rPr>
        <w:rFonts w:ascii="Times New Roman" w:hAnsi="Times New Roman" w:cs="Times New Roman"/>
      </w:rPr>
    </w:sdtEndPr>
    <w:sdtContent>
      <w:p w14:paraId="3B3C47AA" w14:textId="260C2F24"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Pr="000577C1">
          <w:rPr>
            <w:rFonts w:ascii="Times New Roman" w:hAnsi="Times New Roman" w:cs="Times New Roman"/>
            <w:lang w:val="lt-LT"/>
          </w:rPr>
          <w:t>2</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1"/>
    <w:rsid w:val="0000642E"/>
    <w:rsid w:val="000577C1"/>
    <w:rsid w:val="000A3BD5"/>
    <w:rsid w:val="000C5C97"/>
    <w:rsid w:val="0017672A"/>
    <w:rsid w:val="001D5B98"/>
    <w:rsid w:val="001F4ECD"/>
    <w:rsid w:val="0021731B"/>
    <w:rsid w:val="00253FE7"/>
    <w:rsid w:val="00284CDA"/>
    <w:rsid w:val="002C02EB"/>
    <w:rsid w:val="002F38B3"/>
    <w:rsid w:val="00307967"/>
    <w:rsid w:val="00344587"/>
    <w:rsid w:val="003E59E4"/>
    <w:rsid w:val="003F5DA8"/>
    <w:rsid w:val="00417699"/>
    <w:rsid w:val="00455FE0"/>
    <w:rsid w:val="00461EF1"/>
    <w:rsid w:val="00577095"/>
    <w:rsid w:val="005A26DC"/>
    <w:rsid w:val="005B653B"/>
    <w:rsid w:val="005D45EF"/>
    <w:rsid w:val="00615140"/>
    <w:rsid w:val="00675700"/>
    <w:rsid w:val="00692DC0"/>
    <w:rsid w:val="006B3189"/>
    <w:rsid w:val="00732438"/>
    <w:rsid w:val="008C3FD1"/>
    <w:rsid w:val="008E175A"/>
    <w:rsid w:val="00955FEC"/>
    <w:rsid w:val="00981450"/>
    <w:rsid w:val="009B5D59"/>
    <w:rsid w:val="009C2B2C"/>
    <w:rsid w:val="009E730C"/>
    <w:rsid w:val="009F28BE"/>
    <w:rsid w:val="00A17E89"/>
    <w:rsid w:val="00A37187"/>
    <w:rsid w:val="00A60BD8"/>
    <w:rsid w:val="00A805ED"/>
    <w:rsid w:val="00AD0551"/>
    <w:rsid w:val="00AE32A1"/>
    <w:rsid w:val="00B67251"/>
    <w:rsid w:val="00BF3C2F"/>
    <w:rsid w:val="00C07C4E"/>
    <w:rsid w:val="00C07F85"/>
    <w:rsid w:val="00C20B70"/>
    <w:rsid w:val="00C848AA"/>
    <w:rsid w:val="00D13551"/>
    <w:rsid w:val="00D260BD"/>
    <w:rsid w:val="00DF0A8C"/>
    <w:rsid w:val="00DF7D21"/>
    <w:rsid w:val="00E23096"/>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www.w3.org/XML/1998/namespace"/>
    <ds:schemaRef ds:uri="http://purl.org/dc/elements/1.1/"/>
    <ds:schemaRef ds:uri="http://purl.org/dc/terms/"/>
    <ds:schemaRef ds:uri="http://schemas.microsoft.com/office/2006/documentManagement/types"/>
    <ds:schemaRef ds:uri="70e84bf1-8243-4edb-bbec-32ed2d0750cb"/>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EC32498C-F1C3-44A7-A853-426249B11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19764</Words>
  <Characters>11267</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2022-10-11T08:38:00Z</dcterms:created>
  <dcterms:modified xsi:type="dcterms:W3CDTF">2022-10-11T08:38:00Z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