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FDDA" w14:textId="19ED1773" w:rsidR="00AF3529" w:rsidRPr="00F14D86" w:rsidRDefault="00AF3529" w:rsidP="00AF3529">
      <w:pPr>
        <w:rPr>
          <w:rFonts w:asciiTheme="minorHAnsi" w:hAnsiTheme="minorHAnsi" w:cstheme="minorHAnsi"/>
          <w:sz w:val="21"/>
          <w:szCs w:val="21"/>
        </w:rPr>
      </w:pPr>
      <w:r w:rsidRPr="00F14D86">
        <w:rPr>
          <w:rFonts w:asciiTheme="minorHAnsi" w:hAnsiTheme="minorHAnsi" w:cstheme="minorHAnsi"/>
          <w:sz w:val="21"/>
          <w:szCs w:val="21"/>
        </w:rPr>
        <w:t xml:space="preserve">Tiekėjams </w:t>
      </w:r>
      <w:r w:rsidRPr="00F14D86">
        <w:rPr>
          <w:rFonts w:asciiTheme="minorHAnsi" w:hAnsiTheme="minorHAnsi" w:cstheme="minorHAnsi"/>
          <w:sz w:val="21"/>
          <w:szCs w:val="21"/>
        </w:rPr>
        <w:tab/>
      </w:r>
      <w:r w:rsidRPr="00F14D86">
        <w:rPr>
          <w:rFonts w:asciiTheme="minorHAnsi" w:hAnsiTheme="minorHAnsi" w:cstheme="minorHAnsi"/>
          <w:sz w:val="21"/>
          <w:szCs w:val="21"/>
        </w:rPr>
        <w:tab/>
      </w:r>
      <w:r w:rsidRPr="00F14D86">
        <w:rPr>
          <w:rFonts w:asciiTheme="minorHAnsi" w:hAnsiTheme="minorHAnsi" w:cstheme="minorHAnsi"/>
          <w:sz w:val="21"/>
          <w:szCs w:val="21"/>
        </w:rPr>
        <w:tab/>
      </w:r>
      <w:r w:rsidRPr="00F14D86">
        <w:rPr>
          <w:rFonts w:asciiTheme="minorHAnsi" w:hAnsiTheme="minorHAnsi" w:cstheme="minorHAnsi"/>
          <w:sz w:val="21"/>
          <w:szCs w:val="21"/>
        </w:rPr>
        <w:tab/>
      </w:r>
      <w:r w:rsidRPr="00F14D86">
        <w:rPr>
          <w:rFonts w:asciiTheme="minorHAnsi" w:hAnsiTheme="minorHAnsi" w:cstheme="minorHAnsi"/>
          <w:sz w:val="21"/>
          <w:szCs w:val="21"/>
        </w:rPr>
        <w:tab/>
      </w:r>
      <w:r w:rsidRPr="005D79FB">
        <w:rPr>
          <w:rFonts w:asciiTheme="minorHAnsi" w:hAnsiTheme="minorHAnsi" w:cstheme="minorHAnsi"/>
          <w:sz w:val="21"/>
          <w:szCs w:val="21"/>
        </w:rPr>
        <w:t>2022-08-2</w:t>
      </w:r>
      <w:r w:rsidR="005D79FB" w:rsidRPr="005D79FB">
        <w:rPr>
          <w:rFonts w:asciiTheme="minorHAnsi" w:hAnsiTheme="minorHAnsi" w:cstheme="minorHAnsi"/>
          <w:sz w:val="21"/>
          <w:szCs w:val="21"/>
        </w:rPr>
        <w:t>3</w:t>
      </w:r>
      <w:r w:rsidRPr="005D79FB">
        <w:rPr>
          <w:rFonts w:asciiTheme="minorHAnsi" w:hAnsiTheme="minorHAnsi" w:cstheme="minorHAnsi"/>
          <w:sz w:val="21"/>
          <w:szCs w:val="21"/>
        </w:rPr>
        <w:t xml:space="preserve"> </w:t>
      </w:r>
    </w:p>
    <w:p w14:paraId="1031486C" w14:textId="77777777" w:rsidR="00AF3529" w:rsidRPr="00F14D86" w:rsidRDefault="00AF3529" w:rsidP="00AF3529">
      <w:pPr>
        <w:rPr>
          <w:rFonts w:asciiTheme="minorHAnsi" w:hAnsiTheme="minorHAnsi" w:cstheme="minorHAnsi"/>
          <w:sz w:val="21"/>
          <w:szCs w:val="21"/>
        </w:rPr>
      </w:pPr>
    </w:p>
    <w:p w14:paraId="4DB421DD" w14:textId="77777777" w:rsidR="00AF3529" w:rsidRPr="00F14D86" w:rsidRDefault="00AF3529" w:rsidP="00AF3529">
      <w:pPr>
        <w:jc w:val="both"/>
        <w:rPr>
          <w:rFonts w:asciiTheme="minorHAnsi" w:hAnsiTheme="minorHAnsi" w:cstheme="minorHAnsi"/>
          <w:sz w:val="21"/>
          <w:szCs w:val="21"/>
        </w:rPr>
      </w:pPr>
      <w:r w:rsidRPr="00F14D86">
        <w:rPr>
          <w:rFonts w:asciiTheme="minorHAnsi" w:hAnsiTheme="minorHAnsi" w:cstheme="minorHAnsi"/>
          <w:sz w:val="21"/>
          <w:szCs w:val="21"/>
        </w:rPr>
        <w:t>Teikiama CVP IS priemonėmis</w:t>
      </w:r>
    </w:p>
    <w:p w14:paraId="6AE123FC" w14:textId="77777777" w:rsidR="00AF3529" w:rsidRPr="00F14D86" w:rsidRDefault="00AF3529" w:rsidP="00AF3529">
      <w:pPr>
        <w:jc w:val="both"/>
        <w:rPr>
          <w:rFonts w:asciiTheme="minorHAnsi" w:hAnsiTheme="minorHAnsi" w:cstheme="minorHAnsi"/>
          <w:sz w:val="21"/>
          <w:szCs w:val="21"/>
        </w:rPr>
      </w:pPr>
    </w:p>
    <w:p w14:paraId="5A2E6FCF" w14:textId="25C40D8E" w:rsidR="00AF3529" w:rsidRPr="00F14D86" w:rsidRDefault="00AF3529" w:rsidP="00AF3529">
      <w:pPr>
        <w:jc w:val="both"/>
        <w:rPr>
          <w:rFonts w:asciiTheme="minorHAnsi" w:hAnsiTheme="minorHAnsi" w:cstheme="minorHAnsi"/>
          <w:sz w:val="21"/>
          <w:szCs w:val="21"/>
        </w:rPr>
      </w:pPr>
      <w:r w:rsidRPr="00F14D86">
        <w:rPr>
          <w:rFonts w:asciiTheme="minorHAnsi" w:hAnsiTheme="minorHAnsi" w:cstheme="minorHAnsi"/>
          <w:sz w:val="21"/>
          <w:szCs w:val="21"/>
        </w:rPr>
        <w:t xml:space="preserve">Kauno rajono savivaldybės administracija (toliau – </w:t>
      </w:r>
      <w:r w:rsidR="00091446">
        <w:rPr>
          <w:rFonts w:asciiTheme="minorHAnsi" w:hAnsiTheme="minorHAnsi" w:cstheme="minorHAnsi"/>
          <w:sz w:val="21"/>
          <w:szCs w:val="21"/>
        </w:rPr>
        <w:t>perkančioji organizacija</w:t>
      </w:r>
      <w:r w:rsidRPr="00F14D86">
        <w:rPr>
          <w:rFonts w:asciiTheme="minorHAnsi" w:hAnsiTheme="minorHAnsi" w:cstheme="minorHAnsi"/>
          <w:sz w:val="21"/>
          <w:szCs w:val="21"/>
        </w:rPr>
        <w:t xml:space="preserve">) atviro (supaprastinto) konkurso būdu vyko viešąjį pirkimą „Kauno rajono savivaldybės, Užliedžių seniūnijos, Giraitės kaimo, Kaštonų gatvės kapitalinis remontas“ rangos darbų pirkimą, pirkimo </w:t>
      </w:r>
      <w:r w:rsidR="005D79FB">
        <w:rPr>
          <w:rFonts w:asciiTheme="minorHAnsi" w:hAnsiTheme="minorHAnsi" w:cstheme="minorHAnsi"/>
          <w:sz w:val="21"/>
          <w:szCs w:val="21"/>
        </w:rPr>
        <w:t>Nr. 619227</w:t>
      </w:r>
      <w:r w:rsidR="005D79FB" w:rsidRPr="00F14D86">
        <w:rPr>
          <w:rFonts w:asciiTheme="minorHAnsi" w:hAnsiTheme="minorHAnsi" w:cstheme="minorHAnsi"/>
          <w:sz w:val="21"/>
          <w:szCs w:val="21"/>
        </w:rPr>
        <w:t xml:space="preserve"> </w:t>
      </w:r>
      <w:r w:rsidRPr="00F14D86">
        <w:rPr>
          <w:rFonts w:asciiTheme="minorHAnsi" w:hAnsiTheme="minorHAnsi" w:cstheme="minorHAnsi"/>
          <w:sz w:val="21"/>
          <w:szCs w:val="21"/>
        </w:rPr>
        <w:t>(toliau – Pirkimas).</w:t>
      </w:r>
    </w:p>
    <w:p w14:paraId="42843C61" w14:textId="77777777" w:rsidR="00AF3529" w:rsidRPr="00F14D86" w:rsidRDefault="00AF3529" w:rsidP="00AF3529">
      <w:pPr>
        <w:jc w:val="both"/>
        <w:rPr>
          <w:rFonts w:asciiTheme="minorHAnsi" w:hAnsiTheme="minorHAnsi" w:cstheme="minorHAnsi"/>
          <w:sz w:val="21"/>
          <w:szCs w:val="21"/>
        </w:rPr>
      </w:pPr>
    </w:p>
    <w:p w14:paraId="4BA6E236" w14:textId="422A66E5" w:rsidR="00AF3529" w:rsidRPr="00F14D86" w:rsidRDefault="00AF3529" w:rsidP="00AF3529">
      <w:pPr>
        <w:jc w:val="both"/>
        <w:rPr>
          <w:rFonts w:asciiTheme="minorHAnsi" w:hAnsiTheme="minorHAnsi" w:cstheme="minorHAnsi"/>
          <w:sz w:val="21"/>
          <w:szCs w:val="21"/>
        </w:rPr>
      </w:pPr>
      <w:r w:rsidRPr="00F14D86">
        <w:rPr>
          <w:rFonts w:asciiTheme="minorHAnsi" w:hAnsiTheme="minorHAnsi" w:cstheme="minorHAnsi"/>
          <w:sz w:val="21"/>
          <w:szCs w:val="21"/>
        </w:rPr>
        <w:t xml:space="preserve">Iki Pirkimo dokumentuose nustatyto termino </w:t>
      </w:r>
      <w:r w:rsidR="00091446">
        <w:rPr>
          <w:rFonts w:asciiTheme="minorHAnsi" w:hAnsiTheme="minorHAnsi" w:cstheme="minorHAnsi"/>
          <w:sz w:val="21"/>
          <w:szCs w:val="21"/>
        </w:rPr>
        <w:t>perkančioji organizacija</w:t>
      </w:r>
      <w:r w:rsidRPr="00F14D86">
        <w:rPr>
          <w:rFonts w:asciiTheme="minorHAnsi" w:hAnsiTheme="minorHAnsi" w:cstheme="minorHAnsi"/>
          <w:sz w:val="21"/>
          <w:szCs w:val="21"/>
        </w:rPr>
        <w:t xml:space="preserve"> gavo teikėjų klausimus ir pagal Pirkimo dokumentuose nustatytus terminus, teikia atsakymus/Pirkimo dokumentų paaiškinimus/patikslinimus:</w:t>
      </w:r>
    </w:p>
    <w:p w14:paraId="72526DE5" w14:textId="77777777" w:rsidR="00AF3529" w:rsidRPr="00F14D86" w:rsidRDefault="00AF3529" w:rsidP="00AF3529">
      <w:pPr>
        <w:jc w:val="both"/>
        <w:rPr>
          <w:rFonts w:asciiTheme="minorHAnsi" w:hAnsiTheme="minorHAnsi" w:cstheme="minorHAnsi"/>
          <w:sz w:val="21"/>
          <w:szCs w:val="21"/>
        </w:rPr>
      </w:pPr>
    </w:p>
    <w:tbl>
      <w:tblPr>
        <w:tblStyle w:val="Lentelstinklelis"/>
        <w:tblW w:w="0" w:type="auto"/>
        <w:tblLayout w:type="fixed"/>
        <w:tblLook w:val="04A0" w:firstRow="1" w:lastRow="0" w:firstColumn="1" w:lastColumn="0" w:noHBand="0" w:noVBand="1"/>
      </w:tblPr>
      <w:tblGrid>
        <w:gridCol w:w="421"/>
        <w:gridCol w:w="2693"/>
        <w:gridCol w:w="6514"/>
      </w:tblGrid>
      <w:tr w:rsidR="00734051" w:rsidRPr="00F14D86" w14:paraId="1AFF33F5" w14:textId="77777777" w:rsidTr="00734051">
        <w:tc>
          <w:tcPr>
            <w:tcW w:w="421" w:type="dxa"/>
          </w:tcPr>
          <w:p w14:paraId="6B93E3DD" w14:textId="1B89B0A6" w:rsidR="00010B81" w:rsidRPr="00F14D86" w:rsidRDefault="00010B81" w:rsidP="00010B81">
            <w:pPr>
              <w:rPr>
                <w:rFonts w:asciiTheme="minorHAnsi" w:hAnsiTheme="minorHAnsi" w:cstheme="minorHAnsi"/>
                <w:b/>
                <w:bCs/>
                <w:color w:val="000000" w:themeColor="text1"/>
                <w:spacing w:val="2"/>
                <w:sz w:val="21"/>
                <w:szCs w:val="21"/>
                <w:shd w:val="clear" w:color="auto" w:fill="FFFFFF"/>
              </w:rPr>
            </w:pPr>
          </w:p>
        </w:tc>
        <w:tc>
          <w:tcPr>
            <w:tcW w:w="2693" w:type="dxa"/>
          </w:tcPr>
          <w:p w14:paraId="239976B2" w14:textId="3E530DE2" w:rsidR="005625E4" w:rsidRPr="00F14D86" w:rsidRDefault="005625E4" w:rsidP="00010B81">
            <w:pPr>
              <w:rPr>
                <w:rFonts w:asciiTheme="minorHAnsi" w:hAnsiTheme="minorHAnsi" w:cstheme="minorHAnsi"/>
                <w:b/>
                <w:bCs/>
                <w:color w:val="000000" w:themeColor="text1"/>
                <w:spacing w:val="2"/>
                <w:sz w:val="21"/>
                <w:szCs w:val="21"/>
                <w:shd w:val="clear" w:color="auto" w:fill="FFFFFF"/>
              </w:rPr>
            </w:pPr>
            <w:r w:rsidRPr="00F14D86">
              <w:rPr>
                <w:rFonts w:asciiTheme="minorHAnsi" w:hAnsiTheme="minorHAnsi" w:cstheme="minorHAnsi"/>
                <w:b/>
                <w:bCs/>
                <w:color w:val="000000" w:themeColor="text1"/>
                <w:spacing w:val="2"/>
                <w:sz w:val="21"/>
                <w:szCs w:val="21"/>
                <w:shd w:val="clear" w:color="auto" w:fill="FFFFFF"/>
              </w:rPr>
              <w:t>Klausimas</w:t>
            </w:r>
          </w:p>
        </w:tc>
        <w:tc>
          <w:tcPr>
            <w:tcW w:w="6514" w:type="dxa"/>
          </w:tcPr>
          <w:p w14:paraId="516B433C" w14:textId="0070B40A" w:rsidR="005625E4" w:rsidRPr="00F14D86" w:rsidRDefault="005625E4" w:rsidP="00010B81">
            <w:pPr>
              <w:rPr>
                <w:rFonts w:asciiTheme="minorHAnsi" w:hAnsiTheme="minorHAnsi" w:cstheme="minorHAnsi"/>
                <w:b/>
                <w:bCs/>
                <w:color w:val="000000" w:themeColor="text1"/>
                <w:spacing w:val="2"/>
                <w:sz w:val="21"/>
                <w:szCs w:val="21"/>
                <w:shd w:val="clear" w:color="auto" w:fill="FFFFFF"/>
              </w:rPr>
            </w:pPr>
            <w:r w:rsidRPr="00F14D86">
              <w:rPr>
                <w:rFonts w:asciiTheme="minorHAnsi" w:hAnsiTheme="minorHAnsi" w:cstheme="minorHAnsi"/>
                <w:b/>
                <w:bCs/>
                <w:color w:val="000000" w:themeColor="text1"/>
                <w:spacing w:val="2"/>
                <w:sz w:val="21"/>
                <w:szCs w:val="21"/>
                <w:shd w:val="clear" w:color="auto" w:fill="FFFFFF"/>
              </w:rPr>
              <w:t>Atsakymas</w:t>
            </w:r>
          </w:p>
        </w:tc>
      </w:tr>
      <w:tr w:rsidR="00734051" w:rsidRPr="00F14D86" w14:paraId="1AE8B20C" w14:textId="77777777" w:rsidTr="00734051">
        <w:tc>
          <w:tcPr>
            <w:tcW w:w="421" w:type="dxa"/>
          </w:tcPr>
          <w:p w14:paraId="4B790BB4" w14:textId="2C5509CC" w:rsidR="005625E4" w:rsidRPr="00F14D86" w:rsidRDefault="005625E4" w:rsidP="00010B81">
            <w:pPr>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1.</w:t>
            </w:r>
          </w:p>
        </w:tc>
        <w:tc>
          <w:tcPr>
            <w:tcW w:w="2693" w:type="dxa"/>
          </w:tcPr>
          <w:p w14:paraId="7DC2E017" w14:textId="2665A1C2" w:rsidR="005625E4" w:rsidRPr="00F14D86" w:rsidRDefault="005625E4" w:rsidP="00010B81">
            <w:pPr>
              <w:jc w:val="both"/>
              <w:rPr>
                <w:rFonts w:asciiTheme="minorHAnsi" w:hAnsiTheme="minorHAnsi" w:cstheme="minorHAnsi"/>
                <w:i/>
                <w:iCs/>
                <w:color w:val="000000" w:themeColor="text1"/>
                <w:spacing w:val="2"/>
                <w:sz w:val="21"/>
                <w:szCs w:val="21"/>
                <w:shd w:val="clear" w:color="auto" w:fill="FFFFFF"/>
              </w:rPr>
            </w:pPr>
            <w:r w:rsidRPr="00F14D86">
              <w:rPr>
                <w:rFonts w:asciiTheme="minorHAnsi" w:hAnsiTheme="minorHAnsi" w:cstheme="minorHAnsi"/>
                <w:i/>
                <w:iCs/>
                <w:color w:val="000000" w:themeColor="text1"/>
                <w:spacing w:val="2"/>
                <w:sz w:val="21"/>
                <w:szCs w:val="21"/>
                <w:shd w:val="clear" w:color="auto" w:fill="FFFFFF"/>
              </w:rPr>
              <w:t>Prašome patikslinti ar tiekėjai turi pateikti užpildytą ir pasirašytą pirkimo sąlygų 5 priedą kartu su pasiūlymu ar šio dokumento pateikimo bus reikalaujama tik iš laimėjusio tiekėjo?</w:t>
            </w:r>
          </w:p>
        </w:tc>
        <w:tc>
          <w:tcPr>
            <w:tcW w:w="6514" w:type="dxa"/>
          </w:tcPr>
          <w:p w14:paraId="51B4F45F" w14:textId="4D818778" w:rsidR="005625E4" w:rsidRPr="00F14D86" w:rsidRDefault="005625E4" w:rsidP="00010B81">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shd w:val="clear" w:color="auto" w:fill="FFFFFF"/>
              </w:rPr>
              <w:t>T</w:t>
            </w:r>
            <w:r w:rsidRPr="00F14D86">
              <w:rPr>
                <w:rFonts w:asciiTheme="minorHAnsi" w:hAnsiTheme="minorHAnsi" w:cstheme="minorHAnsi"/>
                <w:color w:val="000000" w:themeColor="text1"/>
                <w:spacing w:val="2"/>
                <w:sz w:val="21"/>
                <w:szCs w:val="21"/>
                <w:shd w:val="clear" w:color="auto" w:fill="FFFFFF"/>
              </w:rPr>
              <w:t>iekėjas teikdamas pasiūlymą turi pateikti deklaraciją, kad jam netaikomi Europos Sąjungos Tarybos </w:t>
            </w:r>
            <w:hyperlink r:id="rId7" w:history="1">
              <w:r w:rsidRPr="00F14D86">
                <w:rPr>
                  <w:rStyle w:val="Hipersaitas"/>
                  <w:rFonts w:asciiTheme="minorHAnsi" w:hAnsiTheme="minorHAnsi" w:cstheme="minorHAnsi"/>
                  <w:color w:val="000000" w:themeColor="text1"/>
                  <w:spacing w:val="2"/>
                  <w:sz w:val="21"/>
                  <w:szCs w:val="21"/>
                  <w:u w:val="none"/>
                  <w:shd w:val="clear" w:color="auto" w:fill="FFFFFF"/>
                </w:rPr>
                <w:t>2022 m. balandžio 8 d. Reglamente (ES) 2022/576</w:t>
              </w:r>
            </w:hyperlink>
            <w:r w:rsidRPr="00F14D86">
              <w:rPr>
                <w:rFonts w:asciiTheme="minorHAnsi" w:hAnsiTheme="minorHAnsi" w:cstheme="minorHAnsi"/>
                <w:color w:val="000000" w:themeColor="text1"/>
                <w:spacing w:val="2"/>
                <w:sz w:val="21"/>
                <w:szCs w:val="21"/>
                <w:shd w:val="clear" w:color="auto" w:fill="FFFFFF"/>
              </w:rPr>
              <w:t> </w:t>
            </w:r>
            <w:r w:rsidRPr="00F14D86">
              <w:rPr>
                <w:rStyle w:val="apple-converted-space"/>
                <w:rFonts w:asciiTheme="minorHAnsi" w:hAnsiTheme="minorHAnsi" w:cstheme="minorHAnsi"/>
                <w:color w:val="000000" w:themeColor="text1"/>
                <w:spacing w:val="2"/>
                <w:sz w:val="21"/>
                <w:szCs w:val="21"/>
                <w:shd w:val="clear" w:color="auto" w:fill="FFFFFF"/>
              </w:rPr>
              <w:t> </w:t>
            </w:r>
            <w:r w:rsidRPr="00F14D86">
              <w:rPr>
                <w:rFonts w:asciiTheme="minorHAnsi" w:hAnsiTheme="minorHAnsi" w:cstheme="minorHAnsi"/>
                <w:color w:val="000000" w:themeColor="text1"/>
                <w:spacing w:val="2"/>
                <w:sz w:val="21"/>
                <w:szCs w:val="21"/>
                <w:shd w:val="clear" w:color="auto" w:fill="FFFFFF"/>
              </w:rPr>
              <w:t>nustatyti ribojimai</w:t>
            </w:r>
            <w:r w:rsidRPr="00F14D86">
              <w:rPr>
                <w:rStyle w:val="apple-converted-space"/>
                <w:rFonts w:asciiTheme="minorHAnsi" w:hAnsiTheme="minorHAnsi" w:cstheme="minorHAnsi"/>
                <w:color w:val="000000" w:themeColor="text1"/>
                <w:spacing w:val="2"/>
                <w:sz w:val="21"/>
                <w:szCs w:val="21"/>
                <w:shd w:val="clear" w:color="auto" w:fill="FFFFFF"/>
              </w:rPr>
              <w:t> </w:t>
            </w:r>
            <w:r w:rsidRPr="00F14D86">
              <w:rPr>
                <w:rFonts w:asciiTheme="minorHAnsi" w:hAnsiTheme="minorHAnsi" w:cstheme="minorHAnsi"/>
                <w:color w:val="000000" w:themeColor="text1"/>
                <w:spacing w:val="2"/>
                <w:sz w:val="21"/>
                <w:szCs w:val="21"/>
                <w:shd w:val="clear" w:color="auto" w:fill="FFFFFF"/>
              </w:rPr>
              <w:t>- </w:t>
            </w:r>
            <w:r w:rsidR="00F14D86">
              <w:rPr>
                <w:rFonts w:asciiTheme="minorHAnsi" w:hAnsiTheme="minorHAnsi" w:cstheme="minorHAnsi"/>
                <w:color w:val="000000" w:themeColor="text1"/>
                <w:spacing w:val="2"/>
                <w:sz w:val="21"/>
                <w:szCs w:val="21"/>
                <w:shd w:val="clear" w:color="auto" w:fill="FFFFFF"/>
              </w:rPr>
              <w:t>P</w:t>
            </w:r>
            <w:r w:rsidRPr="00F14D86">
              <w:rPr>
                <w:rFonts w:asciiTheme="minorHAnsi" w:hAnsiTheme="minorHAnsi" w:cstheme="minorHAnsi"/>
                <w:color w:val="000000" w:themeColor="text1"/>
                <w:spacing w:val="2"/>
                <w:sz w:val="21"/>
                <w:szCs w:val="21"/>
                <w:shd w:val="clear" w:color="auto" w:fill="FFFFFF"/>
              </w:rPr>
              <w:t>irkimo dokumentų 5 priedą. </w:t>
            </w:r>
          </w:p>
          <w:p w14:paraId="381BBB2E" w14:textId="77777777" w:rsidR="005625E4" w:rsidRPr="00F14D86" w:rsidRDefault="005625E4" w:rsidP="00010B81">
            <w:pPr>
              <w:jc w:val="both"/>
              <w:rPr>
                <w:rFonts w:asciiTheme="minorHAnsi" w:hAnsiTheme="minorHAnsi" w:cstheme="minorHAnsi"/>
                <w:color w:val="000000" w:themeColor="text1"/>
                <w:spacing w:val="2"/>
                <w:sz w:val="21"/>
                <w:szCs w:val="21"/>
                <w:shd w:val="clear" w:color="auto" w:fill="FFFFFF"/>
              </w:rPr>
            </w:pPr>
          </w:p>
        </w:tc>
      </w:tr>
      <w:tr w:rsidR="00734051" w:rsidRPr="00F14D86" w14:paraId="73F313D2" w14:textId="77777777" w:rsidTr="00734051">
        <w:tc>
          <w:tcPr>
            <w:tcW w:w="421" w:type="dxa"/>
          </w:tcPr>
          <w:p w14:paraId="6C034422" w14:textId="35D85344" w:rsidR="005625E4" w:rsidRPr="00F14D86" w:rsidRDefault="005625E4" w:rsidP="00010B81">
            <w:pPr>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2.</w:t>
            </w:r>
          </w:p>
        </w:tc>
        <w:tc>
          <w:tcPr>
            <w:tcW w:w="2693" w:type="dxa"/>
          </w:tcPr>
          <w:p w14:paraId="4AAC141A" w14:textId="5FED09AB" w:rsidR="005814EF" w:rsidRPr="00F14D86" w:rsidRDefault="00EA5490"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 xml:space="preserve">2.1. </w:t>
            </w:r>
            <w:r w:rsidR="005814EF" w:rsidRPr="00F14D86">
              <w:rPr>
                <w:rFonts w:asciiTheme="minorHAnsi" w:hAnsiTheme="minorHAnsi" w:cstheme="minorHAnsi"/>
                <w:color w:val="000000" w:themeColor="text1"/>
                <w:spacing w:val="2"/>
                <w:sz w:val="21"/>
                <w:szCs w:val="21"/>
                <w:shd w:val="clear" w:color="auto" w:fill="FFFFFF"/>
              </w:rPr>
              <w:t xml:space="preserve">Susisiekimo dalies projekte numatyta įrengti h-8cm, trinkeles, tiek paprastas, tiek reljefines, prašome PO pateikti trinkelių matmenis bei nurodyti trinkelių spalvą. </w:t>
            </w:r>
          </w:p>
          <w:p w14:paraId="468C126B" w14:textId="77777777" w:rsidR="005814EF" w:rsidRPr="00F14D86" w:rsidRDefault="005814EF" w:rsidP="00010B81">
            <w:pPr>
              <w:jc w:val="both"/>
              <w:rPr>
                <w:rFonts w:asciiTheme="minorHAnsi" w:hAnsiTheme="minorHAnsi" w:cstheme="minorHAnsi"/>
                <w:color w:val="000000" w:themeColor="text1"/>
                <w:spacing w:val="2"/>
                <w:sz w:val="21"/>
                <w:szCs w:val="21"/>
                <w:shd w:val="clear" w:color="auto" w:fill="FFFFFF"/>
              </w:rPr>
            </w:pPr>
          </w:p>
          <w:p w14:paraId="06AB7F12" w14:textId="6B749EF3" w:rsidR="005814EF" w:rsidRPr="00F14D86" w:rsidRDefault="00EA5490"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2.2.</w:t>
            </w:r>
            <w:r w:rsidR="00734051" w:rsidRPr="00F14D86">
              <w:rPr>
                <w:rFonts w:asciiTheme="minorHAnsi" w:hAnsiTheme="minorHAnsi" w:cstheme="minorHAnsi"/>
                <w:color w:val="000000" w:themeColor="text1"/>
                <w:spacing w:val="2"/>
                <w:sz w:val="21"/>
                <w:szCs w:val="21"/>
                <w:shd w:val="clear" w:color="auto" w:fill="FFFFFF"/>
              </w:rPr>
              <w:t xml:space="preserve"> </w:t>
            </w:r>
            <w:r w:rsidR="005814EF" w:rsidRPr="00F14D86">
              <w:rPr>
                <w:rFonts w:asciiTheme="minorHAnsi" w:hAnsiTheme="minorHAnsi" w:cstheme="minorHAnsi"/>
                <w:color w:val="000000" w:themeColor="text1"/>
                <w:spacing w:val="2"/>
                <w:sz w:val="21"/>
                <w:szCs w:val="21"/>
                <w:shd w:val="clear" w:color="auto" w:fill="FFFFFF"/>
              </w:rPr>
              <w:t>Susisiekimo dalies DKŽ nurodyta įrengti 35 vnt " Gofruoti drenažo šulinėliai, d315 mm skersmens, iki 2 m gylio, su  visomis jungtimis bei atramomis tiekimas, sumontavimas, išbandymas. Su nusėsdinimu 0,3 m. (Ketinis dangtis (35 vnt.) D400  apkrovos klasės)", prašome PO pateikti nurodyto gaminio TS bei brėžinį.</w:t>
            </w:r>
          </w:p>
          <w:p w14:paraId="7C36941A" w14:textId="77777777" w:rsidR="005814EF" w:rsidRPr="00F14D86" w:rsidRDefault="005814EF" w:rsidP="00010B81">
            <w:pPr>
              <w:jc w:val="both"/>
              <w:rPr>
                <w:rFonts w:asciiTheme="minorHAnsi" w:hAnsiTheme="minorHAnsi" w:cstheme="minorHAnsi"/>
                <w:color w:val="000000" w:themeColor="text1"/>
                <w:spacing w:val="2"/>
                <w:sz w:val="21"/>
                <w:szCs w:val="21"/>
                <w:shd w:val="clear" w:color="auto" w:fill="FFFFFF"/>
              </w:rPr>
            </w:pPr>
          </w:p>
          <w:p w14:paraId="506E8FC2"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BE1FF66"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D1CB6E9"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B0D1A1F"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3BAF825D"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B350607"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3F3B78A8"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31C14778"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43E3F674"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3CDA69E2"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46D68C6C"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3D572957"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D246234"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41B9D1EA"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12775A4"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CB1F45A"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EDAC7E4"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1163BAA"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6628027E"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6BE8B052"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5A170A1"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1CDC2F4E"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F02450C"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CA4529F"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5B0153D"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4D37373"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124CC66B"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2B93E0A"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FEF9C48"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626859E2"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39975D0"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A8B280E"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BF9DC79"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90A9592"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DAD727B"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E0E83D4"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FB7B785"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13C9E4C"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5C85500"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7582AF8"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3787B056"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BA053EC"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EF8FF13"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6AFAEC78"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FD1772B"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9ADB65A"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465B8E6"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48665E3A"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3078C103"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17DC97B6"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A2407AF"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9F783D3"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DB74260"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446B4D57"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C44AAA0"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35A994ED"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662E3192"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38E80C2"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2A0A49D1"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17B8B616"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1BA86E2D"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A6AADCC"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6516622B"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412704D"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43146B04"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1503635"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A4F0ED3"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788E2B53"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54DC9CFC" w14:textId="1DF6BC0B" w:rsidR="005814EF" w:rsidRPr="00F14D86" w:rsidRDefault="00EA5490"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lastRenderedPageBreak/>
              <w:t>2.3.</w:t>
            </w:r>
            <w:r w:rsidR="005814EF" w:rsidRPr="00F14D86">
              <w:rPr>
                <w:rFonts w:asciiTheme="minorHAnsi" w:hAnsiTheme="minorHAnsi" w:cstheme="minorHAnsi"/>
                <w:color w:val="000000" w:themeColor="text1"/>
                <w:spacing w:val="2"/>
                <w:sz w:val="21"/>
                <w:szCs w:val="21"/>
                <w:shd w:val="clear" w:color="auto" w:fill="FFFFFF"/>
              </w:rPr>
              <w:t xml:space="preserve"> Nuotekų šalinimo dalies DKŽ nurodyta išardyti 2,4 m3 asfalto, prašome nurodyti m2 arba asfalto storį.</w:t>
            </w:r>
          </w:p>
          <w:p w14:paraId="2E7F4CFC" w14:textId="77777777" w:rsidR="005814EF" w:rsidRPr="00F14D86" w:rsidRDefault="005814EF" w:rsidP="00010B81">
            <w:pPr>
              <w:jc w:val="both"/>
              <w:rPr>
                <w:rFonts w:asciiTheme="minorHAnsi" w:hAnsiTheme="minorHAnsi" w:cstheme="minorHAnsi"/>
                <w:color w:val="000000" w:themeColor="text1"/>
                <w:spacing w:val="2"/>
                <w:sz w:val="21"/>
                <w:szCs w:val="21"/>
                <w:shd w:val="clear" w:color="auto" w:fill="FFFFFF"/>
              </w:rPr>
            </w:pPr>
          </w:p>
          <w:p w14:paraId="5459BB05" w14:textId="39892470" w:rsidR="005625E4" w:rsidRPr="00F14D86" w:rsidRDefault="00EA5490"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2.4.</w:t>
            </w:r>
            <w:r w:rsidR="005814EF" w:rsidRPr="00F14D86">
              <w:rPr>
                <w:rFonts w:asciiTheme="minorHAnsi" w:hAnsiTheme="minorHAnsi" w:cstheme="minorHAnsi"/>
                <w:color w:val="000000" w:themeColor="text1"/>
                <w:spacing w:val="2"/>
                <w:sz w:val="21"/>
                <w:szCs w:val="21"/>
                <w:shd w:val="clear" w:color="auto" w:fill="FFFFFF"/>
              </w:rPr>
              <w:t xml:space="preserve"> Nuotekų šalinimo dalies DKŽ nurodyta įrengti 7,7 t asfalto AC 16 PD, prašome nurodyti m2 ir asfalto storį.</w:t>
            </w:r>
          </w:p>
        </w:tc>
        <w:tc>
          <w:tcPr>
            <w:tcW w:w="6514" w:type="dxa"/>
          </w:tcPr>
          <w:p w14:paraId="0A6783B4" w14:textId="3AF0E7F0" w:rsidR="00010B81" w:rsidRPr="00F14D86" w:rsidRDefault="00EA5490" w:rsidP="00010B81">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pacing w:val="2"/>
                <w:sz w:val="21"/>
                <w:szCs w:val="21"/>
                <w:shd w:val="clear" w:color="auto" w:fill="FFFFFF"/>
              </w:rPr>
              <w:lastRenderedPageBreak/>
              <w:t>2.</w:t>
            </w:r>
            <w:r w:rsidR="00010B81" w:rsidRPr="00F14D86">
              <w:rPr>
                <w:rFonts w:asciiTheme="minorHAnsi" w:hAnsiTheme="minorHAnsi" w:cstheme="minorHAnsi"/>
                <w:color w:val="000000" w:themeColor="text1"/>
                <w:spacing w:val="2"/>
                <w:sz w:val="21"/>
                <w:szCs w:val="21"/>
                <w:shd w:val="clear" w:color="auto" w:fill="FFFFFF"/>
              </w:rPr>
              <w:t xml:space="preserve">1. </w:t>
            </w:r>
            <w:r w:rsidR="00010B81" w:rsidRPr="00F14D86">
              <w:rPr>
                <w:rFonts w:asciiTheme="minorHAnsi" w:hAnsiTheme="minorHAnsi" w:cstheme="minorHAnsi"/>
                <w:color w:val="000000" w:themeColor="text1"/>
                <w:sz w:val="21"/>
                <w:szCs w:val="21"/>
              </w:rPr>
              <w:t xml:space="preserve">Trinkelių spalva standartinė pilka, matmenys - </w:t>
            </w:r>
            <w:hyperlink r:id="rId8" w:tooltip="Betoninė trinkelė KG GT 2-8 200x100x80" w:history="1">
              <w:r w:rsidR="00010B81" w:rsidRPr="00F14D86">
                <w:rPr>
                  <w:rStyle w:val="Hipersaitas"/>
                  <w:rFonts w:asciiTheme="minorHAnsi" w:hAnsiTheme="minorHAnsi" w:cstheme="minorHAnsi"/>
                  <w:color w:val="000000" w:themeColor="text1"/>
                  <w:sz w:val="21"/>
                  <w:szCs w:val="21"/>
                </w:rPr>
                <w:t>200x100x80</w:t>
              </w:r>
            </w:hyperlink>
            <w:r w:rsidR="00010B81" w:rsidRPr="00F14D86">
              <w:rPr>
                <w:rFonts w:asciiTheme="minorHAnsi" w:hAnsiTheme="minorHAnsi" w:cstheme="minorHAnsi"/>
                <w:color w:val="000000" w:themeColor="text1"/>
                <w:sz w:val="21"/>
                <w:szCs w:val="21"/>
              </w:rPr>
              <w:t xml:space="preserve"> mm.</w:t>
            </w:r>
          </w:p>
          <w:p w14:paraId="7D219D42" w14:textId="0D9AEF48" w:rsidR="00010B81" w:rsidRPr="00F14D86" w:rsidRDefault="00010B81" w:rsidP="00010B81">
            <w:pPr>
              <w:jc w:val="both"/>
              <w:rPr>
                <w:rFonts w:asciiTheme="minorHAnsi" w:hAnsiTheme="minorHAnsi" w:cstheme="minorHAnsi"/>
                <w:color w:val="000000" w:themeColor="text1"/>
                <w:sz w:val="21"/>
                <w:szCs w:val="21"/>
              </w:rPr>
            </w:pPr>
          </w:p>
          <w:p w14:paraId="0BDA4BD7" w14:textId="509C30CD" w:rsidR="00010B81" w:rsidRPr="00F14D86" w:rsidRDefault="00010B81" w:rsidP="00010B81">
            <w:pPr>
              <w:jc w:val="both"/>
              <w:rPr>
                <w:rFonts w:asciiTheme="minorHAnsi" w:hAnsiTheme="minorHAnsi" w:cstheme="minorHAnsi"/>
                <w:color w:val="000000" w:themeColor="text1"/>
                <w:sz w:val="21"/>
                <w:szCs w:val="21"/>
              </w:rPr>
            </w:pPr>
          </w:p>
          <w:p w14:paraId="1AEEC9F3" w14:textId="77777777" w:rsidR="00010B81" w:rsidRPr="00F14D86" w:rsidRDefault="00010B81" w:rsidP="00010B81">
            <w:pPr>
              <w:jc w:val="both"/>
              <w:rPr>
                <w:rFonts w:asciiTheme="minorHAnsi" w:hAnsiTheme="minorHAnsi" w:cstheme="minorHAnsi"/>
                <w:color w:val="000000" w:themeColor="text1"/>
                <w:sz w:val="21"/>
                <w:szCs w:val="21"/>
              </w:rPr>
            </w:pPr>
          </w:p>
          <w:p w14:paraId="3287A27F" w14:textId="77777777" w:rsidR="00734051" w:rsidRPr="00F14D86" w:rsidRDefault="00734051" w:rsidP="00010B81">
            <w:pPr>
              <w:jc w:val="both"/>
              <w:rPr>
                <w:rFonts w:asciiTheme="minorHAnsi" w:hAnsiTheme="minorHAnsi" w:cstheme="minorHAnsi"/>
                <w:color w:val="000000" w:themeColor="text1"/>
                <w:sz w:val="21"/>
                <w:szCs w:val="21"/>
              </w:rPr>
            </w:pPr>
          </w:p>
          <w:p w14:paraId="5CF4E69F" w14:textId="77777777" w:rsidR="00734051" w:rsidRPr="00F14D86" w:rsidRDefault="00734051" w:rsidP="00010B81">
            <w:pPr>
              <w:jc w:val="both"/>
              <w:rPr>
                <w:rFonts w:asciiTheme="minorHAnsi" w:hAnsiTheme="minorHAnsi" w:cstheme="minorHAnsi"/>
                <w:color w:val="000000" w:themeColor="text1"/>
                <w:sz w:val="21"/>
                <w:szCs w:val="21"/>
              </w:rPr>
            </w:pPr>
          </w:p>
          <w:p w14:paraId="5311BC4C" w14:textId="77777777" w:rsidR="00734051" w:rsidRPr="00F14D86" w:rsidRDefault="00734051" w:rsidP="00010B81">
            <w:pPr>
              <w:jc w:val="both"/>
              <w:rPr>
                <w:rFonts w:asciiTheme="minorHAnsi" w:hAnsiTheme="minorHAnsi" w:cstheme="minorHAnsi"/>
                <w:color w:val="000000" w:themeColor="text1"/>
                <w:sz w:val="21"/>
                <w:szCs w:val="21"/>
              </w:rPr>
            </w:pPr>
          </w:p>
          <w:p w14:paraId="70A939AF" w14:textId="77777777" w:rsidR="00EA5490" w:rsidRPr="00F14D86" w:rsidRDefault="00EA5490" w:rsidP="00010B81">
            <w:pPr>
              <w:jc w:val="both"/>
              <w:rPr>
                <w:rFonts w:asciiTheme="minorHAnsi" w:hAnsiTheme="minorHAnsi" w:cstheme="minorHAnsi"/>
                <w:color w:val="000000" w:themeColor="text1"/>
                <w:sz w:val="21"/>
                <w:szCs w:val="21"/>
              </w:rPr>
            </w:pPr>
          </w:p>
          <w:p w14:paraId="4C6BC3B4" w14:textId="31F92653" w:rsidR="00010B81" w:rsidRPr="00F14D86" w:rsidRDefault="00EA5490" w:rsidP="00010B81">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2.</w:t>
            </w:r>
            <w:r w:rsidR="00010B81" w:rsidRPr="00F14D86">
              <w:rPr>
                <w:rFonts w:asciiTheme="minorHAnsi" w:hAnsiTheme="minorHAnsi" w:cstheme="minorHAnsi"/>
                <w:color w:val="000000" w:themeColor="text1"/>
                <w:sz w:val="21"/>
                <w:szCs w:val="21"/>
              </w:rPr>
              <w:t>2. Specifikacijos:</w:t>
            </w:r>
          </w:p>
          <w:p w14:paraId="5D3FADC0" w14:textId="77777777" w:rsidR="00010B81" w:rsidRPr="00F14D86" w:rsidRDefault="00010B81" w:rsidP="00010B81">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Šulinio teleskopui ir stovui techninės specifikacijos pateiktos projekto P21-59-KR-TDP-NŠ-TS 8 ir 9 lape bei 14-16 lapuose. Šulinys įrengiamas, vadovaujantis: LST EN 1610, LST CEN/TR 1046</w:t>
            </w:r>
          </w:p>
          <w:p w14:paraId="6EF98506" w14:textId="77777777" w:rsidR="00010B81" w:rsidRPr="00F14D86" w:rsidRDefault="00010B81" w:rsidP="00010B81">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Šulinių dangčiai: Apvali kaliojo ketaus liuko perdanga (rėmas su dangčiu), DN 315mm, apkrovos klasė D400 (40t), atitinka EN 124-2 standarto reikalavimus</w:t>
            </w:r>
          </w:p>
          <w:p w14:paraId="7571350E" w14:textId="77777777" w:rsidR="00010B81" w:rsidRPr="00F14D86" w:rsidRDefault="00010B81" w:rsidP="00010B81">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Teleskopas: Polipropilenas (PP) lygiasienis teleskopinis vamzdis, 315mm, ilgio 0.6m, atitinka EN 13476-2 standarto reikalavimus</w:t>
            </w:r>
          </w:p>
          <w:p w14:paraId="130D6049" w14:textId="77777777" w:rsidR="00010B81" w:rsidRPr="00F14D86" w:rsidRDefault="00010B81" w:rsidP="00010B81">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Guminis manžetas DN 400/315 ir guminis sandarinimo žiedas DN 400mm, atitinka EN 681-1/A3 ir EN 1277 standartą.</w:t>
            </w:r>
          </w:p>
          <w:p w14:paraId="0333904A" w14:textId="77777777" w:rsidR="00010B81" w:rsidRPr="00F14D86" w:rsidRDefault="00010B81" w:rsidP="00010B81">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Polipropilenas (PP) gofruotas, D 315mm, atitinka EN 13476-3 ir EN 14802 standarto reikalavimus.</w:t>
            </w:r>
          </w:p>
          <w:p w14:paraId="6C330A19" w14:textId="77777777" w:rsidR="00010B81" w:rsidRPr="00F14D86" w:rsidRDefault="00010B81" w:rsidP="00010B81">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Kameros elementai, taip pat guminiai sandarinimo elementai (guminiai sandarinimo) yra chemiškai atsparūs esant pH 2 (rūgštinei aplinkai) ir pH 12 (šarminei aplinkai).</w:t>
            </w:r>
          </w:p>
          <w:p w14:paraId="1308FD12" w14:textId="6F1B6E6E" w:rsidR="00010B81" w:rsidRPr="00F14D86" w:rsidRDefault="00010B81" w:rsidP="00010B81">
            <w:pPr>
              <w:jc w:val="both"/>
              <w:rPr>
                <w:rFonts w:asciiTheme="minorHAnsi" w:hAnsiTheme="minorHAnsi" w:cstheme="minorHAnsi"/>
                <w:color w:val="000000" w:themeColor="text1"/>
                <w:sz w:val="21"/>
                <w:szCs w:val="21"/>
              </w:rPr>
            </w:pPr>
          </w:p>
          <w:p w14:paraId="0A68758A" w14:textId="6C6A43A0" w:rsidR="00734051" w:rsidRPr="00F14D86" w:rsidRDefault="00734051" w:rsidP="00010B81">
            <w:pPr>
              <w:jc w:val="both"/>
              <w:rPr>
                <w:rFonts w:asciiTheme="minorHAnsi" w:hAnsiTheme="minorHAnsi" w:cstheme="minorHAnsi"/>
                <w:color w:val="000000" w:themeColor="text1"/>
                <w:sz w:val="21"/>
                <w:szCs w:val="21"/>
              </w:rPr>
            </w:pPr>
            <w:r w:rsidRPr="00F14D86">
              <w:rPr>
                <w:rFonts w:asciiTheme="minorHAnsi" w:hAnsiTheme="minorHAnsi" w:cstheme="minorHAnsi"/>
                <w:noProof/>
                <w:color w:val="000000" w:themeColor="text1"/>
                <w:sz w:val="21"/>
                <w:szCs w:val="21"/>
              </w:rPr>
              <w:lastRenderedPageBreak/>
              <w:drawing>
                <wp:inline distT="0" distB="0" distL="0" distR="0" wp14:anchorId="43B14590" wp14:editId="02C689A5">
                  <wp:extent cx="5943600" cy="840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8407400"/>
                          </a:xfrm>
                          <a:prstGeom prst="rect">
                            <a:avLst/>
                          </a:prstGeom>
                        </pic:spPr>
                      </pic:pic>
                    </a:graphicData>
                  </a:graphic>
                </wp:inline>
              </w:drawing>
            </w:r>
          </w:p>
          <w:p w14:paraId="5B1E4521" w14:textId="334EDA0E" w:rsidR="00734051" w:rsidRPr="00F14D86" w:rsidRDefault="00734051" w:rsidP="00010B81">
            <w:pPr>
              <w:jc w:val="both"/>
              <w:rPr>
                <w:rFonts w:asciiTheme="minorHAnsi" w:hAnsiTheme="minorHAnsi" w:cstheme="minorHAnsi"/>
                <w:color w:val="000000" w:themeColor="text1"/>
                <w:sz w:val="21"/>
                <w:szCs w:val="21"/>
              </w:rPr>
            </w:pPr>
          </w:p>
          <w:p w14:paraId="73102778" w14:textId="4DC7255F" w:rsidR="00734051" w:rsidRPr="00F14D86" w:rsidRDefault="00734051" w:rsidP="00010B81">
            <w:pPr>
              <w:jc w:val="both"/>
              <w:rPr>
                <w:rFonts w:asciiTheme="minorHAnsi" w:hAnsiTheme="minorHAnsi" w:cstheme="minorHAnsi"/>
                <w:color w:val="000000" w:themeColor="text1"/>
                <w:sz w:val="21"/>
                <w:szCs w:val="21"/>
              </w:rPr>
            </w:pPr>
          </w:p>
          <w:p w14:paraId="37139A6F" w14:textId="77777777" w:rsidR="00F14D86" w:rsidRDefault="00F14D86" w:rsidP="00010B81">
            <w:pPr>
              <w:jc w:val="both"/>
              <w:rPr>
                <w:rFonts w:asciiTheme="minorHAnsi" w:hAnsiTheme="minorHAnsi" w:cstheme="minorHAnsi"/>
                <w:color w:val="000000" w:themeColor="text1"/>
                <w:spacing w:val="2"/>
                <w:sz w:val="21"/>
                <w:szCs w:val="21"/>
                <w:shd w:val="clear" w:color="auto" w:fill="FFFFFF"/>
              </w:rPr>
            </w:pPr>
          </w:p>
          <w:p w14:paraId="525A8963" w14:textId="0D49CA9C" w:rsidR="005625E4" w:rsidRPr="00F14D86" w:rsidRDefault="00EA5490"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lastRenderedPageBreak/>
              <w:t>2.</w:t>
            </w:r>
            <w:r w:rsidR="00734051" w:rsidRPr="00F14D86">
              <w:rPr>
                <w:rFonts w:asciiTheme="minorHAnsi" w:hAnsiTheme="minorHAnsi" w:cstheme="minorHAnsi"/>
                <w:color w:val="000000" w:themeColor="text1"/>
                <w:spacing w:val="2"/>
                <w:sz w:val="21"/>
                <w:szCs w:val="21"/>
                <w:shd w:val="clear" w:color="auto" w:fill="FFFFFF"/>
              </w:rPr>
              <w:t>3. Išardoma 2,4 m3 asfalto arba 40m2 asfalto dangos plotas. Ardomas asfalto storis - 6cm.</w:t>
            </w:r>
          </w:p>
          <w:p w14:paraId="47EA6EF2"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64B7CC36"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0ABDECE6" w14:textId="77777777"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p>
          <w:p w14:paraId="1F8914E1" w14:textId="77777777" w:rsidR="00EA5490" w:rsidRPr="00F14D86" w:rsidRDefault="00EA5490" w:rsidP="00010B81">
            <w:pPr>
              <w:jc w:val="both"/>
              <w:rPr>
                <w:rFonts w:asciiTheme="minorHAnsi" w:hAnsiTheme="minorHAnsi" w:cstheme="minorHAnsi"/>
                <w:color w:val="000000" w:themeColor="text1"/>
                <w:spacing w:val="2"/>
                <w:sz w:val="21"/>
                <w:szCs w:val="21"/>
                <w:shd w:val="clear" w:color="auto" w:fill="FFFFFF"/>
              </w:rPr>
            </w:pPr>
          </w:p>
          <w:p w14:paraId="11689399" w14:textId="0753E07D" w:rsidR="00734051" w:rsidRPr="00F14D86" w:rsidRDefault="00EA5490"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2.</w:t>
            </w:r>
            <w:r w:rsidR="00734051" w:rsidRPr="00F14D86">
              <w:rPr>
                <w:rFonts w:asciiTheme="minorHAnsi" w:hAnsiTheme="minorHAnsi" w:cstheme="minorHAnsi"/>
                <w:color w:val="000000" w:themeColor="text1"/>
                <w:spacing w:val="2"/>
                <w:sz w:val="21"/>
                <w:szCs w:val="21"/>
                <w:shd w:val="clear" w:color="auto" w:fill="FFFFFF"/>
              </w:rPr>
              <w:t>4. Įrengiama 40m2 asfalto pagrindo sluoksnio (8 cm sluoksnio storio).</w:t>
            </w:r>
          </w:p>
        </w:tc>
      </w:tr>
      <w:tr w:rsidR="00734051" w:rsidRPr="00F14D86" w14:paraId="02466AC5" w14:textId="77777777" w:rsidTr="00734051">
        <w:tc>
          <w:tcPr>
            <w:tcW w:w="421" w:type="dxa"/>
          </w:tcPr>
          <w:p w14:paraId="4F4C44D1" w14:textId="367EFF7B" w:rsidR="005625E4" w:rsidRPr="00F14D86" w:rsidRDefault="005625E4" w:rsidP="00010B81">
            <w:pPr>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lastRenderedPageBreak/>
              <w:t>3</w:t>
            </w:r>
            <w:r w:rsidR="00734051" w:rsidRPr="00F14D86">
              <w:rPr>
                <w:rFonts w:asciiTheme="minorHAnsi" w:hAnsiTheme="minorHAnsi" w:cstheme="minorHAnsi"/>
                <w:color w:val="000000" w:themeColor="text1"/>
                <w:spacing w:val="2"/>
                <w:sz w:val="21"/>
                <w:szCs w:val="21"/>
                <w:shd w:val="clear" w:color="auto" w:fill="FFFFFF"/>
              </w:rPr>
              <w:t>.</w:t>
            </w:r>
          </w:p>
        </w:tc>
        <w:tc>
          <w:tcPr>
            <w:tcW w:w="2693" w:type="dxa"/>
          </w:tcPr>
          <w:p w14:paraId="44724F86" w14:textId="7D8638CC" w:rsidR="005814EF" w:rsidRPr="00F14D86" w:rsidRDefault="005814EF"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Norima pasitikslinti ar šį kvalifikacijos punktą (nurodytą žemiau) atitiktų specialistas atestuotas elektros energijos vartojimo srityje, atsakingo už vartotojo elektros ūkį, kuriam suteikta teisė eksploatuoti vartotojo elektros įrenginius, organizuoti ir būti atsakingam už vartotojo įrenginių iki 10 KV eksploatavimą.</w:t>
            </w:r>
          </w:p>
          <w:p w14:paraId="706194DA" w14:textId="77777777" w:rsidR="005814EF" w:rsidRPr="00F14D86" w:rsidRDefault="005814EF" w:rsidP="00010B81">
            <w:pPr>
              <w:jc w:val="both"/>
              <w:rPr>
                <w:rFonts w:asciiTheme="minorHAnsi" w:hAnsiTheme="minorHAnsi" w:cstheme="minorHAnsi"/>
                <w:color w:val="000000" w:themeColor="text1"/>
                <w:spacing w:val="2"/>
                <w:sz w:val="21"/>
                <w:szCs w:val="21"/>
                <w:shd w:val="clear" w:color="auto" w:fill="FFFFFF"/>
              </w:rPr>
            </w:pPr>
          </w:p>
          <w:p w14:paraId="3BF8E490" w14:textId="6A9872D8" w:rsidR="005625E4" w:rsidRPr="00F14D86" w:rsidRDefault="005814EF"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c) tiekėjas turi pasiūlyti bent 1 (vieną) inžinierių, turintį energetikos darbuotojo pažymėjimą elektros energijos vartojimo veiklos srityje, kuriam suteikta teisė eksploatuoti elektros įrenginius iki 400 V.</w:t>
            </w:r>
          </w:p>
        </w:tc>
        <w:tc>
          <w:tcPr>
            <w:tcW w:w="6514" w:type="dxa"/>
          </w:tcPr>
          <w:p w14:paraId="5BA6EF37" w14:textId="2749B814" w:rsidR="005814EF" w:rsidRPr="00F14D86" w:rsidRDefault="00010B81"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 xml:space="preserve">Atitinka </w:t>
            </w:r>
          </w:p>
          <w:p w14:paraId="2E33FC47" w14:textId="77777777" w:rsidR="005814EF" w:rsidRPr="00F14D86" w:rsidRDefault="005814EF" w:rsidP="00010B81">
            <w:pPr>
              <w:jc w:val="both"/>
              <w:rPr>
                <w:rFonts w:asciiTheme="minorHAnsi" w:hAnsiTheme="minorHAnsi" w:cstheme="minorHAnsi"/>
                <w:color w:val="000000" w:themeColor="text1"/>
                <w:spacing w:val="2"/>
                <w:sz w:val="21"/>
                <w:szCs w:val="21"/>
                <w:shd w:val="clear" w:color="auto" w:fill="FFFFFF"/>
              </w:rPr>
            </w:pPr>
          </w:p>
          <w:p w14:paraId="56652B99" w14:textId="77777777" w:rsidR="005625E4" w:rsidRPr="00F14D86" w:rsidRDefault="005625E4" w:rsidP="00010B81">
            <w:pPr>
              <w:jc w:val="both"/>
              <w:rPr>
                <w:rFonts w:asciiTheme="minorHAnsi" w:hAnsiTheme="minorHAnsi" w:cstheme="minorHAnsi"/>
                <w:color w:val="000000" w:themeColor="text1"/>
                <w:spacing w:val="2"/>
                <w:sz w:val="21"/>
                <w:szCs w:val="21"/>
                <w:shd w:val="clear" w:color="auto" w:fill="FFFFFF"/>
              </w:rPr>
            </w:pPr>
          </w:p>
        </w:tc>
      </w:tr>
      <w:tr w:rsidR="00734051" w:rsidRPr="00F14D86" w14:paraId="3D048738" w14:textId="77777777" w:rsidTr="00734051">
        <w:tc>
          <w:tcPr>
            <w:tcW w:w="421" w:type="dxa"/>
          </w:tcPr>
          <w:p w14:paraId="36859B8B" w14:textId="12D39AC4" w:rsidR="00734051" w:rsidRPr="00F14D86" w:rsidRDefault="00734051" w:rsidP="00010B81">
            <w:pPr>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4.</w:t>
            </w:r>
          </w:p>
        </w:tc>
        <w:tc>
          <w:tcPr>
            <w:tcW w:w="2693" w:type="dxa"/>
          </w:tcPr>
          <w:p w14:paraId="3EACF11F" w14:textId="485CBAC8"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Nuotekų šalinimo dalies DKŽ nurodyta įrengti „Įtekėjimo dėžės ir skylėtų bortinių latakų įrengimas“ 7 kompl. Prašome PO atsakyti, ar tiekėjas gali vertintis vieno komplekto ilgį 2,5 m.? Jei ne, prašome PO nurodyti, koks konkrečiai turi būti vieno komplekto ilgis?</w:t>
            </w:r>
          </w:p>
        </w:tc>
        <w:tc>
          <w:tcPr>
            <w:tcW w:w="6514" w:type="dxa"/>
          </w:tcPr>
          <w:p w14:paraId="0BAB12FF" w14:textId="39D76571" w:rsidR="00734051" w:rsidRPr="00F14D86" w:rsidRDefault="00734051"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Komplektą numatyta įrengti iš 2 vnt. po 1m bortinių latakų su skylėmis ir įtekėjimo dėžė 50cm ilgio, viso komplektas 2,5m su įtekėjimo dėže.</w:t>
            </w:r>
          </w:p>
        </w:tc>
      </w:tr>
      <w:tr w:rsidR="00AF3529" w:rsidRPr="00F14D86" w14:paraId="12722D8C" w14:textId="77777777" w:rsidTr="009F6412">
        <w:tc>
          <w:tcPr>
            <w:tcW w:w="9628" w:type="dxa"/>
            <w:gridSpan w:val="3"/>
          </w:tcPr>
          <w:p w14:paraId="01AAD9CD" w14:textId="11C5E1BC" w:rsidR="00AF3529" w:rsidRPr="00F14D86" w:rsidRDefault="00AF3529" w:rsidP="00AF3529">
            <w:pPr>
              <w:jc w:val="center"/>
              <w:rPr>
                <w:rFonts w:asciiTheme="minorHAnsi" w:hAnsiTheme="minorHAnsi" w:cstheme="minorHAnsi"/>
                <w:b/>
                <w:bCs/>
                <w:color w:val="000000" w:themeColor="text1"/>
                <w:spacing w:val="2"/>
                <w:sz w:val="21"/>
                <w:szCs w:val="21"/>
                <w:shd w:val="clear" w:color="auto" w:fill="FFFFFF"/>
              </w:rPr>
            </w:pPr>
            <w:r w:rsidRPr="00F14D86">
              <w:rPr>
                <w:rFonts w:asciiTheme="minorHAnsi" w:hAnsiTheme="minorHAnsi" w:cstheme="minorHAnsi"/>
                <w:b/>
                <w:bCs/>
                <w:color w:val="000000" w:themeColor="text1"/>
                <w:spacing w:val="2"/>
                <w:sz w:val="21"/>
                <w:szCs w:val="21"/>
                <w:shd w:val="clear" w:color="auto" w:fill="FFFFFF"/>
              </w:rPr>
              <w:t>Pirkimo dokumentų patikslinimas</w:t>
            </w:r>
          </w:p>
        </w:tc>
      </w:tr>
      <w:tr w:rsidR="0018105F" w:rsidRPr="00F14D86" w14:paraId="000061A3" w14:textId="77777777" w:rsidTr="00734051">
        <w:tc>
          <w:tcPr>
            <w:tcW w:w="421" w:type="dxa"/>
          </w:tcPr>
          <w:p w14:paraId="511B40B2" w14:textId="55A14BF3" w:rsidR="0018105F" w:rsidRPr="00F14D86" w:rsidRDefault="0018105F" w:rsidP="00010B81">
            <w:pPr>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 xml:space="preserve">6. </w:t>
            </w:r>
          </w:p>
        </w:tc>
        <w:tc>
          <w:tcPr>
            <w:tcW w:w="2693" w:type="dxa"/>
          </w:tcPr>
          <w:p w14:paraId="1D8DD125" w14:textId="2906BB74" w:rsidR="0018105F" w:rsidRPr="00F14D86" w:rsidRDefault="0018105F" w:rsidP="00010B81">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Dėl Pirkimo dokumentų 1 priedo 4 lentelės „Veiklų sąrašo“ tikslinimo</w:t>
            </w:r>
          </w:p>
        </w:tc>
        <w:tc>
          <w:tcPr>
            <w:tcW w:w="6514" w:type="dxa"/>
          </w:tcPr>
          <w:p w14:paraId="649D422B" w14:textId="25376E4A" w:rsidR="0018105F" w:rsidRPr="00F14D86" w:rsidRDefault="00AF3529" w:rsidP="0018105F">
            <w:pPr>
              <w:jc w:val="both"/>
              <w:rPr>
                <w:rFonts w:asciiTheme="minorHAnsi" w:hAnsiTheme="minorHAnsi" w:cstheme="minorHAnsi"/>
                <w:color w:val="000000" w:themeColor="text1"/>
                <w:spacing w:val="2"/>
                <w:sz w:val="21"/>
                <w:szCs w:val="21"/>
                <w:shd w:val="clear" w:color="auto" w:fill="FFFFFF"/>
              </w:rPr>
            </w:pPr>
            <w:r w:rsidRPr="00F14D86">
              <w:rPr>
                <w:rFonts w:asciiTheme="minorHAnsi" w:hAnsiTheme="minorHAnsi" w:cstheme="minorHAnsi"/>
                <w:color w:val="000000" w:themeColor="text1"/>
                <w:spacing w:val="2"/>
                <w:sz w:val="21"/>
                <w:szCs w:val="21"/>
                <w:shd w:val="clear" w:color="auto" w:fill="FFFFFF"/>
              </w:rPr>
              <w:t>Perkantysis subjektas į</w:t>
            </w:r>
            <w:r w:rsidR="0018105F" w:rsidRPr="00F14D86">
              <w:rPr>
                <w:rFonts w:asciiTheme="minorHAnsi" w:hAnsiTheme="minorHAnsi" w:cstheme="minorHAnsi"/>
                <w:color w:val="000000" w:themeColor="text1"/>
                <w:spacing w:val="2"/>
                <w:sz w:val="21"/>
                <w:szCs w:val="21"/>
                <w:shd w:val="clear" w:color="auto" w:fill="FFFFFF"/>
              </w:rPr>
              <w:t>vertin</w:t>
            </w:r>
            <w:r w:rsidRPr="00F14D86">
              <w:rPr>
                <w:rFonts w:asciiTheme="minorHAnsi" w:hAnsiTheme="minorHAnsi" w:cstheme="minorHAnsi"/>
                <w:color w:val="000000" w:themeColor="text1"/>
                <w:spacing w:val="2"/>
                <w:sz w:val="21"/>
                <w:szCs w:val="21"/>
                <w:shd w:val="clear" w:color="auto" w:fill="FFFFFF"/>
              </w:rPr>
              <w:t xml:space="preserve">ęs </w:t>
            </w:r>
            <w:r w:rsidR="0018105F" w:rsidRPr="00F14D86">
              <w:rPr>
                <w:rFonts w:asciiTheme="minorHAnsi" w:hAnsiTheme="minorHAnsi" w:cstheme="minorHAnsi"/>
                <w:color w:val="000000" w:themeColor="text1"/>
                <w:spacing w:val="2"/>
                <w:sz w:val="21"/>
                <w:szCs w:val="21"/>
                <w:shd w:val="clear" w:color="auto" w:fill="FFFFFF"/>
              </w:rPr>
              <w:t>tai, kad visi statytojai (užsakovai), statantys valstybės biudžeto lėšomis, nuo 2022 m. rugsėjo 1 d. privalės naudoti elektroninį statybos darbų žurnalą, patikslina veiklų sąrašą, pateiktą pirkimo sąlygų 1 priede 4 lentelėje (toliau – Veiklų sąrašas), papildant jį</w:t>
            </w:r>
            <w:r w:rsidR="00F14D86" w:rsidRPr="00F14D86">
              <w:rPr>
                <w:rFonts w:asciiTheme="minorHAnsi" w:hAnsiTheme="minorHAnsi" w:cstheme="minorHAnsi"/>
                <w:color w:val="000000" w:themeColor="text1"/>
                <w:spacing w:val="2"/>
                <w:sz w:val="21"/>
                <w:szCs w:val="21"/>
                <w:shd w:val="clear" w:color="auto" w:fill="FFFFFF"/>
              </w:rPr>
              <w:t xml:space="preserve"> nauja</w:t>
            </w:r>
            <w:r w:rsidRPr="00F14D86">
              <w:rPr>
                <w:rFonts w:asciiTheme="minorHAnsi" w:hAnsiTheme="minorHAnsi" w:cstheme="minorHAnsi"/>
                <w:color w:val="000000" w:themeColor="text1"/>
                <w:spacing w:val="2"/>
                <w:sz w:val="21"/>
                <w:szCs w:val="21"/>
                <w:shd w:val="clear" w:color="auto" w:fill="FFFFFF"/>
              </w:rPr>
              <w:t xml:space="preserve"> </w:t>
            </w:r>
            <w:r w:rsidR="0018105F" w:rsidRPr="00F14D86">
              <w:rPr>
                <w:rFonts w:asciiTheme="minorHAnsi" w:hAnsiTheme="minorHAnsi" w:cstheme="minorHAnsi"/>
                <w:color w:val="000000" w:themeColor="text1"/>
                <w:spacing w:val="2"/>
                <w:sz w:val="21"/>
                <w:szCs w:val="21"/>
                <w:shd w:val="clear" w:color="auto" w:fill="FFFFFF"/>
              </w:rPr>
              <w:t>Eil. Nr. 5.4 –</w:t>
            </w:r>
            <w:r w:rsidR="00F14D86" w:rsidRPr="00F14D86">
              <w:rPr>
                <w:rFonts w:asciiTheme="minorHAnsi" w:hAnsiTheme="minorHAnsi" w:cstheme="minorHAnsi"/>
                <w:color w:val="000000" w:themeColor="text1"/>
                <w:spacing w:val="2"/>
                <w:sz w:val="21"/>
                <w:szCs w:val="21"/>
                <w:shd w:val="clear" w:color="auto" w:fill="FFFFFF"/>
              </w:rPr>
              <w:t xml:space="preserve"> </w:t>
            </w:r>
            <w:r w:rsidR="00F14D86" w:rsidRPr="00F14D86">
              <w:rPr>
                <w:rFonts w:asciiTheme="minorHAnsi" w:hAnsiTheme="minorHAnsi" w:cstheme="minorHAnsi"/>
                <w:i/>
                <w:iCs/>
                <w:color w:val="000000" w:themeColor="text1"/>
                <w:spacing w:val="2"/>
                <w:sz w:val="21"/>
                <w:szCs w:val="21"/>
                <w:shd w:val="clear" w:color="auto" w:fill="FFFFFF"/>
              </w:rPr>
              <w:t>„Elektroninio statybos darbų žurnalo užsakymas (prenumeratos užsakymas, statybos žurnalo pildymas ir saugojimas ir po statybos darbų baigimo jo pilnas perleidimas Užsakovui)“</w:t>
            </w:r>
            <w:r w:rsidR="00F14D86" w:rsidRPr="00F14D86">
              <w:rPr>
                <w:rFonts w:asciiTheme="minorHAnsi" w:hAnsiTheme="minorHAnsi" w:cstheme="minorHAnsi"/>
                <w:color w:val="000000" w:themeColor="text1"/>
                <w:spacing w:val="2"/>
                <w:sz w:val="21"/>
                <w:szCs w:val="21"/>
                <w:shd w:val="clear" w:color="auto" w:fill="FFFFFF"/>
              </w:rPr>
              <w:t xml:space="preserve"> </w:t>
            </w:r>
            <w:r w:rsidR="0018105F" w:rsidRPr="00F14D86">
              <w:rPr>
                <w:rFonts w:asciiTheme="minorHAnsi" w:hAnsiTheme="minorHAnsi" w:cstheme="minorHAnsi"/>
                <w:color w:val="000000" w:themeColor="text1"/>
                <w:spacing w:val="2"/>
                <w:sz w:val="21"/>
                <w:szCs w:val="21"/>
                <w:shd w:val="clear" w:color="auto" w:fill="FFFFFF"/>
              </w:rPr>
              <w:t>(patikslintas „Veiklų sąrašas“ pridedamas</w:t>
            </w:r>
            <w:r w:rsidR="00F14D86" w:rsidRPr="00F14D86">
              <w:rPr>
                <w:rFonts w:asciiTheme="minorHAnsi" w:hAnsiTheme="minorHAnsi" w:cstheme="minorHAnsi"/>
                <w:color w:val="000000" w:themeColor="text1"/>
                <w:spacing w:val="2"/>
                <w:sz w:val="21"/>
                <w:szCs w:val="21"/>
                <w:shd w:val="clear" w:color="auto" w:fill="FFFFFF"/>
              </w:rPr>
              <w:t xml:space="preserve"> žemiau</w:t>
            </w:r>
            <w:r w:rsidR="0018105F" w:rsidRPr="00F14D86">
              <w:rPr>
                <w:rFonts w:asciiTheme="minorHAnsi" w:hAnsiTheme="minorHAnsi" w:cstheme="minorHAnsi"/>
                <w:color w:val="000000" w:themeColor="text1"/>
                <w:spacing w:val="2"/>
                <w:sz w:val="21"/>
                <w:szCs w:val="21"/>
                <w:shd w:val="clear" w:color="auto" w:fill="FFFFFF"/>
              </w:rPr>
              <w:t>).</w:t>
            </w:r>
          </w:p>
        </w:tc>
      </w:tr>
    </w:tbl>
    <w:p w14:paraId="287DAFEF" w14:textId="77777777" w:rsidR="00EA5490" w:rsidRPr="00F14D86" w:rsidRDefault="00EA5490" w:rsidP="00010B81">
      <w:pPr>
        <w:jc w:val="both"/>
        <w:rPr>
          <w:rFonts w:asciiTheme="minorHAnsi" w:hAnsiTheme="minorHAnsi" w:cstheme="minorHAnsi"/>
          <w:color w:val="000000" w:themeColor="text1"/>
          <w:spacing w:val="2"/>
          <w:sz w:val="21"/>
          <w:szCs w:val="21"/>
          <w:shd w:val="clear" w:color="auto" w:fill="FFFFFF"/>
        </w:rPr>
      </w:pPr>
    </w:p>
    <w:p w14:paraId="0EB7D810" w14:textId="77777777" w:rsidR="00EA5490" w:rsidRPr="00F14D86" w:rsidRDefault="00EA5490" w:rsidP="00EA5490">
      <w:pPr>
        <w:jc w:val="both"/>
        <w:rPr>
          <w:rFonts w:asciiTheme="minorHAnsi" w:hAnsiTheme="minorHAnsi" w:cstheme="minorHAnsi"/>
          <w:b/>
          <w:bCs/>
          <w:color w:val="000000" w:themeColor="text1"/>
          <w:spacing w:val="2"/>
          <w:sz w:val="21"/>
          <w:szCs w:val="21"/>
          <w:shd w:val="clear" w:color="auto" w:fill="FFFFFF"/>
        </w:rPr>
      </w:pPr>
    </w:p>
    <w:p w14:paraId="2D827887" w14:textId="34735E7A" w:rsidR="00327FF7" w:rsidRPr="00327FF7" w:rsidRDefault="00F14D86" w:rsidP="00010B81">
      <w:pPr>
        <w:autoSpaceDE w:val="0"/>
        <w:adjustRightInd w:val="0"/>
        <w:rPr>
          <w:rFonts w:asciiTheme="minorHAnsi" w:eastAsia="Calibri" w:hAnsiTheme="minorHAnsi" w:cstheme="minorHAnsi"/>
          <w:b/>
          <w:bCs/>
          <w:color w:val="000000" w:themeColor="text1"/>
          <w:sz w:val="21"/>
          <w:szCs w:val="21"/>
        </w:rPr>
      </w:pPr>
      <w:r>
        <w:rPr>
          <w:rFonts w:asciiTheme="minorHAnsi" w:eastAsia="Calibri" w:hAnsiTheme="minorHAnsi" w:cstheme="minorHAnsi"/>
          <w:b/>
          <w:bCs/>
          <w:color w:val="000000" w:themeColor="text1"/>
          <w:sz w:val="21"/>
          <w:szCs w:val="21"/>
        </w:rPr>
        <w:t>Patikslinta</w:t>
      </w:r>
      <w:r w:rsidR="00D05D8A">
        <w:rPr>
          <w:rFonts w:asciiTheme="minorHAnsi" w:eastAsia="Calibri" w:hAnsiTheme="minorHAnsi" w:cstheme="minorHAnsi"/>
          <w:b/>
          <w:bCs/>
          <w:color w:val="000000" w:themeColor="text1"/>
          <w:sz w:val="21"/>
          <w:szCs w:val="21"/>
        </w:rPr>
        <w:t xml:space="preserve"> </w:t>
      </w:r>
      <w:r w:rsidR="00D05D8A" w:rsidRPr="00D05D8A">
        <w:rPr>
          <w:rFonts w:asciiTheme="minorHAnsi" w:eastAsia="Calibri" w:hAnsiTheme="minorHAnsi" w:cstheme="minorHAnsi"/>
          <w:b/>
          <w:bCs/>
          <w:color w:val="000000" w:themeColor="text1"/>
          <w:sz w:val="21"/>
          <w:szCs w:val="21"/>
        </w:rPr>
        <w:t>Pirkimo sąlygų 1 pried</w:t>
      </w:r>
      <w:r w:rsidR="00D05D8A">
        <w:rPr>
          <w:rFonts w:asciiTheme="minorHAnsi" w:eastAsia="Calibri" w:hAnsiTheme="minorHAnsi" w:cstheme="minorHAnsi"/>
          <w:b/>
          <w:bCs/>
          <w:color w:val="000000" w:themeColor="text1"/>
          <w:sz w:val="21"/>
          <w:szCs w:val="21"/>
        </w:rPr>
        <w:t>o</w:t>
      </w:r>
      <w:r>
        <w:rPr>
          <w:rFonts w:asciiTheme="minorHAnsi" w:eastAsia="Calibri" w:hAnsiTheme="minorHAnsi" w:cstheme="minorHAnsi"/>
          <w:b/>
          <w:bCs/>
          <w:color w:val="000000" w:themeColor="text1"/>
          <w:sz w:val="21"/>
          <w:szCs w:val="21"/>
        </w:rPr>
        <w:t xml:space="preserve"> </w:t>
      </w:r>
      <w:r w:rsidR="00327FF7" w:rsidRPr="00327FF7">
        <w:rPr>
          <w:rFonts w:asciiTheme="minorHAnsi" w:eastAsia="Calibri" w:hAnsiTheme="minorHAnsi" w:cstheme="minorHAnsi"/>
          <w:b/>
          <w:bCs/>
          <w:color w:val="000000" w:themeColor="text1"/>
          <w:sz w:val="21"/>
          <w:szCs w:val="21"/>
        </w:rPr>
        <w:t>4 lentelė „Veiklų sąrašas“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07"/>
        <w:gridCol w:w="6214"/>
        <w:gridCol w:w="1955"/>
      </w:tblGrid>
      <w:tr w:rsidR="00734051" w:rsidRPr="00F14D86" w14:paraId="20F07EEE" w14:textId="77777777" w:rsidTr="00EA5490">
        <w:tc>
          <w:tcPr>
            <w:tcW w:w="1011" w:type="dxa"/>
            <w:gridSpan w:val="2"/>
            <w:shd w:val="clear" w:color="auto" w:fill="DBE5F1" w:themeFill="accent1" w:themeFillTint="33"/>
            <w:vAlign w:val="center"/>
          </w:tcPr>
          <w:p w14:paraId="0156AF95"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r w:rsidRPr="00327FF7">
              <w:rPr>
                <w:rFonts w:asciiTheme="minorHAnsi" w:hAnsiTheme="minorHAnsi" w:cstheme="minorHAnsi"/>
                <w:b/>
                <w:bCs/>
                <w:color w:val="000000" w:themeColor="text1"/>
                <w:sz w:val="21"/>
                <w:szCs w:val="21"/>
              </w:rPr>
              <w:lastRenderedPageBreak/>
              <w:t>Eil. Nr.</w:t>
            </w:r>
          </w:p>
        </w:tc>
        <w:tc>
          <w:tcPr>
            <w:tcW w:w="6214" w:type="dxa"/>
            <w:shd w:val="clear" w:color="auto" w:fill="DBE5F1" w:themeFill="accent1" w:themeFillTint="33"/>
            <w:vAlign w:val="center"/>
          </w:tcPr>
          <w:p w14:paraId="759AA71D"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r w:rsidRPr="00327FF7">
              <w:rPr>
                <w:rFonts w:asciiTheme="minorHAnsi" w:hAnsiTheme="minorHAnsi" w:cstheme="minorHAnsi"/>
                <w:b/>
                <w:bCs/>
                <w:color w:val="000000" w:themeColor="text1"/>
                <w:sz w:val="21"/>
                <w:szCs w:val="21"/>
              </w:rPr>
              <w:t>Darbų/paslaugų grupių (etapų) pavadinimai</w:t>
            </w:r>
          </w:p>
        </w:tc>
        <w:tc>
          <w:tcPr>
            <w:tcW w:w="1955" w:type="dxa"/>
            <w:shd w:val="clear" w:color="auto" w:fill="DBE5F1" w:themeFill="accent1" w:themeFillTint="33"/>
          </w:tcPr>
          <w:p w14:paraId="490A0862"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r w:rsidRPr="00327FF7">
              <w:rPr>
                <w:rFonts w:asciiTheme="minorHAnsi" w:hAnsiTheme="minorHAnsi" w:cstheme="minorHAnsi"/>
                <w:b/>
                <w:bCs/>
                <w:color w:val="000000" w:themeColor="text1"/>
                <w:sz w:val="21"/>
                <w:szCs w:val="21"/>
              </w:rPr>
              <w:t>Kaina Eur be PVM</w:t>
            </w:r>
          </w:p>
        </w:tc>
      </w:tr>
      <w:tr w:rsidR="00734051" w:rsidRPr="00F14D86" w14:paraId="182F7FEB" w14:textId="77777777" w:rsidTr="00EA5490">
        <w:tc>
          <w:tcPr>
            <w:tcW w:w="9180" w:type="dxa"/>
            <w:gridSpan w:val="4"/>
            <w:shd w:val="clear" w:color="auto" w:fill="DBE5F1" w:themeFill="accent1" w:themeFillTint="33"/>
            <w:vAlign w:val="center"/>
          </w:tcPr>
          <w:p w14:paraId="45423672" w14:textId="77777777" w:rsidR="00327FF7" w:rsidRPr="00327FF7" w:rsidRDefault="00327FF7" w:rsidP="00010B81">
            <w:pPr>
              <w:widowControl w:val="0"/>
              <w:jc w:val="both"/>
              <w:rPr>
                <w:rFonts w:asciiTheme="minorHAnsi" w:hAnsiTheme="minorHAnsi" w:cstheme="minorHAnsi"/>
                <w:b/>
                <w:bCs/>
                <w:color w:val="000000" w:themeColor="text1"/>
                <w:sz w:val="21"/>
                <w:szCs w:val="21"/>
              </w:rPr>
            </w:pPr>
            <w:r w:rsidRPr="00327FF7">
              <w:rPr>
                <w:rFonts w:asciiTheme="minorHAnsi" w:hAnsiTheme="minorHAnsi" w:cstheme="minorHAnsi"/>
                <w:b/>
                <w:color w:val="000000" w:themeColor="text1"/>
                <w:sz w:val="21"/>
                <w:szCs w:val="21"/>
              </w:rPr>
              <w:t xml:space="preserve">Projekto „Kauno rajono savivaldybės, Užliedžių seniūnijos, Giraitės kaimo, Kaštonų gatvės kapitalinis remontas“ rangos </w:t>
            </w:r>
            <w:r w:rsidRPr="00327FF7">
              <w:rPr>
                <w:rFonts w:asciiTheme="minorHAnsi" w:hAnsiTheme="minorHAnsi" w:cstheme="minorHAnsi"/>
                <w:b/>
                <w:bCs/>
                <w:color w:val="000000" w:themeColor="text1"/>
                <w:sz w:val="21"/>
                <w:szCs w:val="21"/>
              </w:rPr>
              <w:t>darbai</w:t>
            </w:r>
          </w:p>
        </w:tc>
      </w:tr>
      <w:tr w:rsidR="00734051" w:rsidRPr="00F14D86" w14:paraId="45C8E7F4" w14:textId="77777777" w:rsidTr="00EA5490">
        <w:tc>
          <w:tcPr>
            <w:tcW w:w="1011" w:type="dxa"/>
            <w:gridSpan w:val="2"/>
            <w:shd w:val="clear" w:color="auto" w:fill="auto"/>
          </w:tcPr>
          <w:p w14:paraId="714B1F4D"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color w:val="000000" w:themeColor="text1"/>
                <w:sz w:val="21"/>
                <w:szCs w:val="21"/>
              </w:rPr>
            </w:pPr>
            <w:r w:rsidRPr="00327FF7">
              <w:rPr>
                <w:rFonts w:asciiTheme="minorHAnsi" w:hAnsiTheme="minorHAnsi" w:cstheme="minorHAnsi"/>
                <w:color w:val="000000" w:themeColor="text1"/>
                <w:sz w:val="21"/>
                <w:szCs w:val="21"/>
              </w:rPr>
              <w:t>1.</w:t>
            </w:r>
          </w:p>
        </w:tc>
        <w:tc>
          <w:tcPr>
            <w:tcW w:w="6214" w:type="dxa"/>
            <w:shd w:val="clear" w:color="auto" w:fill="auto"/>
          </w:tcPr>
          <w:p w14:paraId="69FCD15E" w14:textId="3292F92D" w:rsidR="00327FF7" w:rsidRPr="00327FF7" w:rsidRDefault="00327FF7" w:rsidP="00010B81">
            <w:pPr>
              <w:rPr>
                <w:rFonts w:asciiTheme="minorHAnsi" w:hAnsiTheme="minorHAnsi" w:cstheme="minorHAnsi"/>
                <w:bCs/>
                <w:color w:val="000000" w:themeColor="text1"/>
                <w:sz w:val="21"/>
                <w:szCs w:val="21"/>
              </w:rPr>
            </w:pPr>
          </w:p>
        </w:tc>
        <w:tc>
          <w:tcPr>
            <w:tcW w:w="1955" w:type="dxa"/>
            <w:shd w:val="clear" w:color="auto" w:fill="auto"/>
          </w:tcPr>
          <w:p w14:paraId="22F901DB"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p>
        </w:tc>
      </w:tr>
      <w:tr w:rsidR="00734051" w:rsidRPr="00F14D86" w14:paraId="1588ED33" w14:textId="77777777" w:rsidTr="00EA5490">
        <w:tc>
          <w:tcPr>
            <w:tcW w:w="1011" w:type="dxa"/>
            <w:gridSpan w:val="2"/>
            <w:shd w:val="clear" w:color="auto" w:fill="auto"/>
          </w:tcPr>
          <w:p w14:paraId="47775AB9"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color w:val="000000" w:themeColor="text1"/>
                <w:sz w:val="21"/>
                <w:szCs w:val="21"/>
              </w:rPr>
            </w:pPr>
            <w:r w:rsidRPr="00327FF7">
              <w:rPr>
                <w:rFonts w:asciiTheme="minorHAnsi" w:hAnsiTheme="minorHAnsi" w:cstheme="minorHAnsi"/>
                <w:color w:val="000000" w:themeColor="text1"/>
                <w:sz w:val="21"/>
                <w:szCs w:val="21"/>
              </w:rPr>
              <w:t>2.</w:t>
            </w:r>
          </w:p>
        </w:tc>
        <w:tc>
          <w:tcPr>
            <w:tcW w:w="6214" w:type="dxa"/>
            <w:shd w:val="clear" w:color="auto" w:fill="auto"/>
          </w:tcPr>
          <w:p w14:paraId="48E0584D" w14:textId="785D6906" w:rsidR="00327FF7" w:rsidRPr="00DA206C" w:rsidRDefault="00DA206C" w:rsidP="00010B81">
            <w:pPr>
              <w:rPr>
                <w:rFonts w:asciiTheme="minorHAnsi" w:eastAsia="Calibri" w:hAnsiTheme="minorHAnsi" w:cstheme="minorHAnsi"/>
                <w:color w:val="FF0000"/>
                <w:sz w:val="21"/>
                <w:szCs w:val="21"/>
              </w:rPr>
            </w:pPr>
            <w:r w:rsidRPr="00DA206C">
              <w:rPr>
                <w:rFonts w:asciiTheme="minorHAnsi" w:eastAsia="Calibri" w:hAnsiTheme="minorHAnsi" w:cstheme="minorHAnsi"/>
                <w:color w:val="FF0000"/>
                <w:sz w:val="21"/>
                <w:szCs w:val="21"/>
              </w:rPr>
              <w:t>Bendroji ir s</w:t>
            </w:r>
            <w:r w:rsidR="00327FF7" w:rsidRPr="00DA206C">
              <w:rPr>
                <w:rFonts w:asciiTheme="minorHAnsi" w:eastAsia="Calibri" w:hAnsiTheme="minorHAnsi" w:cstheme="minorHAnsi"/>
                <w:color w:val="FF0000"/>
                <w:sz w:val="21"/>
                <w:szCs w:val="21"/>
              </w:rPr>
              <w:t>usisiekimo dal</w:t>
            </w:r>
            <w:r w:rsidRPr="00DA206C">
              <w:rPr>
                <w:rFonts w:asciiTheme="minorHAnsi" w:eastAsia="Calibri" w:hAnsiTheme="minorHAnsi" w:cstheme="minorHAnsi"/>
                <w:color w:val="FF0000"/>
                <w:sz w:val="21"/>
                <w:szCs w:val="21"/>
              </w:rPr>
              <w:t>ys</w:t>
            </w:r>
          </w:p>
        </w:tc>
        <w:tc>
          <w:tcPr>
            <w:tcW w:w="1955" w:type="dxa"/>
            <w:shd w:val="clear" w:color="auto" w:fill="auto"/>
          </w:tcPr>
          <w:p w14:paraId="61A86DCB"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p>
        </w:tc>
      </w:tr>
      <w:tr w:rsidR="00734051" w:rsidRPr="00F14D86" w14:paraId="00E46E1E" w14:textId="77777777" w:rsidTr="00EA5490">
        <w:tc>
          <w:tcPr>
            <w:tcW w:w="1011" w:type="dxa"/>
            <w:gridSpan w:val="2"/>
            <w:shd w:val="clear" w:color="auto" w:fill="auto"/>
          </w:tcPr>
          <w:p w14:paraId="410078F2"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Cs/>
                <w:color w:val="000000" w:themeColor="text1"/>
                <w:sz w:val="21"/>
                <w:szCs w:val="21"/>
              </w:rPr>
            </w:pPr>
            <w:r w:rsidRPr="00327FF7">
              <w:rPr>
                <w:rFonts w:asciiTheme="minorHAnsi" w:hAnsiTheme="minorHAnsi" w:cstheme="minorHAnsi"/>
                <w:bCs/>
                <w:color w:val="000000" w:themeColor="text1"/>
                <w:sz w:val="21"/>
                <w:szCs w:val="21"/>
              </w:rPr>
              <w:t>3.</w:t>
            </w:r>
          </w:p>
        </w:tc>
        <w:tc>
          <w:tcPr>
            <w:tcW w:w="6214" w:type="dxa"/>
            <w:shd w:val="clear" w:color="auto" w:fill="auto"/>
          </w:tcPr>
          <w:p w14:paraId="4A2CB754" w14:textId="77777777" w:rsidR="00327FF7" w:rsidRPr="00327FF7" w:rsidRDefault="00327FF7" w:rsidP="00010B81">
            <w:pPr>
              <w:rPr>
                <w:rFonts w:asciiTheme="minorHAnsi" w:hAnsiTheme="minorHAnsi" w:cstheme="minorHAnsi"/>
                <w:b/>
                <w:bCs/>
                <w:color w:val="000000" w:themeColor="text1"/>
                <w:sz w:val="21"/>
                <w:szCs w:val="21"/>
              </w:rPr>
            </w:pPr>
            <w:r w:rsidRPr="00327FF7">
              <w:rPr>
                <w:rFonts w:asciiTheme="minorHAnsi" w:eastAsia="Calibri" w:hAnsiTheme="minorHAnsi" w:cstheme="minorHAnsi"/>
                <w:color w:val="000000" w:themeColor="text1"/>
                <w:sz w:val="21"/>
                <w:szCs w:val="21"/>
              </w:rPr>
              <w:t xml:space="preserve">Lietaus vandens nuotekų šalinimo dalis </w:t>
            </w:r>
          </w:p>
        </w:tc>
        <w:tc>
          <w:tcPr>
            <w:tcW w:w="1955" w:type="dxa"/>
            <w:shd w:val="clear" w:color="auto" w:fill="auto"/>
          </w:tcPr>
          <w:p w14:paraId="3081DC12" w14:textId="77777777" w:rsidR="00327FF7" w:rsidRPr="00327FF7" w:rsidRDefault="00327FF7" w:rsidP="00010B81">
            <w:pPr>
              <w:rPr>
                <w:rFonts w:asciiTheme="minorHAnsi" w:hAnsiTheme="minorHAnsi" w:cstheme="minorHAnsi"/>
                <w:b/>
                <w:bCs/>
                <w:color w:val="000000" w:themeColor="text1"/>
                <w:sz w:val="21"/>
                <w:szCs w:val="21"/>
              </w:rPr>
            </w:pPr>
          </w:p>
        </w:tc>
      </w:tr>
      <w:tr w:rsidR="00734051" w:rsidRPr="00F14D86" w14:paraId="118E278E" w14:textId="77777777" w:rsidTr="00EA5490">
        <w:tc>
          <w:tcPr>
            <w:tcW w:w="1011" w:type="dxa"/>
            <w:gridSpan w:val="2"/>
            <w:shd w:val="clear" w:color="auto" w:fill="auto"/>
          </w:tcPr>
          <w:p w14:paraId="566124A0"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Cs/>
                <w:color w:val="000000" w:themeColor="text1"/>
                <w:sz w:val="21"/>
                <w:szCs w:val="21"/>
              </w:rPr>
            </w:pPr>
            <w:r w:rsidRPr="00327FF7">
              <w:rPr>
                <w:rFonts w:asciiTheme="minorHAnsi" w:hAnsiTheme="minorHAnsi" w:cstheme="minorHAnsi"/>
                <w:bCs/>
                <w:color w:val="000000" w:themeColor="text1"/>
                <w:sz w:val="21"/>
                <w:szCs w:val="21"/>
              </w:rPr>
              <w:t>4.</w:t>
            </w:r>
          </w:p>
        </w:tc>
        <w:tc>
          <w:tcPr>
            <w:tcW w:w="6214" w:type="dxa"/>
            <w:shd w:val="clear" w:color="auto" w:fill="auto"/>
          </w:tcPr>
          <w:p w14:paraId="67C70303" w14:textId="77777777" w:rsidR="00327FF7" w:rsidRPr="00327FF7" w:rsidRDefault="00327FF7" w:rsidP="00010B81">
            <w:pPr>
              <w:rPr>
                <w:rFonts w:asciiTheme="minorHAnsi" w:eastAsia="Calibri" w:hAnsiTheme="minorHAnsi" w:cstheme="minorHAnsi"/>
                <w:color w:val="000000" w:themeColor="text1"/>
                <w:sz w:val="21"/>
                <w:szCs w:val="21"/>
              </w:rPr>
            </w:pPr>
            <w:r w:rsidRPr="00327FF7">
              <w:rPr>
                <w:rFonts w:asciiTheme="minorHAnsi" w:eastAsia="Calibri" w:hAnsiTheme="minorHAnsi" w:cstheme="minorHAnsi"/>
                <w:color w:val="000000" w:themeColor="text1"/>
                <w:sz w:val="21"/>
                <w:szCs w:val="21"/>
              </w:rPr>
              <w:t xml:space="preserve">Elektrotechninė dalis. Gatvių apšvietimas.  </w:t>
            </w:r>
          </w:p>
        </w:tc>
        <w:tc>
          <w:tcPr>
            <w:tcW w:w="1955" w:type="dxa"/>
            <w:shd w:val="clear" w:color="auto" w:fill="auto"/>
          </w:tcPr>
          <w:p w14:paraId="58CB7D2E" w14:textId="77777777" w:rsidR="00327FF7" w:rsidRPr="00327FF7" w:rsidRDefault="00327FF7" w:rsidP="00010B81">
            <w:pPr>
              <w:rPr>
                <w:rFonts w:asciiTheme="minorHAnsi" w:hAnsiTheme="minorHAnsi" w:cstheme="minorHAnsi"/>
                <w:b/>
                <w:bCs/>
                <w:color w:val="000000" w:themeColor="text1"/>
                <w:sz w:val="21"/>
                <w:szCs w:val="21"/>
              </w:rPr>
            </w:pPr>
          </w:p>
        </w:tc>
      </w:tr>
      <w:tr w:rsidR="00734051" w:rsidRPr="00F14D86" w14:paraId="176C53D0" w14:textId="77777777" w:rsidTr="00EA5490">
        <w:tc>
          <w:tcPr>
            <w:tcW w:w="1011" w:type="dxa"/>
            <w:gridSpan w:val="2"/>
            <w:shd w:val="clear" w:color="auto" w:fill="auto"/>
          </w:tcPr>
          <w:p w14:paraId="15901DE6"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Cs/>
                <w:color w:val="000000" w:themeColor="text1"/>
                <w:sz w:val="21"/>
                <w:szCs w:val="21"/>
              </w:rPr>
            </w:pPr>
            <w:r w:rsidRPr="00327FF7">
              <w:rPr>
                <w:rFonts w:asciiTheme="minorHAnsi" w:hAnsiTheme="minorHAnsi" w:cstheme="minorHAnsi"/>
                <w:bCs/>
                <w:color w:val="000000" w:themeColor="text1"/>
                <w:sz w:val="21"/>
                <w:szCs w:val="21"/>
              </w:rPr>
              <w:t>5.</w:t>
            </w:r>
          </w:p>
        </w:tc>
        <w:tc>
          <w:tcPr>
            <w:tcW w:w="6214" w:type="dxa"/>
            <w:shd w:val="clear" w:color="auto" w:fill="auto"/>
          </w:tcPr>
          <w:p w14:paraId="54D7B394"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Cs/>
                <w:color w:val="000000" w:themeColor="text1"/>
                <w:sz w:val="21"/>
                <w:szCs w:val="21"/>
              </w:rPr>
            </w:pPr>
            <w:r w:rsidRPr="00327FF7">
              <w:rPr>
                <w:rFonts w:asciiTheme="minorHAnsi" w:hAnsiTheme="minorHAnsi" w:cstheme="minorHAnsi"/>
                <w:bCs/>
                <w:color w:val="000000" w:themeColor="text1"/>
                <w:sz w:val="21"/>
                <w:szCs w:val="21"/>
              </w:rPr>
              <w:t>Statybos užbaigimo dokumentų paruošimas:</w:t>
            </w:r>
          </w:p>
        </w:tc>
        <w:tc>
          <w:tcPr>
            <w:tcW w:w="1955" w:type="dxa"/>
            <w:tcBorders>
              <w:tl2br w:val="single" w:sz="4" w:space="0" w:color="auto"/>
              <w:tr2bl w:val="single" w:sz="4" w:space="0" w:color="auto"/>
            </w:tcBorders>
            <w:shd w:val="clear" w:color="auto" w:fill="auto"/>
          </w:tcPr>
          <w:p w14:paraId="7211295A"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Cs/>
                <w:color w:val="000000" w:themeColor="text1"/>
                <w:sz w:val="21"/>
                <w:szCs w:val="21"/>
              </w:rPr>
            </w:pPr>
          </w:p>
        </w:tc>
      </w:tr>
      <w:tr w:rsidR="00734051" w:rsidRPr="00F14D86" w14:paraId="4021EC4E" w14:textId="77777777" w:rsidTr="00EA5490">
        <w:tc>
          <w:tcPr>
            <w:tcW w:w="1011" w:type="dxa"/>
            <w:gridSpan w:val="2"/>
            <w:shd w:val="clear" w:color="auto" w:fill="auto"/>
          </w:tcPr>
          <w:p w14:paraId="31D81E9E"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color w:val="000000" w:themeColor="text1"/>
                <w:sz w:val="21"/>
                <w:szCs w:val="21"/>
              </w:rPr>
            </w:pPr>
            <w:r w:rsidRPr="00327FF7">
              <w:rPr>
                <w:rFonts w:asciiTheme="minorHAnsi" w:hAnsiTheme="minorHAnsi" w:cstheme="minorHAnsi"/>
                <w:color w:val="000000" w:themeColor="text1"/>
                <w:sz w:val="21"/>
                <w:szCs w:val="21"/>
              </w:rPr>
              <w:t>5.1.</w:t>
            </w:r>
          </w:p>
        </w:tc>
        <w:tc>
          <w:tcPr>
            <w:tcW w:w="6214" w:type="dxa"/>
            <w:shd w:val="clear" w:color="auto" w:fill="auto"/>
          </w:tcPr>
          <w:p w14:paraId="4B1B54E3" w14:textId="77777777" w:rsidR="00327FF7" w:rsidRPr="00327FF7" w:rsidRDefault="00327FF7" w:rsidP="00010B81">
            <w:pPr>
              <w:rPr>
                <w:rFonts w:asciiTheme="minorHAnsi" w:hAnsiTheme="minorHAnsi" w:cstheme="minorHAnsi"/>
                <w:color w:val="000000" w:themeColor="text1"/>
                <w:sz w:val="21"/>
                <w:szCs w:val="21"/>
              </w:rPr>
            </w:pPr>
            <w:r w:rsidRPr="00327FF7">
              <w:rPr>
                <w:rFonts w:asciiTheme="minorHAnsi" w:eastAsia="Calibri" w:hAnsiTheme="minorHAnsi" w:cstheme="minorHAnsi"/>
                <w:color w:val="000000" w:themeColor="text1"/>
                <w:sz w:val="21"/>
                <w:szCs w:val="21"/>
              </w:rPr>
              <w:t>Kontrolinių geodezinių nuotraukų parengimas</w:t>
            </w:r>
          </w:p>
        </w:tc>
        <w:tc>
          <w:tcPr>
            <w:tcW w:w="1955" w:type="dxa"/>
            <w:shd w:val="clear" w:color="auto" w:fill="auto"/>
          </w:tcPr>
          <w:p w14:paraId="729458DC"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p>
        </w:tc>
      </w:tr>
      <w:tr w:rsidR="00734051" w:rsidRPr="00F14D86" w14:paraId="65A110BE" w14:textId="77777777" w:rsidTr="00EA5490">
        <w:tc>
          <w:tcPr>
            <w:tcW w:w="1011" w:type="dxa"/>
            <w:gridSpan w:val="2"/>
            <w:shd w:val="clear" w:color="auto" w:fill="auto"/>
          </w:tcPr>
          <w:p w14:paraId="707333E4"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color w:val="000000" w:themeColor="text1"/>
                <w:sz w:val="21"/>
                <w:szCs w:val="21"/>
              </w:rPr>
            </w:pPr>
            <w:r w:rsidRPr="00327FF7">
              <w:rPr>
                <w:rFonts w:asciiTheme="minorHAnsi" w:hAnsiTheme="minorHAnsi" w:cstheme="minorHAnsi"/>
                <w:color w:val="000000" w:themeColor="text1"/>
                <w:sz w:val="21"/>
                <w:szCs w:val="21"/>
              </w:rPr>
              <w:t>5.2.</w:t>
            </w:r>
          </w:p>
        </w:tc>
        <w:tc>
          <w:tcPr>
            <w:tcW w:w="6214" w:type="dxa"/>
            <w:shd w:val="clear" w:color="auto" w:fill="auto"/>
          </w:tcPr>
          <w:p w14:paraId="0E9A9D94" w14:textId="77777777" w:rsidR="00327FF7" w:rsidRPr="00327FF7" w:rsidRDefault="00327FF7" w:rsidP="00010B81">
            <w:pPr>
              <w:rPr>
                <w:rFonts w:asciiTheme="minorHAnsi" w:hAnsiTheme="minorHAnsi" w:cstheme="minorHAnsi"/>
                <w:color w:val="000000" w:themeColor="text1"/>
                <w:sz w:val="21"/>
                <w:szCs w:val="21"/>
              </w:rPr>
            </w:pPr>
            <w:r w:rsidRPr="00327FF7">
              <w:rPr>
                <w:rFonts w:asciiTheme="minorHAnsi" w:eastAsia="Calibri" w:hAnsiTheme="minorHAnsi" w:cstheme="minorHAnsi"/>
                <w:color w:val="000000" w:themeColor="text1"/>
                <w:sz w:val="21"/>
                <w:szCs w:val="21"/>
              </w:rPr>
              <w:t>Kadastrinių matavimų bylų parengimas</w:t>
            </w:r>
          </w:p>
        </w:tc>
        <w:tc>
          <w:tcPr>
            <w:tcW w:w="1955" w:type="dxa"/>
            <w:shd w:val="clear" w:color="auto" w:fill="auto"/>
          </w:tcPr>
          <w:p w14:paraId="5C9BF208"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p>
        </w:tc>
      </w:tr>
      <w:tr w:rsidR="00734051" w:rsidRPr="00F14D86" w14:paraId="776886AB" w14:textId="77777777" w:rsidTr="00EA5490">
        <w:tc>
          <w:tcPr>
            <w:tcW w:w="1011" w:type="dxa"/>
            <w:gridSpan w:val="2"/>
            <w:shd w:val="clear" w:color="auto" w:fill="auto"/>
          </w:tcPr>
          <w:p w14:paraId="6F0C422E"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color w:val="000000" w:themeColor="text1"/>
                <w:sz w:val="21"/>
                <w:szCs w:val="21"/>
              </w:rPr>
            </w:pPr>
            <w:r w:rsidRPr="00327FF7">
              <w:rPr>
                <w:rFonts w:asciiTheme="minorHAnsi" w:hAnsiTheme="minorHAnsi" w:cstheme="minorHAnsi"/>
                <w:color w:val="000000" w:themeColor="text1"/>
                <w:sz w:val="21"/>
                <w:szCs w:val="21"/>
              </w:rPr>
              <w:t>5.3.</w:t>
            </w:r>
          </w:p>
        </w:tc>
        <w:tc>
          <w:tcPr>
            <w:tcW w:w="6214" w:type="dxa"/>
            <w:shd w:val="clear" w:color="auto" w:fill="auto"/>
          </w:tcPr>
          <w:p w14:paraId="4453D3E6" w14:textId="77777777" w:rsidR="00327FF7" w:rsidRPr="00327FF7" w:rsidRDefault="00327FF7" w:rsidP="00010B81">
            <w:pPr>
              <w:rPr>
                <w:rFonts w:asciiTheme="minorHAnsi" w:eastAsia="Calibri" w:hAnsiTheme="minorHAnsi" w:cstheme="minorHAnsi"/>
                <w:color w:val="000000" w:themeColor="text1"/>
                <w:sz w:val="21"/>
                <w:szCs w:val="21"/>
              </w:rPr>
            </w:pPr>
            <w:r w:rsidRPr="00327FF7">
              <w:rPr>
                <w:rFonts w:asciiTheme="minorHAnsi" w:eastAsia="Calibri" w:hAnsiTheme="minorHAnsi" w:cstheme="minorHAnsi"/>
                <w:color w:val="000000" w:themeColor="text1"/>
                <w:sz w:val="21"/>
                <w:szCs w:val="21"/>
              </w:rPr>
              <w:t>Kiti statybos užbaigimą patvirtinantys dokumentai</w:t>
            </w:r>
          </w:p>
        </w:tc>
        <w:tc>
          <w:tcPr>
            <w:tcW w:w="1955" w:type="dxa"/>
            <w:shd w:val="clear" w:color="auto" w:fill="auto"/>
          </w:tcPr>
          <w:p w14:paraId="5EF4FBB0"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p>
        </w:tc>
      </w:tr>
      <w:tr w:rsidR="00734051" w:rsidRPr="00F14D86" w14:paraId="5F97FDFE" w14:textId="77777777" w:rsidTr="00EA5490">
        <w:tc>
          <w:tcPr>
            <w:tcW w:w="1011" w:type="dxa"/>
            <w:gridSpan w:val="2"/>
            <w:shd w:val="clear" w:color="auto" w:fill="auto"/>
          </w:tcPr>
          <w:p w14:paraId="623DF1AB" w14:textId="395EEEA4" w:rsidR="00327FF7" w:rsidRPr="00D05D8A"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color w:val="FF0000"/>
                <w:sz w:val="21"/>
                <w:szCs w:val="21"/>
              </w:rPr>
            </w:pPr>
            <w:r w:rsidRPr="00D05D8A">
              <w:rPr>
                <w:rFonts w:asciiTheme="minorHAnsi" w:hAnsiTheme="minorHAnsi" w:cstheme="minorHAnsi"/>
                <w:color w:val="FF0000"/>
                <w:sz w:val="21"/>
                <w:szCs w:val="21"/>
              </w:rPr>
              <w:t>5.4.</w:t>
            </w:r>
          </w:p>
        </w:tc>
        <w:tc>
          <w:tcPr>
            <w:tcW w:w="6214" w:type="dxa"/>
            <w:shd w:val="clear" w:color="auto" w:fill="auto"/>
          </w:tcPr>
          <w:p w14:paraId="7D6D109F" w14:textId="7B21B9AA" w:rsidR="00327FF7" w:rsidRPr="00D05D8A" w:rsidRDefault="00327FF7" w:rsidP="00010B81">
            <w:pPr>
              <w:rPr>
                <w:rFonts w:asciiTheme="minorHAnsi" w:eastAsia="Calibri" w:hAnsiTheme="minorHAnsi" w:cstheme="minorHAnsi"/>
                <w:color w:val="FF0000"/>
                <w:sz w:val="21"/>
                <w:szCs w:val="21"/>
              </w:rPr>
            </w:pPr>
            <w:r w:rsidRPr="00D05D8A">
              <w:rPr>
                <w:rFonts w:asciiTheme="minorHAnsi" w:eastAsia="Calibri" w:hAnsiTheme="minorHAnsi" w:cstheme="minorHAnsi"/>
                <w:color w:val="FF0000"/>
                <w:sz w:val="21"/>
                <w:szCs w:val="21"/>
              </w:rPr>
              <w:t>Elektroninio statybos darbų žurnalo užsakymas (prenumeratos užsakymas, statybos žurnalo pildymas ir saugojimas ir po statybos darbų baigimo jo pilnas perleidimas Užsakovui)</w:t>
            </w:r>
          </w:p>
        </w:tc>
        <w:tc>
          <w:tcPr>
            <w:tcW w:w="1955" w:type="dxa"/>
            <w:shd w:val="clear" w:color="auto" w:fill="auto"/>
          </w:tcPr>
          <w:p w14:paraId="5C23AC5B" w14:textId="77777777" w:rsidR="00327FF7" w:rsidRPr="00F14D86"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p>
        </w:tc>
      </w:tr>
      <w:tr w:rsidR="00734051" w:rsidRPr="00F14D86" w14:paraId="06100E1C" w14:textId="77777777" w:rsidTr="00EA5490">
        <w:tc>
          <w:tcPr>
            <w:tcW w:w="1011" w:type="dxa"/>
            <w:gridSpan w:val="2"/>
            <w:shd w:val="clear" w:color="auto" w:fill="auto"/>
          </w:tcPr>
          <w:p w14:paraId="0003585E"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color w:val="000000" w:themeColor="text1"/>
                <w:sz w:val="21"/>
                <w:szCs w:val="21"/>
              </w:rPr>
            </w:pPr>
          </w:p>
        </w:tc>
        <w:tc>
          <w:tcPr>
            <w:tcW w:w="6214" w:type="dxa"/>
            <w:shd w:val="clear" w:color="auto" w:fill="auto"/>
          </w:tcPr>
          <w:p w14:paraId="1B61C692" w14:textId="77777777" w:rsidR="00327FF7" w:rsidRPr="00327FF7" w:rsidRDefault="00327FF7" w:rsidP="00010B81">
            <w:pPr>
              <w:jc w:val="right"/>
              <w:rPr>
                <w:rFonts w:asciiTheme="minorHAnsi" w:eastAsia="Calibri" w:hAnsiTheme="minorHAnsi" w:cstheme="minorHAnsi"/>
                <w:color w:val="000000" w:themeColor="text1"/>
                <w:sz w:val="21"/>
                <w:szCs w:val="21"/>
              </w:rPr>
            </w:pPr>
            <w:r w:rsidRPr="00327FF7">
              <w:rPr>
                <w:rFonts w:asciiTheme="minorHAnsi" w:hAnsiTheme="minorHAnsi" w:cstheme="minorHAnsi"/>
                <w:b/>
                <w:bCs/>
                <w:color w:val="000000" w:themeColor="text1"/>
                <w:sz w:val="21"/>
                <w:szCs w:val="21"/>
              </w:rPr>
              <w:t>Bendra pasiūlymo kaina Eur be PVM</w:t>
            </w:r>
          </w:p>
        </w:tc>
        <w:tc>
          <w:tcPr>
            <w:tcW w:w="1955" w:type="dxa"/>
            <w:shd w:val="clear" w:color="auto" w:fill="auto"/>
          </w:tcPr>
          <w:p w14:paraId="110BA044"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p>
        </w:tc>
      </w:tr>
      <w:tr w:rsidR="00734051" w:rsidRPr="00F14D86" w14:paraId="6015B2A5" w14:textId="77777777" w:rsidTr="00EA5490">
        <w:tc>
          <w:tcPr>
            <w:tcW w:w="1011" w:type="dxa"/>
            <w:gridSpan w:val="2"/>
            <w:shd w:val="clear" w:color="auto" w:fill="auto"/>
          </w:tcPr>
          <w:p w14:paraId="30FA0940"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color w:val="000000" w:themeColor="text1"/>
                <w:sz w:val="21"/>
                <w:szCs w:val="21"/>
              </w:rPr>
            </w:pPr>
          </w:p>
        </w:tc>
        <w:tc>
          <w:tcPr>
            <w:tcW w:w="6214" w:type="dxa"/>
            <w:shd w:val="clear" w:color="auto" w:fill="auto"/>
          </w:tcPr>
          <w:p w14:paraId="03419982" w14:textId="77777777" w:rsidR="00327FF7" w:rsidRPr="00327FF7" w:rsidRDefault="00327FF7" w:rsidP="00010B81">
            <w:pPr>
              <w:jc w:val="right"/>
              <w:rPr>
                <w:rFonts w:asciiTheme="minorHAnsi" w:eastAsia="Calibri" w:hAnsiTheme="minorHAnsi" w:cstheme="minorHAnsi"/>
                <w:color w:val="000000" w:themeColor="text1"/>
                <w:sz w:val="21"/>
                <w:szCs w:val="21"/>
              </w:rPr>
            </w:pPr>
            <w:r w:rsidRPr="00327FF7">
              <w:rPr>
                <w:rFonts w:asciiTheme="minorHAnsi" w:hAnsiTheme="minorHAnsi" w:cstheme="minorHAnsi"/>
                <w:b/>
                <w:bCs/>
                <w:color w:val="000000" w:themeColor="text1"/>
                <w:sz w:val="21"/>
                <w:szCs w:val="21"/>
              </w:rPr>
              <w:t>PVM (</w:t>
            </w:r>
            <w:r w:rsidRPr="00327FF7">
              <w:rPr>
                <w:rFonts w:asciiTheme="minorHAnsi" w:hAnsiTheme="minorHAnsi" w:cstheme="minorHAnsi"/>
                <w:b/>
                <w:bCs/>
                <w:i/>
                <w:iCs/>
                <w:color w:val="000000" w:themeColor="text1"/>
                <w:sz w:val="21"/>
                <w:szCs w:val="21"/>
              </w:rPr>
              <w:t>tarifas</w:t>
            </w:r>
            <w:r w:rsidRPr="00327FF7">
              <w:rPr>
                <w:rFonts w:asciiTheme="minorHAnsi" w:hAnsiTheme="minorHAnsi" w:cstheme="minorHAnsi"/>
                <w:b/>
                <w:bCs/>
                <w:color w:val="000000" w:themeColor="text1"/>
                <w:sz w:val="21"/>
                <w:szCs w:val="21"/>
              </w:rPr>
              <w:t>) suma*</w:t>
            </w:r>
          </w:p>
        </w:tc>
        <w:tc>
          <w:tcPr>
            <w:tcW w:w="1955" w:type="dxa"/>
            <w:shd w:val="clear" w:color="auto" w:fill="auto"/>
          </w:tcPr>
          <w:p w14:paraId="06AAC35E"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p>
        </w:tc>
      </w:tr>
      <w:tr w:rsidR="00734051" w:rsidRPr="00F14D86" w14:paraId="159A9708" w14:textId="77777777" w:rsidTr="00EA5490">
        <w:tc>
          <w:tcPr>
            <w:tcW w:w="1011" w:type="dxa"/>
            <w:gridSpan w:val="2"/>
            <w:shd w:val="clear" w:color="auto" w:fill="auto"/>
          </w:tcPr>
          <w:p w14:paraId="3B7353B0"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color w:val="000000" w:themeColor="text1"/>
                <w:sz w:val="21"/>
                <w:szCs w:val="21"/>
              </w:rPr>
            </w:pPr>
          </w:p>
        </w:tc>
        <w:tc>
          <w:tcPr>
            <w:tcW w:w="6214" w:type="dxa"/>
            <w:shd w:val="clear" w:color="auto" w:fill="auto"/>
          </w:tcPr>
          <w:p w14:paraId="525E6186" w14:textId="77777777" w:rsidR="00327FF7" w:rsidRPr="00327FF7" w:rsidRDefault="00327FF7" w:rsidP="00010B81">
            <w:pPr>
              <w:jc w:val="right"/>
              <w:rPr>
                <w:rFonts w:asciiTheme="minorHAnsi" w:eastAsia="Calibri" w:hAnsiTheme="minorHAnsi" w:cstheme="minorHAnsi"/>
                <w:color w:val="000000" w:themeColor="text1"/>
                <w:sz w:val="21"/>
                <w:szCs w:val="21"/>
              </w:rPr>
            </w:pPr>
            <w:r w:rsidRPr="00327FF7">
              <w:rPr>
                <w:rFonts w:asciiTheme="minorHAnsi" w:hAnsiTheme="minorHAnsi" w:cstheme="minorHAnsi"/>
                <w:b/>
                <w:bCs/>
                <w:color w:val="000000" w:themeColor="text1"/>
                <w:sz w:val="21"/>
                <w:szCs w:val="21"/>
              </w:rPr>
              <w:t>Bendra pasiūlymo kaina Eur su PVM</w:t>
            </w:r>
          </w:p>
        </w:tc>
        <w:tc>
          <w:tcPr>
            <w:tcW w:w="1955" w:type="dxa"/>
            <w:shd w:val="clear" w:color="auto" w:fill="auto"/>
          </w:tcPr>
          <w:p w14:paraId="09D042AD" w14:textId="77777777" w:rsidR="00327FF7" w:rsidRPr="00327FF7" w:rsidRDefault="00327FF7" w:rsidP="00010B8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asciiTheme="minorHAnsi" w:hAnsiTheme="minorHAnsi" w:cstheme="minorHAnsi"/>
                <w:b/>
                <w:bCs/>
                <w:color w:val="000000" w:themeColor="text1"/>
                <w:sz w:val="21"/>
                <w:szCs w:val="21"/>
              </w:rPr>
            </w:pPr>
          </w:p>
        </w:tc>
      </w:tr>
      <w:tr w:rsidR="00EA5490" w:rsidRPr="00F14D86" w14:paraId="0FFAE1D1" w14:textId="77777777" w:rsidTr="00EA54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576" w:type="dxa"/>
          <w:trHeight w:val="186"/>
        </w:trPr>
        <w:tc>
          <w:tcPr>
            <w:tcW w:w="604" w:type="dxa"/>
          </w:tcPr>
          <w:p w14:paraId="4E01F0D3" w14:textId="77777777" w:rsidR="00EA5490" w:rsidRPr="00F14D86" w:rsidRDefault="00EA5490" w:rsidP="00010B81">
            <w:pPr>
              <w:widowControl w:val="0"/>
              <w:snapToGrid w:val="0"/>
              <w:jc w:val="center"/>
              <w:rPr>
                <w:rFonts w:asciiTheme="minorHAnsi" w:hAnsiTheme="minorHAnsi" w:cstheme="minorHAnsi"/>
                <w:color w:val="000000" w:themeColor="text1"/>
                <w:sz w:val="21"/>
                <w:szCs w:val="21"/>
              </w:rPr>
            </w:pPr>
          </w:p>
        </w:tc>
      </w:tr>
    </w:tbl>
    <w:p w14:paraId="26B5D044" w14:textId="10C73501" w:rsidR="00E31E2A" w:rsidRPr="00F14D86" w:rsidRDefault="00AF3529" w:rsidP="00F14D86">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 xml:space="preserve">Pagal Viešųjų pirkimų tarnybos viešos konsultacijos nuostatas, Perkantysis subjektas pateikdamas šiuos atsakymus į teikėjų klausimus (Pirkimo dokumentų paaiškinimus/patikslinimus) aiškiai, ne dviprasmiškai ir visiems rinkos dalyviams vienodai nurodo kokios konkrečios </w:t>
      </w:r>
      <w:r w:rsidR="00374E33" w:rsidRPr="00F14D86">
        <w:rPr>
          <w:rFonts w:asciiTheme="minorHAnsi" w:hAnsiTheme="minorHAnsi" w:cstheme="minorHAnsi"/>
          <w:color w:val="000000" w:themeColor="text1"/>
          <w:sz w:val="21"/>
          <w:szCs w:val="21"/>
        </w:rPr>
        <w:t xml:space="preserve">Pirkimo sąlygos (konkrečių Pirkimo dokumentų konkrečių reikalavimų nuostatos) ir kaip tikslinamos arba keičiamos bei paaiškinamos. LR viešųjų pirkimų įstatymo 2 str. 39 dalis </w:t>
      </w:r>
      <w:r w:rsidR="007A13D4">
        <w:rPr>
          <w:rFonts w:asciiTheme="minorHAnsi" w:hAnsiTheme="minorHAnsi" w:cstheme="minorHAnsi"/>
          <w:color w:val="000000" w:themeColor="text1"/>
          <w:sz w:val="21"/>
          <w:szCs w:val="21"/>
        </w:rPr>
        <w:t>„</w:t>
      </w:r>
      <w:r w:rsidR="00374E33" w:rsidRPr="00F14D86">
        <w:rPr>
          <w:rFonts w:asciiTheme="minorHAnsi" w:hAnsiTheme="minorHAnsi" w:cstheme="minorHAnsi"/>
          <w:color w:val="000000" w:themeColor="text1"/>
          <w:sz w:val="21"/>
          <w:szCs w:val="21"/>
        </w:rPr>
        <w:t xml:space="preserve">Viešojo pirkimo dokumentai (toliau – pirkimo dokumentai) – perkančiosios organizacijos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w:t>
      </w:r>
      <w:r w:rsidR="00374E33" w:rsidRPr="00F14D86">
        <w:rPr>
          <w:rFonts w:asciiTheme="minorHAnsi" w:hAnsiTheme="minorHAnsi" w:cstheme="minorHAnsi"/>
          <w:b/>
          <w:bCs/>
          <w:i/>
          <w:iCs/>
          <w:color w:val="000000" w:themeColor="text1"/>
          <w:sz w:val="21"/>
          <w:szCs w:val="21"/>
          <w:u w:val="single"/>
        </w:rPr>
        <w:t>jų paaiškinimai (patikslinimai)</w:t>
      </w:r>
      <w:r w:rsidR="007A13D4">
        <w:rPr>
          <w:rFonts w:asciiTheme="minorHAnsi" w:hAnsiTheme="minorHAnsi" w:cstheme="minorHAnsi"/>
          <w:b/>
          <w:bCs/>
          <w:i/>
          <w:iCs/>
          <w:color w:val="000000" w:themeColor="text1"/>
          <w:sz w:val="21"/>
          <w:szCs w:val="21"/>
          <w:u w:val="single"/>
        </w:rPr>
        <w:t>“</w:t>
      </w:r>
      <w:r w:rsidR="00374E33" w:rsidRPr="00F14D86">
        <w:rPr>
          <w:rFonts w:asciiTheme="minorHAnsi" w:hAnsiTheme="minorHAnsi" w:cstheme="minorHAnsi"/>
          <w:color w:val="000000" w:themeColor="text1"/>
          <w:sz w:val="21"/>
          <w:szCs w:val="21"/>
        </w:rPr>
        <w:t xml:space="preserve">. </w:t>
      </w:r>
    </w:p>
    <w:p w14:paraId="02391BB1" w14:textId="5A354E60" w:rsidR="00374E33" w:rsidRPr="00F14D86" w:rsidRDefault="00374E33" w:rsidP="00F14D86">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Pateikiant atsakymus į tiekėjų klausimus (Pirkimo dokumentų paaiškinimus/patikslinimus), pirminės redakcijos Pirkimo dokumentai</w:t>
      </w:r>
      <w:r w:rsidR="00F14D86" w:rsidRPr="00F14D86">
        <w:rPr>
          <w:rFonts w:asciiTheme="minorHAnsi" w:hAnsiTheme="minorHAnsi" w:cstheme="minorHAnsi"/>
          <w:color w:val="000000" w:themeColor="text1"/>
          <w:sz w:val="21"/>
          <w:szCs w:val="21"/>
        </w:rPr>
        <w:t xml:space="preserve"> ne ištrinami ir lieka viešai CVP IS sistemoje prieinami bei galioja tiek kiek nebuvo aiškiai pakeisti pateikiant atsakymus į teikėjų klausimus (Pirkimo dokumentų paaiškinimus/patikslinimus).</w:t>
      </w:r>
    </w:p>
    <w:p w14:paraId="4A0CAA04" w14:textId="62E33FEE" w:rsidR="00F14D86" w:rsidRPr="00F14D86" w:rsidRDefault="00F14D86" w:rsidP="00F14D86">
      <w:pPr>
        <w:jc w:val="both"/>
        <w:rPr>
          <w:rFonts w:asciiTheme="minorHAnsi" w:hAnsiTheme="minorHAnsi" w:cstheme="minorHAnsi"/>
          <w:color w:val="000000" w:themeColor="text1"/>
          <w:sz w:val="21"/>
          <w:szCs w:val="21"/>
        </w:rPr>
      </w:pPr>
    </w:p>
    <w:p w14:paraId="43187D8E" w14:textId="791B0F61" w:rsidR="00F14D86" w:rsidRPr="00F14D86" w:rsidRDefault="00F14D86" w:rsidP="00F14D86">
      <w:pPr>
        <w:jc w:val="both"/>
        <w:rPr>
          <w:rFonts w:asciiTheme="minorHAnsi" w:hAnsiTheme="minorHAnsi" w:cstheme="minorHAnsi"/>
          <w:color w:val="000000" w:themeColor="text1"/>
          <w:sz w:val="21"/>
          <w:szCs w:val="21"/>
        </w:rPr>
      </w:pPr>
      <w:r w:rsidRPr="00F14D86">
        <w:rPr>
          <w:rFonts w:asciiTheme="minorHAnsi" w:hAnsiTheme="minorHAnsi" w:cstheme="minorHAnsi"/>
          <w:color w:val="000000" w:themeColor="text1"/>
          <w:sz w:val="21"/>
          <w:szCs w:val="21"/>
        </w:rPr>
        <w:t>Viešojo pirkimo komisija</w:t>
      </w:r>
    </w:p>
    <w:sectPr w:rsidR="00F14D86" w:rsidRPr="00F14D86" w:rsidSect="002C0B03">
      <w:pgSz w:w="11906" w:h="16838"/>
      <w:pgMar w:top="147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9DDD" w14:textId="77777777" w:rsidR="007C5B0F" w:rsidRDefault="007C5B0F" w:rsidP="00734051">
      <w:r>
        <w:separator/>
      </w:r>
    </w:p>
  </w:endnote>
  <w:endnote w:type="continuationSeparator" w:id="0">
    <w:p w14:paraId="37B3AD83" w14:textId="77777777" w:rsidR="007C5B0F" w:rsidRDefault="007C5B0F" w:rsidP="0073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116C" w14:textId="77777777" w:rsidR="007C5B0F" w:rsidRDefault="007C5B0F" w:rsidP="00734051">
      <w:r>
        <w:separator/>
      </w:r>
    </w:p>
  </w:footnote>
  <w:footnote w:type="continuationSeparator" w:id="0">
    <w:p w14:paraId="51B089CF" w14:textId="77777777" w:rsidR="007C5B0F" w:rsidRDefault="007C5B0F" w:rsidP="0073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24AE3"/>
    <w:multiLevelType w:val="hybridMultilevel"/>
    <w:tmpl w:val="8078E2F0"/>
    <w:lvl w:ilvl="0" w:tplc="BB124A94">
      <w:start w:val="1"/>
      <w:numFmt w:val="decimal"/>
      <w:lvlText w:val="%1."/>
      <w:lvlJc w:val="center"/>
      <w:pPr>
        <w:ind w:left="895" w:hanging="360"/>
      </w:pPr>
      <w:rPr>
        <w:caps w:val="0"/>
      </w:rPr>
    </w:lvl>
    <w:lvl w:ilvl="1" w:tplc="04270019">
      <w:start w:val="1"/>
      <w:numFmt w:val="lowerLetter"/>
      <w:lvlText w:val="%2."/>
      <w:lvlJc w:val="left"/>
      <w:pPr>
        <w:ind w:left="1615" w:hanging="360"/>
      </w:pPr>
    </w:lvl>
    <w:lvl w:ilvl="2" w:tplc="0427001B">
      <w:start w:val="1"/>
      <w:numFmt w:val="lowerRoman"/>
      <w:lvlText w:val="%3."/>
      <w:lvlJc w:val="right"/>
      <w:pPr>
        <w:ind w:left="2335" w:hanging="180"/>
      </w:pPr>
    </w:lvl>
    <w:lvl w:ilvl="3" w:tplc="0427000F">
      <w:start w:val="1"/>
      <w:numFmt w:val="decimal"/>
      <w:lvlText w:val="%4."/>
      <w:lvlJc w:val="left"/>
      <w:pPr>
        <w:ind w:left="3055" w:hanging="360"/>
      </w:pPr>
    </w:lvl>
    <w:lvl w:ilvl="4" w:tplc="04270019">
      <w:start w:val="1"/>
      <w:numFmt w:val="lowerLetter"/>
      <w:lvlText w:val="%5."/>
      <w:lvlJc w:val="left"/>
      <w:pPr>
        <w:ind w:left="3775" w:hanging="360"/>
      </w:pPr>
    </w:lvl>
    <w:lvl w:ilvl="5" w:tplc="0427001B">
      <w:start w:val="1"/>
      <w:numFmt w:val="lowerRoman"/>
      <w:lvlText w:val="%6."/>
      <w:lvlJc w:val="right"/>
      <w:pPr>
        <w:ind w:left="4495" w:hanging="180"/>
      </w:pPr>
    </w:lvl>
    <w:lvl w:ilvl="6" w:tplc="0427000F">
      <w:start w:val="1"/>
      <w:numFmt w:val="decimal"/>
      <w:lvlText w:val="%7."/>
      <w:lvlJc w:val="left"/>
      <w:pPr>
        <w:ind w:left="5215" w:hanging="360"/>
      </w:pPr>
    </w:lvl>
    <w:lvl w:ilvl="7" w:tplc="04270019">
      <w:start w:val="1"/>
      <w:numFmt w:val="lowerLetter"/>
      <w:lvlText w:val="%8."/>
      <w:lvlJc w:val="left"/>
      <w:pPr>
        <w:ind w:left="5935" w:hanging="360"/>
      </w:pPr>
    </w:lvl>
    <w:lvl w:ilvl="8" w:tplc="0427001B">
      <w:start w:val="1"/>
      <w:numFmt w:val="lowerRoman"/>
      <w:lvlText w:val="%9."/>
      <w:lvlJc w:val="right"/>
      <w:pPr>
        <w:ind w:left="6655" w:hanging="180"/>
      </w:pPr>
    </w:lvl>
  </w:abstractNum>
  <w:abstractNum w:abstractNumId="1" w15:restartNumberingAfterBreak="0">
    <w:nsid w:val="6F457A5F"/>
    <w:multiLevelType w:val="hybridMultilevel"/>
    <w:tmpl w:val="F7EE0C06"/>
    <w:lvl w:ilvl="0" w:tplc="AE0A6206">
      <w:start w:val="1"/>
      <w:numFmt w:val="decimal"/>
      <w:lvlText w:val="%1."/>
      <w:lvlJc w:val="left"/>
      <w:pPr>
        <w:ind w:left="720" w:hanging="360"/>
      </w:pPr>
      <w:rPr>
        <w:rFonts w:cs="Times New Roman"/>
        <w:i w:val="0"/>
        <w:color w:val="auto"/>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33220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7225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2"/>
    <w:rsid w:val="00010B81"/>
    <w:rsid w:val="00091446"/>
    <w:rsid w:val="0018105F"/>
    <w:rsid w:val="001F4CBE"/>
    <w:rsid w:val="002C0B03"/>
    <w:rsid w:val="00327FF7"/>
    <w:rsid w:val="00374E33"/>
    <w:rsid w:val="005625E4"/>
    <w:rsid w:val="005814EF"/>
    <w:rsid w:val="005C59EE"/>
    <w:rsid w:val="005D79FB"/>
    <w:rsid w:val="006371F7"/>
    <w:rsid w:val="00734051"/>
    <w:rsid w:val="007A13D4"/>
    <w:rsid w:val="007C5B0F"/>
    <w:rsid w:val="00906D7B"/>
    <w:rsid w:val="00AF3529"/>
    <w:rsid w:val="00CC6014"/>
    <w:rsid w:val="00CE4132"/>
    <w:rsid w:val="00D05D8A"/>
    <w:rsid w:val="00DA206C"/>
    <w:rsid w:val="00DD26ED"/>
    <w:rsid w:val="00E31E2A"/>
    <w:rsid w:val="00E433D2"/>
    <w:rsid w:val="00E859FA"/>
    <w:rsid w:val="00EA5490"/>
    <w:rsid w:val="00F14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C085"/>
  <w15:docId w15:val="{F271F346-AD0F-4948-BF05-EBD6F1ED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7FF7"/>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CE413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unhideWhenUsed/>
    <w:rsid w:val="00562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5625E4"/>
    <w:rPr>
      <w:color w:val="0000FF"/>
      <w:u w:val="single"/>
    </w:rPr>
  </w:style>
  <w:style w:type="character" w:customStyle="1" w:styleId="apple-converted-space">
    <w:name w:val="apple-converted-space"/>
    <w:basedOn w:val="Numatytasispastraiposriftas"/>
    <w:rsid w:val="005625E4"/>
  </w:style>
  <w:style w:type="character" w:styleId="Perirtashipersaitas">
    <w:name w:val="FollowedHyperlink"/>
    <w:basedOn w:val="Numatytasispastraiposriftas"/>
    <w:uiPriority w:val="99"/>
    <w:semiHidden/>
    <w:unhideWhenUsed/>
    <w:rsid w:val="005625E4"/>
    <w:rPr>
      <w:color w:val="800080" w:themeColor="followedHyperlink"/>
      <w:u w:val="single"/>
    </w:rPr>
  </w:style>
  <w:style w:type="paragraph" w:styleId="Sraopastraipa">
    <w:name w:val="List Paragraph"/>
    <w:basedOn w:val="prastasis"/>
    <w:uiPriority w:val="34"/>
    <w:qFormat/>
    <w:rsid w:val="00010B81"/>
    <w:pPr>
      <w:spacing w:after="160" w:line="259" w:lineRule="auto"/>
      <w:ind w:left="720"/>
      <w:contextualSpacing/>
    </w:pPr>
    <w:rPr>
      <w:rFonts w:asciiTheme="minorHAnsi" w:eastAsiaTheme="minorHAnsi" w:hAnsiTheme="minorHAnsi" w:cstheme="minorBidi"/>
      <w:sz w:val="22"/>
      <w:szCs w:val="22"/>
      <w:lang w:eastAsia="en-US"/>
    </w:rPr>
  </w:style>
  <w:style w:type="paragraph" w:styleId="Antrats">
    <w:name w:val="header"/>
    <w:basedOn w:val="prastasis"/>
    <w:link w:val="AntratsDiagrama"/>
    <w:uiPriority w:val="99"/>
    <w:unhideWhenUsed/>
    <w:rsid w:val="00734051"/>
    <w:pPr>
      <w:tabs>
        <w:tab w:val="center" w:pos="4513"/>
        <w:tab w:val="right" w:pos="9026"/>
      </w:tabs>
    </w:pPr>
  </w:style>
  <w:style w:type="character" w:customStyle="1" w:styleId="AntratsDiagrama">
    <w:name w:val="Antraštės Diagrama"/>
    <w:basedOn w:val="Numatytasispastraiposriftas"/>
    <w:link w:val="Antrats"/>
    <w:uiPriority w:val="99"/>
    <w:rsid w:val="00734051"/>
    <w:rPr>
      <w:rFonts w:ascii="Times New Roman" w:eastAsia="Times New Roman" w:hAnsi="Times New Roman" w:cs="Times New Roman"/>
      <w:sz w:val="24"/>
      <w:szCs w:val="24"/>
      <w:lang w:eastAsia="en-GB"/>
    </w:rPr>
  </w:style>
  <w:style w:type="paragraph" w:styleId="Porat">
    <w:name w:val="footer"/>
    <w:basedOn w:val="prastasis"/>
    <w:link w:val="PoratDiagrama"/>
    <w:uiPriority w:val="99"/>
    <w:unhideWhenUsed/>
    <w:rsid w:val="00734051"/>
    <w:pPr>
      <w:tabs>
        <w:tab w:val="center" w:pos="4513"/>
        <w:tab w:val="right" w:pos="9026"/>
      </w:tabs>
    </w:pPr>
  </w:style>
  <w:style w:type="character" w:customStyle="1" w:styleId="PoratDiagrama">
    <w:name w:val="Poraštė Diagrama"/>
    <w:basedOn w:val="Numatytasispastraiposriftas"/>
    <w:link w:val="Porat"/>
    <w:uiPriority w:val="99"/>
    <w:rsid w:val="0073405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426">
      <w:bodyDiv w:val="1"/>
      <w:marLeft w:val="0"/>
      <w:marRight w:val="0"/>
      <w:marTop w:val="0"/>
      <w:marBottom w:val="0"/>
      <w:divBdr>
        <w:top w:val="none" w:sz="0" w:space="0" w:color="auto"/>
        <w:left w:val="none" w:sz="0" w:space="0" w:color="auto"/>
        <w:bottom w:val="none" w:sz="0" w:space="0" w:color="auto"/>
        <w:right w:val="none" w:sz="0" w:space="0" w:color="auto"/>
      </w:divBdr>
    </w:div>
    <w:div w:id="653920964">
      <w:bodyDiv w:val="1"/>
      <w:marLeft w:val="0"/>
      <w:marRight w:val="0"/>
      <w:marTop w:val="0"/>
      <w:marBottom w:val="0"/>
      <w:divBdr>
        <w:top w:val="none" w:sz="0" w:space="0" w:color="auto"/>
        <w:left w:val="none" w:sz="0" w:space="0" w:color="auto"/>
        <w:bottom w:val="none" w:sz="0" w:space="0" w:color="auto"/>
        <w:right w:val="none" w:sz="0" w:space="0" w:color="auto"/>
      </w:divBdr>
    </w:div>
    <w:div w:id="17841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nkeles.lt/home/128-betonine-trinkele-kg-gt-2-8-200x100x80.html" TargetMode="External"/><Relationship Id="rId3" Type="http://schemas.openxmlformats.org/officeDocument/2006/relationships/settings" Target="settings.xml"/><Relationship Id="rId7" Type="http://schemas.openxmlformats.org/officeDocument/2006/relationships/hyperlink" Target="https://eur-lex.europa.eu/legal-content/LT/TXT/?uri=CELEX:32022R05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4414</Words>
  <Characters>2516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Kizelevičius</dc:creator>
  <cp:lastModifiedBy>Violeta Ambrazevičienė</cp:lastModifiedBy>
  <cp:revision>7</cp:revision>
  <dcterms:created xsi:type="dcterms:W3CDTF">2022-08-21T10:26:00Z</dcterms:created>
  <dcterms:modified xsi:type="dcterms:W3CDTF">2022-08-23T13:52:00Z</dcterms:modified>
</cp:coreProperties>
</file>