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VIEŠŲJŲ 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PIRKIM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Ų 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PLANAVIMO, REGISTRAVIMO IR VALDYMO PROGRAMIN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ĖS Į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RANGOS LICENCIJ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Ų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 PIRKIMO-PARDAVIMO SUTARTIS 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fr-FR"/>
        </w:rPr>
        <w:t>NR.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 xml:space="preserve"> _______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color="000000"/>
        </w:rPr>
      </w:pPr>
    </w:p>
    <w:p w:rsidR="004F3F6C" w:rsidRPr="00C04D1B" w:rsidRDefault="00523070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20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="00E3372D"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m. </w:t>
      </w:r>
      <w:r w:rsidR="00E3372D" w:rsidRPr="00C04D1B">
        <w:rPr>
          <w:rFonts w:ascii="Times New Roman" w:hAnsi="Times New Roman" w:cs="Times New Roman"/>
          <w:sz w:val="24"/>
          <w:szCs w:val="24"/>
          <w:u w:color="000000"/>
        </w:rPr>
        <w:t>spalio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___ 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>d.</w:t>
      </w:r>
    </w:p>
    <w:p w:rsidR="004F3F6C" w:rsidRPr="00C04D1B" w:rsidRDefault="004F3F6C" w:rsidP="004F3F6C">
      <w:pPr>
        <w:pStyle w:val="Body"/>
        <w:tabs>
          <w:tab w:val="left" w:pos="540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C04D1B" w:rsidRDefault="00E3372D" w:rsidP="004F3F6C">
      <w:pPr>
        <w:pStyle w:val="Body"/>
        <w:tabs>
          <w:tab w:val="left" w:pos="54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Prienų rajono savivaldybės adminis</w:t>
      </w:r>
      <w:r w:rsidR="004869A9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racija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, atstovaujama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direktorės Jūratės Zailskienės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>, veikiančio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pagal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įstaigos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nuostatus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(toliau – Pirkė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jas), </w:t>
      </w:r>
    </w:p>
    <w:p w:rsidR="004F3F6C" w:rsidRPr="00C04D1B" w:rsidRDefault="004F3F6C" w:rsidP="004F3F6C">
      <w:pPr>
        <w:pStyle w:val="Body"/>
        <w:tabs>
          <w:tab w:val="left" w:pos="54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ir</w:t>
      </w:r>
    </w:p>
    <w:p w:rsidR="004F3F6C" w:rsidRPr="00C04D1B" w:rsidRDefault="00E3372D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UAB ECOCOST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, atstovaujama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direktoriaus Karolio Šerpyčio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>, veikianč</w:t>
      </w:r>
      <w:r w:rsidR="00082EE3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io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pagal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bendrov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</w:rPr>
        <w:t>ės įstatus (toliau − Pardavė</w:t>
      </w:r>
      <w:r w:rsidR="004F3F6C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jas),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toliau kartu šioje sutartyje vadinami Šalimis, o kiekvienas atskirai – Šalimi, sudarė šią sutartį, toliau vadinamą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Sutartimi, ir susitar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 dėl toliau išvardintų sąlygų: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I. SUTARTIES DALYKAS 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1. Sutarties dalykas yra programinės į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rangos licencij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os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, kurios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suteikia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teis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ę </w:t>
      </w:r>
      <w:r w:rsidR="004869A9">
        <w:rPr>
          <w:rFonts w:ascii="Times New Roman" w:hAnsi="Times New Roman" w:cs="Times New Roman"/>
          <w:sz w:val="24"/>
          <w:szCs w:val="24"/>
          <w:u w:color="000000"/>
        </w:rPr>
        <w:t xml:space="preserve">Prienų rajono savivaldybei pavaldžioms įstaigoms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naudotis viešųjų pirkimų planavimo, registravimo ir valdymo programine į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ranga (toliau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bendrai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– Prekės arba Programinė įranga), kurių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technin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 specifikacija pateikta Sutarties priede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Nr 1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</w:p>
    <w:p w:rsidR="004F3F6C" w:rsidRPr="00C04D1B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II. KAINODARA IR ATSISKAITYMO TVARKA</w:t>
      </w:r>
    </w:p>
    <w:p w:rsidR="004F3F6C" w:rsidRPr="00C04D1B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2. Sutarties kaina </w:t>
      </w:r>
      <w:r w:rsidR="00E3372D" w:rsidRPr="00C04D1B">
        <w:rPr>
          <w:rFonts w:ascii="Times New Roman" w:hAnsi="Times New Roman" w:cs="Times New Roman"/>
          <w:sz w:val="24"/>
          <w:szCs w:val="24"/>
          <w:u w:color="000000"/>
        </w:rPr>
        <w:t>8600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de-DE"/>
        </w:rPr>
        <w:t>E</w:t>
      </w:r>
      <w:r w:rsidR="00257E49"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de-DE"/>
        </w:rPr>
        <w:t>ur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de-DE"/>
        </w:rPr>
        <w:t xml:space="preserve"> (</w:t>
      </w:r>
      <w:r w:rsidR="00257E49"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de-DE"/>
        </w:rPr>
        <w:t>aštuoni tūkstančiai šeši šimtai eurų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es-ES_tradnl"/>
        </w:rPr>
        <w:t>)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</w:rPr>
        <w:t>be pridėtinės vertės mokesčio (toliau - PVM)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kaina su PVM yra </w:t>
      </w:r>
      <w:r w:rsidR="00257E49" w:rsidRPr="00C04D1B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10406 Eur 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</w:rPr>
        <w:t>(</w:t>
      </w:r>
      <w:r w:rsidR="00257E49" w:rsidRPr="00C04D1B">
        <w:rPr>
          <w:rFonts w:ascii="Times New Roman" w:hAnsi="Times New Roman" w:cs="Times New Roman"/>
          <w:i/>
          <w:iCs/>
          <w:sz w:val="24"/>
          <w:szCs w:val="24"/>
          <w:u w:color="000000"/>
        </w:rPr>
        <w:t>dešimt tūkstančių keturi šimtai šeši eurai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es-ES_tradnl"/>
        </w:rPr>
        <w:t>)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,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 kurią įeina visi mokesčiai ir visos kitos su sutarties vykdymu susijusios Pardavė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a-DK"/>
        </w:rPr>
        <w:t>jo 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laidos. </w:t>
      </w:r>
    </w:p>
    <w:p w:rsidR="004F3F6C" w:rsidRPr="00C04D1B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3. Sutarties galiojimo metu Sutarties kaina nekeič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iama.</w:t>
      </w:r>
    </w:p>
    <w:p w:rsidR="004F3F6C" w:rsidRPr="00C04D1B" w:rsidRDefault="004F3F6C" w:rsidP="004F3F6C">
      <w:pPr>
        <w:pStyle w:val="Body"/>
        <w:keepNext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4. Pirkė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 u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ž Prekes atsiskaito</w:t>
      </w:r>
      <w:r w:rsidR="00A16F75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per 30 (trisdešimt) kalendorinių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prekių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perdavimo bei PVM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s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ąskaitos-faktū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ros 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per “E-sąskaita” informacinę sistema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gavimo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dienos, pervesdamas l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as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į Sutartyje nurodytą Pardavėjo banko sąskaitą. </w:t>
      </w:r>
      <w:r w:rsidR="001A2D3E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Sąskaita turi būti pateikta per 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“E-sąskaita” </w:t>
      </w:r>
      <w:r w:rsidR="001A2D3E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Pardavėjo kaštais.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III. ŠALIŲ Į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SIPAREIGOJIMAI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 Pardavė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įsipareigoja: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5.1. Pirkėjo nurodytus reikalavimus atitinkanč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ias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>prekes</w:t>
      </w:r>
      <w:r w:rsidR="00F27E79" w:rsidRPr="00C04D1B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 xml:space="preserve"> </w:t>
      </w:r>
      <w:r w:rsidRPr="00C04D1B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>įdiegti per vieną</w:t>
      </w:r>
      <w:r w:rsidR="00F27E79" w:rsidRPr="00C04D1B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 xml:space="preserve"> </w:t>
      </w:r>
      <w:r w:rsidRPr="00C04D1B">
        <w:rPr>
          <w:rFonts w:ascii="Times New Roman" w:hAnsi="Times New Roman" w:cs="Times New Roman"/>
          <w:b/>
          <w:i/>
          <w:sz w:val="24"/>
          <w:szCs w:val="24"/>
          <w:u w:color="000000"/>
          <w:lang w:val="en-US"/>
        </w:rPr>
        <w:t>mėnesį</w:t>
      </w:r>
      <w:r w:rsidRPr="00C04D1B">
        <w:rPr>
          <w:rFonts w:ascii="Times New Roman" w:hAnsi="Times New Roman" w:cs="Times New Roman"/>
          <w:b/>
          <w:i/>
          <w:sz w:val="24"/>
          <w:szCs w:val="24"/>
          <w:u w:color="000000"/>
        </w:rPr>
        <w:t xml:space="preserve"> nuo sutarties sudarymo.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5.2. užtikrinti, kad kartu su perduodama programine įranga bus perduotos jos veikimui užtikrinti būtinų trečiųjų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asmen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ų programinių produktų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licencijos ir atsakyti u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ž tai, kad perduodama programinė įranga nepaž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eid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ž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ia tre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čiųjų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asmen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patentini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ų, pramoninių, autorių ar kitų intelektinės nuosavybės teisių ir kad perkančioji organizacija nepatirs jokių teisinių išlaidų ar nuostolių dėl reikalavimų arba įpareigojimų, susijusių su intelektinės nuosavybės teisė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mis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į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sutarties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dalyk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ą, išskyrus atvejus, kai toks paž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eidimasatsiranda d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ėl Pirkėjos kaltė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5.3. kartu su Programine įranga pateikti Pirkėjui visą būtiną dokumentaciją;</w:t>
      </w:r>
    </w:p>
    <w:p w:rsidR="000977E6" w:rsidRPr="00C04D1B" w:rsidRDefault="000977E6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5.4. apmokyti Pirkėjo darbuotojus ir teikti konsultacijas Programinės įrangos naudojimo metu;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C04D1B">
        <w:rPr>
          <w:rFonts w:ascii="Times New Roman" w:hAnsi="Times New Roman" w:cs="Times New Roman"/>
          <w:sz w:val="24"/>
          <w:szCs w:val="24"/>
          <w:u w:color="000000"/>
        </w:rPr>
        <w:t>5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Prekių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perdavim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 į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formintiperdavimo-pri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ėmimo aktu;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C04D1B">
        <w:rPr>
          <w:rFonts w:ascii="Times New Roman" w:hAnsi="Times New Roman" w:cs="Times New Roman"/>
          <w:sz w:val="24"/>
          <w:szCs w:val="24"/>
          <w:u w:color="000000"/>
        </w:rPr>
        <w:t>6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gavus Pirkė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jo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prane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šimą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apie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Prekių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trūkumus (įskaitant ir paslėptus) pakeisti jas į kokybiš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kas ne v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liaukaip per 5 (penkias) darbo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dienas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prane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imo apie tr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ū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kumus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gavimo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dienos;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C04D1B">
        <w:rPr>
          <w:rFonts w:ascii="Times New Roman" w:hAnsi="Times New Roman" w:cs="Times New Roman"/>
          <w:sz w:val="24"/>
          <w:szCs w:val="24"/>
          <w:u w:color="000000"/>
        </w:rPr>
        <w:t>7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</w:rPr>
        <w:t>sutarties galiojimo laiku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neatlygintinai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atlikti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programin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ės į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rangos pataisymus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ir</w:t>
      </w:r>
      <w:r w:rsidR="00D0593D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atnaujinimus, kai tokie bus Pardavėjo sukurti ir iš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leisti.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Šia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sutartimi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nesuteikiama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teisė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Pirkėjui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lastRenderedPageBreak/>
        <w:t>koreguoti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programinės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įrangos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turinio, kadangi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pardavėjas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pasilieka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išimtinę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teisę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atlikti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programinės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įrangos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pakeitimus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5.</w:t>
      </w:r>
      <w:r w:rsidR="000977E6" w:rsidRPr="00C04D1B">
        <w:rPr>
          <w:rFonts w:ascii="Times New Roman" w:hAnsi="Times New Roman" w:cs="Times New Roman"/>
          <w:sz w:val="24"/>
          <w:szCs w:val="24"/>
          <w:u w:color="000000"/>
        </w:rPr>
        <w:t>8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užtikrinti iš Pirkėjo Sutarties vykdymo metu gautos ar sukurtos ir su Sutarties vykdymu susijusios informacijos konfidencialumą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bei apsaug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ą.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6. Pirkė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įsipareigoja: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6.1. priimti pirkimo dokumentuose numatytus reikalavimus atitinkančias Prekes, pasirašant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perdavimo-pri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ėmimo aktus;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6.2. sumokėti už Prekes Sutartyje nustatyta tvarka;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6.3. užtikrinti, kad naudos programinę įrangą pagal jos įprastą paskirtį;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6.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4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programinės įrangos naudojimo metu priiminėti sprendimus vadovautis Lietuvos Respublikos viešųjų pirkimų įstatymu ir kitais viešuosius pirkimus reglamentuojančiais teisės aktais;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6.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5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nustačius bet kokius Prekių trūkumus (įskaitant ir paslė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ptus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tr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ūkumus), ne vė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liau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kaip per 2 (dvi) darbodienas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prane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šti apie tai Pardavėjui.</w:t>
      </w:r>
    </w:p>
    <w:p w:rsidR="004F3F6C" w:rsidRPr="00C04D1B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IV. ŠALIŲ ATSAKOMYBĖ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748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7. Pardavėjas Sutartyje nustatyta tvarka neperdavęs Prekių ir neįvykdęs kitų įsipareigojimų, moka Pirkėjui 0,02 (dvi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imtosios) procento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delspinigius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bendros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Sutarties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kainos u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ž kiekvieną pradelstą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ą. </w:t>
      </w:r>
    </w:p>
    <w:p w:rsidR="004F3F6C" w:rsidRPr="00C04D1B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8. Pirkėjas Sutartyje nustatyta tvarka neatsiskaitęs už Prekes, Pardavėjui pareikalavus, moka 0,02 (dvi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imtosios) procento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delspinigius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nuo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nesumok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tos sumos u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ž kiekvieną pradelstą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ą, išskyrus atvejus, kada vėluojama dėl nesavalaikio Pirkėjo finansavimo.</w:t>
      </w:r>
    </w:p>
    <w:p w:rsidR="004F3F6C" w:rsidRPr="00C04D1B" w:rsidRDefault="004F3F6C" w:rsidP="004F3F6C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9. Kiekviena Sutarties Šalis privalo atlyginti kitai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aliai patirtusnuostolius d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l Sutarties ne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įvykdymo ar netinkamo vykdymo.</w:t>
      </w:r>
    </w:p>
    <w:p w:rsidR="004F3F6C" w:rsidRPr="00C04D1B" w:rsidRDefault="004F3F6C" w:rsidP="004F3F6C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10.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Pardavėjo atsakomybė Pirkėjui apribojama suma, kuri lygi kainai, kurią Pardavė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nl-NL"/>
        </w:rPr>
        <w:t>jas gavo 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 Pirkė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jo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pagal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Sutart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į, išskyrus tuos atvejus, kada žala padaryta dė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l Pardav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ėjo tyč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ios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arba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didelio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neatsargumo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Pardavėjas neatsako už žalą kilusią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d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ėl Pirkėjo priimtų sprendimų remiantis programinėje įrangoje pateiktais duomenimis.</w:t>
      </w:r>
    </w:p>
    <w:p w:rsidR="004F3F6C" w:rsidRPr="00C04D1B" w:rsidRDefault="004F3F6C" w:rsidP="004F3F6C">
      <w:pPr>
        <w:pStyle w:val="Body"/>
        <w:tabs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Netesybų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(baud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ų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nl-NL"/>
        </w:rPr>
        <w:t>, delspinigi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ų) mokė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jimas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neatleid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žia Šalių nuo įsipareigojimų vykdymo pagal Sutartį. 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V. NENUGALIMOS J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GOS APLINKYB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ĖS (</w:t>
      </w:r>
      <w:r w:rsidRPr="00C04D1B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>FORCE MAJEURE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)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. Nenugalimos j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gos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aplinkyb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mis laikomos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aplinkyb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ės, nurodytos Lietuvos Respublikos civilinio kodekso 6.212 str. ir Atleidimo nuo atsakomybė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s esant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nenugalimos j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gos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fr-FR"/>
        </w:rPr>
        <w:t>(force majeure)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aplinkybėms taisyklė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se, patvirtintose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Lietuvos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Respublikos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Vyriausyb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s 1996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 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nl-NL"/>
        </w:rPr>
        <w:t>m. liepos 15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 d. nutarimu Nr. 840. 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3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. Nustatydamos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nenugalimos j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ėgos aplinkybes Šalys vadovaujasi Lietuvos Respublikos Vyriausybės 1997 m. kovo 13 d. nutarimu Nr. 222 „Dė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l nenugalimos j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gos</w:t>
      </w:r>
      <w:r w:rsidRPr="00C04D1B">
        <w:rPr>
          <w:rFonts w:ascii="Times New Roman" w:hAnsi="Times New Roman" w:cs="Times New Roman"/>
          <w:i/>
          <w:iCs/>
          <w:sz w:val="24"/>
          <w:szCs w:val="24"/>
          <w:u w:color="000000"/>
          <w:lang w:val="fr-FR"/>
        </w:rPr>
        <w:t>(force majeure)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aplinkybes liudijančių pažymų išdavimo tvarkos patvirtinimo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“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VI. SUTARTIES GALIOJIMAS IR NUTRAUKIMAS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4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. Sutartis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įsigalioja ją pasiraš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ius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abiems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alims. Taip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pat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forminami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ir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Sutarties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papildymai, pakeitimai bei Sutarties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priedai.</w:t>
      </w:r>
    </w:p>
    <w:p w:rsidR="004F3F6C" w:rsidRPr="00C04D1B" w:rsidRDefault="004F3F6C" w:rsidP="004F3F6C">
      <w:pPr>
        <w:pStyle w:val="Body"/>
        <w:tabs>
          <w:tab w:val="left" w:pos="720"/>
          <w:tab w:val="left" w:pos="9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5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Sutartis galioja 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36 mėn.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arba Sutarties nutraukimo šioje Sutartyje arba teisės aktuose nustatyta tvarka.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Sutartis gali būti nutraukta raštišku sutarties Šalių susitarimu arba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alies</w:t>
      </w:r>
      <w:r w:rsidR="00403B06"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viena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šališkai, Lietuvos Respublikos civilinio kodekso nustatyta tvarka.</w:t>
      </w:r>
    </w:p>
    <w:p w:rsidR="004F3F6C" w:rsidRPr="00C04D1B" w:rsidRDefault="004F3F6C" w:rsidP="004F3F6C">
      <w:pPr>
        <w:pStyle w:val="Body"/>
        <w:tabs>
          <w:tab w:val="left" w:pos="180"/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7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. Kiekviena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Šalis turi teisę, įspėjusi apie tai kitą Šalį raštu ne vėliau kaip prieš 10 (dešimt) kalendorinių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dien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ų, nutraukti Sutartį, jei kita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alis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padaro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esmin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į 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Sutarties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pa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ž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eidim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ą.</w:t>
      </w:r>
    </w:p>
    <w:p w:rsidR="004F3F6C" w:rsidRPr="00C04D1B" w:rsidRDefault="004F3F6C" w:rsidP="004F3F6C">
      <w:pPr>
        <w:pStyle w:val="Body"/>
        <w:tabs>
          <w:tab w:val="left" w:pos="72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lastRenderedPageBreak/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8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Nustatant, ar Sutarties pažeidimas yra esminis, vadovaujamasi Lietuvos Respublikos civilinio kodekso 6.217 straipsnio 2 dalies nuostatomis.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9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Sutarties nutraukimas neatleidžia šalių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nuosutartini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ų įsipareigojimų, atsiradusių iki sutarties nutraukimo, įvykdymo.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VII. KITOS SĄLYGOS 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03B06" w:rsidRPr="00C04D1B" w:rsidRDefault="004F3F6C" w:rsidP="00403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20. </w:t>
      </w:r>
      <w:r w:rsidR="00403B06" w:rsidRPr="00C04D1B">
        <w:rPr>
          <w:rFonts w:ascii="Times New Roman" w:hAnsi="Times New Roman" w:cs="Times New Roman"/>
          <w:color w:val="000000"/>
          <w:sz w:val="24"/>
          <w:szCs w:val="24"/>
        </w:rPr>
        <w:t>Pirkimo sutarties sąlygų keitimas jos galiojimo laikotarpiu galimas neatliekant naujos pirkimo procedūros vadovaujantis LR viešųjų pirkimų įstatymo 89 straipsnio nuostatomis bei aplinkybėmis, kurios pirkimo sutartyje nustatytos aiškiai, tiksliai ir nedviprasmiškai.</w:t>
      </w:r>
    </w:p>
    <w:p w:rsidR="004F3F6C" w:rsidRPr="00C04D1B" w:rsidRDefault="004F3F6C" w:rsidP="004F3F6C">
      <w:pPr>
        <w:pStyle w:val="Body"/>
        <w:tabs>
          <w:tab w:val="left" w:pos="180"/>
          <w:tab w:val="left" w:pos="360"/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1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Šalys laiko paslaptyje savo kontrahento darbo veiklos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principus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ir metodus, kuriuos su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žinojo vykdydamos šią Sutartį, išskyrus atvejus, kai ši informacija yra vieša arba gali bū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ti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atskleista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įstatymų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numatytais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atvejais.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Bet kokie nesutarimai ar ginčai, kylantys tarp Šalių dė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l Sutarties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ar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susij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ę su ja yra sprendžiami Šalių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derybomis, o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Šalims nepavykus susitarti, sprendžiami Lietuvos Respublikos teismuose.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3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Bet kokie pranešimai ar kita, su Sutarties vykdymu susijusi informacija, laikomi galiojanč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iais, jeigu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yra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pateikti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oficialiai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ra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štu kitai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aliai ir gautas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jos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patvirtinimas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apie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gavim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 arba išsių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sti registruotu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pa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štu, faksu, ž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emiau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nurodytais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adresais bei telefono, fakso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numeriais, arba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kitais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adresais ir numeriais, kuriuos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nurod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 Šalis, pateikdama pranešimą.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4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. Nė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viena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alis be 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šankstinio raštiško kitos Šalies sutikimo neturi teisės perleisti visų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arba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dalies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savo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>teisi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ir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pareig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ų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pagal</w:t>
      </w:r>
      <w:r w:rsid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Sutart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į trečiajai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aliai. 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5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. Sutartis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sura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šyta lietuvių kalba dviem vienodą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nl-NL"/>
        </w:rPr>
        <w:t>juridin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ę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fr-FR"/>
        </w:rPr>
        <w:t>gali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 turinč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iais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egzemplioriais, po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pt-PT"/>
        </w:rPr>
        <w:t>vien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ą kiekvienai Š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aliai. </w:t>
      </w:r>
    </w:p>
    <w:p w:rsidR="004F3F6C" w:rsidRPr="00C04D1B" w:rsidRDefault="004F3F6C" w:rsidP="004F3F6C">
      <w:pPr>
        <w:pStyle w:val="Body"/>
        <w:tabs>
          <w:tab w:val="left" w:pos="720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  <w:tab w:val="left" w:pos="9132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 Asmenys, atsakingi už Sutarties vykdymą:</w:t>
      </w:r>
    </w:p>
    <w:p w:rsidR="00403B06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.1. Pirkė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jo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atstovas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: Linutė Mikušauskienė, tel. Nr. 831961121, el.p.  </w:t>
      </w:r>
      <w:hyperlink r:id="rId7" w:history="1">
        <w:r w:rsidR="00403B06" w:rsidRPr="00C04D1B">
          <w:rPr>
            <w:rStyle w:val="Hyperlink"/>
            <w:rFonts w:ascii="Times New Roman" w:hAnsi="Times New Roman" w:cs="Times New Roman"/>
            <w:sz w:val="24"/>
            <w:szCs w:val="24"/>
            <w:u w:color="000000"/>
          </w:rPr>
          <w:t>linute.mikusauskiene@prienai.lt</w:t>
        </w:r>
      </w:hyperlink>
      <w:r w:rsidRPr="00C04D1B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:rsidR="004F3F6C" w:rsidRPr="00C04D1B" w:rsidRDefault="004F3F6C" w:rsidP="004F3F6C">
      <w:pPr>
        <w:pStyle w:val="Body"/>
        <w:tabs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  <w:u w:color="000000"/>
          <w:lang w:val="en-US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6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.2. Pardavė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jo</w:t>
      </w:r>
      <w:r w:rsidR="00257E4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atstovas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: Regvyta Gelumbauskienė, email: </w:t>
      </w:r>
      <w:hyperlink r:id="rId8" w:history="1">
        <w:r w:rsidR="006A309D" w:rsidRPr="00C04D1B">
          <w:rPr>
            <w:rStyle w:val="Hyperlink"/>
            <w:rFonts w:ascii="Times New Roman" w:hAnsi="Times New Roman" w:cs="Times New Roman"/>
            <w:sz w:val="24"/>
            <w:szCs w:val="24"/>
          </w:rPr>
          <w:t>r.gelumbauskiene@ecocost.lt</w:t>
        </w:r>
      </w:hyperlink>
      <w:r w:rsidR="006A309D" w:rsidRPr="00C04D1B">
        <w:rPr>
          <w:rFonts w:ascii="Times New Roman" w:hAnsi="Times New Roman" w:cs="Times New Roman"/>
          <w:sz w:val="24"/>
          <w:szCs w:val="24"/>
          <w:u w:color="000000"/>
        </w:rPr>
        <w:t>, tel. +370 (6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87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</w:rPr>
        <w:t>) 57 664</w:t>
      </w:r>
      <w:r w:rsidR="006A309D" w:rsidRPr="00C04D1B">
        <w:rPr>
          <w:rFonts w:ascii="Times New Roman" w:eastAsia="MS Mincho" w:hAnsi="Times New Roman" w:cs="Times New Roman"/>
          <w:sz w:val="24"/>
          <w:szCs w:val="24"/>
          <w:u w:color="000000"/>
        </w:rPr>
        <w:t>‬</w:t>
      </w:r>
      <w:r w:rsidR="006A309D"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;</w:t>
      </w:r>
    </w:p>
    <w:p w:rsidR="006A309D" w:rsidRPr="00C04D1B" w:rsidRDefault="006A309D" w:rsidP="004F3F6C">
      <w:pPr>
        <w:pStyle w:val="Body"/>
        <w:tabs>
          <w:tab w:val="left" w:pos="10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26.3. Pirk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ėjo aptarnavimas vykdomas per Pardavėjo klientų aptarnavimo sistemą užklausas siunčiant email: </w:t>
      </w:r>
      <w:hyperlink r:id="rId9" w:history="1">
        <w:r w:rsidRPr="00C04D1B">
          <w:rPr>
            <w:rStyle w:val="Hyperlink"/>
            <w:rFonts w:ascii="Times New Roman" w:hAnsi="Times New Roman" w:cs="Times New Roman"/>
            <w:sz w:val="24"/>
            <w:szCs w:val="24"/>
          </w:rPr>
          <w:t>bendras</w:t>
        </w:r>
        <w:r w:rsidRPr="00C04D1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@ecocost.lt</w:t>
        </w:r>
      </w:hyperlink>
      <w:r w:rsidR="00C04D1B">
        <w:rPr>
          <w:rFonts w:ascii="Times New Roman" w:hAnsi="Times New Roman" w:cs="Times New Roman"/>
          <w:sz w:val="24"/>
          <w:szCs w:val="24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arba tel. +370 (652) 51 733</w:t>
      </w:r>
      <w:r w:rsidRPr="00C04D1B">
        <w:rPr>
          <w:rFonts w:ascii="Times New Roman" w:eastAsia="MS Mincho" w:hAnsi="Times New Roman" w:cs="Times New Roman"/>
          <w:sz w:val="24"/>
          <w:szCs w:val="24"/>
          <w:u w:color="000000"/>
          <w:lang w:val="en-US"/>
        </w:rPr>
        <w:t>‬.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sz w:val="24"/>
          <w:szCs w:val="24"/>
          <w:u w:color="000000"/>
        </w:rPr>
        <w:t>2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n-US"/>
        </w:rPr>
        <w:t>7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. Sutarties</w:t>
      </w:r>
      <w:r w:rsidR="00F27E79"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 xml:space="preserve">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es-ES_tradnl"/>
        </w:rPr>
        <w:t>priedas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 xml:space="preserve">– </w:t>
      </w:r>
      <w:r w:rsidRPr="00C04D1B">
        <w:rPr>
          <w:rFonts w:ascii="Times New Roman" w:hAnsi="Times New Roman" w:cs="Times New Roman"/>
          <w:sz w:val="24"/>
          <w:szCs w:val="24"/>
          <w:u w:color="000000"/>
          <w:lang w:val="de-DE"/>
        </w:rPr>
        <w:t>technin</w:t>
      </w:r>
      <w:r w:rsidRPr="00C04D1B">
        <w:rPr>
          <w:rFonts w:ascii="Times New Roman" w:hAnsi="Times New Roman" w:cs="Times New Roman"/>
          <w:sz w:val="24"/>
          <w:szCs w:val="24"/>
          <w:u w:color="000000"/>
        </w:rPr>
        <w:t>ė specifikacija.</w:t>
      </w: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4F3F6C" w:rsidRPr="00C04D1B" w:rsidRDefault="004F3F6C" w:rsidP="004F3F6C">
      <w:pPr>
        <w:pStyle w:val="Body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VIII. ŠALIŲ 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en-US"/>
        </w:rPr>
        <w:t>JURIDINIAI ADRESAI IR REKVIZITAI</w:t>
      </w:r>
    </w:p>
    <w:p w:rsidR="004F3F6C" w:rsidRPr="00C04D1B" w:rsidRDefault="004F3F6C" w:rsidP="004F3F6C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9854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929"/>
        <w:gridCol w:w="4925"/>
      </w:tblGrid>
      <w:tr w:rsidR="00257E49" w:rsidRPr="00C04D1B" w:rsidTr="00403B06">
        <w:trPr>
          <w:trHeight w:val="3624"/>
          <w:jc w:val="right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E49" w:rsidRPr="00C04D1B" w:rsidRDefault="00257E49" w:rsidP="00C04D1B">
            <w:pPr>
              <w:pStyle w:val="prastasis12pt"/>
              <w:rPr>
                <w:b/>
                <w:lang w:val="lt-LT"/>
              </w:rPr>
            </w:pPr>
            <w:r w:rsidRPr="00C04D1B">
              <w:rPr>
                <w:b/>
                <w:lang w:val="lt-LT"/>
              </w:rPr>
              <w:t xml:space="preserve">PIRKĖJAS </w:t>
            </w:r>
          </w:p>
          <w:p w:rsidR="00257E49" w:rsidRPr="00C04D1B" w:rsidRDefault="00257E49" w:rsidP="00C04D1B">
            <w:pPr>
              <w:tabs>
                <w:tab w:val="left" w:pos="567"/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Prienų rajono savivaldybės administracija</w:t>
            </w:r>
          </w:p>
          <w:p w:rsidR="00257E49" w:rsidRPr="00C04D1B" w:rsidRDefault="00257E49" w:rsidP="00C04D1B">
            <w:pPr>
              <w:tabs>
                <w:tab w:val="left" w:pos="567"/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Įstaigos kodas    288742590</w:t>
            </w:r>
          </w:p>
          <w:p w:rsidR="00257E49" w:rsidRPr="00C04D1B" w:rsidRDefault="00257E49" w:rsidP="00C04D1B">
            <w:pPr>
              <w:tabs>
                <w:tab w:val="left" w:pos="567"/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PVM mokėtojo kodas -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C04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Laisvės a. 12, LT-59126 Prienai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 w:rsidRPr="00C04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Tel. +370 319 61 105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04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E-paštas: administracija</w:t>
            </w:r>
            <w:r w:rsidRPr="00C04D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  <w:lang w:val="en-US"/>
              </w:rPr>
              <w:t>@prienai.lt</w:t>
            </w:r>
          </w:p>
          <w:p w:rsidR="00257E49" w:rsidRPr="00C04D1B" w:rsidRDefault="00257E49" w:rsidP="00C04D1B">
            <w:pPr>
              <w:pStyle w:val="prastasis12pt"/>
              <w:rPr>
                <w:lang w:val="lt-LT"/>
              </w:rPr>
            </w:pPr>
          </w:p>
          <w:p w:rsidR="00257E49" w:rsidRPr="00C04D1B" w:rsidRDefault="00257E49" w:rsidP="00C04D1B">
            <w:pPr>
              <w:pStyle w:val="prastasis12pt"/>
              <w:rPr>
                <w:lang w:val="lt-LT"/>
              </w:rPr>
            </w:pPr>
          </w:p>
          <w:p w:rsidR="00257E49" w:rsidRPr="00C04D1B" w:rsidRDefault="00257E49" w:rsidP="00C04D1B">
            <w:pPr>
              <w:pStyle w:val="prastasis12pt"/>
              <w:rPr>
                <w:lang w:val="lt-LT"/>
              </w:rPr>
            </w:pPr>
            <w:r w:rsidRPr="00C04D1B">
              <w:rPr>
                <w:lang w:val="lt-LT"/>
              </w:rPr>
              <w:t>Direktorė</w:t>
            </w:r>
          </w:p>
          <w:p w:rsidR="00257E49" w:rsidRPr="00C04D1B" w:rsidRDefault="00257E49" w:rsidP="00C04D1B">
            <w:pPr>
              <w:pStyle w:val="prastasis12pt"/>
              <w:rPr>
                <w:lang w:val="lt-LT"/>
              </w:rPr>
            </w:pPr>
            <w:r w:rsidRPr="00C04D1B">
              <w:rPr>
                <w:lang w:val="lt-LT"/>
              </w:rPr>
              <w:t>Jūratė Zailskienė</w:t>
            </w:r>
          </w:p>
          <w:p w:rsidR="00257E49" w:rsidRPr="00C04D1B" w:rsidRDefault="00257E49" w:rsidP="00C04D1B">
            <w:pPr>
              <w:pStyle w:val="prastasis12pt"/>
              <w:rPr>
                <w:lang w:val="lt-LT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E49" w:rsidRPr="00C04D1B" w:rsidRDefault="00257E49" w:rsidP="00C04D1B">
            <w:pPr>
              <w:pStyle w:val="prastasis12pt"/>
              <w:rPr>
                <w:b/>
                <w:lang w:val="lt-LT"/>
              </w:rPr>
            </w:pPr>
            <w:r w:rsidRPr="00C04D1B">
              <w:rPr>
                <w:b/>
                <w:lang w:val="lt-LT"/>
              </w:rPr>
              <w:t>PARDAVĖJAS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UAB Ecocost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Vokiečių g. 28/17-19, 01130 Vilnius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Įmonės kodas: 301795597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PVM mokėtojo kodas: LT100004195411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Bankas: AB SEB bankas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 xml:space="preserve">Sąskaitos Nr.: LT37 7044 0600 0748 </w:t>
            </w:r>
            <w:r w:rsidRPr="00C04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7735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Tel. +370 612 03 376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E-paštas: bendras@ecocost.lt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>Karolis Šerpytis</w:t>
            </w: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49" w:rsidRPr="00C04D1B" w:rsidRDefault="00257E49" w:rsidP="00C04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C04D1B" w:rsidRDefault="004F3F6C" w:rsidP="004F3F6C">
      <w:pP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de-DE" w:eastAsia="lt-LT"/>
        </w:rPr>
      </w:pPr>
      <w:r w:rsidRPr="00C04D1B"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:rsidR="004F3F6C" w:rsidRPr="00C04D1B" w:rsidRDefault="004F3F6C" w:rsidP="004F3F6C">
      <w:pPr>
        <w:pStyle w:val="Body2"/>
        <w:jc w:val="right"/>
        <w:rPr>
          <w:sz w:val="24"/>
          <w:szCs w:val="24"/>
        </w:rPr>
      </w:pPr>
      <w:r w:rsidRPr="00C04D1B">
        <w:rPr>
          <w:sz w:val="24"/>
          <w:szCs w:val="24"/>
          <w:lang w:val="de-DE"/>
        </w:rPr>
        <w:lastRenderedPageBreak/>
        <w:t>Vie</w:t>
      </w:r>
      <w:r w:rsidRPr="00C04D1B">
        <w:rPr>
          <w:sz w:val="24"/>
          <w:szCs w:val="24"/>
        </w:rPr>
        <w:t>šųjų pirkimų planavimo, registravimo ir</w:t>
      </w:r>
      <w:r w:rsidR="00257E49" w:rsidRPr="00C04D1B">
        <w:rPr>
          <w:sz w:val="24"/>
          <w:szCs w:val="24"/>
        </w:rPr>
        <w:t xml:space="preserve"> </w:t>
      </w:r>
      <w:r w:rsidRPr="00C04D1B">
        <w:rPr>
          <w:sz w:val="24"/>
          <w:szCs w:val="24"/>
        </w:rPr>
        <w:t>valdymo</w:t>
      </w:r>
    </w:p>
    <w:p w:rsidR="004F3F6C" w:rsidRPr="00C04D1B" w:rsidRDefault="004F3F6C" w:rsidP="004F3F6C">
      <w:pPr>
        <w:pStyle w:val="Body2"/>
        <w:jc w:val="right"/>
        <w:rPr>
          <w:sz w:val="24"/>
          <w:szCs w:val="24"/>
        </w:rPr>
      </w:pPr>
      <w:r w:rsidRPr="00C04D1B">
        <w:rPr>
          <w:sz w:val="24"/>
          <w:szCs w:val="24"/>
        </w:rPr>
        <w:t>programinės įrangos licencijų</w:t>
      </w:r>
      <w:r w:rsidR="00257E49" w:rsidRPr="00C04D1B">
        <w:rPr>
          <w:sz w:val="24"/>
          <w:szCs w:val="24"/>
        </w:rPr>
        <w:t xml:space="preserve"> </w:t>
      </w:r>
      <w:r w:rsidRPr="00C04D1B">
        <w:rPr>
          <w:sz w:val="24"/>
          <w:szCs w:val="24"/>
        </w:rPr>
        <w:t xml:space="preserve">pirkimo-pardavimo sutarties, </w:t>
      </w:r>
    </w:p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  <w:r w:rsidRPr="00C04D1B">
        <w:rPr>
          <w:sz w:val="24"/>
          <w:szCs w:val="24"/>
        </w:rPr>
        <w:t>pasirašytos20</w:t>
      </w:r>
      <w:r w:rsidR="00E80BE3" w:rsidRPr="00C04D1B">
        <w:rPr>
          <w:sz w:val="24"/>
          <w:szCs w:val="24"/>
        </w:rPr>
        <w:t>2</w:t>
      </w:r>
      <w:r w:rsidR="00257E49" w:rsidRPr="00C04D1B">
        <w:rPr>
          <w:sz w:val="24"/>
          <w:szCs w:val="24"/>
        </w:rPr>
        <w:t>2</w:t>
      </w:r>
      <w:r w:rsidRPr="00C04D1B">
        <w:rPr>
          <w:sz w:val="24"/>
          <w:szCs w:val="24"/>
        </w:rPr>
        <w:t xml:space="preserve"> m. </w:t>
      </w:r>
      <w:r w:rsidR="00257E49" w:rsidRPr="00C04D1B">
        <w:rPr>
          <w:sz w:val="24"/>
          <w:szCs w:val="24"/>
        </w:rPr>
        <w:t>spalio</w:t>
      </w:r>
      <w:r w:rsidRPr="00C04D1B">
        <w:rPr>
          <w:sz w:val="24"/>
          <w:szCs w:val="24"/>
          <w:lang w:val="en-US"/>
        </w:rPr>
        <w:t>__</w:t>
      </w:r>
      <w:r w:rsidRPr="00C04D1B">
        <w:rPr>
          <w:sz w:val="24"/>
          <w:szCs w:val="24"/>
          <w:lang w:val="de-DE"/>
        </w:rPr>
        <w:t xml:space="preserve"> d. Nr. ___</w:t>
      </w:r>
    </w:p>
    <w:p w:rsidR="004F3F6C" w:rsidRPr="00C04D1B" w:rsidRDefault="004F3F6C" w:rsidP="004F3F6C">
      <w:pPr>
        <w:pStyle w:val="Body2"/>
        <w:jc w:val="right"/>
        <w:rPr>
          <w:sz w:val="24"/>
          <w:szCs w:val="24"/>
        </w:rPr>
      </w:pPr>
      <w:r w:rsidRPr="00C04D1B">
        <w:rPr>
          <w:sz w:val="24"/>
          <w:szCs w:val="24"/>
          <w:lang w:val="pt-PT"/>
        </w:rPr>
        <w:t>Priedas</w:t>
      </w:r>
      <w:r w:rsidRPr="00C04D1B">
        <w:rPr>
          <w:sz w:val="24"/>
          <w:szCs w:val="24"/>
          <w:lang w:val="en-US"/>
        </w:rPr>
        <w:t>Nr. 1</w:t>
      </w:r>
    </w:p>
    <w:p w:rsidR="004F3F6C" w:rsidRPr="00C04D1B" w:rsidRDefault="004F3F6C" w:rsidP="004F3F6C">
      <w:pPr>
        <w:pStyle w:val="Body2"/>
        <w:jc w:val="right"/>
        <w:rPr>
          <w:b/>
          <w:bCs/>
          <w:sz w:val="24"/>
          <w:szCs w:val="24"/>
        </w:rPr>
      </w:pPr>
      <w:r w:rsidRPr="00C04D1B">
        <w:rPr>
          <w:sz w:val="24"/>
          <w:szCs w:val="24"/>
          <w:lang w:val="de-DE"/>
        </w:rPr>
        <w:tab/>
      </w:r>
    </w:p>
    <w:p w:rsidR="004F3F6C" w:rsidRPr="00C04D1B" w:rsidRDefault="004F3F6C" w:rsidP="004F3F6C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TECHNIN</w:t>
      </w:r>
      <w:r w:rsidRPr="00C04D1B">
        <w:rPr>
          <w:rFonts w:ascii="Times New Roman" w:hAnsi="Times New Roman" w:cs="Times New Roman"/>
          <w:b/>
          <w:bCs/>
          <w:sz w:val="24"/>
          <w:szCs w:val="24"/>
          <w:u w:color="000000"/>
        </w:rPr>
        <w:t>Ė SPECIFIKACIJA</w:t>
      </w:r>
    </w:p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6A309D" w:rsidRPr="00C04D1B" w:rsidRDefault="006A309D" w:rsidP="006A309D">
      <w:pPr>
        <w:pStyle w:val="Body2"/>
        <w:jc w:val="left"/>
        <w:rPr>
          <w:sz w:val="24"/>
          <w:szCs w:val="24"/>
        </w:rPr>
      </w:pPr>
      <w:bookmarkStart w:id="0" w:name="_GoBack"/>
      <w:r w:rsidRPr="00C04D1B">
        <w:rPr>
          <w:sz w:val="24"/>
          <w:szCs w:val="24"/>
          <w:lang w:val="de-DE"/>
        </w:rPr>
        <w:t>Darbo</w:t>
      </w:r>
      <w:r w:rsidR="00C04D1B">
        <w:rPr>
          <w:sz w:val="24"/>
          <w:szCs w:val="24"/>
          <w:lang w:val="de-DE"/>
        </w:rPr>
        <w:t xml:space="preserve"> </w:t>
      </w:r>
      <w:r w:rsidRPr="00C04D1B">
        <w:rPr>
          <w:sz w:val="24"/>
          <w:szCs w:val="24"/>
          <w:lang w:val="de-DE"/>
        </w:rPr>
        <w:t>viet</w:t>
      </w:r>
      <w:r w:rsidRPr="00C04D1B">
        <w:rPr>
          <w:sz w:val="24"/>
          <w:szCs w:val="24"/>
        </w:rPr>
        <w:t xml:space="preserve">ų skaičius: </w:t>
      </w:r>
      <w:r w:rsidR="00E80BE3" w:rsidRPr="00C04D1B">
        <w:rPr>
          <w:sz w:val="24"/>
          <w:szCs w:val="24"/>
        </w:rPr>
        <w:t>2</w:t>
      </w:r>
    </w:p>
    <w:p w:rsidR="006A309D" w:rsidRPr="00C04D1B" w:rsidRDefault="006A309D" w:rsidP="006A309D">
      <w:pPr>
        <w:pStyle w:val="Body2"/>
        <w:jc w:val="left"/>
        <w:rPr>
          <w:sz w:val="24"/>
          <w:szCs w:val="24"/>
        </w:rPr>
      </w:pPr>
      <w:r w:rsidRPr="00C04D1B">
        <w:rPr>
          <w:sz w:val="24"/>
          <w:szCs w:val="24"/>
        </w:rPr>
        <w:t>Konkurencinių licencijų skaičius:</w:t>
      </w:r>
      <w:r w:rsidR="00E80BE3" w:rsidRPr="00C04D1B">
        <w:rPr>
          <w:sz w:val="24"/>
          <w:szCs w:val="24"/>
        </w:rPr>
        <w:t xml:space="preserve"> 5</w:t>
      </w:r>
    </w:p>
    <w:p w:rsidR="006A309D" w:rsidRPr="00C04D1B" w:rsidRDefault="006A309D" w:rsidP="006A309D">
      <w:pPr>
        <w:pStyle w:val="Body2"/>
        <w:jc w:val="left"/>
        <w:rPr>
          <w:sz w:val="24"/>
          <w:szCs w:val="24"/>
        </w:rPr>
      </w:pPr>
      <w:r w:rsidRPr="00C04D1B">
        <w:rPr>
          <w:sz w:val="24"/>
          <w:szCs w:val="24"/>
        </w:rPr>
        <w:t>Naudojimosi sistema trukmė:</w:t>
      </w:r>
      <w:r w:rsidR="00E80BE3" w:rsidRPr="00C04D1B">
        <w:rPr>
          <w:sz w:val="24"/>
          <w:szCs w:val="24"/>
        </w:rPr>
        <w:t xml:space="preserve"> 36 mėn.</w:t>
      </w:r>
    </w:p>
    <w:p w:rsidR="006A309D" w:rsidRPr="00C04D1B" w:rsidRDefault="006A309D" w:rsidP="006A309D">
      <w:pPr>
        <w:pStyle w:val="Body2"/>
        <w:jc w:val="left"/>
        <w:rPr>
          <w:sz w:val="24"/>
          <w:szCs w:val="24"/>
        </w:rPr>
      </w:pPr>
      <w:r w:rsidRPr="00C04D1B">
        <w:rPr>
          <w:sz w:val="24"/>
          <w:szCs w:val="24"/>
        </w:rPr>
        <w:t>Įsigyjami moduliai:</w:t>
      </w:r>
      <w:r w:rsidR="00E80BE3" w:rsidRPr="00C04D1B">
        <w:rPr>
          <w:sz w:val="24"/>
          <w:szCs w:val="24"/>
        </w:rPr>
        <w:t xml:space="preserve"> planavimo ir vykdymo</w:t>
      </w:r>
    </w:p>
    <w:bookmarkEnd w:id="0"/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C04D1B" w:rsidRDefault="004F3F6C" w:rsidP="004F3F6C">
      <w:pPr>
        <w:pStyle w:val="Body2"/>
        <w:jc w:val="right"/>
        <w:rPr>
          <w:sz w:val="24"/>
          <w:szCs w:val="24"/>
          <w:lang w:val="de-DE"/>
        </w:rPr>
      </w:pPr>
    </w:p>
    <w:p w:rsidR="004F3F6C" w:rsidRPr="00C04D1B" w:rsidRDefault="004F3F6C" w:rsidP="004F3F6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lt-LT"/>
        </w:rPr>
      </w:pPr>
    </w:p>
    <w:p w:rsidR="00217B48" w:rsidRPr="00C04D1B" w:rsidRDefault="00217B48">
      <w:pPr>
        <w:rPr>
          <w:rFonts w:ascii="Times New Roman" w:hAnsi="Times New Roman" w:cs="Times New Roman"/>
          <w:sz w:val="24"/>
          <w:szCs w:val="24"/>
        </w:rPr>
      </w:pPr>
    </w:p>
    <w:sectPr w:rsidR="00217B48" w:rsidRPr="00C04D1B" w:rsidSect="00C04D1B">
      <w:footerReference w:type="default" r:id="rId10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844" w:rsidRDefault="00486844">
      <w:pPr>
        <w:spacing w:after="0" w:line="240" w:lineRule="auto"/>
      </w:pPr>
      <w:r>
        <w:separator/>
      </w:r>
    </w:p>
  </w:endnote>
  <w:endnote w:type="continuationSeparator" w:id="1">
    <w:p w:rsidR="00486844" w:rsidRDefault="0048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9222685"/>
      <w:docPartObj>
        <w:docPartGallery w:val="Page Numbers (Bottom of Page)"/>
        <w:docPartUnique/>
      </w:docPartObj>
    </w:sdtPr>
    <w:sdtContent>
      <w:p w:rsidR="00403B06" w:rsidRDefault="007F58B4">
        <w:pPr>
          <w:pStyle w:val="Footer"/>
          <w:jc w:val="right"/>
        </w:pPr>
        <w:fldSimple w:instr="PAGE   \* MERGEFORMAT">
          <w:r w:rsidR="004869A9">
            <w:rPr>
              <w:noProof/>
            </w:rPr>
            <w:t>4</w:t>
          </w:r>
        </w:fldSimple>
      </w:p>
    </w:sdtContent>
  </w:sdt>
  <w:p w:rsidR="00403B06" w:rsidRDefault="00403B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844" w:rsidRDefault="00486844">
      <w:pPr>
        <w:spacing w:after="0" w:line="240" w:lineRule="auto"/>
      </w:pPr>
      <w:r>
        <w:separator/>
      </w:r>
    </w:p>
  </w:footnote>
  <w:footnote w:type="continuationSeparator" w:id="1">
    <w:p w:rsidR="00486844" w:rsidRDefault="00486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22FB"/>
    <w:multiLevelType w:val="multilevel"/>
    <w:tmpl w:val="A342BAEE"/>
    <w:lvl w:ilvl="0">
      <w:start w:val="1"/>
      <w:numFmt w:val="decimal"/>
      <w:suff w:val="space"/>
      <w:lvlText w:val="%1."/>
      <w:lvlJc w:val="left"/>
      <w:pPr>
        <w:ind w:left="8789" w:firstLine="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F6C"/>
    <w:rsid w:val="00082EE3"/>
    <w:rsid w:val="000977E6"/>
    <w:rsid w:val="000E642D"/>
    <w:rsid w:val="001054C9"/>
    <w:rsid w:val="001A2D3E"/>
    <w:rsid w:val="00217B48"/>
    <w:rsid w:val="00257E49"/>
    <w:rsid w:val="002F7F2A"/>
    <w:rsid w:val="00403B06"/>
    <w:rsid w:val="00486844"/>
    <w:rsid w:val="004869A9"/>
    <w:rsid w:val="004F3F6C"/>
    <w:rsid w:val="00523070"/>
    <w:rsid w:val="006A309D"/>
    <w:rsid w:val="0071634A"/>
    <w:rsid w:val="007166C2"/>
    <w:rsid w:val="007F58B4"/>
    <w:rsid w:val="00840323"/>
    <w:rsid w:val="00A16F75"/>
    <w:rsid w:val="00A3463C"/>
    <w:rsid w:val="00B31E9F"/>
    <w:rsid w:val="00C04D1B"/>
    <w:rsid w:val="00C27148"/>
    <w:rsid w:val="00D0593D"/>
    <w:rsid w:val="00D40BFF"/>
    <w:rsid w:val="00E3372D"/>
    <w:rsid w:val="00E80BE3"/>
    <w:rsid w:val="00F27E79"/>
    <w:rsid w:val="00F82DF4"/>
    <w:rsid w:val="00F9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F6C"/>
    <w:pPr>
      <w:spacing w:after="200" w:line="276" w:lineRule="auto"/>
    </w:pPr>
    <w:rPr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F3F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F6C"/>
    <w:rPr>
      <w:sz w:val="22"/>
      <w:szCs w:val="22"/>
      <w:lang w:val="lt-LT"/>
    </w:rPr>
  </w:style>
  <w:style w:type="paragraph" w:customStyle="1" w:styleId="Body">
    <w:name w:val="Body"/>
    <w:rsid w:val="004F3F6C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Arial Unicode MS" w:hAnsi="Helvetica Neue Light" w:cs="Arial Unicode MS"/>
      <w:color w:val="000000"/>
      <w:sz w:val="20"/>
      <w:szCs w:val="20"/>
      <w:bdr w:val="nil"/>
      <w:lang w:val="lt-LT" w:eastAsia="lt-LT"/>
    </w:rPr>
  </w:style>
  <w:style w:type="paragraph" w:customStyle="1" w:styleId="Body2">
    <w:name w:val="Body 2"/>
    <w:rsid w:val="004F3F6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 w:cs="Times New Roman"/>
      <w:color w:val="000000"/>
      <w:sz w:val="22"/>
      <w:szCs w:val="22"/>
      <w:bdr w:val="nil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6A309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6A309D"/>
    <w:rPr>
      <w:color w:val="605E5C"/>
      <w:shd w:val="clear" w:color="auto" w:fill="E1DFDD"/>
    </w:rPr>
  </w:style>
  <w:style w:type="paragraph" w:customStyle="1" w:styleId="prastasis12pt">
    <w:name w:val="Įprastasis + 12 pt"/>
    <w:basedOn w:val="Normal"/>
    <w:rsid w:val="00257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gelumbauskiene@ecocos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ute.mikusauskiene@prien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dras@ecocos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Regvyta Gelumbauskiene</dc:creator>
  <cp:lastModifiedBy>Linute</cp:lastModifiedBy>
  <cp:revision>4</cp:revision>
  <dcterms:created xsi:type="dcterms:W3CDTF">2022-10-13T13:06:00Z</dcterms:created>
  <dcterms:modified xsi:type="dcterms:W3CDTF">2022-10-20T10:39:00Z</dcterms:modified>
</cp:coreProperties>
</file>