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erReference w:type="default" r:id="rId5"/>
          <w:footnotePr>
            <w:pos w:val="pageBottom"/>
            <w:numFmt w:val="decimal"/>
            <w:numRestart w:val="continuous"/>
          </w:footnotePr>
          <w:pgSz w:w="11900" w:h="16840"/>
          <w:pgMar w:top="605" w:right="567" w:bottom="991" w:left="543" w:header="0" w:footer="3" w:gutter="0"/>
          <w:pgNumType w:start="1"/>
          <w:cols w:space="720"/>
          <w:noEndnote/>
          <w:rtlGutter w:val="0"/>
          <w:docGrid w:linePitch="360"/>
        </w:sectPr>
      </w:pPr>
    </w:p>
    <w:p>
      <w:pPr>
        <w:pStyle w:val="Style12"/>
        <w:keepNext/>
        <w:keepLines/>
        <w:widowControl w:val="0"/>
        <w:shd w:val="clear" w:color="auto" w:fill="auto"/>
        <w:bidi w:val="0"/>
        <w:spacing w:before="0" w:after="960" w:line="240" w:lineRule="auto"/>
        <w:ind w:left="0" w:right="0" w:firstLine="0"/>
        <w:jc w:val="center"/>
      </w:pPr>
      <w:bookmarkStart w:id="0" w:name="bookmark0"/>
      <w:r>
        <w:rPr>
          <w:color w:val="000000"/>
          <w:spacing w:val="0"/>
          <w:w w:val="100"/>
          <w:position w:val="0"/>
          <w:sz w:val="24"/>
          <w:szCs w:val="24"/>
          <w:shd w:val="clear" w:color="auto" w:fill="auto"/>
          <w:lang w:val="lt-LT" w:eastAsia="lt-LT" w:bidi="lt-LT"/>
        </w:rPr>
        <w:t>Pagrindinė sutartis CPO226396</w:t>
      </w:r>
      <w:bookmarkEnd w:id="0"/>
    </w:p>
    <w:p>
      <w:pPr>
        <w:pStyle w:val="Style14"/>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lt-LT" w:eastAsia="lt-LT" w:bidi="lt-LT"/>
        </w:rPr>
        <w:t>Aplinkos apsaugos departamentas prie Aplinkos ministerijos, atstovaujamas Kristinos Malaiškaitės, Departamento direktoriaus pavaduotojos,</w:t>
      </w:r>
    </w:p>
    <w:p>
      <w:pPr>
        <w:pStyle w:val="Style1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lt-LT" w:eastAsia="lt-LT" w:bidi="lt-LT"/>
        </w:rPr>
        <w:t>(vardas, pavardė ir pareigos)</w:t>
      </w:r>
    </w:p>
    <w:p>
      <w:pPr>
        <w:pStyle w:val="Style14"/>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lt-LT" w:eastAsia="lt-LT" w:bidi="lt-LT"/>
        </w:rPr>
        <w:t>(toliau - Užsakovas), ir</w:t>
      </w:r>
    </w:p>
    <w:p>
      <w:pPr>
        <w:pStyle w:val="Style14"/>
        <w:keepNext w:val="0"/>
        <w:keepLines w:val="0"/>
        <w:widowControl w:val="0"/>
        <w:shd w:val="clear" w:color="auto" w:fill="auto"/>
        <w:bidi w:val="0"/>
        <w:spacing w:before="0" w:after="340"/>
        <w:ind w:left="0" w:right="0" w:firstLine="0"/>
        <w:jc w:val="left"/>
      </w:pPr>
      <w:r>
        <mc:AlternateContent>
          <mc:Choice Requires="wps">
            <w:drawing>
              <wp:anchor distT="0" distB="161925" distL="114300" distR="934720" simplePos="0" relativeHeight="125829378" behindDoc="0" locked="0" layoutInCell="1" allowOverlap="1">
                <wp:simplePos x="0" y="0"/>
                <wp:positionH relativeFrom="page">
                  <wp:posOffset>1755775</wp:posOffset>
                </wp:positionH>
                <wp:positionV relativeFrom="paragraph">
                  <wp:posOffset>177800</wp:posOffset>
                </wp:positionV>
                <wp:extent cx="1380490" cy="115570"/>
                <wp:wrapSquare wrapText="left"/>
                <wp:docPr id="4" name="Shape 4"/>
                <a:graphic xmlns:a="http://schemas.openxmlformats.org/drawingml/2006/main">
                  <a:graphicData uri="http://schemas.microsoft.com/office/word/2010/wordprocessingShape">
                    <wps:wsp>
                      <wps:cNvSpPr txBox="1"/>
                      <wps:spPr>
                        <a:xfrm>
                          <a:ext cx="1380490" cy="115570"/>
                        </a:xfrm>
                        <a:prstGeom prst="rect"/>
                        <a:noFill/>
                      </wps:spPr>
                      <wps:txbx>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 Rūta Jasiūnienė</w:t>
                            </w:r>
                          </w:p>
                        </w:txbxContent>
                      </wps:txbx>
                      <wps:bodyPr wrap="none" lIns="0" tIns="0" rIns="0" bIns="0">
                        <a:noAutoFit/>
                      </wps:bodyPr>
                    </wps:wsp>
                  </a:graphicData>
                </a:graphic>
              </wp:anchor>
            </w:drawing>
          </mc:Choice>
          <mc:Fallback>
            <w:pict>
              <v:shape id="_x0000_s1030" type="#_x0000_t202" style="position:absolute;margin-left:138.25pt;margin-top:14.pt;width:108.7pt;height:9.0999999999999996pt;z-index:-125829375;mso-wrap-distance-left:9.pt;mso-wrap-distance-right:73.600000000000009pt;mso-wrap-distance-bottom:12.75pt;mso-position-horizontal-relative:page" filled="f" stroked="f">
                <v:textbox inset="0,0,0,0">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 Rūta Jasiūnienė</w:t>
                      </w:r>
                    </w:p>
                  </w:txbxContent>
                </v:textbox>
                <w10:wrap type="square" side="left" anchorx="page"/>
              </v:shape>
            </w:pict>
          </mc:Fallback>
        </mc:AlternateContent>
      </w:r>
      <w:r>
        <mc:AlternateContent>
          <mc:Choice Requires="wps">
            <w:drawing>
              <wp:anchor distT="164465" distB="0" distL="1416050" distR="114300" simplePos="0" relativeHeight="125829380" behindDoc="0" locked="0" layoutInCell="1" allowOverlap="1">
                <wp:simplePos x="0" y="0"/>
                <wp:positionH relativeFrom="page">
                  <wp:posOffset>3057525</wp:posOffset>
                </wp:positionH>
                <wp:positionV relativeFrom="paragraph">
                  <wp:posOffset>342265</wp:posOffset>
                </wp:positionV>
                <wp:extent cx="899160" cy="113030"/>
                <wp:wrapSquare wrapText="left"/>
                <wp:docPr id="6" name="Shape 6"/>
                <a:graphic xmlns:a="http://schemas.openxmlformats.org/drawingml/2006/main">
                  <a:graphicData uri="http://schemas.microsoft.com/office/word/2010/wordprocessingShape">
                    <wps:wsp>
                      <wps:cNvSpPr txBox="1"/>
                      <wps:spPr>
                        <a:xfrm>
                          <a:ext cx="899160" cy="1130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ir pareigos)</w:t>
                            </w:r>
                          </w:p>
                        </w:txbxContent>
                      </wps:txbx>
                      <wps:bodyPr wrap="none" lIns="0" tIns="0" rIns="0" bIns="0">
                        <a:noAutoFit/>
                      </wps:bodyPr>
                    </wps:wsp>
                  </a:graphicData>
                </a:graphic>
              </wp:anchor>
            </w:drawing>
          </mc:Choice>
          <mc:Fallback>
            <w:pict>
              <v:shape id="_x0000_s1032" type="#_x0000_t202" style="position:absolute;margin-left:240.75pt;margin-top:26.949999999999999pt;width:70.799999999999997pt;height:8.9000000000000004pt;z-index:-125829373;mso-wrap-distance-left:111.5pt;mso-wrap-distance-top:12.950000000000001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ir pareigos)</w:t>
                      </w:r>
                    </w:p>
                  </w:txbxContent>
                </v:textbox>
                <w10:wrap type="square" side="left" anchorx="page"/>
              </v:shape>
            </w:pict>
          </mc:Fallback>
        </mc:AlternateContent>
      </w:r>
      <w:r>
        <w:rPr>
          <w:color w:val="000000"/>
          <w:spacing w:val="0"/>
          <w:w w:val="100"/>
          <w:position w:val="0"/>
          <w:shd w:val="clear" w:color="auto" w:fill="auto"/>
          <w:lang w:val="lt-LT" w:eastAsia="lt-LT" w:bidi="lt-LT"/>
        </w:rPr>
        <w:t>VIADA LT, UAB ,</w:t>
      </w:r>
    </w:p>
    <w:p>
      <w:pPr>
        <w:pStyle w:val="Style14"/>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gauti visąinformaciją, reikalingątinkamam Pagrindinės sutarties vykdymui;</w:t>
      </w:r>
    </w:p>
    <w:p>
      <w:pPr>
        <w:pStyle w:val="Style14"/>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sutartinių įsipareigojimų vykdymui pasitelkti šiuos subtiekėjus: Degta, UAB (kodas: 304405892). Pagrindinėje sutartyje numatytas (-i) subtiekėjas (-ai), gali būti keičiamas (-i) Pagrindinės sutarties 9.2 punkte nustatytatvarka.</w:t>
      </w:r>
    </w:p>
    <w:p>
      <w:pPr>
        <w:pStyle w:val="Style14"/>
        <w:keepNext w:val="0"/>
        <w:keepLines w:val="0"/>
        <w:widowControl w:val="0"/>
        <w:numPr>
          <w:ilvl w:val="1"/>
          <w:numId w:val="3"/>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turi visas Pagrindinėje sutartyje bei Lietuvos Respublikoje galiojančiuose teisės aktuose numatytas teises.</w:t>
      </w:r>
    </w:p>
    <w:p>
      <w:pPr>
        <w:pStyle w:val="Style14"/>
        <w:keepNext w:val="0"/>
        <w:keepLines w:val="0"/>
        <w:widowControl w:val="0"/>
        <w:numPr>
          <w:ilvl w:val="1"/>
          <w:numId w:val="3"/>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 įsipareigoja:</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per Pagrindinės sutarties galiojimo terminąnupirkti ne mažiau kaip 70 procentų Pradinės pagrindinės sutarties vertės;</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informaciją ir/ar dokumentus, kurie įrodytų Prekės (jos sudėtinių dalių) atitikimą Pirkimo sutarties 3.1.4. reikalavimams;</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nustačius, kad Prekės (jų sudėtinės dalys) neatitinka Pirkimo sutarties 3.1.4. punkto nuostatos, reikalauti Tiekėjo pakeisti Prekes į atitinkančias.</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už tinkamai pateiktas Prekes laiku atsiskaityti su Tiekėju Pagrindinėje sutartyje nustatytomis sąlygomis ir tvarka.</w:t>
      </w:r>
    </w:p>
    <w:p>
      <w:pPr>
        <w:pStyle w:val="Style14"/>
        <w:keepNext w:val="0"/>
        <w:keepLines w:val="0"/>
        <w:widowControl w:val="0"/>
        <w:numPr>
          <w:ilvl w:val="1"/>
          <w:numId w:val="3"/>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Užsakovasturiteisę:</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visus Prekių atitikimą Pagrindinės sutarties priede nurodytai Prekių techninei specifikacijai pagrindžiančius dokumentus (Prekių gamintojo kokybės sertifikatų kopijas);</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įsigyti Pagrindinės sutarties priede nenurodytų, tačiau su pirkimo objektu (degalais) susijusių prekių (degalai su priedais, degalų priedai) neviršijant 10 (dešimt) procentų pradinės Pagrindinės sutarties vertės;</w:t>
      </w:r>
    </w:p>
    <w:p>
      <w:pPr>
        <w:pStyle w:val="Style14"/>
        <w:keepNext w:val="0"/>
        <w:keepLines w:val="0"/>
        <w:widowControl w:val="0"/>
        <w:numPr>
          <w:ilvl w:val="1"/>
          <w:numId w:val="3"/>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visas Pagrindinėje sutartyje bei Lietuvos Respublikoje galiojančiuose teisės aktuose numatytas teises.</w:t>
      </w:r>
    </w:p>
    <w:p>
      <w:pPr>
        <w:pStyle w:val="Style16"/>
        <w:keepNext/>
        <w:keepLines/>
        <w:widowControl w:val="0"/>
        <w:numPr>
          <w:ilvl w:val="0"/>
          <w:numId w:val="5"/>
        </w:numPr>
        <w:shd w:val="clear" w:color="auto" w:fill="auto"/>
        <w:tabs>
          <w:tab w:pos="296" w:val="left"/>
        </w:tabs>
        <w:bidi w:val="0"/>
        <w:spacing w:before="0"/>
        <w:ind w:left="0" w:right="0" w:firstLine="0"/>
        <w:jc w:val="left"/>
      </w:pPr>
      <w:bookmarkStart w:id="2" w:name="bookmark2"/>
      <w:r>
        <w:rPr>
          <w:color w:val="000000"/>
          <w:spacing w:val="0"/>
          <w:w w:val="100"/>
          <w:position w:val="0"/>
          <w:shd w:val="clear" w:color="auto" w:fill="auto"/>
          <w:lang w:val="lt-LT" w:eastAsia="lt-LT" w:bidi="lt-LT"/>
        </w:rPr>
        <w:t>Prekių tiekimas ir kainodara</w:t>
      </w:r>
      <w:bookmarkEnd w:id="2"/>
    </w:p>
    <w:p>
      <w:pPr>
        <w:pStyle w:val="Style14"/>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 sutartis yrakintamo įkainio sutartis, kurios pradinė vertė - 26880 Eur.</w:t>
      </w:r>
    </w:p>
    <w:p>
      <w:pPr>
        <w:pStyle w:val="Style14"/>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Prekių įkainiai apskaičiuojami:</w:t>
      </w:r>
    </w:p>
    <w:p>
      <w:pPr>
        <w:pStyle w:val="Style14"/>
        <w:keepNext w:val="0"/>
        <w:keepLines w:val="0"/>
        <w:widowControl w:val="0"/>
        <w:numPr>
          <w:ilvl w:val="2"/>
          <w:numId w:val="5"/>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 xml:space="preserve">benzino A95, dyzelinio kuro - prie Lietuvoje naftos produktus gaminančios įmonės protokolo (protokolai skelbiami </w:t>
      </w:r>
      <w:r>
        <w:fldChar w:fldCharType="begin"/>
      </w:r>
      <w:r>
        <w:rPr/>
        <w:instrText> HYPERLINK "http://www.orlenlietuva.lt/LT/Wholesale/Puslapiai/Kainu-protokolai.aspx" </w:instrText>
      </w:r>
      <w:r>
        <w:fldChar w:fldCharType="separate"/>
      </w:r>
      <w:r>
        <w:rPr>
          <w:color w:val="000000"/>
          <w:spacing w:val="0"/>
          <w:w w:val="100"/>
          <w:position w:val="0"/>
          <w:shd w:val="clear" w:color="auto" w:fill="auto"/>
          <w:lang w:val="en-US" w:eastAsia="en-US" w:bidi="en-US"/>
        </w:rPr>
        <w:t>http://www.orlenlietuva.lt/LT/Wholesale/Puslapiai/Kainu-protokolai.aspx</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bazinės 1 litro kainos eurais (įskaitant akcizą ir PVM), galiojusios Prekės įsigijimo dieną 10:00 val., taikomos Juodeikių km., Mažeikių raj. terminale, pridedant Pagrindinės sutarties priede fiksuotą antkainį / atėmus fiksuotą nuolaidą;</w:t>
      </w:r>
    </w:p>
    <w:p>
      <w:pPr>
        <w:pStyle w:val="Style14"/>
        <w:keepNext w:val="0"/>
        <w:keepLines w:val="0"/>
        <w:widowControl w:val="0"/>
        <w:numPr>
          <w:ilvl w:val="2"/>
          <w:numId w:val="5"/>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pPr>
        <w:pStyle w:val="Style14"/>
        <w:keepNext w:val="0"/>
        <w:keepLines w:val="0"/>
        <w:widowControl w:val="0"/>
        <w:numPr>
          <w:ilvl w:val="2"/>
          <w:numId w:val="5"/>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kitų Prekių, kurios gali būti įsigyjamos vadovaujantis Pagrindinės sutarties 3.5.2 punktu-taikant degalinėje Prekių pirkimo momentu viešai skelbtas kainas;</w:t>
      </w:r>
    </w:p>
    <w:p>
      <w:pPr>
        <w:pStyle w:val="Style14"/>
        <w:keepNext w:val="0"/>
        <w:keepLines w:val="0"/>
        <w:widowControl w:val="0"/>
        <w:numPr>
          <w:ilvl w:val="2"/>
          <w:numId w:val="5"/>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Tiekėjas gali taikyti ir kitas, Pagrindinėje sutartyje nenumatytas nuolaidas;</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pPr>
        <w:pStyle w:val="Style14"/>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Pagrindinės sutarties priede fiksuoti Prekės antkainiai / nuolaidos yra nekeičiami ir yra taikomi visą Pagrindinės sutarties galiojimo laikotarpį.</w:t>
      </w:r>
    </w:p>
    <w:p>
      <w:pPr>
        <w:pStyle w:val="Style14"/>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Į Prekės įkainius, apskaičiuotus vadovaujantis Pagrindinės sutarties 4.2 punktu, turi būti įskaičiuoti visi mokesčiai ir visos su Preliminariosios bei Pagrindinės sutarčių vykdymu susijusios išlaidos.</w:t>
      </w:r>
    </w:p>
    <w:p>
      <w:pPr>
        <w:pStyle w:val="Style14"/>
        <w:keepNext w:val="0"/>
        <w:keepLines w:val="0"/>
        <w:widowControl w:val="0"/>
        <w:numPr>
          <w:ilvl w:val="1"/>
          <w:numId w:val="5"/>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teisę Pagrindinės sutarties sąlygomis įsigyti Prekių iš visų Tiekėjo prekybos vietų (degalinių).</w:t>
      </w:r>
    </w:p>
    <w:p>
      <w:pPr>
        <w:pStyle w:val="Style16"/>
        <w:keepNext/>
        <w:keepLines/>
        <w:widowControl w:val="0"/>
        <w:numPr>
          <w:ilvl w:val="0"/>
          <w:numId w:val="5"/>
        </w:numPr>
        <w:shd w:val="clear" w:color="auto" w:fill="auto"/>
        <w:tabs>
          <w:tab w:pos="296" w:val="left"/>
        </w:tabs>
        <w:bidi w:val="0"/>
        <w:spacing w:before="0"/>
        <w:ind w:left="0" w:right="0" w:firstLine="0"/>
        <w:jc w:val="left"/>
      </w:pPr>
      <w:bookmarkStart w:id="4" w:name="bookmark4"/>
      <w:r>
        <w:rPr>
          <w:color w:val="000000"/>
          <w:spacing w:val="0"/>
          <w:w w:val="100"/>
          <w:position w:val="0"/>
          <w:shd w:val="clear" w:color="auto" w:fill="auto"/>
          <w:lang w:val="lt-LT" w:eastAsia="lt-LT" w:bidi="lt-LT"/>
        </w:rPr>
        <w:t>Atsiskaitymas už Prekes ir ataskaitos</w:t>
      </w:r>
      <w:bookmarkEnd w:id="4"/>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iki einamojo mėnesio 5 dienos arba šalių raštiškai suderintu periodiškumu privalo Užsakovui pateikti PVM sąskaitą-faktūrąuž Užsakovo pagal Pagrindinę sutartį per praeitą kalendorinį mėnesį įsigytas Prekes.</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kartu su PVM sąskaita-faktūraturi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pPr>
        <w:pStyle w:val="Style14"/>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pPr>
        <w:pStyle w:val="Style14"/>
        <w:keepNext w:val="0"/>
        <w:keepLines w:val="0"/>
        <w:widowControl w:val="0"/>
        <w:numPr>
          <w:ilvl w:val="1"/>
          <w:numId w:val="5"/>
        </w:numPr>
        <w:shd w:val="clear" w:color="auto" w:fill="auto"/>
        <w:tabs>
          <w:tab w:pos="411" w:val="left"/>
        </w:tabs>
        <w:bidi w:val="0"/>
        <w:spacing w:before="0" w:after="360"/>
        <w:ind w:left="0" w:right="0" w:firstLine="0"/>
        <w:jc w:val="left"/>
      </w:pPr>
      <w:r>
        <w:rPr>
          <w:color w:val="000000"/>
          <w:spacing w:val="0"/>
          <w:w w:val="100"/>
          <w:position w:val="0"/>
          <w:shd w:val="clear" w:color="auto" w:fill="auto"/>
          <w:lang w:val="lt-LT" w:eastAsia="lt-LT" w:bidi="lt-LT"/>
        </w:rPr>
        <w:t xml:space="preserve">Užsakovas PVM sąskaitas-faktūras turi apmokėti per 30 d. Šiame punkte nurodyti mokėjimų terminai, susieti su finansavimu, gaunamu iš trečiųjų šalių, gali būti pratęsti, tačiau bet kokiu atveju šie terminai negali viršyti 60 (šešiasdešimt) kalendorinių dienų. Nurodytu atveju ilgesnio apmokėjimo </w:t>
      </w:r>
      <w:r>
        <w:rPr>
          <w:color w:val="000000"/>
          <w:spacing w:val="0"/>
          <w:w w:val="100"/>
          <w:position w:val="0"/>
          <w:shd w:val="clear" w:color="auto" w:fill="auto"/>
          <w:lang w:val="lt-LT" w:eastAsia="lt-LT" w:bidi="lt-LT"/>
        </w:rPr>
        <w:t>termino taikymo galimybę Užsakovas įgyjatiktuo atvejujeijis Tiekėjui pateikia įrodymus, patvirtinančius apie finansavimo iš trečiųjų šalių vėlavimą.</w:t>
      </w:r>
    </w:p>
    <w:p>
      <w:pPr>
        <w:pStyle w:val="Style14"/>
        <w:keepNext w:val="0"/>
        <w:keepLines w:val="0"/>
        <w:widowControl w:val="0"/>
        <w:numPr>
          <w:ilvl w:val="1"/>
          <w:numId w:val="5"/>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Tiesioginio atsiskaitymo Tiekėjo pasitelkiamiems subtiekėjams galimybės įgyvendinamos šiatvarka:</w:t>
      </w:r>
    </w:p>
    <w:p>
      <w:pPr>
        <w:pStyle w:val="Style14"/>
        <w:keepNext w:val="0"/>
        <w:keepLines w:val="0"/>
        <w:widowControl w:val="0"/>
        <w:numPr>
          <w:ilvl w:val="2"/>
          <w:numId w:val="5"/>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norėdamas, kad Užsakovas tiesiogiai atsiskaitytų sujuo pateikiaprašymąUžsakovui ir inicijuojatrišalės sutarties tarpjo,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pPr>
        <w:pStyle w:val="Style14"/>
        <w:keepNext w:val="0"/>
        <w:keepLines w:val="0"/>
        <w:widowControl w:val="0"/>
        <w:numPr>
          <w:ilvl w:val="2"/>
          <w:numId w:val="5"/>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prieš pateikdamas sąskaitąUžsakovui, turiją suderinti su Tiekėju. Suderinimas laikomas tinkamu, kai subtiekėjo išrašytą sąskaitąraštu patvirtina atsakingas Tiekėjo atstovas, kuris yra nurodytas trišalėje sutartyje. Užsakovo atlikti mokėjimai subtiekėjui pagaljo pateiktas sąskaitas atitinkamai mažina sumą, kurią Užsakovas turi sumokėti Tiekėjui pagal Pagrindinės sutarties sąlygas ir tvarką. Tiekėjas, išrašydamas ir pateikdamas sąskaitas Užsakovui, atitinkamai įjas neįtraukia subtiekėjo tiesiogiai Užsakovui pateiktų ir Tiekėjo patvirtintų sąskaitų sumų.</w:t>
      </w:r>
    </w:p>
    <w:p>
      <w:pPr>
        <w:pStyle w:val="Style14"/>
        <w:keepNext w:val="0"/>
        <w:keepLines w:val="0"/>
        <w:widowControl w:val="0"/>
        <w:numPr>
          <w:ilvl w:val="2"/>
          <w:numId w:val="5"/>
        </w:numPr>
        <w:shd w:val="clear" w:color="auto" w:fill="auto"/>
        <w:tabs>
          <w:tab w:pos="481" w:val="left"/>
        </w:tabs>
        <w:bidi w:val="0"/>
        <w:spacing w:before="0" w:after="0"/>
        <w:ind w:left="0" w:right="0" w:firstLine="0"/>
        <w:jc w:val="both"/>
      </w:pPr>
      <w:r>
        <w:rPr>
          <w:color w:val="000000"/>
          <w:spacing w:val="0"/>
          <w:w w:val="100"/>
          <w:position w:val="0"/>
          <w:shd w:val="clear" w:color="auto" w:fill="auto"/>
          <w:lang w:val="lt-LT" w:eastAsia="lt-LT" w:bidi="lt-LT"/>
        </w:rPr>
        <w:t>Tiesioginis atsiskaitymas su subtiekėju neatleidžia Tiekėjo nuojo prisiimtų įsipareigojimų pagal sudarytą Pagrindinę sutartį. Nepaisant nustatyto galimo tiesioginio atsiskaitymo su subtiekėju, Tiekėjui Pagrindine sutartimi numatytos teisės, pareigos ir kiti įsipareigojimai nepereina subtiekėjui.</w:t>
      </w:r>
    </w:p>
    <w:p>
      <w:pPr>
        <w:pStyle w:val="Style14"/>
        <w:keepNext w:val="0"/>
        <w:keepLines w:val="0"/>
        <w:widowControl w:val="0"/>
        <w:numPr>
          <w:ilvl w:val="2"/>
          <w:numId w:val="5"/>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Jei dėl tiesioginio atsiskaitymo su subtiekėju faktiškai nesutampa Tiekėjo ir subtiekėjo nurodyti faktiniai kiekiai / apimtys / mokėtinos sumos, rizika prieš Užsakovątenka Tiekėjui ir neatitikimai pašalinami Tiekėjo sąskaita.</w:t>
      </w:r>
    </w:p>
    <w:p>
      <w:pPr>
        <w:pStyle w:val="Style14"/>
        <w:keepNext w:val="0"/>
        <w:keepLines w:val="0"/>
        <w:widowControl w:val="0"/>
        <w:numPr>
          <w:ilvl w:val="2"/>
          <w:numId w:val="5"/>
        </w:numPr>
        <w:shd w:val="clear" w:color="auto" w:fill="auto"/>
        <w:tabs>
          <w:tab w:pos="490" w:val="left"/>
        </w:tabs>
        <w:bidi w:val="0"/>
        <w:spacing w:before="0" w:after="0"/>
        <w:ind w:left="0" w:right="0" w:firstLine="0"/>
        <w:jc w:val="both"/>
      </w:pPr>
      <w:r>
        <w:rPr>
          <w:color w:val="000000"/>
          <w:spacing w:val="0"/>
          <w:w w:val="100"/>
          <w:position w:val="0"/>
          <w:shd w:val="clear" w:color="auto" w:fill="auto"/>
          <w:lang w:val="lt-LT" w:eastAsia="lt-LT" w:bidi="lt-LT"/>
        </w:rP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įgyjatiktuo atvejujeijis subtiekėjui pateikia įrodymus, patvirtinančius apie finansavimo iš trečiųjų šalių vėlavimą.</w:t>
      </w:r>
    </w:p>
    <w:p>
      <w:pPr>
        <w:pStyle w:val="Style14"/>
        <w:keepNext w:val="0"/>
        <w:keepLines w:val="0"/>
        <w:widowControl w:val="0"/>
        <w:numPr>
          <w:ilvl w:val="2"/>
          <w:numId w:val="5"/>
        </w:numPr>
        <w:shd w:val="clear" w:color="auto" w:fill="auto"/>
        <w:tabs>
          <w:tab w:pos="476" w:val="left"/>
        </w:tabs>
        <w:bidi w:val="0"/>
        <w:spacing w:before="0" w:after="0"/>
        <w:ind w:left="0" w:right="0" w:firstLine="0"/>
        <w:jc w:val="both"/>
      </w:pPr>
      <w:r>
        <w:rPr>
          <w:color w:val="000000"/>
          <w:spacing w:val="0"/>
          <w:w w:val="100"/>
          <w:position w:val="0"/>
          <w:shd w:val="clear" w:color="auto" w:fill="auto"/>
          <w:lang w:val="lt-LT" w:eastAsia="lt-LT" w:bidi="lt-LT"/>
        </w:rPr>
        <w:t>Atsiskaitymai su subtiekėju atliekami trišalėje sutartyje nustatyta tvarka, atsižvelgiant į Pagrindinėje sutartyje nustatytą kainodarą.</w:t>
      </w:r>
    </w:p>
    <w:p>
      <w:pPr>
        <w:pStyle w:val="Style14"/>
        <w:keepNext w:val="0"/>
        <w:keepLines w:val="0"/>
        <w:widowControl w:val="0"/>
        <w:numPr>
          <w:ilvl w:val="1"/>
          <w:numId w:val="5"/>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PVM sąskaita - faktūra rengiama vadovaujantis Lietuvos Respublikos pridėtinės vertės mokesčio įstatymo irjo įgyvendinamųjų teisės aktų nuostatomis.</w:t>
      </w:r>
    </w:p>
    <w:p>
      <w:pPr>
        <w:pStyle w:val="Style14"/>
        <w:keepNext w:val="0"/>
        <w:keepLines w:val="0"/>
        <w:widowControl w:val="0"/>
        <w:numPr>
          <w:ilvl w:val="1"/>
          <w:numId w:val="5"/>
        </w:numPr>
        <w:shd w:val="clear" w:color="auto" w:fill="auto"/>
        <w:tabs>
          <w:tab w:pos="416" w:val="left"/>
        </w:tabs>
        <w:bidi w:val="0"/>
        <w:spacing w:before="0" w:after="80"/>
        <w:ind w:left="0" w:right="0" w:firstLine="0"/>
        <w:jc w:val="both"/>
      </w:pPr>
      <w:r>
        <w:rPr>
          <w:color w:val="000000"/>
          <w:spacing w:val="0"/>
          <w:w w:val="100"/>
          <w:position w:val="0"/>
          <w:shd w:val="clear" w:color="auto" w:fill="auto"/>
          <w:lang w:val="lt-LT" w:eastAsia="lt-LT" w:bidi="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pPr>
        <w:pStyle w:val="Style16"/>
        <w:keepNext/>
        <w:keepLines/>
        <w:widowControl w:val="0"/>
        <w:numPr>
          <w:ilvl w:val="0"/>
          <w:numId w:val="5"/>
        </w:numPr>
        <w:shd w:val="clear" w:color="auto" w:fill="auto"/>
        <w:tabs>
          <w:tab w:pos="246" w:val="left"/>
        </w:tabs>
        <w:bidi w:val="0"/>
        <w:spacing w:before="0"/>
        <w:ind w:left="0" w:right="0" w:firstLine="0"/>
        <w:jc w:val="both"/>
      </w:pPr>
      <w:bookmarkStart w:id="6" w:name="bookmark6"/>
      <w:r>
        <w:rPr>
          <w:color w:val="000000"/>
          <w:spacing w:val="0"/>
          <w:w w:val="100"/>
          <w:position w:val="0"/>
          <w:shd w:val="clear" w:color="auto" w:fill="auto"/>
          <w:lang w:val="lt-LT" w:eastAsia="lt-LT" w:bidi="lt-LT"/>
        </w:rPr>
        <w:t>Atsakomybė</w:t>
      </w:r>
      <w:bookmarkEnd w:id="6"/>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Šalių atsakomybė yra nustatoma pagal galiojančius Lietuvos Respublikos teisės aktus ir Pagrindinę sutartį. Šalys įsipareigojatinkamai vykdyti Pagrindine sutartimi prisiimtus įsipareigojimus ir susilaikyti nuo bet kokių veiksmų, kuriais galėtų padaryti žalos viena kitai ar apsunkintų kitos Šalies prisiimtų įsipareigojimų įvykdymą.</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Užsakovas ar Tiekėjas neatlygina vienas kitam netiesioginių nuostolių ir (arba) pelno, pajamų, geros reputacijos ar planuotų sutaupymų praradimo.</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Pagrindinę sutartį nutraukus dėl Tiekėjo kaltės Užsakovas gali:</w:t>
      </w:r>
    </w:p>
    <w:p>
      <w:pPr>
        <w:pStyle w:val="Style14"/>
        <w:keepNext w:val="0"/>
        <w:keepLines w:val="0"/>
        <w:widowControl w:val="0"/>
        <w:numPr>
          <w:ilvl w:val="2"/>
          <w:numId w:val="5"/>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Reikalauti sumokėti baudą, lygią 10 (dešimt) procentų dydžio baudąnuo skirtumo tarp sumos, kuriąUžsakovas įsipareigojo išpirkti irfaktiškai įsigytų Prekių vertės (kai netaikomos papildomos Pagrindinės sutarties įvykdymo užtikrinimo priemonės)</w:t>
      </w:r>
    </w:p>
    <w:p>
      <w:pPr>
        <w:pStyle w:val="Style14"/>
        <w:keepNext w:val="0"/>
        <w:keepLines w:val="0"/>
        <w:widowControl w:val="0"/>
        <w:numPr>
          <w:ilvl w:val="2"/>
          <w:numId w:val="5"/>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Jei taikoma, pasinaudoti pateiktu Pagrindinės sutarties įvykdymo užtikrinimu, reikalaujant užtikrinimą išdavusio asmens sumokėti Pagrindinės sutarties įvykdymo užtikrinime numatytą sumą.</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neįvykdžius pareigos per Pirkimo sutarties galiojimo terminąnupirkti Prekių už ne mažiau kaip 70 % Pradinės Pagrindinės sutarties vertės, Užsakovas, Tiekėjui pareikalavus, sumoka 10 (dešimt) procentų dydžio baudąnuo skirtumo tarp sumos, kuriąUžsakovas įsipareigojo išpirkti ir faktiškai įsigytų prekių vertės, išskyrusjei Pagrindinė sutartis nutraukiama dėl Tiekėjo esminio Pagrindinės sutarties pažeidimo, taip pat Pagrindinės sutarties 10.3, 10.4 ir 10.6 punktuose numatytais atvejais.</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įspėjęs Užsakovą ne vėliau kaip prieš 3 darbo dienas, turi teisę blokuoti Kortelesjeigu Užsakovas laiku neatsiskaito už Prekes arba viršija nustatytąkredito limitą.</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be pateisinamų priežasčių nesumokėjus Tiekėjo pateiktoje sąskaitoje-faktūroje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ne dėl Tiekėjo kaltės vėluojama sumokėti daugiau nei 30 kalendorinių dienų nuo mokėjimui nustatyto termino pabaigos, Tiekėjas turi teisę nutraukti Pagrindinę sutartį ir reikalauti nuostolių atlyginimo.</w:t>
      </w:r>
    </w:p>
    <w:p>
      <w:pPr>
        <w:pStyle w:val="Style14"/>
        <w:keepNext w:val="0"/>
        <w:keepLines w:val="0"/>
        <w:widowControl w:val="0"/>
        <w:numPr>
          <w:ilvl w:val="1"/>
          <w:numId w:val="5"/>
        </w:numPr>
        <w:shd w:val="clear" w:color="auto" w:fill="auto"/>
        <w:tabs>
          <w:tab w:pos="416" w:val="left"/>
        </w:tabs>
        <w:bidi w:val="0"/>
        <w:spacing w:before="0" w:after="180"/>
        <w:ind w:left="0" w:right="0" w:firstLine="0"/>
        <w:jc w:val="both"/>
      </w:pPr>
      <w:r>
        <w:rPr>
          <w:color w:val="000000"/>
          <w:spacing w:val="0"/>
          <w:w w:val="100"/>
          <w:position w:val="0"/>
          <w:shd w:val="clear" w:color="auto" w:fill="auto"/>
          <w:lang w:val="lt-LT" w:eastAsia="lt-LT" w:bidi="lt-LT"/>
        </w:rPr>
        <w:t>Nustačius, kad Tiekėjas neteisingai apskaičiavo Užsakovui parduotas prekes, už kiekvienątokį atvejį Tiekėjas sumoka Užsakovui 50 (penkiasdešimt) eurų baudą.</w:t>
      </w:r>
    </w:p>
    <w:p>
      <w:pPr>
        <w:pStyle w:val="Style16"/>
        <w:keepNext/>
        <w:keepLines/>
        <w:widowControl w:val="0"/>
        <w:numPr>
          <w:ilvl w:val="0"/>
          <w:numId w:val="5"/>
        </w:numPr>
        <w:shd w:val="clear" w:color="auto" w:fill="auto"/>
        <w:tabs>
          <w:tab w:pos="364" w:val="left"/>
        </w:tabs>
        <w:bidi w:val="0"/>
        <w:spacing w:before="0" w:after="280" w:line="240" w:lineRule="auto"/>
        <w:ind w:left="0" w:right="0" w:firstLine="0"/>
        <w:jc w:val="left"/>
      </w:pPr>
      <w:bookmarkStart w:id="8" w:name="bookmark8"/>
      <w:r>
        <w:rPr>
          <w:color w:val="000000"/>
          <w:spacing w:val="0"/>
          <w:w w:val="100"/>
          <w:position w:val="0"/>
          <w:shd w:val="clear" w:color="auto" w:fill="auto"/>
          <w:lang w:val="en-US" w:eastAsia="en-US" w:bidi="en-US"/>
        </w:rPr>
        <w:t>Force Majeure</w:t>
      </w:r>
      <w:bookmarkEnd w:id="8"/>
    </w:p>
    <w:p>
      <w:pPr>
        <w:pStyle w:val="Style14"/>
        <w:keepNext w:val="0"/>
        <w:keepLines w:val="0"/>
        <w:widowControl w:val="0"/>
        <w:numPr>
          <w:ilvl w:val="1"/>
          <w:numId w:val="5"/>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 xml:space="preserve">Nė viena Pagrindinės sutarties Šalis nėra laikoma pažeidusią Pagrindinę sutartį arba nevykdančia savo įsipareigojimų pagal Pagrindinę sutartį, jei įsipareigojimus vykdyti jai trukdo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atsiradusios po Pagrindinės sutarties įsigaliojimo dienos.</w:t>
      </w:r>
    </w:p>
    <w:p>
      <w:pPr>
        <w:pStyle w:val="Style14"/>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 xml:space="preserve">Jei kuri nors Pagrindinės sutarties Šalis mano, kad atsirado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dėl kurių ji negali vykdyti savo įsipareigojimų, ji nedelsdama informuoja apie tai kitą Šalį, pranešdama apie aplinkybių pobūdį, galimą trukmę ir tikėtiną poveikį.</w:t>
      </w:r>
    </w:p>
    <w:p>
      <w:pPr>
        <w:pStyle w:val="Style14"/>
        <w:keepNext w:val="0"/>
        <w:keepLines w:val="0"/>
        <w:widowControl w:val="0"/>
        <w:numPr>
          <w:ilvl w:val="1"/>
          <w:numId w:val="5"/>
        </w:numPr>
        <w:shd w:val="clear" w:color="auto" w:fill="auto"/>
        <w:tabs>
          <w:tab w:pos="405" w:val="left"/>
        </w:tabs>
        <w:bidi w:val="0"/>
        <w:spacing w:before="0" w:after="80"/>
        <w:ind w:left="0" w:right="0" w:firstLine="0"/>
        <w:jc w:val="left"/>
      </w:pPr>
      <w:r>
        <w:rPr>
          <w:color w:val="000000"/>
          <w:spacing w:val="0"/>
          <w:w w:val="100"/>
          <w:position w:val="0"/>
          <w:shd w:val="clear" w:color="auto" w:fill="auto"/>
          <w:lang w:val="lt-LT" w:eastAsia="lt-LT" w:bidi="lt-LT"/>
        </w:rPr>
        <w:t xml:space="preserve">Jei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 xml:space="preserve">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vis dar yra, Pagrindinė sutartis nutraukiama ir pagal Pagrindinės sutarties sąlygas Šalys atleidžiamos nuo tolesnio Pagrindinės sutarties vykdymo.</w:t>
      </w:r>
    </w:p>
    <w:p>
      <w:pPr>
        <w:pStyle w:val="Style16"/>
        <w:keepNext/>
        <w:keepLines/>
        <w:widowControl w:val="0"/>
        <w:numPr>
          <w:ilvl w:val="0"/>
          <w:numId w:val="5"/>
        </w:numPr>
        <w:shd w:val="clear" w:color="auto" w:fill="auto"/>
        <w:tabs>
          <w:tab w:pos="364" w:val="left"/>
        </w:tabs>
        <w:bidi w:val="0"/>
        <w:spacing w:before="0"/>
        <w:ind w:left="0" w:right="0" w:firstLine="0"/>
        <w:jc w:val="left"/>
      </w:pPr>
      <w:bookmarkStart w:id="10" w:name="bookmark10"/>
      <w:r>
        <w:rPr>
          <w:color w:val="000000"/>
          <w:spacing w:val="0"/>
          <w:w w:val="100"/>
          <w:position w:val="0"/>
          <w:shd w:val="clear" w:color="auto" w:fill="auto"/>
          <w:lang w:val="lt-LT" w:eastAsia="lt-LT" w:bidi="lt-LT"/>
        </w:rPr>
        <w:t>Pagrindinei sutarčiai taikytina teise ir ginčų sprendimas</w:t>
      </w:r>
      <w:bookmarkEnd w:id="10"/>
    </w:p>
    <w:p>
      <w:pPr>
        <w:pStyle w:val="Style14"/>
        <w:keepNext w:val="0"/>
        <w:keepLines w:val="0"/>
        <w:widowControl w:val="0"/>
        <w:numPr>
          <w:ilvl w:val="1"/>
          <w:numId w:val="5"/>
        </w:numPr>
        <w:shd w:val="clear" w:color="auto" w:fill="auto"/>
        <w:tabs>
          <w:tab w:pos="381" w:val="left"/>
        </w:tabs>
        <w:bidi w:val="0"/>
        <w:spacing w:before="0" w:after="0"/>
        <w:ind w:left="0" w:right="0" w:firstLine="0"/>
        <w:jc w:val="left"/>
      </w:pPr>
      <w:r>
        <w:rPr>
          <w:color w:val="000000"/>
          <w:spacing w:val="0"/>
          <w:w w:val="100"/>
          <w:position w:val="0"/>
          <w:shd w:val="clear" w:color="auto" w:fill="auto"/>
          <w:lang w:val="lt-LT" w:eastAsia="lt-LT" w:bidi="lt-LT"/>
        </w:rPr>
        <w:t>Šalių tarpusavio santykiai, neaptarti Pagrindinėje sutartyje, reguliuojami Lietuvos Respublikos teisės aktų nustatyta tvarka.</w:t>
      </w:r>
    </w:p>
    <w:p>
      <w:pPr>
        <w:pStyle w:val="Style14"/>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Visus Užsakovo ir Tiekėjo ginčus, kylančius iš Pagrindinės sutarties ar su ja susijusius, Šalys sprendžia derybomis. Derybų pradžia laikoma diena, kurią viena iš Šalių pateikė prašymą raštu kitai Šaliai su siūlymu pradėti derybas.</w:t>
      </w:r>
    </w:p>
    <w:p>
      <w:pPr>
        <w:pStyle w:val="Style14"/>
        <w:keepNext w:val="0"/>
        <w:keepLines w:val="0"/>
        <w:widowControl w:val="0"/>
        <w:numPr>
          <w:ilvl w:val="1"/>
          <w:numId w:val="5"/>
        </w:numPr>
        <w:shd w:val="clear" w:color="auto" w:fill="auto"/>
        <w:tabs>
          <w:tab w:pos="395" w:val="left"/>
        </w:tabs>
        <w:bidi w:val="0"/>
        <w:spacing w:before="0" w:after="80"/>
        <w:ind w:left="0" w:right="0" w:firstLine="0"/>
        <w:jc w:val="left"/>
      </w:pPr>
      <w:r>
        <w:rPr>
          <w:color w:val="000000"/>
          <w:spacing w:val="0"/>
          <w:w w:val="100"/>
          <w:position w:val="0"/>
          <w:shd w:val="clear" w:color="auto" w:fill="auto"/>
          <w:lang w:val="lt-LT" w:eastAsia="lt-LT" w:bidi="lt-LT"/>
        </w:rPr>
        <w:t>Nepavykus ginčo išspręsti derybomis per 20 (dvidešimt) darbo dienų nuo derybų pradžios, bet koks ginčas sprendžiamas Lietuvos Respublikos teismuose, vadovaujantis Lietuvos Respublikos teise.</w:t>
      </w:r>
    </w:p>
    <w:p>
      <w:pPr>
        <w:pStyle w:val="Style16"/>
        <w:keepNext/>
        <w:keepLines/>
        <w:widowControl w:val="0"/>
        <w:numPr>
          <w:ilvl w:val="0"/>
          <w:numId w:val="5"/>
        </w:numPr>
        <w:shd w:val="clear" w:color="auto" w:fill="auto"/>
        <w:tabs>
          <w:tab w:pos="364" w:val="left"/>
        </w:tabs>
        <w:bidi w:val="0"/>
        <w:spacing w:before="0"/>
        <w:ind w:left="0" w:right="0" w:firstLine="0"/>
        <w:jc w:val="left"/>
      </w:pPr>
      <w:bookmarkStart w:id="12" w:name="bookmark12"/>
      <w:r>
        <w:rPr>
          <w:color w:val="000000"/>
          <w:spacing w:val="0"/>
          <w:w w:val="100"/>
          <w:position w:val="0"/>
          <w:shd w:val="clear" w:color="auto" w:fill="auto"/>
          <w:lang w:val="lt-LT" w:eastAsia="lt-LT" w:bidi="lt-LT"/>
        </w:rPr>
        <w:t>Pagrindines sutarties pakeitimai</w:t>
      </w:r>
      <w:bookmarkEnd w:id="12"/>
    </w:p>
    <w:p>
      <w:pPr>
        <w:pStyle w:val="Style14"/>
        <w:keepNext w:val="0"/>
        <w:keepLines w:val="0"/>
        <w:widowControl w:val="0"/>
        <w:numPr>
          <w:ilvl w:val="1"/>
          <w:numId w:val="5"/>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w:t>
      </w:r>
    </w:p>
    <w:p>
      <w:pPr>
        <w:pStyle w:val="Style14"/>
        <w:keepNext w:val="0"/>
        <w:keepLines w:val="0"/>
        <w:widowControl w:val="0"/>
        <w:numPr>
          <w:ilvl w:val="2"/>
          <w:numId w:val="5"/>
        </w:numPr>
        <w:shd w:val="clear" w:color="auto" w:fill="auto"/>
        <w:tabs>
          <w:tab w:pos="515"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trukmė gali būti keičiama vadovaujantis Pagrindinės sutarties 10 skyriuje bei 9.1.4 papunktyje nustatytomis sąlygomis ir tvarka;</w:t>
      </w:r>
    </w:p>
    <w:p>
      <w:pPr>
        <w:pStyle w:val="Style14"/>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Prekės gali būti keičiamos, Užsakovui pareikalavus, kad Prekės atitiktų Pirkimo sutarties 3.1.4. reikalavimus.</w:t>
      </w:r>
    </w:p>
    <w:p>
      <w:pPr>
        <w:pStyle w:val="Style14"/>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Subtiekėjai gali būti keičiami Pagrindinės sutarties 9.2 punkte nustatyta tvarka;</w:t>
      </w:r>
    </w:p>
    <w:p>
      <w:pPr>
        <w:pStyle w:val="Style14"/>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kitais Pagrindinėje sutartyje numatytais atvejais ir tvarka;</w:t>
      </w:r>
    </w:p>
    <w:p>
      <w:pPr>
        <w:pStyle w:val="Style14"/>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Viešųjų pirkimų įstatyme nustatytomis sąlygomis ir tvarka, jeigu sutarties sąlygų keitimas nenumatytas Pagrindinėje sutartyje.</w:t>
      </w:r>
    </w:p>
    <w:p>
      <w:pPr>
        <w:pStyle w:val="Style14"/>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pPr>
        <w:pStyle w:val="Style14"/>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Nustačius viešuosius pirkimus reglamentuojančiuose teisės aktuose numatytus Tiekėjo pasitelkto ar planuojamo pasitelkti subtiekėjo pašalinimo pagrindus, Užsakovas reikalauja Tiekėjo per protingą terminą tokį subtiekėją pakeisti kitu.</w:t>
      </w:r>
    </w:p>
    <w:p>
      <w:pPr>
        <w:pStyle w:val="Style14"/>
        <w:keepNext w:val="0"/>
        <w:keepLines w:val="0"/>
        <w:widowControl w:val="0"/>
        <w:numPr>
          <w:ilvl w:val="1"/>
          <w:numId w:val="5"/>
        </w:numPr>
        <w:shd w:val="clear" w:color="auto" w:fill="auto"/>
        <w:tabs>
          <w:tab w:pos="386" w:val="left"/>
        </w:tabs>
        <w:bidi w:val="0"/>
        <w:spacing w:before="0" w:after="80"/>
        <w:ind w:left="0" w:right="0" w:firstLine="0"/>
        <w:jc w:val="left"/>
      </w:pPr>
      <w:r>
        <w:rPr>
          <w:color w:val="000000"/>
          <w:spacing w:val="0"/>
          <w:w w:val="100"/>
          <w:position w:val="0"/>
          <w:shd w:val="clear" w:color="auto" w:fill="auto"/>
          <w:lang w:val="lt-LT" w:eastAsia="lt-LT" w:bidi="lt-LT"/>
        </w:rPr>
        <w:t>Visi Pagrindinės sutarties pakeitimai įforminami atskiru rašytiniu Šalių sutarimu.</w:t>
      </w:r>
    </w:p>
    <w:p>
      <w:pPr>
        <w:pStyle w:val="Style16"/>
        <w:keepNext/>
        <w:keepLines/>
        <w:widowControl w:val="0"/>
        <w:numPr>
          <w:ilvl w:val="0"/>
          <w:numId w:val="5"/>
        </w:numPr>
        <w:shd w:val="clear" w:color="auto" w:fill="auto"/>
        <w:tabs>
          <w:tab w:pos="364" w:val="left"/>
        </w:tabs>
        <w:bidi w:val="0"/>
        <w:spacing w:before="0"/>
        <w:ind w:left="0" w:right="0" w:firstLine="0"/>
        <w:jc w:val="left"/>
      </w:pPr>
      <w:bookmarkStart w:id="14" w:name="bookmark14"/>
      <w:r>
        <w:rPr>
          <w:color w:val="000000"/>
          <w:spacing w:val="0"/>
          <w:w w:val="100"/>
          <w:position w:val="0"/>
          <w:shd w:val="clear" w:color="auto" w:fill="auto"/>
          <w:lang w:val="lt-LT" w:eastAsia="lt-LT" w:bidi="lt-LT"/>
        </w:rPr>
        <w:t>Pagrindines sutarties galiojimas</w:t>
      </w:r>
      <w:bookmarkEnd w:id="14"/>
    </w:p>
    <w:p>
      <w:pPr>
        <w:pStyle w:val="Style14"/>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įsigalioja nuo abieju šalių pasirašymo dienos (datą nurodo Šalys Pagrindinės sutarties sudarymo metu (data turi būti ne ankstesnė kaip Pagrindinės sutarties pasirašymo bei ne vėlesnė kaip 60 (šešiasdešimt) kalendorinių dienų nuo Pagrindinės sutarties pasirašymo dienos).</w:t>
      </w:r>
    </w:p>
    <w:p>
      <w:pPr>
        <w:pStyle w:val="Style14"/>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 Pagrindinėje sutartyje nustatyta tvarka, taip pat esant atitinkamam teismo sprendimui.</w:t>
      </w:r>
    </w:p>
    <w:p>
      <w:pPr>
        <w:pStyle w:val="Style14"/>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rašytiniu Šalių sutarimu gali būti pratęsta, jei nėra įsigytas maksimalus Prekių kiekis (jei jis buvo nurodytas užsakyme) ir/ar Užsakovo įsigytų Prekių kaina nesiekia Pradinės Pagrindinės sutarties vertės. Prekių tiekimo terminas su pratęsimais negali būti ilgesnis nei 36 mėn</w:t>
      </w:r>
    </w:p>
    <w:p>
      <w:pPr>
        <w:pStyle w:val="Style14"/>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 arba Viešųjų pirkimų įstatyme nustatytomis sąlygomis ir tvarka. Pirkimo sutarties vykdymo metu Prekės gali būti keičiamos, Užsakovui pareikalavus, kad Prekės atitiktų Pirkimo sutarties 3.1.4 punkto reikalavimus.</w:t>
      </w:r>
    </w:p>
    <w:p>
      <w:pPr>
        <w:pStyle w:val="Style14"/>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gali būti nutraukta abipusiu Šalių sutarimu.</w:t>
      </w:r>
    </w:p>
    <w:p>
      <w:pPr>
        <w:pStyle w:val="Style14"/>
        <w:keepNext w:val="0"/>
        <w:keepLines w:val="0"/>
        <w:widowControl w:val="0"/>
        <w:numPr>
          <w:ilvl w:val="1"/>
          <w:numId w:val="5"/>
        </w:numPr>
        <w:shd w:val="clear" w:color="auto" w:fill="auto"/>
        <w:tabs>
          <w:tab w:pos="490" w:val="left"/>
        </w:tabs>
        <w:bidi w:val="0"/>
        <w:spacing w:before="0" w:after="180"/>
        <w:ind w:left="0" w:right="0" w:firstLine="0"/>
        <w:jc w:val="left"/>
      </w:pPr>
      <w:r>
        <w:rPr>
          <w:color w:val="000000"/>
          <w:spacing w:val="0"/>
          <w:w w:val="100"/>
          <w:position w:val="0"/>
          <w:shd w:val="clear" w:color="auto" w:fill="auto"/>
          <w:lang w:val="lt-LT" w:eastAsia="lt-LT" w:bidi="lt-LT"/>
        </w:rPr>
        <w:t>Užsakovas ir Tiekėjas turi teisę, įspėjęs kitą Šalį prieš 5 (penkias) darbo dienas, vienašališkai nutraukti Pagrindinę sutartį dėl esminio jos pažeidimo: teisės aktuose nustatytų reikalavimų neatitinkančių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reglamentuojančių teisės aktų nustatyta tvarka, įtraukia Tiekėją į Nepatikimų tiekėjų sąrašą.</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turi teisę, įspėjęs Tiekėją prieš 5 (penkias) darbo dienas, vienašališkai nutraukti Pagrindinę sutartį,jei:</w:t>
      </w:r>
    </w:p>
    <w:p>
      <w:pPr>
        <w:pStyle w:val="Style14"/>
        <w:keepNext w:val="0"/>
        <w:keepLines w:val="0"/>
        <w:widowControl w:val="0"/>
        <w:numPr>
          <w:ilvl w:val="2"/>
          <w:numId w:val="5"/>
        </w:numPr>
        <w:shd w:val="clear" w:color="auto" w:fill="auto"/>
        <w:tabs>
          <w:tab w:pos="558" w:val="left"/>
        </w:tabs>
        <w:bidi w:val="0"/>
        <w:spacing w:before="0" w:after="0"/>
        <w:ind w:left="0" w:right="0" w:firstLine="0"/>
        <w:jc w:val="left"/>
      </w:pPr>
      <w:r>
        <w:rPr>
          <w:color w:val="000000"/>
          <w:spacing w:val="0"/>
          <w:w w:val="100"/>
          <w:position w:val="0"/>
          <w:shd w:val="clear" w:color="auto" w:fill="auto"/>
          <w:lang w:val="lt-LT" w:eastAsia="lt-LT" w:bidi="lt-LT"/>
        </w:rPr>
        <w:t>Tiekėjas įvykdo konkurencijos pažeidimą, už kurį Tiekėjui arjo vadovui yra paskirta administracinė nuobauda ar ekonominė sankcija, nustatytos Lietuvos Respublikos ar kitų valstybių įstatymuose;</w:t>
      </w:r>
    </w:p>
    <w:p>
      <w:pPr>
        <w:pStyle w:val="Style14"/>
        <w:keepNext w:val="0"/>
        <w:keepLines w:val="0"/>
        <w:widowControl w:val="0"/>
        <w:numPr>
          <w:ilvl w:val="2"/>
          <w:numId w:val="5"/>
        </w:numPr>
        <w:shd w:val="clear" w:color="auto" w:fill="auto"/>
        <w:tabs>
          <w:tab w:pos="543" w:val="left"/>
        </w:tabs>
        <w:bidi w:val="0"/>
        <w:spacing w:before="0" w:after="0"/>
        <w:ind w:left="0" w:right="0" w:firstLine="0"/>
        <w:jc w:val="left"/>
      </w:pPr>
      <w:r>
        <w:rPr>
          <w:color w:val="000000"/>
          <w:spacing w:val="0"/>
          <w:w w:val="100"/>
          <w:position w:val="0"/>
          <w:shd w:val="clear" w:color="auto" w:fill="auto"/>
          <w:lang w:val="lt-LT" w:eastAsia="lt-LT" w:bidi="lt-LT"/>
        </w:rPr>
        <w:t>Tiekėjas praranda Pagrindinės sutarties vykdymui reikalingas licencijas;</w:t>
      </w:r>
    </w:p>
    <w:p>
      <w:pPr>
        <w:pStyle w:val="Style14"/>
        <w:keepNext w:val="0"/>
        <w:keepLines w:val="0"/>
        <w:widowControl w:val="0"/>
        <w:numPr>
          <w:ilvl w:val="2"/>
          <w:numId w:val="5"/>
        </w:numPr>
        <w:shd w:val="clear" w:color="auto" w:fill="auto"/>
        <w:tabs>
          <w:tab w:pos="562" w:val="left"/>
        </w:tabs>
        <w:bidi w:val="0"/>
        <w:spacing w:before="0" w:after="0"/>
        <w:ind w:left="0" w:right="0" w:firstLine="0"/>
        <w:jc w:val="left"/>
      </w:pPr>
      <w:r>
        <w:rPr>
          <w:color w:val="000000"/>
          <w:spacing w:val="0"/>
          <w:w w:val="100"/>
          <w:position w:val="0"/>
          <w:shd w:val="clear" w:color="auto" w:fill="auto"/>
          <w:lang w:val="lt-LT" w:eastAsia="lt-LT" w:bidi="lt-LT"/>
        </w:rPr>
        <w:t>Lietuvoje naftos produktus gaminanti įmonė viešai neskelbia kainų protokolų ilgesnį nei 30 dienų laikotarpį ir Tiekėjas ar CPO LT protokolų nepateikia Užsakovui.</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ir Tiekėjas turi teisę, vienašališkai nutraukti Pagrindinę sutartį kitais, viešuosius pirkimus reglamentuojančių teisės aktų numatytais atvejais.</w:t>
      </w:r>
    </w:p>
    <w:p>
      <w:pPr>
        <w:pStyle w:val="Style14"/>
        <w:keepNext w:val="0"/>
        <w:keepLines w:val="0"/>
        <w:widowControl w:val="0"/>
        <w:numPr>
          <w:ilvl w:val="1"/>
          <w:numId w:val="5"/>
        </w:numPr>
        <w:shd w:val="clear" w:color="auto" w:fill="auto"/>
        <w:tabs>
          <w:tab w:pos="478" w:val="left"/>
        </w:tabs>
        <w:bidi w:val="0"/>
        <w:spacing w:before="0" w:after="80"/>
        <w:ind w:left="0" w:right="0" w:firstLine="0"/>
        <w:jc w:val="left"/>
      </w:pPr>
      <w:r>
        <w:rPr>
          <w:color w:val="000000"/>
          <w:spacing w:val="0"/>
          <w:w w:val="100"/>
          <w:position w:val="0"/>
          <w:shd w:val="clear" w:color="auto" w:fill="auto"/>
          <w:lang w:val="lt-LT" w:eastAsia="lt-LT" w:bidi="lt-LT"/>
        </w:rPr>
        <w:t>Pagrindinės sutarties nutraukimas nepanaikina teisės reikalauti atlyginti nuostolius, atsirandančius dėl įsipareigojimų nevykdymo pagal šią Pagrindinę sutartį, kaip tai numatyta Pagrindinės sutarties nuostatose.</w:t>
      </w:r>
    </w:p>
    <w:p>
      <w:pPr>
        <w:pStyle w:val="Style16"/>
        <w:keepNext/>
        <w:keepLines/>
        <w:widowControl w:val="0"/>
        <w:numPr>
          <w:ilvl w:val="0"/>
          <w:numId w:val="5"/>
        </w:numPr>
        <w:shd w:val="clear" w:color="auto" w:fill="auto"/>
        <w:tabs>
          <w:tab w:pos="318" w:val="left"/>
        </w:tabs>
        <w:bidi w:val="0"/>
        <w:spacing w:before="0"/>
        <w:ind w:left="0" w:right="0" w:firstLine="0"/>
        <w:jc w:val="left"/>
      </w:pPr>
      <w:bookmarkStart w:id="16" w:name="bookmark16"/>
      <w:r>
        <w:rPr>
          <w:color w:val="000000"/>
          <w:spacing w:val="0"/>
          <w:w w:val="100"/>
          <w:position w:val="0"/>
          <w:shd w:val="clear" w:color="auto" w:fill="auto"/>
          <w:lang w:val="lt-LT" w:eastAsia="lt-LT" w:bidi="lt-LT"/>
        </w:rPr>
        <w:t>Papildomos pagrindinės sutarties įvykdymo užtikrinimo priemonės</w:t>
      </w:r>
      <w:bookmarkEnd w:id="16"/>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Tiekėjas, kartu su Pagrindine sutartimi privalo pateikti Užsakovui Pagrindinės sutarties įvykdymo užtikrinimą - Lietuvoje ar užsienyje registruoto banko garantiją ar draudimo bendrovės laidavimo raštą sumai ne mažesnei nei 5 (penki) procentai Pradinės Pagrindinės sutarties vertės. Pagrindinės sutarties įvykdymo užtikrinimas turi būti besąlyginis ir neatšaukiamas bei galioti ne trumpiau kaip iki 30 (trisdešimtos) kalendorinės dienos, po Pagrindinėje sutartyje numatyto, vėliausio sutartinių įsipareigojimų vykdymo termino pabaigos.</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Pagrindinės sutarties įvykdymo užtikrinimo dokumentą išdavęsjuridinis asmuo negali įvykdyti savo įsipareigojimų, Užsakovas raštu pareikalauja Tiekėjo per 5 (penkias) darbo dienas pateikti naująužtikrinimo dokumentątomis pačiomis sąlygomis kaip ir ankstesnysis. Jei Tiekėjas nurodytu atveju nepasirūpina sutarties įvykdymo užtikrinimu,jamtenka prievolė atlyginti užtikrinimo sumąUžsakovui Pagrindinės sutarties neįvykdymo (nutraukimo dėl Tiekėjo kaltės) atveju.</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Tiekėjas nevykdo savo sutartinių įsipareigojimų Užsakovui, Užsakovas pareikalauja sumokėti visą Pagrindinės sutarties įvykdymo užtikrinime nurodytą sumą. Prieš pateikdamas reikalavimą sumokėti pagal Pagrindinės sutarties įvykdymo užtikrinimą, Užsakovas įspėja apie tai Tiekėją ir nurodo, dėl kokio pažeidimo pateikia šį reikalavimą. Jei Užsakovui pasinaudojus Pagrindinės sutarties įvykdymo užtikrinimu, Tiekėjas ketina toliau vykdyti sutartinius įsipareigojimus, Užsakovui sutikus leistijam toliau vykdyti sutartinius įsipareigojimus, Tiekėjas privalo pateikti naują Pagrindinės sutarties įvykdymo užtikrinimą 11.1 punkte nurodyta tvarka. Jei Pagrindinė sutartis nutraukiama dėl Tiekėjo kaltės, Užsakovas bet kokiu atveju įgyjateisę į visą Pagrindinės sutarties įvykdymo užtikrinime nurodytą sumą.</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Pagrindinės sutarties įvykdymo užtikrinimo dokumentas per 5 (penkias) darbo dienas grąžinamas Tiekėjui,jeijis laiku ir tinkamai įvykdė visus sutartinius įsipareigojimus arbatapo nebereikalingas dėl kitų priežasčių.</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Siekdamas užtikrinti Pagrindinės sutarties įvykdymą Tiekėjas, per 5 (penkias) darbo dienas nuo Pagrindinės sutarties pasirašymo, vietoje Pagrindinės sutarties įvykdymo užtikrinimo dokumento gali į Užsakovo nurodytą sąskaitą banke pervesti sumą ne mažesnę nei 5 (penki) procentai Pradinės Pagrindinės sutarties vertės. Ši suma, per 5 (penkias) darbo dienas yra grąžinama Tiekėjui tiktinkamai įvykdžius Pagrindinę sutartį arba Pagrindinės sutarties įvykdymo užtikrinimas tapo nebereikalingas dėl kitų priežasčių. Tiekėjui neįvykdžius savo sutartinių įsipareigojimų ar Pagrindinę sutartį nutraukus dėl Tiekėjo kaltės, visa šiame punkte nurodyta į Užsakovo sąskaita pervesta suma yra negrąžinama.</w:t>
      </w:r>
    </w:p>
    <w:p>
      <w:pPr>
        <w:pStyle w:val="Style14"/>
        <w:keepNext w:val="0"/>
        <w:keepLines w:val="0"/>
        <w:widowControl w:val="0"/>
        <w:numPr>
          <w:ilvl w:val="1"/>
          <w:numId w:val="5"/>
        </w:numPr>
        <w:shd w:val="clear" w:color="auto" w:fill="auto"/>
        <w:tabs>
          <w:tab w:pos="478" w:val="left"/>
        </w:tabs>
        <w:bidi w:val="0"/>
        <w:spacing w:before="0" w:after="120"/>
        <w:ind w:left="0" w:right="0" w:firstLine="0"/>
        <w:jc w:val="left"/>
        <w:sectPr>
          <w:footnotePr>
            <w:pos w:val="pageBottom"/>
            <w:numFmt w:val="decimal"/>
            <w:numRestart w:val="continuous"/>
          </w:footnotePr>
          <w:type w:val="continuous"/>
          <w:pgSz w:w="11900" w:h="16840"/>
          <w:pgMar w:top="605" w:right="567" w:bottom="991" w:left="543" w:header="177" w:footer="3" w:gutter="0"/>
          <w:cols w:space="720"/>
          <w:noEndnote/>
          <w:rtlGutter w:val="0"/>
          <w:docGrid w:linePitch="360"/>
        </w:sectPr>
      </w:pPr>
      <w:r>
        <w:rPr>
          <w:color w:val="000000"/>
          <w:spacing w:val="0"/>
          <w:w w:val="100"/>
          <w:position w:val="0"/>
          <w:shd w:val="clear" w:color="auto" w:fill="auto"/>
          <w:lang w:val="lt-LT" w:eastAsia="lt-LT" w:bidi="lt-LT"/>
        </w:rPr>
        <w:t>Šalims raštiškai susitarus pratęsti Prekių tiekimo terminą, Tiekėjas per 5 (penkias) darbo dienas nuo susitarimo pasirašymo dienos privalo pateikti Užsakovui Pagrindinės sutarties įvykdymo užtikrinimą, kuris turi galioti ne trumpiau kaip pratęsime nurodytas terminas.</w:t>
      </w:r>
    </w:p>
    <w:p>
      <w:pPr>
        <w:pStyle w:val="Style16"/>
        <w:keepNext/>
        <w:keepLines/>
        <w:widowControl w:val="0"/>
        <w:numPr>
          <w:ilvl w:val="0"/>
          <w:numId w:val="5"/>
        </w:numPr>
        <w:shd w:val="clear" w:color="auto" w:fill="auto"/>
        <w:tabs>
          <w:tab w:pos="359" w:val="left"/>
        </w:tabs>
        <w:bidi w:val="0"/>
        <w:spacing w:before="0" w:after="280" w:line="240" w:lineRule="auto"/>
        <w:ind w:left="0" w:right="0" w:firstLine="0"/>
        <w:jc w:val="left"/>
      </w:pPr>
      <w:bookmarkStart w:id="18" w:name="bookmark18"/>
      <w:r>
        <w:rPr>
          <w:color w:val="000000"/>
          <w:spacing w:val="0"/>
          <w:w w:val="100"/>
          <w:position w:val="0"/>
          <w:shd w:val="clear" w:color="auto" w:fill="auto"/>
          <w:lang w:val="lt-LT" w:eastAsia="lt-LT" w:bidi="lt-LT"/>
        </w:rPr>
        <w:t>Baigiamosios nuostatos</w:t>
      </w:r>
      <w:bookmarkEnd w:id="18"/>
    </w:p>
    <w:p>
      <w:pPr>
        <w:pStyle w:val="Style14"/>
        <w:keepNext w:val="0"/>
        <w:keepLines w:val="0"/>
        <w:widowControl w:val="0"/>
        <w:numPr>
          <w:ilvl w:val="1"/>
          <w:numId w:val="5"/>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Pagrindinė sutartis yra elektroniniu būdu suformuota CPO LT Elektroniniame kataloge, remiantis standartine Pagrindinės sutarties forma be pakeitimų, išskyrus įterptą informaciją, kuri buvo Elektroniniame kataloge pateikta Užsakovo ir Tiekėjo.</w:t>
      </w:r>
    </w:p>
    <w:p>
      <w:pPr>
        <w:pStyle w:val="Style14"/>
        <w:keepNext w:val="0"/>
        <w:keepLines w:val="0"/>
        <w:widowControl w:val="0"/>
        <w:numPr>
          <w:ilvl w:val="1"/>
          <w:numId w:val="5"/>
        </w:numPr>
        <w:shd w:val="clear" w:color="auto" w:fill="auto"/>
        <w:tabs>
          <w:tab w:pos="465" w:val="left"/>
        </w:tabs>
        <w:bidi w:val="0"/>
        <w:spacing w:before="0" w:after="0"/>
        <w:ind w:left="0" w:right="0" w:firstLine="0"/>
        <w:jc w:val="left"/>
      </w:pPr>
      <w:r>
        <w:rPr>
          <w:color w:val="000000"/>
          <w:spacing w:val="0"/>
          <w:w w:val="100"/>
          <w:position w:val="0"/>
          <w:shd w:val="clear" w:color="auto" w:fill="auto"/>
          <w:lang w:val="lt-LT" w:eastAsia="lt-LT" w:bidi="lt-LT"/>
        </w:rPr>
        <w:t>Pagrindinė sutartis negali būti sudaroma ir vykdoma, jei ji buvo suformuota ne Elektroniniame kataloge.</w:t>
      </w:r>
    </w:p>
    <w:p>
      <w:pPr>
        <w:pStyle w:val="Style14"/>
        <w:keepNext w:val="0"/>
        <w:keepLines w:val="0"/>
        <w:widowControl w:val="0"/>
        <w:numPr>
          <w:ilvl w:val="1"/>
          <w:numId w:val="5"/>
        </w:numPr>
        <w:shd w:val="clear" w:color="auto" w:fill="auto"/>
        <w:tabs>
          <w:tab w:pos="484" w:val="left"/>
        </w:tabs>
        <w:bidi w:val="0"/>
        <w:spacing w:before="0" w:after="0"/>
        <w:ind w:left="0" w:right="0" w:firstLine="0"/>
        <w:jc w:val="left"/>
      </w:pPr>
      <w:r>
        <w:rPr>
          <w:color w:val="000000"/>
          <w:spacing w:val="0"/>
          <w:w w:val="100"/>
          <w:position w:val="0"/>
          <w:shd w:val="clear" w:color="auto" w:fill="auto"/>
          <w:lang w:val="lt-LT" w:eastAsia="lt-LT" w:bidi="lt-LT"/>
        </w:rPr>
        <w:t>Pagrindinė sutartis yra vieša ir Užsakovas turi teisę 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pPr>
        <w:pStyle w:val="Style14"/>
        <w:keepNext w:val="0"/>
        <w:keepLines w:val="0"/>
        <w:widowControl w:val="0"/>
        <w:numPr>
          <w:ilvl w:val="1"/>
          <w:numId w:val="5"/>
        </w:numPr>
        <w:shd w:val="clear" w:color="auto" w:fill="auto"/>
        <w:tabs>
          <w:tab w:pos="484" w:val="left"/>
        </w:tabs>
        <w:bidi w:val="0"/>
        <w:spacing w:before="0" w:after="0"/>
        <w:ind w:left="0" w:right="0" w:firstLine="0"/>
        <w:jc w:val="left"/>
      </w:pPr>
      <w:r>
        <w:rPr>
          <w:color w:val="000000"/>
          <w:spacing w:val="0"/>
          <w:w w:val="100"/>
          <w:position w:val="0"/>
          <w:shd w:val="clear" w:color="auto" w:fill="auto"/>
          <w:lang w:val="lt-LT" w:eastAsia="lt-LT" w:bidi="lt-LT"/>
        </w:rPr>
        <w:t>Šalys susirašinėja lietuvių kalba. Visi Šalių rašytiniai pranešimai ar prašymai, kuriuos Šalis gali pateikti pagal Pagrindinę sutartį, bus laikomi galiojančiais ir įteiktais tinkamai, 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pPr>
        <w:pStyle w:val="Style14"/>
        <w:keepNext w:val="0"/>
        <w:keepLines w:val="0"/>
        <w:widowControl w:val="0"/>
        <w:numPr>
          <w:ilvl w:val="1"/>
          <w:numId w:val="5"/>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Šalys viena kitai patvirtinta, kad vykdydamos Pagrindinę sutartį ir jos pagrindu prisiimtus įsipareigojimus, laikosi visų Europos Sąjungos ir Lietuvos Respublikos teisės aktų reikalavimų dėl asmens duomenų apsaugos.</w:t>
      </w:r>
    </w:p>
    <w:p>
      <w:pPr>
        <w:pStyle w:val="Style14"/>
        <w:keepNext w:val="0"/>
        <w:keepLines w:val="0"/>
        <w:widowControl w:val="0"/>
        <w:numPr>
          <w:ilvl w:val="1"/>
          <w:numId w:val="5"/>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Jeigu pasikeičia Šalies adresas ir (ar) kiti duomenys, Šalis turi raštu informuoti kitą Šalį ne vėliau kaip per 5 darbo dienas nuo bent vieno kontaktinio duomens pasikeitimo.</w:t>
      </w:r>
    </w:p>
    <w:p>
      <w:pPr>
        <w:pStyle w:val="Style14"/>
        <w:keepNext w:val="0"/>
        <w:keepLines w:val="0"/>
        <w:widowControl w:val="0"/>
        <w:numPr>
          <w:ilvl w:val="1"/>
          <w:numId w:val="5"/>
        </w:numPr>
        <w:shd w:val="clear" w:color="auto" w:fill="auto"/>
        <w:tabs>
          <w:tab w:pos="465" w:val="left"/>
        </w:tabs>
        <w:bidi w:val="0"/>
        <w:spacing w:before="0" w:after="0"/>
        <w:ind w:left="0" w:right="0" w:firstLine="0"/>
        <w:jc w:val="left"/>
      </w:pPr>
      <w:r>
        <w:rPr>
          <w:color w:val="000000"/>
          <w:spacing w:val="0"/>
          <w:w w:val="100"/>
          <w:position w:val="0"/>
          <w:shd w:val="clear" w:color="auto" w:fill="auto"/>
          <w:lang w:val="lt-LT" w:eastAsia="lt-LT" w:bidi="lt-LT"/>
        </w:rPr>
        <w:t>Pagrindinės sutarties neatsiejama dalis - Sutarties priedas.</w:t>
      </w:r>
    </w:p>
    <w:p>
      <w:pPr>
        <w:pStyle w:val="Style14"/>
        <w:keepNext w:val="0"/>
        <w:keepLines w:val="0"/>
        <w:widowControl w:val="0"/>
        <w:numPr>
          <w:ilvl w:val="1"/>
          <w:numId w:val="5"/>
        </w:numPr>
        <w:shd w:val="clear" w:color="auto" w:fill="auto"/>
        <w:tabs>
          <w:tab w:pos="465" w:val="left"/>
        </w:tabs>
        <w:bidi w:val="0"/>
        <w:spacing w:before="0" w:after="0"/>
        <w:ind w:left="0" w:right="0" w:firstLine="0"/>
        <w:jc w:val="left"/>
        <w:sectPr>
          <w:footnotePr>
            <w:pos w:val="pageBottom"/>
            <w:numFmt w:val="decimal"/>
            <w:numRestart w:val="continuous"/>
          </w:footnotePr>
          <w:pgSz w:w="11900" w:h="16840"/>
          <w:pgMar w:top="1244" w:right="709" w:bottom="1044" w:left="564" w:header="816" w:footer="3" w:gutter="0"/>
          <w:cols w:space="720"/>
          <w:noEndnote/>
          <w:rtlGutter w:val="0"/>
          <w:docGrid w:linePitch="360"/>
        </w:sectPr>
      </w:pPr>
      <w:r>
        <w:rPr>
          <w:color w:val="000000"/>
          <w:spacing w:val="0"/>
          <w:w w:val="100"/>
          <w:position w:val="0"/>
          <w:shd w:val="clear" w:color="auto" w:fill="auto"/>
          <w:lang w:val="lt-LT" w:eastAsia="lt-LT" w:bidi="lt-LT"/>
        </w:rPr>
        <w:t>Pagrindinė sutartis sudaryta dviem vienodą teisinę galią turinčiais egzemplioriais, po vieną egzempliorių kiekvienai Šaliai.</w:t>
      </w:r>
    </w:p>
    <w:p>
      <w:pPr>
        <w:widowControl w:val="0"/>
        <w:spacing w:line="84" w:lineRule="exact"/>
        <w:rPr>
          <w:sz w:val="7"/>
          <w:szCs w:val="7"/>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Užsakovas</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PVM kodas:</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 s. Nr.: LT324010051004213500, Luminor</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Tel.: 868648449</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Faks.:</w:t>
      </w:r>
    </w:p>
    <w:p>
      <w:pPr>
        <w:pStyle w:val="Style14"/>
        <w:keepNext w:val="0"/>
        <w:keepLines w:val="0"/>
        <w:widowControl w:val="0"/>
        <w:shd w:val="clear" w:color="auto" w:fill="auto"/>
        <w:bidi w:val="0"/>
        <w:spacing w:before="0" w:after="260" w:line="298"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Ineta Mickevičienė</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technologijų skyriaus vyresnioji specialistė Tel.+370 688 72695</w:t>
      </w:r>
    </w:p>
    <w:p>
      <w:pPr>
        <w:pStyle w:val="Style14"/>
        <w:keepNext w:val="0"/>
        <w:keepLines w:val="0"/>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"mailto:ineta.mickeviciene@aad.am.lt" </w:instrText>
      </w:r>
      <w:r>
        <w:fldChar w:fldCharType="separate"/>
      </w:r>
      <w:r>
        <w:rPr>
          <w:color w:val="000000"/>
          <w:spacing w:val="0"/>
          <w:w w:val="100"/>
          <w:position w:val="0"/>
          <w:shd w:val="clear" w:color="auto" w:fill="auto"/>
          <w:lang w:val="en-US" w:eastAsia="en-US" w:bidi="en-US"/>
        </w:rPr>
        <w:t>ineta.mickeviciene@aad.am.lt</w:t>
      </w:r>
      <w:r>
        <w:fldChar w:fldCharType="end"/>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Rasa Grušelionytė</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technologijų skyriaus vyriausioji specialistė Tel.+370 665 00160</w:t>
      </w:r>
    </w:p>
    <w:p>
      <w:pPr>
        <w:pStyle w:val="Style14"/>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14"/>
        <w:keepNext w:val="0"/>
        <w:keepLines w:val="0"/>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Atstovaujantis asmuo: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-Kristina Malaiškaitė</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Tiekėjas</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VIADA LT, UAB</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PVM kodas: LT787154219</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Tel.: 5 2348470</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Faks.:</w:t>
      </w:r>
    </w:p>
    <w:p>
      <w:pPr>
        <w:pStyle w:val="Style14"/>
        <w:keepNext w:val="0"/>
        <w:keepLines w:val="0"/>
        <w:widowControl w:val="0"/>
        <w:shd w:val="clear" w:color="auto" w:fill="auto"/>
        <w:bidi w:val="0"/>
        <w:spacing w:before="0" w:after="260" w:line="300"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4"/>
        <w:keepNext w:val="0"/>
        <w:keepLines w:val="0"/>
        <w:widowControl w:val="0"/>
        <w:shd w:val="clear" w:color="auto" w:fill="auto"/>
        <w:bidi w:val="0"/>
        <w:spacing w:before="0" w:after="3160" w:line="295"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p>
      <w:pPr>
        <w:pStyle w:val="Style14"/>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lt-LT" w:eastAsia="lt-LT" w:bidi="lt-LT"/>
        </w:rPr>
        <w:t>Atstovaujantis asmuo:</w:t>
      </w:r>
    </w:p>
    <w:p>
      <w:pPr>
        <w:pStyle w:val="Style14"/>
        <w:keepNext w:val="0"/>
        <w:keepLines w:val="0"/>
        <w:widowControl w:val="0"/>
        <w:shd w:val="clear" w:color="auto" w:fill="auto"/>
        <w:tabs>
          <w:tab w:pos="1742" w:val="left"/>
        </w:tabs>
        <w:bidi w:val="0"/>
        <w:spacing w:before="0" w:after="0" w:line="240" w:lineRule="auto"/>
        <w:ind w:left="0" w:right="0" w:firstLine="0"/>
        <w:jc w:val="left"/>
        <w:rPr>
          <w:sz w:val="12"/>
          <w:szCs w:val="12"/>
        </w:rPr>
        <w:sectPr>
          <w:footnotePr>
            <w:pos w:val="pageBottom"/>
            <w:numFmt w:val="decimal"/>
            <w:numRestart w:val="continuous"/>
          </w:footnotePr>
          <w:type w:val="continuous"/>
          <w:pgSz w:w="11900" w:h="16840"/>
          <w:pgMar w:top="1244" w:right="1669" w:bottom="1044" w:left="588" w:header="0" w:footer="3" w:gutter="0"/>
          <w:cols w:num="2" w:space="720" w:equalWidth="0">
            <w:col w:w="4171" w:space="658"/>
            <w:col w:w="4814"/>
          </w:cols>
          <w:noEndnote/>
          <w:rtlGutter w:val="0"/>
          <w:docGrid w:linePitch="360"/>
        </w:sectPr>
      </w:pPr>
      <w:r>
        <w:rPr>
          <w:color w:val="000000"/>
          <w:spacing w:val="0"/>
          <w:w w:val="100"/>
          <w:position w:val="0"/>
          <w:sz w:val="16"/>
          <w:szCs w:val="16"/>
          <w:shd w:val="clear" w:color="auto" w:fill="auto"/>
          <w:lang w:val="lt-LT" w:eastAsia="lt-LT" w:bidi="lt-LT"/>
        </w:rPr>
        <w:t xml:space="preserve">Vardas, pavardė: </w:t>
        <w:tab/>
      </w:r>
      <w:r>
        <w:rPr>
          <w:rFonts w:ascii="Arial" w:eastAsia="Arial" w:hAnsi="Arial" w:cs="Arial"/>
          <w:color w:val="141414"/>
          <w:spacing w:val="0"/>
          <w:w w:val="100"/>
          <w:position w:val="0"/>
          <w:sz w:val="12"/>
          <w:szCs w:val="12"/>
          <w:u w:val="single"/>
          <w:shd w:val="clear" w:color="auto" w:fill="auto"/>
          <w:lang w:val="lt-LT" w:eastAsia="lt-LT" w:bidi="lt-LT"/>
        </w:rPr>
        <w:t>Rūta Jasiūnienė</w:t>
      </w: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44" w:right="0" w:bottom="750" w:left="0" w:header="0" w:footer="3" w:gutter="0"/>
          <w:cols w:space="720"/>
          <w:noEndnote/>
          <w:rtlGutter w:val="0"/>
          <w:docGrid w:linePitch="360"/>
        </w:sectPr>
      </w:pPr>
    </w:p>
    <w:p>
      <w:pPr>
        <w:pStyle w:val="Style14"/>
        <w:keepNext w:val="0"/>
        <w:keepLines w:val="0"/>
        <w:framePr w:w="4181" w:h="230" w:wrap="none" w:vAnchor="text" w:hAnchor="page" w:x="59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 Departamento direktoriaus pavaduotoja</w:t>
      </w:r>
    </w:p>
    <w:p>
      <w:pPr>
        <w:pStyle w:val="Style14"/>
        <w:keepNext w:val="0"/>
        <w:keepLines w:val="0"/>
        <w:framePr w:w="638" w:h="226" w:wrap="none" w:vAnchor="text" w:hAnchor="page" w:x="541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w:t>
      </w:r>
    </w:p>
    <w:p>
      <w:pPr>
        <w:pStyle w:val="Style8"/>
        <w:keepNext w:val="0"/>
        <w:keepLines w:val="0"/>
        <w:framePr w:w="1282" w:h="182" w:wrap="none" w:vAnchor="text" w:hAnchor="page" w:x="6939" w:y="39"/>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after="229" w:line="1" w:lineRule="exact"/>
      </w:pPr>
    </w:p>
    <w:p>
      <w:pPr>
        <w:widowControl w:val="0"/>
        <w:spacing w:line="1" w:lineRule="exact"/>
        <w:sectPr>
          <w:footnotePr>
            <w:pos w:val="pageBottom"/>
            <w:numFmt w:val="decimal"/>
            <w:numRestart w:val="continuous"/>
          </w:footnotePr>
          <w:type w:val="continuous"/>
          <w:pgSz w:w="11900" w:h="16840"/>
          <w:pgMar w:top="1244" w:right="339" w:bottom="750" w:left="564" w:header="0" w:footer="3" w:gutter="0"/>
          <w:cols w:space="720"/>
          <w:noEndnote/>
          <w:rtlGutter w:val="0"/>
          <w:docGrid w:linePitch="360"/>
        </w:sectPr>
      </w:pP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14"/>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4"/>
        <w:keepNext w:val="0"/>
        <w:keepLines w:val="0"/>
        <w:widowControl w:val="0"/>
        <w:shd w:val="clear" w:color="auto" w:fill="auto"/>
        <w:tabs>
          <w:tab w:leader="underscore" w:pos="4236" w:val="left"/>
        </w:tabs>
        <w:bidi w:val="0"/>
        <w:spacing w:before="0" w:after="0" w:line="240" w:lineRule="auto"/>
        <w:ind w:left="0" w:right="0" w:firstLine="0"/>
        <w:jc w:val="left"/>
      </w:pPr>
      <w:r>
        <w:rPr>
          <w:color w:val="000000"/>
          <w:spacing w:val="0"/>
          <w:w w:val="100"/>
          <w:position w:val="0"/>
          <w:shd w:val="clear" w:color="auto" w:fill="auto"/>
          <w:lang w:val="lt-LT" w:eastAsia="lt-LT" w:bidi="lt-LT"/>
        </w:rPr>
        <w:t>A.V.:</w:t>
        <w:tab/>
      </w:r>
    </w:p>
    <w:p>
      <w:pPr>
        <w:pStyle w:val="Style14"/>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4"/>
        <w:keepNext w:val="0"/>
        <w:keepLines w:val="0"/>
        <w:widowControl w:val="0"/>
        <w:shd w:val="clear" w:color="auto" w:fill="auto"/>
        <w:tabs>
          <w:tab w:leader="underscore" w:pos="4236" w:val="left"/>
        </w:tabs>
        <w:bidi w:val="0"/>
        <w:spacing w:before="0" w:after="0" w:line="240" w:lineRule="auto"/>
        <w:ind w:left="0" w:right="0" w:firstLine="0"/>
        <w:jc w:val="left"/>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r>
        <w:rPr>
          <w:color w:val="000000"/>
          <w:spacing w:val="0"/>
          <w:w w:val="100"/>
          <w:position w:val="0"/>
          <w:shd w:val="clear" w:color="auto" w:fill="auto"/>
          <w:lang w:val="lt-LT" w:eastAsia="lt-LT" w:bidi="lt-LT"/>
        </w:rPr>
        <w:t>A.V.:</w:t>
        <w:tab/>
      </w:r>
    </w:p>
    <w:p>
      <w:pPr>
        <w:rPr>
          <w:sz w:val="2"/>
          <w:szCs w:val="2"/>
        </w:rPr>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p>
    <w:p>
      <w:pPr>
        <w:pStyle w:val="Style14"/>
        <w:keepNext w:val="0"/>
        <w:keepLines w:val="0"/>
        <w:widowControl w:val="0"/>
        <w:shd w:val="clear" w:color="auto" w:fill="auto"/>
        <w:tabs>
          <w:tab w:pos="4814" w:val="left"/>
        </w:tabs>
        <w:bidi w:val="0"/>
        <w:spacing w:before="0" w:after="0" w:line="240" w:lineRule="auto"/>
        <w:ind w:left="0" w:right="0" w:firstLine="0"/>
        <w:jc w:val="left"/>
        <w:sectPr>
          <w:footerReference w:type="default" r:id="rId6"/>
          <w:footnotePr>
            <w:pos w:val="pageBottom"/>
            <w:numFmt w:val="decimal"/>
            <w:numRestart w:val="continuous"/>
          </w:footnotePr>
          <w:pgSz w:w="11900" w:h="16840"/>
          <w:pgMar w:top="793" w:right="2125" w:bottom="851" w:left="597" w:header="365" w:footer="3" w:gutter="0"/>
          <w:cols w:space="720"/>
          <w:noEndnote/>
          <w:rtlGutter w:val="0"/>
          <w:docGrid w:linePitch="360"/>
        </w:sectPr>
      </w:pPr>
      <w:r>
        <w:rPr>
          <w:color w:val="000000"/>
          <w:spacing w:val="0"/>
          <w:w w:val="100"/>
          <w:position w:val="0"/>
          <w:shd w:val="clear" w:color="auto" w:fill="auto"/>
          <w:lang w:val="en-US" w:eastAsia="en-US" w:bidi="en-US"/>
        </w:rPr>
        <w:t>Data:</w:t>
        <w:tab/>
        <w:t>Data:</w:t>
      </w:r>
    </w:p>
    <w:p>
      <w:pPr>
        <w:pStyle w:val="Style12"/>
        <w:keepNext/>
        <w:keepLines/>
        <w:widowControl w:val="0"/>
        <w:shd w:val="clear" w:color="auto" w:fill="auto"/>
        <w:bidi w:val="0"/>
        <w:spacing w:before="360" w:after="520" w:line="240" w:lineRule="auto"/>
        <w:ind w:left="3480" w:right="0" w:firstLine="0"/>
        <w:jc w:val="left"/>
      </w:pPr>
      <w:bookmarkStart w:id="20" w:name="bookmark20"/>
      <w:r>
        <w:rPr>
          <w:color w:val="000000"/>
          <w:spacing w:val="0"/>
          <w:w w:val="100"/>
          <w:position w:val="0"/>
          <w:sz w:val="24"/>
          <w:szCs w:val="24"/>
          <w:shd w:val="clear" w:color="auto" w:fill="auto"/>
          <w:lang w:val="lt-LT" w:eastAsia="lt-LT" w:bidi="lt-LT"/>
        </w:rPr>
        <w:t>Pagrindinė sutartis CPO226396 priedas</w:t>
      </w:r>
      <w:bookmarkEnd w:id="20"/>
    </w:p>
    <w:p>
      <w:pPr>
        <w:pStyle w:val="Style20"/>
        <w:keepNext/>
        <w:keepLines/>
        <w:widowControl w:val="0"/>
        <w:shd w:val="clear" w:color="auto" w:fill="auto"/>
        <w:bidi w:val="0"/>
        <w:spacing w:before="0" w:after="720" w:line="240" w:lineRule="auto"/>
        <w:ind w:left="3660" w:right="0" w:firstLine="0"/>
        <w:jc w:val="left"/>
      </w:pPr>
      <w:bookmarkStart w:id="22" w:name="bookmark22"/>
      <w:r>
        <w:rPr>
          <w:color w:val="000000"/>
          <w:spacing w:val="0"/>
          <w:w w:val="100"/>
          <w:position w:val="0"/>
          <w:shd w:val="clear" w:color="auto" w:fill="auto"/>
          <w:lang w:val="lt-LT" w:eastAsia="lt-LT" w:bidi="lt-LT"/>
        </w:rPr>
        <w:t>PREKĖS IR ANTKAINIAI / NUOLAIDOS</w:t>
      </w:r>
      <w:bookmarkEnd w:id="22"/>
    </w:p>
    <w:p>
      <w:pPr>
        <w:pStyle w:val="Style20"/>
        <w:keepNext/>
        <w:keepLines/>
        <w:widowControl w:val="0"/>
        <w:pBdr>
          <w:bottom w:val="single" w:sz="4" w:space="0" w:color="auto"/>
        </w:pBdr>
        <w:shd w:val="clear" w:color="auto" w:fill="auto"/>
        <w:tabs>
          <w:tab w:pos="4819" w:val="left"/>
        </w:tabs>
        <w:bidi w:val="0"/>
        <w:spacing w:before="0" w:after="0"/>
        <w:ind w:left="0" w:right="0" w:firstLine="0"/>
        <w:jc w:val="left"/>
      </w:pPr>
      <w:bookmarkStart w:id="24" w:name="bookmark24"/>
      <w:r>
        <w:rPr>
          <w:color w:val="000000"/>
          <w:spacing w:val="0"/>
          <w:w w:val="100"/>
          <w:position w:val="0"/>
          <w:shd w:val="clear" w:color="auto" w:fill="auto"/>
          <w:lang w:val="lt-LT" w:eastAsia="lt-LT" w:bidi="lt-LT"/>
        </w:rPr>
        <w:t>Pradinė Pagrindinės sutarties vertė (Eur)</w:t>
        <w:tab/>
        <w:t>26880</w:t>
      </w:r>
      <w:bookmarkEnd w:id="24"/>
    </w:p>
    <w:p>
      <w:pPr>
        <w:pStyle w:val="Style20"/>
        <w:keepNext/>
        <w:keepLines/>
        <w:widowControl w:val="0"/>
        <w:pBdr>
          <w:bottom w:val="single" w:sz="4" w:space="0" w:color="auto"/>
        </w:pBdr>
        <w:shd w:val="clear" w:color="auto" w:fill="auto"/>
        <w:bidi w:val="0"/>
        <w:spacing w:before="0" w:after="240"/>
        <w:ind w:left="0" w:right="0" w:firstLine="0"/>
        <w:jc w:val="left"/>
      </w:pPr>
      <w:r>
        <w:rPr>
          <w:color w:val="000000"/>
          <w:spacing w:val="0"/>
          <w:w w:val="100"/>
          <w:position w:val="0"/>
          <w:shd w:val="clear" w:color="auto" w:fill="auto"/>
          <w:lang w:val="lt-LT" w:eastAsia="lt-LT" w:bidi="lt-LT"/>
        </w:rPr>
        <w:t>Pradinės pagrindinės sutarties vertės dalis, kurią 70 įsipareigojama išpirkti (proc.)</w:t>
      </w:r>
    </w:p>
    <w:tbl>
      <w:tblPr>
        <w:tblOverlap w:val="never"/>
        <w:jc w:val="left"/>
        <w:tblLayout w:type="fixed"/>
      </w:tblPr>
      <w:tblGrid>
        <w:gridCol w:w="5112"/>
        <w:gridCol w:w="5112"/>
      </w:tblGrid>
      <w:tr>
        <w:trPr>
          <w:trHeight w:val="293" w:hRule="exact"/>
        </w:trPr>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Prekės pavadinimas</w:t>
            </w:r>
          </w:p>
        </w:tc>
        <w:tc>
          <w:tcPr>
            <w:tcBorders>
              <w:top w:val="single" w:sz="4"/>
              <w:left w:val="single" w:sz="4"/>
              <w:righ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Prekių antkainis / nuolaida</w:t>
            </w:r>
          </w:p>
        </w:tc>
      </w:tr>
      <w:tr>
        <w:trPr>
          <w:trHeight w:val="283"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95 benzinas</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0.050</w:t>
            </w:r>
          </w:p>
        </w:tc>
      </w:tr>
      <w:tr>
        <w:trPr>
          <w:trHeight w:val="293" w:hRule="exact"/>
        </w:trPr>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Dyzelinas</w:t>
            </w:r>
          </w:p>
        </w:tc>
        <w:tc>
          <w:tcPr>
            <w:tcBorders>
              <w:top w:val="single" w:sz="4"/>
              <w:left w:val="single" w:sz="4"/>
              <w:bottom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0.050</w:t>
            </w:r>
          </w:p>
        </w:tc>
      </w:tr>
    </w:tbl>
    <w:p>
      <w:pPr>
        <w:widowControl w:val="0"/>
        <w:spacing w:after="399" w:line="1" w:lineRule="exact"/>
      </w:pPr>
    </w:p>
    <w:p>
      <w:pPr>
        <w:pStyle w:val="Style20"/>
        <w:keepNext/>
        <w:keepLines/>
        <w:widowControl w:val="0"/>
        <w:shd w:val="clear" w:color="auto" w:fill="auto"/>
        <w:bidi w:val="0"/>
        <w:spacing w:before="0" w:after="720" w:line="240" w:lineRule="auto"/>
        <w:ind w:left="1480" w:right="0" w:firstLine="0"/>
        <w:jc w:val="left"/>
      </w:pPr>
      <w:bookmarkStart w:id="27" w:name="bookmark27"/>
      <w:r>
        <w:rPr>
          <w:color w:val="000000"/>
          <w:spacing w:val="0"/>
          <w:w w:val="100"/>
          <w:position w:val="0"/>
          <w:shd w:val="clear" w:color="auto" w:fill="auto"/>
          <w:lang w:val="lt-LT" w:eastAsia="lt-LT" w:bidi="lt-LT"/>
        </w:rPr>
        <w:t>TIEKĖJO KORTELES APTARNAUJANČIŲ PREKYBOS VIETŲ (DEGALINIŲ) SĄRAŠAS</w:t>
      </w:r>
      <w:bookmarkEnd w:id="27"/>
    </w:p>
    <w:tbl>
      <w:tblPr>
        <w:tblOverlap w:val="never"/>
        <w:jc w:val="center"/>
        <w:tblLayout w:type="fixed"/>
      </w:tblPr>
      <w:tblGrid>
        <w:gridCol w:w="2275"/>
        <w:gridCol w:w="2270"/>
        <w:gridCol w:w="2266"/>
        <w:gridCol w:w="2280"/>
      </w:tblGrid>
      <w:tr>
        <w:trPr>
          <w:trHeight w:val="57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Miestas/ Magistralinis kelias</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Adresas</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lt-LT" w:eastAsia="lt-LT" w:bidi="lt-LT"/>
              </w:rPr>
              <w:t>Darbo laikas</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Degalinės pavadinimas</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Kauno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Sudmantų km., Vilniaus pl. 6;</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55.704335,2l.22l74l</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Kauno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Raseinių r., Vėjukų km., Viduklės </w:t>
            </w:r>
            <w:r>
              <w:rPr>
                <w:b/>
                <w:bCs/>
                <w:color w:val="000000"/>
                <w:spacing w:val="0"/>
                <w:w w:val="100"/>
                <w:position w:val="0"/>
                <w:shd w:val="clear" w:color="auto" w:fill="auto"/>
                <w:lang w:val="en-US" w:eastAsia="en-US" w:bidi="en-US"/>
              </w:rPr>
              <w:t>sen.,</w:t>
            </w:r>
            <w:r>
              <w:rPr>
                <w:b/>
                <w:bCs/>
                <w:color w:val="000000"/>
                <w:spacing w:val="0"/>
                <w:w w:val="100"/>
                <w:position w:val="0"/>
                <w:shd w:val="clear" w:color="auto" w:fill="auto"/>
                <w:lang w:val="lt-LT" w:eastAsia="lt-LT" w:bidi="lt-LT"/>
              </w:rPr>
              <w:t>;</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55.38656,22.90l26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Kauno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 r. Verslo g. l3, Kumpių k., Domeikavos se.,;</w:t>
            </w:r>
          </w:p>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54.959432,23.86873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Kauno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Kauno r. Automagistralės g.4, Giraitės k., Užliedžių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54.959l7,23.86437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Al (dalis nuo Vilniaus iki Kauno)</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Logistikos g. 9, Aukštieji Semeniukai, Trakų r.;</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54.702l8l, 25.009362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Ukmergės r. Dukstynos k.,;</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55.269202,24.8l0227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g.35, Pelucmurgių k., Kalvarijos sav. ;</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54.339807,23.l62995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 22,Trakėnų k., Kalvarijos sav. ; 54.3594, 23l83844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Beržų g. l3, Šventupė, Ukmergė r., 55.32l06, 24.87642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 r. Margavos k.,;</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54.959554,24.0392l2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Ulonų g. 33;</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54.386l72,24.047676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Naujoji g. 27;</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54.4l40l8,24.0l0055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 Piliakalnio g. 9;</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55.54l265,25.l34753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Pasvalio g.lB ;56.202236,24.737638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Parodos g. 2 ;56.20l59,24.748853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94"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 Elektrinės g. 6</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;54.784773,24.654094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94" w:hRule="exact"/>
        </w:trPr>
        <w:tc>
          <w:tcPr>
            <w:gridSpan w:val="2"/>
            <w:tcBorders>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gridSpan w:val="2"/>
            <w:tcBorders>
              <w:left w:val="single" w:sz="4"/>
              <w:right w:val="single" w:sz="4"/>
            </w:tcBorders>
            <w:shd w:val="clear" w:color="auto" w:fill="auto"/>
            <w:vAlign w:val="top"/>
          </w:tcPr>
          <w:p>
            <w:pPr>
              <w:widowControl w:val="0"/>
              <w:rPr>
                <w:sz w:val="10"/>
                <w:szCs w:val="10"/>
              </w:rPr>
            </w:pP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 r., Vilniaus pl. 65,</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 55.73299,21.383405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 Turistų g. 28A;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55.33897,26.145633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 Darbininkų g. 4</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;55.09372,24.282898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Joniškis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Joniškis, Vilniaus g.51 ;56.224609,23.600838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 Gedimino g. 135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54.855435,24.441759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Kalvarija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Kalvarijos sav., Dariaus ir Girėno g. 81 ;</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54.424661,23.231919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pl.37a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54.918234,24.039817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g.117;</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54866546,23.889312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Raudondvario pl. 288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54.92129,23.810448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Marijampolės pl. 29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54.849477,23.966939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K. Baršausko g. 64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54.897859,23.958119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Biruliškių g. 18A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54.910874,24.02315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A.Juozapavičiaus per.90 ; 54878101,23.934109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T. Masiulio g.18D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54.880988,24.009829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Pramonės per. 44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54.927121,23.974655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Lukšio g.66A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54.924886, 23.942477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Baltijos g. 90B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54.918227,23.87365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g.124B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54.883336,23.893636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Statybininkų g.3a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54.920112, 23.948822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Miežėnų g.18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54.917632,23.863213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Karaliaus Mindaugo pr.54 ; 54.887563,23.921277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Didžioji g.64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54.855161,24.013195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Islandijos pl. 61A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54.933493,23.968422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pl.105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54.927383,24.043769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Kauno r. Baltijos g.41, Kampiškių kaimas ;</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54.8423294,23.8485858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Plento g. 1, Beržynės km., Kužių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Šiaulių r.</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;55.97915,23.136174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90"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Kaunos r. Vytauto g.20A, Zapyškio miestelis ;</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26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54.926998,23.662015</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Tilto g. 35, Krekenava, Panevėžio r. sav.; 55.541671, 24.107838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Švenčionių r., Pabradė, Vilniaus g. 116B; 54.975086,25.744897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Kretingalė, Klaipėdos g.1a;</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55.827581,21.184802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Kėdainių r. Gudžiūnų mstl.,</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Baisogalos g.5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55.51868,23.773426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Varėnos r., Valkininkų mstl.Vilniaus g. 6;</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54.364898,24.837305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Ramygalos m., Vienkiemio g. 1B;</w:t>
            </w:r>
          </w:p>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55.521086,24.312592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Švenčionių r., Kaltanėnų mstl.,</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Utenos g. 1;55.255447,25.990635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Šiaulių r. Aukštelkės km., Šiaulių kaimiškoji </w:t>
            </w:r>
            <w:r>
              <w:rPr>
                <w:b/>
                <w:bCs/>
                <w:color w:val="000000"/>
                <w:spacing w:val="0"/>
                <w:w w:val="100"/>
                <w:position w:val="0"/>
                <w:shd w:val="clear" w:color="auto" w:fill="auto"/>
                <w:lang w:val="en-US" w:eastAsia="en-US" w:bidi="en-US"/>
              </w:rPr>
              <w:t>sen.,;</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55.88187,23.205246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 xml:space="preserve">Kupiškio r. Kerelių km., 1A, Skapiškio </w:t>
            </w:r>
            <w:r>
              <w:rPr>
                <w:b/>
                <w:bCs/>
                <w:color w:val="000000"/>
                <w:spacing w:val="0"/>
                <w:w w:val="100"/>
                <w:position w:val="0"/>
                <w:shd w:val="clear" w:color="auto" w:fill="auto"/>
                <w:lang w:val="en-US" w:eastAsia="en-US" w:bidi="en-US"/>
              </w:rPr>
              <w:t>sen.;</w:t>
            </w:r>
          </w:p>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55.856928,25.173989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Šalčininkų r.Lydos g. 13, Jašiūnų mstl.,;</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54.439834,25.327358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Kėdainių r. Dotnuva., Tilto g. </w:t>
            </w:r>
            <w:r>
              <w:rPr>
                <w:b/>
                <w:bCs/>
                <w:smallCaps/>
                <w:color w:val="000000"/>
                <w:spacing w:val="0"/>
                <w:w w:val="100"/>
                <w:position w:val="0"/>
                <w:shd w:val="clear" w:color="auto" w:fill="auto"/>
                <w:lang w:val="lt-LT" w:eastAsia="lt-LT" w:bidi="lt-LT"/>
              </w:rPr>
              <w:t xml:space="preserve">2a </w:t>
            </w:r>
            <w:r>
              <w:rPr>
                <w:b/>
                <w:bCs/>
                <w:color w:val="000000"/>
                <w:spacing w:val="0"/>
                <w:w w:val="100"/>
                <w:position w:val="0"/>
                <w:shd w:val="clear" w:color="auto" w:fill="auto"/>
                <w:lang w:val="lt-LT" w:eastAsia="lt-LT" w:bidi="lt-LT"/>
              </w:rPr>
              <w:t>; 55.374868,23.880938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Pasvalio r., Brazdigalos k., 1</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;56.02408,24.37833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Alytaus r. sav., Neveiglio g. 25,</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Daugų km. ;54.221546,24.12585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Švenčionių r. Švenčionėliai, Žemutinė g. 51a;</w:t>
            </w:r>
          </w:p>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55.168733,26.014975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Marijampolės r.Marijampolės g.53, Ąžuolų Būdos km.,;</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54.698107.23.517525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Šilutės pl. 52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55.681995,21.185156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Liepojos g. 242;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55.753831,21.131343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Priestočio g. 28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55.71918,21.141034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Taikos pr. 70A;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55.683279,21.160507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Nemuno g. 139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55.675158,21.152762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Kretingos r., Kretingsodžio k.;</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55.895925,21.221327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 Vytauto g.163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55.890773,21.278322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 Pergalės g.15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55.84471,24.97894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Kuršėnai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Šiaulių r., Kuršėnai, Vilniaus g.</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38a; 55.999979,22.94766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 Turistų g.32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54.228786,23.528018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J.Ambrazevičiaus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-Brazaičio g.2;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54.56772,23.339459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bottom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Geležinkelio g.5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54.554366,23.362332</w:t>
            </w:r>
          </w:p>
        </w:tc>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6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Žemaitijos g.75, Mažeikiai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 Montuotojų g.2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56.314546,22.301449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 Vilniaus g. 101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55.223044,25.404613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Molėtų r. Gojaus km.</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55.214643,25.437804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05-23</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 Vytauto Didžiojo g.</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98 ; 55.980363,23.856086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Vensklaviškio g. 16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55.736884,24.387119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Pušaloto g. 193A;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55.753406,24.312087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Tičkūnų k., Tičkūnų g. 31;</w:t>
            </w:r>
          </w:p>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55.779014,24.364946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Senamiesčio g. 116A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55.757611,24.367739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Navadolio g. 31;</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55.714433,24.335226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Ramygalos g. 186G;</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55.709164,24.373523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J. Janonio g. 28a;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55.738812,24.310241</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8" w:lineRule="auto"/>
              <w:ind w:left="0" w:right="0" w:firstLine="0"/>
              <w:jc w:val="left"/>
            </w:pPr>
            <w:r>
              <w:rPr>
                <w:b/>
                <w:bCs/>
                <w:color w:val="000000"/>
                <w:spacing w:val="0"/>
                <w:w w:val="100"/>
                <w:position w:val="0"/>
                <w:shd w:val="clear" w:color="auto" w:fill="auto"/>
                <w:lang w:val="lt-LT" w:eastAsia="lt-LT" w:bidi="lt-LT"/>
              </w:rPr>
              <w:t>Aplinkelio g. 5, Šilagalys, Pavevėžio r. (55.670646, 24.349086)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 Vilniaus g.50;</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56.056204,24.407474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Plungė</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Plungė, J.Tumo-Vaižganto g.102 ; 55.903204,21.830046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Prienai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Prienų r., Mačiūnų km., Kauno pl. 40; 54.65895,23.947186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 Žemaitės g.2C;</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55.934302,25.585608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Panevėžio g. 5, Rokiškis (koordinatės 55.944539, 25.585667)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Dubijos g. 1c;</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55.926378,23.307435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Tilžės g. 274;</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55.944128,23.331132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Basanavičiaus g.122a;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55.954644,23.316173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Gegužių g.26;</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55.905392,23.260196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Užmiesčio g. 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55.922633,23.357962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 Tilžės g. 59;</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55.343058,21.496662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 Plento g. 4;</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55.045887,24.942551</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 Vilniaus g.50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56.270426,21.547093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 Vilniaus g. 50A;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55.125654,26.145604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Pramonės g. 1;</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55.240757,22.305336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Dariaus ir Girėno g.</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138A; 55.26648,22.310779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 Pramonės g. 2A;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55.993406,22.240303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w:t>
            </w:r>
          </w:p>
        </w:tc>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 Žiedo g. 15;</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55.246129,24.743047</w:t>
            </w:r>
          </w:p>
        </w:tc>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ectPr>
          <w:footnotePr>
            <w:pos w:val="pageBottom"/>
            <w:numFmt w:val="decimal"/>
            <w:numRestart w:val="continuous"/>
          </w:footnotePr>
          <w:pgSz w:w="11900" w:h="16840"/>
          <w:pgMar w:top="565" w:right="2254" w:bottom="1032" w:left="554" w:header="137" w:footer="3" w:gutter="0"/>
          <w:cols w:space="720"/>
          <w:noEndnote/>
          <w:rtlGutter w:val="0"/>
          <w:docGrid w:linePitch="360"/>
        </w:sectPr>
      </w:pPr>
    </w:p>
    <w:tbl>
      <w:tblPr>
        <w:tblOverlap w:val="never"/>
        <w:jc w:val="left"/>
        <w:tblLayout w:type="fixed"/>
      </w:tblPr>
      <w:tblGrid>
        <w:gridCol w:w="2275"/>
        <w:gridCol w:w="2266"/>
        <w:gridCol w:w="2270"/>
        <w:gridCol w:w="2280"/>
      </w:tblGrid>
      <w:tr>
        <w:trPr>
          <w:trHeight w:val="46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 Metalo g. 8;</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55.496853,25.630449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Utena, Pramonės g. 23 (55.490118, 25.650955)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Utenos r. Vyturių g. 2, Gedimint k.,; 55.477844,25.581493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g.26;</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54.771677,24.819969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g.55A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54.775206,24.810272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Degta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 Vytauto g. 105;</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54.647865,23.029117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Olandų g. 57;</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54.681916,25.314012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Laisvės pr. 8;</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54.674168,25.222642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Vilnius, Grigiškės, Kovo 11-osio g. 75; 54.669248,25.104762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Ateities 17b;</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54.735743,25.258478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Sodų g.22;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54.669522,25.279153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pr.13;</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54.702912,25.204047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Nemenčinės pl. 5;</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54.726364,25.326607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Kirtimų g. 29;</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54.633285,25.150752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Gariūnų g. 16A;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54.667331,25.173867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Liepkalnio g.128A;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54.647493,25.304073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Saltoniškių g. 12;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54.99384,25.259936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Ozo g. 12;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54.713805,25.277095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Naugarduko g. 74;</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54.671082,25.262202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Justiniškių g. 12;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54.702542,25.219021</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Dariaus ir Girėno g.</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30A; 54.652826,25.272061</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Ožiarūčių g. 1A, Avižieniai, Vilniaus r., 54.76388, 25.19744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Verkių g. 52;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54.720608,25.295697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pr.28;</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54.701466,25.203349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Visaginas, Statybininkų g. 1 ;55.594501,26.438484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 Taikos g 23B;</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55.595014,26.456501</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91" w:hRule="exact"/>
        </w:trPr>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Zarasai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Zarasų r. Juodalaukių km.;</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55.717879,26.213794</w:t>
            </w:r>
          </w:p>
        </w:tc>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widowControl w:val="0"/>
        <w:spacing w:after="279" w:line="1" w:lineRule="exact"/>
      </w:pPr>
    </w:p>
    <w:p>
      <w:pPr>
        <w:pStyle w:val="Style14"/>
        <w:keepNext w:val="0"/>
        <w:keepLines w:val="0"/>
        <w:widowControl w:val="0"/>
        <w:shd w:val="clear" w:color="auto" w:fill="auto"/>
        <w:bidi w:val="0"/>
        <w:spacing w:before="0" w:after="340" w:line="240" w:lineRule="auto"/>
        <w:ind w:left="0" w:right="0" w:firstLine="0"/>
        <w:jc w:val="left"/>
      </w:pPr>
      <w:r>
        <w:rPr>
          <w:b/>
          <w:bCs/>
          <w:i/>
          <w:iCs/>
          <w:color w:val="000000"/>
          <w:spacing w:val="0"/>
          <w:w w:val="100"/>
          <w:position w:val="0"/>
          <w:shd w:val="clear" w:color="auto" w:fill="auto"/>
          <w:lang w:val="lt-LT" w:eastAsia="lt-LT" w:bidi="lt-LT"/>
        </w:rPr>
        <w:t>*</w:t>
      </w:r>
      <w:r>
        <w:rPr>
          <w:b/>
          <w:bCs/>
          <w:color w:val="000000"/>
          <w:spacing w:val="0"/>
          <w:w w:val="100"/>
          <w:position w:val="0"/>
          <w:shd w:val="clear" w:color="auto" w:fill="auto"/>
          <w:lang w:val="lt-LT" w:eastAsia="lt-LT" w:bidi="lt-LT"/>
        </w:rPr>
        <w:t xml:space="preserve"> Laikoma, kad degalinė yra mieste ar magistraliniame kelyje, jei ji nutolusi ne daugiau kaip 1 km atstumu nuo miesto ar magistralinio kelio, matuojant </w:t>
      </w:r>
      <w:r>
        <w:rPr>
          <w:b/>
          <w:bCs/>
          <w:color w:val="000000"/>
          <w:spacing w:val="0"/>
          <w:w w:val="100"/>
          <w:position w:val="0"/>
          <w:shd w:val="clear" w:color="auto" w:fill="auto"/>
          <w:lang w:val="lt-LT" w:eastAsia="lt-LT" w:bidi="lt-LT"/>
        </w:rPr>
        <w:t>trumpiausiu atstumu žemėlapyje.</w:t>
      </w:r>
    </w:p>
    <w:p>
      <w:pPr>
        <w:pStyle w:val="Style14"/>
        <w:keepNext w:val="0"/>
        <w:keepLines w:val="0"/>
        <w:widowControl w:val="0"/>
        <w:shd w:val="clear" w:color="auto" w:fill="auto"/>
        <w:bidi w:val="0"/>
        <w:spacing w:before="0" w:after="280" w:line="240" w:lineRule="auto"/>
        <w:ind w:left="0" w:right="0" w:firstLine="0"/>
        <w:jc w:val="left"/>
        <w:sectPr>
          <w:footnotePr>
            <w:pos w:val="pageBottom"/>
            <w:numFmt w:val="decimal"/>
            <w:numRestart w:val="continuous"/>
          </w:footnotePr>
          <w:pgSz w:w="11900" w:h="16840"/>
          <w:pgMar w:top="558" w:right="857" w:bottom="851" w:left="554" w:header="130"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3439795</wp:posOffset>
                </wp:positionH>
                <wp:positionV relativeFrom="paragraph">
                  <wp:posOffset>12700</wp:posOffset>
                </wp:positionV>
                <wp:extent cx="372110" cy="146050"/>
                <wp:wrapSquare wrapText="left"/>
                <wp:docPr id="11" name="Shape 11"/>
                <a:graphic xmlns:a="http://schemas.openxmlformats.org/drawingml/2006/main">
                  <a:graphicData uri="http://schemas.microsoft.com/office/word/2010/wordprocessingShape">
                    <wps:wsp>
                      <wps:cNvSpPr txBox="1"/>
                      <wps:spPr>
                        <a:xfrm>
                          <a:ext cx="372110" cy="1460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wps:txbx>
                      <wps:bodyPr wrap="none" lIns="0" tIns="0" rIns="0" bIns="0">
                        <a:noAutoFit/>
                      </wps:bodyPr>
                    </wps:wsp>
                  </a:graphicData>
                </a:graphic>
              </wp:anchor>
            </w:drawing>
          </mc:Choice>
          <mc:Fallback>
            <w:pict>
              <v:shape id="_x0000_s1037" type="#_x0000_t202" style="position:absolute;margin-left:270.85000000000002pt;margin-top:1.pt;width:29.300000000000001pt;height:11.5pt;z-index:-125829371;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p>
    <w:p>
      <w:pPr>
        <w:pStyle w:val="Style14"/>
        <w:keepNext w:val="0"/>
        <w:keepLines w:val="0"/>
        <w:widowControl w:val="0"/>
        <w:shd w:val="clear" w:color="auto" w:fill="auto"/>
        <w:bidi w:val="0"/>
        <w:spacing w:before="0" w:after="0" w:line="240" w:lineRule="auto"/>
        <w:ind w:left="0" w:right="0" w:firstLine="720"/>
        <w:jc w:val="left"/>
      </w:pPr>
      <w:r>
        <mc:AlternateContent>
          <mc:Choice Requires="wps">
            <w:drawing>
              <wp:anchor distT="0" distB="0" distL="114300" distR="114300" simplePos="0" relativeHeight="125829384" behindDoc="0" locked="0" layoutInCell="1" allowOverlap="1">
                <wp:simplePos x="0" y="0"/>
                <wp:positionH relativeFrom="page">
                  <wp:posOffset>379095</wp:posOffset>
                </wp:positionH>
                <wp:positionV relativeFrom="paragraph">
                  <wp:posOffset>12700</wp:posOffset>
                </wp:positionV>
                <wp:extent cx="2496185" cy="1170305"/>
                <wp:wrapSquare wrapText="right"/>
                <wp:docPr id="13" name="Shape 13"/>
                <a:graphic xmlns:a="http://schemas.openxmlformats.org/drawingml/2006/main">
                  <a:graphicData uri="http://schemas.microsoft.com/office/word/2010/wordprocessingShape">
                    <wps:wsp>
                      <wps:cNvSpPr txBox="1"/>
                      <wps:spPr>
                        <a:xfrm>
                          <a:ext cx="2496185" cy="1170305"/>
                        </a:xfrm>
                        <a:prstGeom prst="rect"/>
                        <a:noFill/>
                      </wps:spPr>
                      <wps:txbx>
                        <w:txbxContent>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PVM kodas:</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Tel.: 868648449</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Faks.:</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wps:txbx>
                      <wps:bodyPr lIns="0" tIns="0" rIns="0" bIns="0">
                        <a:noAutoFit/>
                      </wps:bodyPr>
                    </wps:wsp>
                  </a:graphicData>
                </a:graphic>
              </wp:anchor>
            </w:drawing>
          </mc:Choice>
          <mc:Fallback>
            <w:pict>
              <v:shape id="_x0000_s1039" type="#_x0000_t202" style="position:absolute;margin-left:29.850000000000001pt;margin-top:1.pt;width:196.55000000000001pt;height:92.150000000000006pt;z-index:-125829369;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PVM kodas:</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Tel.: 868648449</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Faks.:</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v:textbox>
                <w10:wrap type="square" side="right" anchorx="page"/>
              </v:shape>
            </w:pict>
          </mc:Fallback>
        </mc:AlternateContent>
      </w:r>
      <w:r>
        <w:rPr>
          <w:color w:val="000000"/>
          <w:spacing w:val="0"/>
          <w:w w:val="100"/>
          <w:position w:val="0"/>
          <w:shd w:val="clear" w:color="auto" w:fill="auto"/>
          <w:lang w:val="lt-LT" w:eastAsia="lt-LT" w:bidi="lt-LT"/>
        </w:rPr>
        <w:t>VIADA LT, UAB</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Adresas: Ožiarūčių g. 1A, 14185 Avižieniai, Vilniaus r., Vilniaus apskritis</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Kodas: 178715423</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PVM kodas: LT787154219</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Tel.: 5 2348470</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Faks.:</w:t>
      </w:r>
    </w:p>
    <w:p>
      <w:pPr>
        <w:pStyle w:val="Style14"/>
        <w:keepNext w:val="0"/>
        <w:keepLines w:val="0"/>
        <w:widowControl w:val="0"/>
        <w:shd w:val="clear" w:color="auto" w:fill="auto"/>
        <w:bidi w:val="0"/>
        <w:spacing w:before="0" w:after="300" w:line="240" w:lineRule="auto"/>
        <w:ind w:left="0" w:right="0" w:firstLine="72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14"/>
        <w:keepNext w:val="0"/>
        <w:keepLines w:val="0"/>
        <w:widowControl w:val="0"/>
        <w:shd w:val="clear" w:color="auto" w:fill="auto"/>
        <w:bidi w:val="0"/>
        <w:spacing w:before="0" w:after="0" w:line="295" w:lineRule="auto"/>
        <w:ind w:left="0" w:right="0" w:firstLine="0"/>
        <w:jc w:val="left"/>
      </w:pPr>
      <w:r>
        <mc:AlternateContent>
          <mc:Choice Requires="wps">
            <w:drawing>
              <wp:anchor distT="0" distB="0" distL="114300" distR="114300" simplePos="0" relativeHeight="125829386" behindDoc="0" locked="0" layoutInCell="1" allowOverlap="1">
                <wp:simplePos x="0" y="0"/>
                <wp:positionH relativeFrom="page">
                  <wp:posOffset>3439795</wp:posOffset>
                </wp:positionH>
                <wp:positionV relativeFrom="paragraph">
                  <wp:posOffset>12700</wp:posOffset>
                </wp:positionV>
                <wp:extent cx="2877185" cy="883920"/>
                <wp:wrapSquare wrapText="bothSides"/>
                <wp:docPr id="15" name="Shape 15"/>
                <a:graphic xmlns:a="http://schemas.openxmlformats.org/drawingml/2006/main">
                  <a:graphicData uri="http://schemas.microsoft.com/office/word/2010/wordprocessingShape">
                    <wps:wsp>
                      <wps:cNvSpPr txBox="1"/>
                      <wps:spPr>
                        <a:xfrm>
                          <a:ext cx="2877185" cy="883920"/>
                        </a:xfrm>
                        <a:prstGeom prst="rect"/>
                        <a:noFill/>
                      </wps:spPr>
                      <wps:txbx>
                        <w:txbxContent>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txbxContent>
                      </wps:txbx>
                      <wps:bodyPr lIns="0" tIns="0" rIns="0" bIns="0">
                        <a:noAutoFit/>
                      </wps:bodyPr>
                    </wps:wsp>
                  </a:graphicData>
                </a:graphic>
              </wp:anchor>
            </w:drawing>
          </mc:Choice>
          <mc:Fallback>
            <w:pict>
              <v:shape id="_x0000_s1041" type="#_x0000_t202" style="position:absolute;margin-left:270.85000000000002pt;margin-top:1.pt;width:226.55000000000001pt;height:69.600000000000009pt;z-index:-125829367;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txbxContent>
                </v:textbox>
                <w10:wrap type="square" anchorx="page"/>
              </v:shape>
            </w:pict>
          </mc:Fallback>
        </mc:AlternateContent>
      </w:r>
      <w:r>
        <w:rPr>
          <w:color w:val="000000"/>
          <w:spacing w:val="0"/>
          <w:w w:val="100"/>
          <w:position w:val="0"/>
          <w:shd w:val="clear" w:color="auto" w:fill="auto"/>
          <w:lang w:val="lt-LT" w:eastAsia="lt-LT" w:bidi="lt-LT"/>
        </w:rPr>
        <w:t>Atsakingas už sutarties vykdymo priežiūrą asmuo (vardas, pavardė, pareigos, tel. nr., el.paštas): Ineta Mickevičienė</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 technologijų skyriaus vyresnioji specialistė</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Tel.+370 688 72695</w:t>
      </w:r>
    </w:p>
    <w:p>
      <w:pPr>
        <w:pStyle w:val="Style14"/>
        <w:keepNext w:val="0"/>
        <w:keepLines w:val="0"/>
        <w:widowControl w:val="0"/>
        <w:shd w:val="clear" w:color="auto" w:fill="auto"/>
        <w:bidi w:val="0"/>
        <w:spacing w:before="0" w:after="48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"mailto:ineta.mickeviciene@aad.am.lt" </w:instrText>
      </w:r>
      <w:r>
        <w:fldChar w:fldCharType="separate"/>
      </w:r>
      <w:r>
        <w:rPr>
          <w:color w:val="000000"/>
          <w:spacing w:val="0"/>
          <w:w w:val="100"/>
          <w:position w:val="0"/>
          <w:shd w:val="clear" w:color="auto" w:fill="auto"/>
          <w:lang w:val="en-US" w:eastAsia="en-US" w:bidi="en-US"/>
        </w:rPr>
        <w:t>ineta.mickeviciene@aad.am.lt</w:t>
      </w:r>
      <w:r>
        <w:fldChar w:fldCharType="end"/>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 (vardas, pavardė, pareigos, tel. nr., el.paštas): Rasa Grušelionytė</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 technologijų skyriaus vyriausioji specialistė Tel.+370 665 00160</w:t>
      </w:r>
    </w:p>
    <w:p>
      <w:pPr>
        <w:pStyle w:val="Style14"/>
        <w:keepNext w:val="0"/>
        <w:keepLines w:val="0"/>
        <w:widowControl w:val="0"/>
        <w:shd w:val="clear" w:color="auto" w:fill="auto"/>
        <w:bidi w:val="0"/>
        <w:spacing w:before="0" w:after="0" w:line="298" w:lineRule="auto"/>
        <w:ind w:left="0" w:right="0" w:firstLine="0"/>
        <w:jc w:val="left"/>
        <w:sectPr>
          <w:footnotePr>
            <w:pos w:val="pageBottom"/>
            <w:numFmt w:val="decimal"/>
            <w:numRestart w:val="continuous"/>
          </w:footnotePr>
          <w:pgSz w:w="11900" w:h="16840"/>
          <w:pgMar w:top="567" w:right="2106" w:bottom="5921" w:left="588" w:header="139" w:footer="3" w:gutter="0"/>
          <w:cols w:space="720"/>
          <w:noEndnote/>
          <w:rtlGutter w:val="0"/>
          <w:docGrid w:linePitch="360"/>
        </w:sectPr>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67" w:right="0" w:bottom="750" w:left="0" w:header="0" w:footer="3" w:gutter="0"/>
          <w:cols w:space="720"/>
          <w:noEndnote/>
          <w:rtlGutter w:val="0"/>
          <w:docGrid w:linePitch="360"/>
        </w:sectPr>
      </w:pPr>
    </w:p>
    <w:p>
      <w:pPr>
        <w:pStyle w:val="Style14"/>
        <w:keepNext w:val="0"/>
        <w:keepLines w:val="0"/>
        <w:framePr w:w="4162" w:h="682" w:wrap="none" w:vAnchor="text" w:hAnchor="page" w:x="598" w:y="21"/>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14"/>
        <w:keepNext w:val="0"/>
        <w:keepLines w:val="0"/>
        <w:framePr w:w="4162" w:h="682" w:wrap="none" w:vAnchor="text" w:hAnchor="page" w:x="59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Kristina Malaiškaitė</w:t>
      </w:r>
    </w:p>
    <w:p>
      <w:pPr>
        <w:pStyle w:val="Style14"/>
        <w:keepNext w:val="0"/>
        <w:keepLines w:val="0"/>
        <w:framePr w:w="1469" w:h="230" w:wrap="none" w:vAnchor="text" w:hAnchor="page" w:x="5418" w:y="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lt-LT" w:eastAsia="lt-LT" w:bidi="lt-LT"/>
        </w:rPr>
        <w:t>Atstovaujantis asmuo:</w:t>
      </w:r>
    </w:p>
    <w:p>
      <w:pPr>
        <w:pStyle w:val="Style14"/>
        <w:keepNext w:val="0"/>
        <w:keepLines w:val="0"/>
        <w:framePr w:w="1128" w:h="226" w:wrap="none" w:vAnchor="text" w:hAnchor="page" w:x="5418" w:y="4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w:t>
      </w:r>
    </w:p>
    <w:p>
      <w:pPr>
        <w:pStyle w:val="Style8"/>
        <w:keepNext w:val="0"/>
        <w:keepLines w:val="0"/>
        <w:framePr w:w="907" w:h="182" w:wrap="none" w:vAnchor="text" w:hAnchor="page" w:x="7462" w:y="467"/>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p>
      <w:pPr>
        <w:pStyle w:val="Style14"/>
        <w:keepNext w:val="0"/>
        <w:keepLines w:val="0"/>
        <w:framePr w:w="4022" w:h="235" w:wrap="none" w:vAnchor="text" w:hAnchor="page" w:x="598" w:y="11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 Departamento direktoriaus pavaduotoja</w:t>
      </w:r>
    </w:p>
    <w:p>
      <w:pPr>
        <w:pStyle w:val="Style14"/>
        <w:keepNext w:val="0"/>
        <w:keepLines w:val="0"/>
        <w:framePr w:w="638" w:h="230" w:wrap="none" w:vAnchor="text" w:hAnchor="page" w:x="5418" w:y="11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w:t>
      </w:r>
    </w:p>
    <w:p>
      <w:pPr>
        <w:pStyle w:val="Style8"/>
        <w:keepNext w:val="0"/>
        <w:keepLines w:val="0"/>
        <w:framePr w:w="1286" w:h="182" w:wrap="none" w:vAnchor="text" w:hAnchor="page" w:x="7064" w:y="1124"/>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line="360" w:lineRule="exact"/>
      </w:pPr>
    </w:p>
    <w:p>
      <w:pPr>
        <w:widowControl w:val="0"/>
        <w:spacing w:line="360" w:lineRule="exact"/>
      </w:pPr>
    </w:p>
    <w:p>
      <w:pPr>
        <w:widowControl w:val="0"/>
        <w:spacing w:after="642" w:line="1" w:lineRule="exact"/>
      </w:pPr>
    </w:p>
    <w:p>
      <w:pPr>
        <w:widowControl w:val="0"/>
        <w:spacing w:line="1" w:lineRule="exact"/>
        <w:sectPr>
          <w:footnotePr>
            <w:pos w:val="pageBottom"/>
            <w:numFmt w:val="decimal"/>
            <w:numRestart w:val="continuous"/>
          </w:footnotePr>
          <w:type w:val="continuous"/>
          <w:pgSz w:w="11900" w:h="16840"/>
          <w:pgMar w:top="567" w:right="344" w:bottom="750" w:left="588" w:header="0" w:footer="3" w:gutter="0"/>
          <w:cols w:space="720"/>
          <w:noEndnote/>
          <w:rtlGutter w:val="0"/>
          <w:docGrid w:linePitch="360"/>
        </w:sectPr>
      </w:pP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567" w:right="0" w:bottom="850" w:left="0" w:header="0" w:footer="3" w:gutter="0"/>
          <w:cols w:space="720"/>
          <w:noEndnote/>
          <w:rtlGutter w:val="0"/>
          <w:docGrid w:linePitch="360"/>
        </w:sectPr>
      </w:pP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Data:</w:t>
        <w:tab/>
      </w: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sectPr>
          <w:footnotePr>
            <w:pos w:val="pageBottom"/>
            <w:numFmt w:val="decimal"/>
            <w:numRestart w:val="continuous"/>
          </w:footnotePr>
          <w:type w:val="continuous"/>
          <w:pgSz w:w="11900" w:h="16840"/>
          <w:pgMar w:top="567" w:right="2105" w:bottom="850" w:left="597" w:header="0" w:footer="3" w:gutter="0"/>
          <w:cols w:num="2" w:space="442"/>
          <w:noEndnote/>
          <w:rtlGutter w:val="0"/>
          <w:docGrid w:linePitch="360"/>
        </w:sectPr>
      </w:pPr>
      <w:r>
        <w:rPr>
          <w:color w:val="000000"/>
          <w:spacing w:val="0"/>
          <w:w w:val="100"/>
          <w:position w:val="0"/>
          <w:shd w:val="clear" w:color="auto" w:fill="auto"/>
          <w:lang w:val="lt-LT" w:eastAsia="lt-LT" w:bidi="lt-LT"/>
        </w:rPr>
        <w:t>Data:</w:t>
        <w:tab/>
      </w:r>
    </w:p>
    <w:p>
      <w:pPr>
        <w:rPr>
          <w:sz w:val="2"/>
          <w:szCs w:val="2"/>
        </w:rPr>
        <w:sectPr>
          <w:footnotePr>
            <w:pos w:val="pageBottom"/>
            <w:numFmt w:val="decimal"/>
            <w:numRestart w:val="continuous"/>
          </w:footnotePr>
          <w:type w:val="continuous"/>
          <w:pgSz w:w="11900" w:h="16840"/>
          <w:pgMar w:top="567" w:right="2105" w:bottom="850" w:left="597" w:header="0" w:footer="3" w:gutter="0"/>
          <w:cols w:num="2" w:space="442"/>
          <w:noEndnote/>
          <w:rtlGutter w:val="0"/>
          <w:docGrid w:linePitch="360"/>
        </w:sectPr>
      </w:pPr>
    </w:p>
    <w:p>
      <w:pPr>
        <w:pStyle w:val="Style2"/>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lt-LT" w:eastAsia="lt-LT" w:bidi="lt-LT"/>
        </w:rPr>
        <w:t>atstovaujama</w:t>
      </w:r>
    </w:p>
    <w:p>
      <w:pPr>
        <w:pStyle w:val="Style2"/>
        <w:keepNext w:val="0"/>
        <w:keepLines w:val="0"/>
        <w:widowControl w:val="0"/>
        <w:shd w:val="clear" w:color="auto" w:fill="auto"/>
        <w:bidi w:val="0"/>
        <w:spacing w:before="0" w:after="180"/>
        <w:ind w:left="0" w:right="0" w:firstLine="0"/>
        <w:jc w:val="left"/>
      </w:pPr>
      <w:r>
        <w:rPr>
          <w:color w:val="000000"/>
          <w:spacing w:val="0"/>
          <w:w w:val="100"/>
          <w:position w:val="0"/>
          <w:shd w:val="clear" w:color="auto" w:fill="auto"/>
          <w:lang w:val="lt-LT" w:eastAsia="lt-LT" w:bidi="lt-LT"/>
        </w:rPr>
        <w:t xml:space="preserve">(toliau - Tiekėjas), </w:t>
      </w:r>
      <w:r>
        <w:rPr>
          <w:color w:val="000000"/>
          <w:spacing w:val="0"/>
          <w:w w:val="100"/>
          <w:position w:val="0"/>
          <w:shd w:val="clear" w:color="auto" w:fill="auto"/>
          <w:lang w:val="lt-LT" w:eastAsia="lt-LT" w:bidi="lt-LT"/>
        </w:rPr>
        <w:t xml:space="preserve">toliau kartu vadinami Šalimis, vadovaudamiesi 2020-05-15 Preliminariosios sutarties dėl automobilinių degalų degalinėse tiekimo per CPO (Pirkimo Nr.449501) </w:t>
      </w:r>
      <w:r>
        <w:rPr>
          <w:color w:val="000000"/>
          <w:spacing w:val="0"/>
          <w:w w:val="100"/>
          <w:position w:val="0"/>
          <w:shd w:val="clear" w:color="auto" w:fill="auto"/>
          <w:lang w:val="lt-LT" w:eastAsia="lt-LT" w:bidi="lt-LT"/>
        </w:rPr>
        <w:t>nuostatomis, sudarome šią sutartį (toliau - Pirkimo sutartis):</w:t>
      </w:r>
    </w:p>
    <w:p>
      <w:pPr>
        <w:pStyle w:val="Style2"/>
        <w:keepNext w:val="0"/>
        <w:keepLines w:val="0"/>
        <w:widowControl w:val="0"/>
        <w:shd w:val="clear" w:color="auto" w:fill="auto"/>
        <w:bidi w:val="0"/>
        <w:spacing w:before="0" w:after="180"/>
        <w:ind w:left="0" w:right="0" w:firstLine="0"/>
        <w:jc w:val="left"/>
      </w:pPr>
      <w:r>
        <w:rPr>
          <w:b/>
          <w:bCs/>
          <w:color w:val="000000"/>
          <w:spacing w:val="0"/>
          <w:w w:val="100"/>
          <w:position w:val="0"/>
          <w:shd w:val="clear" w:color="auto" w:fill="auto"/>
          <w:lang w:val="lt-LT" w:eastAsia="lt-LT" w:bidi="lt-LT"/>
        </w:rPr>
        <w:t>1. Bendrosios nuostatos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 Pagrindinėj e sutartyj e naudoj amos sąvokos: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1.1.1. CPO LT - viešoji įstaiga CPO LT, kuri atlieka prekių, paslaugų ar darbų viešųjų pirkimų procedūras ir sudaro Preliminariąsias sutartis su laimėjusiais tiekėjais.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 xml:space="preserve">1.1.2. Elektroninis katalogas - CPO LT valdoma ir tvarkoma informacinė sistema, kurioje vykdomi užsakymai. Internetinis adresas </w:t>
      </w:r>
      <w:r>
        <w:fldChar w:fldCharType="begin"/>
      </w:r>
      <w:r>
        <w:rPr/>
        <w:instrText> HYPERLINK "http://www.cpo.lt" </w:instrText>
      </w:r>
      <w:r>
        <w:fldChar w:fldCharType="separate"/>
      </w:r>
      <w:r>
        <w:rPr>
          <w:color w:val="000000"/>
          <w:spacing w:val="0"/>
          <w:w w:val="100"/>
          <w:position w:val="0"/>
          <w:shd w:val="clear" w:color="auto" w:fill="auto"/>
          <w:lang w:val="en-US" w:eastAsia="en-US" w:bidi="en-US"/>
        </w:rPr>
        <w:t>http://www.cpo.lt</w:t>
      </w:r>
      <w:r>
        <w:fldChar w:fldCharType="end"/>
      </w:r>
      <w:r>
        <w:rPr>
          <w:color w:val="000000"/>
          <w:spacing w:val="0"/>
          <w:w w:val="100"/>
          <w:position w:val="0"/>
          <w:shd w:val="clear" w:color="auto" w:fill="auto"/>
          <w:lang w:val="lt-LT" w:eastAsia="lt-LT" w:bidi="lt-LT"/>
        </w:rPr>
        <w:t>.</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1.1.3. Kortelė - Tiekėjo išduota magnetinė plastikinė kortelė skirta duomenų apie Užsakovo įsigyjamas Prekes fiksavimui.</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1.1.4. Prekė (-s) - Pagrindinės sutarties priede nurodyta (-os) Tiekėjo prekė, kuri gali būti tiekiama Užsakovui pagal šią Pagrindinę sutartį.</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1.1.5. Prekės įkainis - už Prekės vienetą (litrą) mokėtina suma, gaunama taikant Pagrindinės sutarties 4.2 punkte nustatytą kainodarą.</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1.1.6. Pagrindinės sutarties kaina - pagal Pagrindinę sutartį Tiekėjui faktiškai sumokama pinigų suma.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1.1.7. Pradinės Pagrindinės sutarties vertė - lėšų suma, kurią Užsakovas planuoja skirti Pagrindinėje sutartyje nurodytų Prekių įsigijimui. Pradinės Pagrindinės sutarties vertė yra Elektroniniame kataloge ir šioje sutartyje Užsakovo nurodoma maksimali lėšų suma.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1.1.8. Preliminarioji sutartis - sutartis tarp CPO LT ir Tiekėjo, kuri nustato sąlygas, taikomas Pagrindinėms sutartims, sudarytoms Preliminariosios sutarties galiojimo laikotarpiu.</w:t>
      </w:r>
    </w:p>
    <w:p>
      <w:pPr>
        <w:pStyle w:val="Style2"/>
        <w:keepNext w:val="0"/>
        <w:keepLines w:val="0"/>
        <w:widowControl w:val="0"/>
        <w:shd w:val="clear" w:color="auto" w:fill="auto"/>
        <w:bidi w:val="0"/>
        <w:spacing w:before="0" w:after="180"/>
        <w:ind w:left="0" w:right="0" w:firstLine="0"/>
        <w:jc w:val="left"/>
      </w:pPr>
      <w:r>
        <w:rPr>
          <w:b/>
          <w:bCs/>
          <w:color w:val="000000"/>
          <w:spacing w:val="0"/>
          <w:w w:val="100"/>
          <w:position w:val="0"/>
          <w:shd w:val="clear" w:color="auto" w:fill="auto"/>
          <w:lang w:val="lt-LT" w:eastAsia="lt-LT" w:bidi="lt-LT"/>
        </w:rPr>
        <w:t>2. Pagrindinės sutarties dalykas</w:t>
      </w:r>
    </w:p>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lt-LT" w:eastAsia="lt-LT" w:bidi="lt-LT"/>
        </w:rPr>
        <w:t>2.1. Pagrindine sutartimi Tiekėjas įsipareigoja Užsakovui tiekti Pagrindinės sutarties priede nurodytas Prekes, o Užsakovas įsipareigoja sumokėti už jas nustatytą kainą šioje Pagrindinėje sutartyje nustatytomis sąlygomis ir tvarka.</w:t>
      </w:r>
    </w:p>
    <w:p>
      <w:pPr>
        <w:pStyle w:val="Style2"/>
        <w:keepNext w:val="0"/>
        <w:keepLines w:val="0"/>
        <w:widowControl w:val="0"/>
        <w:shd w:val="clear" w:color="auto" w:fill="auto"/>
        <w:bidi w:val="0"/>
        <w:spacing w:before="0" w:after="180"/>
        <w:ind w:left="0" w:right="0" w:firstLine="0"/>
        <w:jc w:val="left"/>
      </w:pPr>
      <w:r>
        <w:rPr>
          <w:b/>
          <w:bCs/>
          <w:color w:val="000000"/>
          <w:spacing w:val="0"/>
          <w:w w:val="100"/>
          <w:position w:val="0"/>
          <w:shd w:val="clear" w:color="auto" w:fill="auto"/>
          <w:lang w:val="lt-LT" w:eastAsia="lt-LT" w:bidi="lt-LT"/>
        </w:rPr>
        <w:t>3. Šalių teisės ir pareigos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 Tiekėjas įsipareigoja: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3.1.1. užtikrinti Prekių pasiūlą visą Pagrindinės sutarties galioj imo laikotarpį;</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3.1.2. užtikrinti, kad tiekiamos Prekės būtų kokybiškos ir atitiktų Pagrindinės sutarties priede nurodytą Prekių techninę specifikaciją, bei kitus Prekėms ir jų pardavimui teisės aktuose nustatytus reikalavimus;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3.1.3. 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3.1.4.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color w:val="000000"/>
          <w:spacing w:val="0"/>
          <w:w w:val="100"/>
          <w:position w:val="0"/>
          <w:shd w:val="clear" w:color="auto" w:fill="auto"/>
          <w:vertAlign w:val="superscript"/>
          <w:lang w:val="lt-LT" w:eastAsia="lt-LT" w:bidi="lt-LT"/>
        </w:rPr>
        <w:t>* 1 2 3</w:t>
      </w:r>
      <w:r>
        <w:rPr>
          <w:color w:val="000000"/>
          <w:spacing w:val="0"/>
          <w:w w:val="100"/>
          <w:position w:val="0"/>
          <w:shd w:val="clear" w:color="auto" w:fill="auto"/>
          <w:lang w:val="lt-LT" w:eastAsia="lt-LT" w:bidi="lt-LT"/>
        </w:rPr>
        <w:t xml:space="preserve"> dalies 3 nuostatos taikymo, užtikrinti, kad pristatomų Prekių (jų sudėtinių dalių) kilmės šalis nėra iš valstybių ar teritorijų, nurodytų</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Viešųjų pirkimų įstatymo 45 straipsnį 21 dalies 3 punkte.</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3.1.5. Degalų pardavimui naudoti tik kolonėles, kurioms teisės aktų nustatyta tvarka atlikta metrologinė patikra ir Užsakovui paprašius, ne vėliau kaip per 5 darbo dienas pateikti tai patvirtinančius dokumentus.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3.2. Tiekėjas turi teisę:</w:t>
      </w:r>
    </w:p>
    <w:sectPr>
      <w:footnotePr>
        <w:pos w:val="pageBottom"/>
        <w:numFmt w:val="decimal"/>
        <w:numRestart w:val="continuous"/>
      </w:footnotePr>
      <w:type w:val="continuous"/>
      <w:pgSz w:w="11900" w:h="16840"/>
      <w:pgMar w:top="567" w:right="2105" w:bottom="850" w:left="59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375285</wp:posOffset>
              </wp:positionH>
              <wp:positionV relativeFrom="page">
                <wp:posOffset>10159365</wp:posOffset>
              </wp:positionV>
              <wp:extent cx="6937375" cy="88265"/>
              <wp:wrapNone/>
              <wp:docPr id="1" name="Shape 1"/>
              <a:graphic xmlns:a="http://schemas.openxmlformats.org/drawingml/2006/main">
                <a:graphicData uri="http://schemas.microsoft.com/office/word/2010/wordprocessingShape">
                  <wps:wsp>
                    <wps:cNvSpPr txBox="1"/>
                    <wps:spPr>
                      <a:xfrm>
                        <a:ext cx="6937375" cy="88265"/>
                      </a:xfrm>
                      <a:prstGeom prst="rect"/>
                      <a:noFill/>
                    </wps:spPr>
                    <wps:txbx>
                      <w:txbxContent>
                        <w:p>
                          <w:pPr>
                            <w:pStyle w:val="Style5"/>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CPO226396</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50000000000001pt;margin-top:799.95000000000005pt;width:546.25pt;height:6.9500000000000002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CPO226396</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326390</wp:posOffset>
              </wp:positionH>
              <wp:positionV relativeFrom="page">
                <wp:posOffset>10020300</wp:posOffset>
              </wp:positionV>
              <wp:extent cx="7037705" cy="0"/>
              <wp:wrapNone/>
              <wp:docPr id="3" name="Shape 3"/>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5.699999999999999pt;margin-top:789.pt;width:554.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397510</wp:posOffset>
              </wp:positionH>
              <wp:positionV relativeFrom="page">
                <wp:posOffset>10176510</wp:posOffset>
              </wp:positionV>
              <wp:extent cx="6943090" cy="88265"/>
              <wp:wrapNone/>
              <wp:docPr id="8" name="Shape 8"/>
              <a:graphic xmlns:a="http://schemas.openxmlformats.org/drawingml/2006/main">
                <a:graphicData uri="http://schemas.microsoft.com/office/word/2010/wordprocessingShape">
                  <wps:wsp>
                    <wps:cNvSpPr txBox="1"/>
                    <wps:spPr>
                      <a:xfrm>
                        <a:ext cx="6943090" cy="88265"/>
                      </a:xfrm>
                      <a:prstGeom prst="rect"/>
                      <a:noFill/>
                    </wps:spPr>
                    <wps:txbx>
                      <w:txbxContent>
                        <w:p>
                          <w:pPr>
                            <w:pStyle w:val="Style5"/>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CPO226396</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34" type="#_x0000_t202" style="position:absolute;margin-left:31.300000000000001pt;margin-top:801.30000000000007pt;width:546.70000000000005pt;height:6.9500000000000002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CPO226396</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349250</wp:posOffset>
              </wp:positionH>
              <wp:positionV relativeFrom="page">
                <wp:posOffset>10066020</wp:posOffset>
              </wp:positionV>
              <wp:extent cx="7037705" cy="0"/>
              <wp:wrapNone/>
              <wp:docPr id="10" name="Shape 10"/>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7.5pt;margin-top:792.60000000000002pt;width:554.1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abstractNum w:abstractNumId="2">
    <w:multiLevelType w:val="multilevel"/>
    <w:lvl w:ilvl="0">
      <w:start w:val="1"/>
      <w:numFmt w:val="decimal"/>
      <w:lvlText w:val="%1."/>
    </w:lvl>
    <w:lvl w:ilvl="1">
      <w:start w:val="3"/>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abstractNum w:abstractNumId="4">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customStyle="1" w:styleId="CharStyle3">
    <w:name w:val="Footnote_"/>
    <w:basedOn w:val="DefaultParagraphFont"/>
    <w:link w:val="Style2"/>
    <w:rPr>
      <w:rFonts w:ascii="Times New Roman" w:eastAsia="Times New Roman" w:hAnsi="Times New Roman" w:cs="Times New Roman"/>
      <w:b w:val="0"/>
      <w:bCs w:val="0"/>
      <w:i w:val="0"/>
      <w:iCs w:val="0"/>
      <w:smallCaps w:val="0"/>
      <w:strike w:val="0"/>
      <w:sz w:val="16"/>
      <w:szCs w:val="16"/>
      <w:u w:val="none"/>
    </w:rPr>
  </w:style>
  <w:style w:type="character" w:customStyle="1" w:styleId="CharStyle6">
    <w:name w:val="Header or footer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Body text (2)_"/>
    <w:basedOn w:val="DefaultParagraphFont"/>
    <w:link w:val="Style8"/>
    <w:rPr>
      <w:rFonts w:ascii="Arial" w:eastAsia="Arial" w:hAnsi="Arial" w:cs="Arial"/>
      <w:b w:val="0"/>
      <w:bCs w:val="0"/>
      <w:i w:val="0"/>
      <w:iCs w:val="0"/>
      <w:smallCaps w:val="0"/>
      <w:strike w:val="0"/>
      <w:color w:val="141414"/>
      <w:sz w:val="12"/>
      <w:szCs w:val="12"/>
      <w:u w:val="none"/>
    </w:rPr>
  </w:style>
  <w:style w:type="character" w:customStyle="1" w:styleId="CharStyle11">
    <w:name w:val="Body text (3)_"/>
    <w:basedOn w:val="DefaultParagraphFont"/>
    <w:link w:val="Style10"/>
    <w:rPr>
      <w:rFonts w:ascii="Times New Roman" w:eastAsia="Times New Roman" w:hAnsi="Times New Roman" w:cs="Times New Roman"/>
      <w:b w:val="0"/>
      <w:bCs w:val="0"/>
      <w:i w:val="0"/>
      <w:iCs w:val="0"/>
      <w:smallCaps w:val="0"/>
      <w:strike w:val="0"/>
      <w:sz w:val="12"/>
      <w:szCs w:val="12"/>
      <w:u w:val="none"/>
    </w:rPr>
  </w:style>
  <w:style w:type="character" w:customStyle="1" w:styleId="CharStyle13">
    <w:name w:val="Heading #1_"/>
    <w:basedOn w:val="DefaultParagraphFont"/>
    <w:link w:val="Style12"/>
    <w:rPr>
      <w:rFonts w:ascii="Times New Roman" w:eastAsia="Times New Roman" w:hAnsi="Times New Roman" w:cs="Times New Roman"/>
      <w:b/>
      <w:bCs/>
      <w:i w:val="0"/>
      <w:iCs w:val="0"/>
      <w:smallCaps w:val="0"/>
      <w:strike w:val="0"/>
      <w:u w:val="none"/>
    </w:rPr>
  </w:style>
  <w:style w:type="character" w:customStyle="1" w:styleId="CharStyle15">
    <w:name w:val="Body text_"/>
    <w:basedOn w:val="DefaultParagraphFont"/>
    <w:link w:val="Style14"/>
    <w:rPr>
      <w:rFonts w:ascii="Times New Roman" w:eastAsia="Times New Roman" w:hAnsi="Times New Roman" w:cs="Times New Roman"/>
      <w:b w:val="0"/>
      <w:bCs w:val="0"/>
      <w:i w:val="0"/>
      <w:iCs w:val="0"/>
      <w:smallCaps w:val="0"/>
      <w:strike w:val="0"/>
      <w:sz w:val="16"/>
      <w:szCs w:val="16"/>
      <w:u w:val="none"/>
    </w:rPr>
  </w:style>
  <w:style w:type="character" w:customStyle="1" w:styleId="CharStyle17">
    <w:name w:val="Heading #3_"/>
    <w:basedOn w:val="DefaultParagraphFont"/>
    <w:link w:val="Style16"/>
    <w:rPr>
      <w:rFonts w:ascii="Times New Roman" w:eastAsia="Times New Roman" w:hAnsi="Times New Roman" w:cs="Times New Roman"/>
      <w:b/>
      <w:bCs/>
      <w:i w:val="0"/>
      <w:iCs w:val="0"/>
      <w:smallCaps w:val="0"/>
      <w:strike w:val="0"/>
      <w:sz w:val="16"/>
      <w:szCs w:val="16"/>
      <w:u w:val="none"/>
    </w:rPr>
  </w:style>
  <w:style w:type="character" w:customStyle="1" w:styleId="CharStyle21">
    <w:name w:val="Heading #2_"/>
    <w:basedOn w:val="DefaultParagraphFont"/>
    <w:link w:val="Style20"/>
    <w:rPr>
      <w:rFonts w:ascii="Times New Roman" w:eastAsia="Times New Roman" w:hAnsi="Times New Roman" w:cs="Times New Roman"/>
      <w:b/>
      <w:bCs/>
      <w:i w:val="0"/>
      <w:iCs w:val="0"/>
      <w:smallCaps w:val="0"/>
      <w:strike w:val="0"/>
      <w:sz w:val="20"/>
      <w:szCs w:val="20"/>
      <w:u w:val="none"/>
    </w:rPr>
  </w:style>
  <w:style w:type="character" w:customStyle="1" w:styleId="CharStyle23">
    <w:name w:val="Other_"/>
    <w:basedOn w:val="DefaultParagraphFont"/>
    <w:link w:val="Style22"/>
    <w:rPr>
      <w:rFonts w:ascii="Times New Roman" w:eastAsia="Times New Roman" w:hAnsi="Times New Roman" w:cs="Times New Roman"/>
      <w:b w:val="0"/>
      <w:bCs w:val="0"/>
      <w:i w:val="0"/>
      <w:iCs w:val="0"/>
      <w:smallCaps w:val="0"/>
      <w:strike w:val="0"/>
      <w:sz w:val="16"/>
      <w:szCs w:val="16"/>
      <w:u w:val="none"/>
    </w:rPr>
  </w:style>
  <w:style w:type="paragraph" w:customStyle="1" w:styleId="Style2">
    <w:name w:val="Footnote"/>
    <w:basedOn w:val="Normal"/>
    <w:link w:val="CharStyle3"/>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5">
    <w:name w:val="Header or footer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Body text (2)"/>
    <w:basedOn w:val="Normal"/>
    <w:link w:val="CharStyle9"/>
    <w:pPr>
      <w:widowControl w:val="0"/>
      <w:shd w:val="clear" w:color="auto" w:fill="auto"/>
    </w:pPr>
    <w:rPr>
      <w:rFonts w:ascii="Arial" w:eastAsia="Arial" w:hAnsi="Arial" w:cs="Arial"/>
      <w:b w:val="0"/>
      <w:bCs w:val="0"/>
      <w:i w:val="0"/>
      <w:iCs w:val="0"/>
      <w:smallCaps w:val="0"/>
      <w:strike w:val="0"/>
      <w:color w:val="141414"/>
      <w:sz w:val="12"/>
      <w:szCs w:val="12"/>
      <w:u w:val="none"/>
    </w:rPr>
  </w:style>
  <w:style w:type="paragraph" w:customStyle="1" w:styleId="Style10">
    <w:name w:val="Body text (3)"/>
    <w:basedOn w:val="Normal"/>
    <w:link w:val="CharStyle11"/>
    <w:pPr>
      <w:widowControl w:val="0"/>
      <w:shd w:val="clear" w:color="auto" w:fill="auto"/>
      <w:spacing w:after="20"/>
    </w:pPr>
    <w:rPr>
      <w:rFonts w:ascii="Times New Roman" w:eastAsia="Times New Roman" w:hAnsi="Times New Roman" w:cs="Times New Roman"/>
      <w:b w:val="0"/>
      <w:bCs w:val="0"/>
      <w:i w:val="0"/>
      <w:iCs w:val="0"/>
      <w:smallCaps w:val="0"/>
      <w:strike w:val="0"/>
      <w:sz w:val="12"/>
      <w:szCs w:val="12"/>
      <w:u w:val="none"/>
    </w:rPr>
  </w:style>
  <w:style w:type="paragraph" w:customStyle="1" w:styleId="Style12">
    <w:name w:val="Heading #1"/>
    <w:basedOn w:val="Normal"/>
    <w:link w:val="CharStyle13"/>
    <w:pPr>
      <w:widowControl w:val="0"/>
      <w:shd w:val="clear" w:color="auto" w:fill="auto"/>
      <w:spacing w:before="180" w:after="740"/>
      <w:ind w:left="1740"/>
      <w:outlineLvl w:val="0"/>
    </w:pPr>
    <w:rPr>
      <w:rFonts w:ascii="Times New Roman" w:eastAsia="Times New Roman" w:hAnsi="Times New Roman" w:cs="Times New Roman"/>
      <w:b/>
      <w:bCs/>
      <w:i w:val="0"/>
      <w:iCs w:val="0"/>
      <w:smallCaps w:val="0"/>
      <w:strike w:val="0"/>
      <w:u w:val="none"/>
    </w:rPr>
  </w:style>
  <w:style w:type="paragraph" w:styleId="Style14">
    <w:name w:val="Body text"/>
    <w:basedOn w:val="Normal"/>
    <w:link w:val="CharStyle15"/>
    <w:qFormat/>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16">
    <w:name w:val="Heading #3"/>
    <w:basedOn w:val="Normal"/>
    <w:link w:val="CharStyle17"/>
    <w:pPr>
      <w:widowControl w:val="0"/>
      <w:shd w:val="clear" w:color="auto" w:fill="auto"/>
      <w:spacing w:after="180" w:line="360" w:lineRule="auto"/>
      <w:outlineLvl w:val="2"/>
    </w:pPr>
    <w:rPr>
      <w:rFonts w:ascii="Times New Roman" w:eastAsia="Times New Roman" w:hAnsi="Times New Roman" w:cs="Times New Roman"/>
      <w:b/>
      <w:bCs/>
      <w:i w:val="0"/>
      <w:iCs w:val="0"/>
      <w:smallCaps w:val="0"/>
      <w:strike w:val="0"/>
      <w:sz w:val="16"/>
      <w:szCs w:val="16"/>
      <w:u w:val="none"/>
    </w:rPr>
  </w:style>
  <w:style w:type="paragraph" w:customStyle="1" w:styleId="Style20">
    <w:name w:val="Heading #2"/>
    <w:basedOn w:val="Normal"/>
    <w:link w:val="CharStyle21"/>
    <w:pPr>
      <w:widowControl w:val="0"/>
      <w:shd w:val="clear" w:color="auto" w:fill="auto"/>
      <w:spacing w:after="480" w:line="300" w:lineRule="auto"/>
      <w:ind w:left="740"/>
      <w:outlineLvl w:val="1"/>
    </w:pPr>
    <w:rPr>
      <w:rFonts w:ascii="Times New Roman" w:eastAsia="Times New Roman" w:hAnsi="Times New Roman" w:cs="Times New Roman"/>
      <w:b/>
      <w:bCs/>
      <w:i w:val="0"/>
      <w:iCs w:val="0"/>
      <w:smallCaps w:val="0"/>
      <w:strike w:val="0"/>
      <w:sz w:val="20"/>
      <w:szCs w:val="20"/>
      <w:u w:val="none"/>
    </w:rPr>
  </w:style>
  <w:style w:type="paragraph" w:customStyle="1" w:styleId="Style22">
    <w:name w:val="Other"/>
    <w:basedOn w:val="Normal"/>
    <w:link w:val="CharStyle23"/>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Preliminarioji sutartis dėl automobilinių degalų degalinėse tiekimo per CPO nr. 226396 priedas</dc:title>
  <dc:subject>PASLAUGOS</dc:subject>
  <dc:creator/>
  <cp:keywords> </cp:keywords>
</cp:coreProperties>
</file>