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8961" w14:textId="77777777" w:rsidR="0090180A" w:rsidRDefault="0089716F" w:rsidP="00586D4A">
      <w:pPr>
        <w:spacing w:line="240" w:lineRule="atLeast"/>
        <w:jc w:val="center"/>
        <w:rPr>
          <w:b/>
          <w:sz w:val="24"/>
          <w:szCs w:val="24"/>
        </w:rPr>
      </w:pPr>
      <w:bookmarkStart w:id="0" w:name="_Hlk114226865"/>
      <w:r w:rsidRPr="004C51E7">
        <w:rPr>
          <w:b/>
          <w:sz w:val="24"/>
          <w:szCs w:val="24"/>
        </w:rPr>
        <w:t xml:space="preserve">SUSITARIMAS </w:t>
      </w:r>
    </w:p>
    <w:p w14:paraId="3A532585" w14:textId="77777777" w:rsidR="000E524C" w:rsidRDefault="0089716F" w:rsidP="00354BCA">
      <w:pPr>
        <w:spacing w:line="240" w:lineRule="atLeast"/>
        <w:jc w:val="center"/>
        <w:rPr>
          <w:b/>
          <w:sz w:val="24"/>
          <w:szCs w:val="24"/>
          <w:lang w:eastAsia="en-US"/>
        </w:rPr>
      </w:pPr>
      <w:r w:rsidRPr="004C51E7">
        <w:rPr>
          <w:b/>
          <w:sz w:val="24"/>
          <w:szCs w:val="24"/>
        </w:rPr>
        <w:t xml:space="preserve">DĖL </w:t>
      </w:r>
      <w:r w:rsidR="00E35DC3" w:rsidRPr="00E35DC3">
        <w:rPr>
          <w:b/>
          <w:sz w:val="24"/>
          <w:szCs w:val="24"/>
        </w:rPr>
        <w:t xml:space="preserve">2022 M. </w:t>
      </w:r>
      <w:r w:rsidR="000E524C">
        <w:rPr>
          <w:b/>
          <w:sz w:val="24"/>
          <w:szCs w:val="24"/>
        </w:rPr>
        <w:t>VASARIO 4</w:t>
      </w:r>
      <w:r w:rsidR="00E35DC3" w:rsidRPr="00E35DC3">
        <w:rPr>
          <w:b/>
          <w:sz w:val="24"/>
          <w:szCs w:val="24"/>
        </w:rPr>
        <w:t xml:space="preserve"> D. </w:t>
      </w:r>
      <w:r w:rsidR="000E524C" w:rsidRPr="000E524C">
        <w:rPr>
          <w:b/>
          <w:sz w:val="24"/>
          <w:szCs w:val="24"/>
          <w:lang w:eastAsia="en-US"/>
        </w:rPr>
        <w:t xml:space="preserve">KALĖJIMŲ DEPARTAMENTO PRIE LIETUVOS RESPUBLIKOS TEISINGUMO MINISTERIJOS INFORMACINĖS SISTEMOS KADIS-2 DETALIOS TECHNINĖS SPECIFIKACIJOS PARENGIMO BEI INFORMACINĖS SISTEMOS KŪRIMO (MODERNIZAVIMO) TECHNINĖS PRIEŽIŪROS PASLAUGŲ SUTARTIES NR. ST-15 </w:t>
      </w:r>
    </w:p>
    <w:p w14:paraId="6E8E52E0" w14:textId="0BA0FE94" w:rsidR="0089716F" w:rsidRPr="004C51E7" w:rsidRDefault="0089716F" w:rsidP="00354BCA">
      <w:pPr>
        <w:spacing w:line="240" w:lineRule="atLeast"/>
        <w:jc w:val="center"/>
        <w:rPr>
          <w:sz w:val="24"/>
          <w:szCs w:val="24"/>
        </w:rPr>
      </w:pPr>
      <w:r w:rsidRPr="004C51E7">
        <w:rPr>
          <w:b/>
          <w:color w:val="000000"/>
          <w:sz w:val="24"/>
          <w:szCs w:val="24"/>
        </w:rPr>
        <w:t>PAKEITIMO</w:t>
      </w:r>
      <w:bookmarkEnd w:id="0"/>
    </w:p>
    <w:p w14:paraId="131F3383" w14:textId="77777777" w:rsidR="00F04817" w:rsidRDefault="00F04817" w:rsidP="00F04817">
      <w:pPr>
        <w:jc w:val="center"/>
        <w:rPr>
          <w:sz w:val="24"/>
          <w:szCs w:val="24"/>
        </w:rPr>
      </w:pPr>
    </w:p>
    <w:p w14:paraId="6E8E52E3" w14:textId="634879B9" w:rsidR="0089716F" w:rsidRDefault="0089716F" w:rsidP="00F04817">
      <w:pPr>
        <w:jc w:val="center"/>
        <w:rPr>
          <w:sz w:val="24"/>
          <w:szCs w:val="24"/>
        </w:rPr>
      </w:pPr>
      <w:r w:rsidRPr="004C51E7">
        <w:rPr>
          <w:sz w:val="24"/>
          <w:szCs w:val="24"/>
        </w:rPr>
        <w:t>202</w:t>
      </w:r>
      <w:r w:rsidR="00692A88">
        <w:rPr>
          <w:sz w:val="24"/>
          <w:szCs w:val="24"/>
        </w:rPr>
        <w:t>2</w:t>
      </w:r>
      <w:r w:rsidRPr="004C51E7">
        <w:rPr>
          <w:sz w:val="24"/>
          <w:szCs w:val="24"/>
        </w:rPr>
        <w:t xml:space="preserve"> m.</w:t>
      </w:r>
      <w:r w:rsidR="009F48BB">
        <w:rPr>
          <w:sz w:val="24"/>
          <w:szCs w:val="24"/>
        </w:rPr>
        <w:t xml:space="preserve">          </w:t>
      </w:r>
      <w:r w:rsidR="000E524C">
        <w:rPr>
          <w:sz w:val="24"/>
          <w:szCs w:val="24"/>
        </w:rPr>
        <w:t xml:space="preserve">        </w:t>
      </w:r>
      <w:r w:rsidRPr="004C51E7">
        <w:rPr>
          <w:sz w:val="24"/>
          <w:szCs w:val="24"/>
        </w:rPr>
        <w:t xml:space="preserve">   d. Nr. </w:t>
      </w:r>
    </w:p>
    <w:p w14:paraId="09D1F99D" w14:textId="61B2B26E" w:rsidR="00F04817" w:rsidRPr="004C51E7" w:rsidRDefault="00F04817" w:rsidP="00F04817">
      <w:pPr>
        <w:jc w:val="center"/>
        <w:rPr>
          <w:sz w:val="24"/>
          <w:szCs w:val="24"/>
        </w:rPr>
      </w:pPr>
      <w:r>
        <w:rPr>
          <w:sz w:val="24"/>
          <w:szCs w:val="24"/>
        </w:rPr>
        <w:t>Vilnius</w:t>
      </w:r>
    </w:p>
    <w:p w14:paraId="7C758238" w14:textId="77777777" w:rsidR="00F04817" w:rsidRDefault="00F04817" w:rsidP="00924EDD">
      <w:pPr>
        <w:spacing w:line="240" w:lineRule="atLeast"/>
        <w:ind w:firstLine="567"/>
        <w:jc w:val="both"/>
        <w:rPr>
          <w:b/>
          <w:sz w:val="24"/>
          <w:szCs w:val="24"/>
          <w:lang w:eastAsia="ru-RU"/>
        </w:rPr>
      </w:pPr>
    </w:p>
    <w:p w14:paraId="469BDF3B" w14:textId="573B8BA5" w:rsidR="000E524C" w:rsidRPr="008B60DC" w:rsidRDefault="000E524C" w:rsidP="000E524C">
      <w:pPr>
        <w:ind w:firstLine="851"/>
        <w:jc w:val="both"/>
        <w:rPr>
          <w:bCs/>
          <w:sz w:val="24"/>
          <w:szCs w:val="24"/>
        </w:rPr>
      </w:pPr>
      <w:r w:rsidRPr="008B60DC">
        <w:rPr>
          <w:b/>
          <w:sz w:val="24"/>
          <w:szCs w:val="24"/>
        </w:rPr>
        <w:t>Kalėjimų departamentas prie Lietuvos Respublikos teisingumo ministerijos</w:t>
      </w:r>
      <w:r w:rsidR="0000048E">
        <w:rPr>
          <w:bCs/>
          <w:sz w:val="24"/>
          <w:szCs w:val="24"/>
        </w:rPr>
        <w:t xml:space="preserve"> </w:t>
      </w:r>
      <w:r w:rsidRPr="008B60DC">
        <w:rPr>
          <w:bCs/>
          <w:sz w:val="24"/>
          <w:szCs w:val="24"/>
        </w:rPr>
        <w:t xml:space="preserve">(toliau – </w:t>
      </w:r>
      <w:r w:rsidRPr="008B60DC">
        <w:rPr>
          <w:b/>
          <w:sz w:val="24"/>
          <w:szCs w:val="24"/>
        </w:rPr>
        <w:t>Paslaugų gavėjas, Perkančioji organizacija</w:t>
      </w:r>
      <w:r w:rsidRPr="008B60DC">
        <w:rPr>
          <w:bCs/>
          <w:sz w:val="24"/>
          <w:szCs w:val="24"/>
        </w:rPr>
        <w:t>), atstovaujamas direktoriaus Virginijaus Kulikausko</w:t>
      </w:r>
      <w:r w:rsidR="0000048E">
        <w:rPr>
          <w:bCs/>
          <w:sz w:val="24"/>
          <w:szCs w:val="24"/>
        </w:rPr>
        <w:t xml:space="preserve">, </w:t>
      </w:r>
      <w:r w:rsidR="0000048E" w:rsidRPr="0000048E">
        <w:rPr>
          <w:bCs/>
          <w:sz w:val="24"/>
          <w:szCs w:val="24"/>
        </w:rPr>
        <w:t>veikiančio pagal Kalėjimų departamento</w:t>
      </w:r>
      <w:r w:rsidR="0000048E" w:rsidRPr="0000048E">
        <w:rPr>
          <w:b/>
          <w:sz w:val="24"/>
          <w:szCs w:val="24"/>
        </w:rPr>
        <w:t xml:space="preserve"> </w:t>
      </w:r>
      <w:r w:rsidR="0000048E" w:rsidRPr="0000048E">
        <w:rPr>
          <w:sz w:val="24"/>
          <w:szCs w:val="24"/>
        </w:rPr>
        <w:t>prie Lietuvos Respublikos teisingumo ministerijos</w:t>
      </w:r>
      <w:r w:rsidR="0000048E" w:rsidRPr="0000048E">
        <w:rPr>
          <w:bCs/>
          <w:sz w:val="24"/>
          <w:szCs w:val="24"/>
        </w:rPr>
        <w:t xml:space="preserve"> nuostatus, patvirtintus Lietuvos Respublikos teisingumo ministro 2012 m. vasario 28 d. įsakymu Nr. 1R-58 „Dėl Kalėjimų departamento prie Lietuvos Respublikos teisingumo ministerijos nuostatų patvirtinimo“</w:t>
      </w:r>
      <w:r w:rsidR="00945D8C">
        <w:rPr>
          <w:bCs/>
          <w:sz w:val="24"/>
          <w:szCs w:val="24"/>
        </w:rPr>
        <w:t>,</w:t>
      </w:r>
    </w:p>
    <w:p w14:paraId="64CFB911" w14:textId="6F4383CE" w:rsidR="000E524C" w:rsidRDefault="000E524C" w:rsidP="000E524C">
      <w:pPr>
        <w:ind w:firstLine="851"/>
        <w:jc w:val="both"/>
        <w:rPr>
          <w:b/>
          <w:sz w:val="24"/>
          <w:szCs w:val="24"/>
        </w:rPr>
      </w:pPr>
      <w:r w:rsidRPr="008B60DC">
        <w:rPr>
          <w:bCs/>
          <w:sz w:val="24"/>
          <w:szCs w:val="24"/>
        </w:rPr>
        <w:t xml:space="preserve">ir ūkio subjektų grupė, kurią sudaro </w:t>
      </w:r>
      <w:r w:rsidRPr="008B60DC">
        <w:rPr>
          <w:b/>
          <w:sz w:val="24"/>
          <w:szCs w:val="24"/>
        </w:rPr>
        <w:t>UAB „IO projects“</w:t>
      </w:r>
      <w:r w:rsidR="0000048E">
        <w:rPr>
          <w:bCs/>
          <w:sz w:val="24"/>
          <w:szCs w:val="24"/>
        </w:rPr>
        <w:t xml:space="preserve"> </w:t>
      </w:r>
      <w:r w:rsidRPr="0000048E">
        <w:rPr>
          <w:b/>
          <w:sz w:val="24"/>
          <w:szCs w:val="24"/>
        </w:rPr>
        <w:t>ir UAB „Forit“</w:t>
      </w:r>
      <w:r w:rsidR="0000048E">
        <w:rPr>
          <w:bCs/>
          <w:sz w:val="24"/>
          <w:szCs w:val="24"/>
        </w:rPr>
        <w:t xml:space="preserve"> </w:t>
      </w:r>
      <w:r w:rsidRPr="008B60DC">
        <w:rPr>
          <w:bCs/>
          <w:sz w:val="24"/>
          <w:szCs w:val="24"/>
        </w:rPr>
        <w:t xml:space="preserve">(toliau – </w:t>
      </w:r>
      <w:r w:rsidRPr="008B60DC">
        <w:rPr>
          <w:b/>
          <w:sz w:val="24"/>
          <w:szCs w:val="24"/>
        </w:rPr>
        <w:t>Paslaugų teikėjas</w:t>
      </w:r>
      <w:r w:rsidRPr="008B60DC">
        <w:rPr>
          <w:bCs/>
          <w:sz w:val="24"/>
          <w:szCs w:val="24"/>
        </w:rPr>
        <w:t xml:space="preserve">), atstovaujama UAB „IO projects“ direktorės Neringos Račkauskaitės, veikiančios pagal UAB „IO projects“ įstatus ir 2021 m. lapkričio 19 d. Jungtinės veiklos sutarties Nr. JVS-20211119/1 8.3 </w:t>
      </w:r>
      <w:r w:rsidR="0000048E" w:rsidRPr="00B932DD">
        <w:rPr>
          <w:bCs/>
          <w:sz w:val="24"/>
          <w:szCs w:val="24"/>
        </w:rPr>
        <w:t>papunktį</w:t>
      </w:r>
      <w:r w:rsidRPr="00B932DD">
        <w:rPr>
          <w:bCs/>
          <w:sz w:val="24"/>
          <w:szCs w:val="24"/>
        </w:rPr>
        <w:t>,</w:t>
      </w:r>
      <w:r w:rsidRPr="008B60DC">
        <w:rPr>
          <w:b/>
          <w:sz w:val="24"/>
          <w:szCs w:val="24"/>
        </w:rPr>
        <w:t xml:space="preserve"> </w:t>
      </w:r>
      <w:r>
        <w:rPr>
          <w:b/>
          <w:sz w:val="24"/>
          <w:szCs w:val="24"/>
        </w:rPr>
        <w:t xml:space="preserve"> </w:t>
      </w:r>
    </w:p>
    <w:p w14:paraId="71C746AA" w14:textId="68A97BE8" w:rsidR="0054301A" w:rsidRPr="000E524C" w:rsidRDefault="00924EDD" w:rsidP="000E524C">
      <w:pPr>
        <w:ind w:firstLine="851"/>
        <w:jc w:val="both"/>
        <w:rPr>
          <w:b/>
          <w:sz w:val="24"/>
          <w:szCs w:val="24"/>
        </w:rPr>
      </w:pPr>
      <w:r w:rsidRPr="004C51E7">
        <w:rPr>
          <w:sz w:val="24"/>
          <w:szCs w:val="24"/>
          <w:lang w:eastAsia="ru-RU"/>
        </w:rPr>
        <w:t>v</w:t>
      </w:r>
      <w:r w:rsidR="00757ACB" w:rsidRPr="004C51E7">
        <w:rPr>
          <w:sz w:val="24"/>
          <w:szCs w:val="24"/>
          <w:lang w:eastAsia="ru-RU"/>
        </w:rPr>
        <w:t>adovau</w:t>
      </w:r>
      <w:r w:rsidRPr="004C51E7">
        <w:rPr>
          <w:sz w:val="24"/>
          <w:szCs w:val="24"/>
          <w:lang w:eastAsia="ru-RU"/>
        </w:rPr>
        <w:t>dam</w:t>
      </w:r>
      <w:r w:rsidR="00593CA8">
        <w:rPr>
          <w:sz w:val="24"/>
          <w:szCs w:val="24"/>
          <w:lang w:eastAsia="ru-RU"/>
        </w:rPr>
        <w:t>ie</w:t>
      </w:r>
      <w:r w:rsidRPr="004C51E7">
        <w:rPr>
          <w:sz w:val="24"/>
          <w:szCs w:val="24"/>
          <w:lang w:eastAsia="ru-RU"/>
        </w:rPr>
        <w:t>si</w:t>
      </w:r>
      <w:r w:rsidR="00757ACB" w:rsidRPr="004C51E7">
        <w:rPr>
          <w:sz w:val="24"/>
          <w:szCs w:val="24"/>
          <w:lang w:eastAsia="ru-RU"/>
        </w:rPr>
        <w:t xml:space="preserve"> </w:t>
      </w:r>
      <w:r w:rsidR="00365C65">
        <w:rPr>
          <w:sz w:val="24"/>
          <w:szCs w:val="24"/>
          <w:lang w:eastAsia="ru-RU"/>
        </w:rPr>
        <w:t>2022</w:t>
      </w:r>
      <w:r w:rsidR="00CD1985">
        <w:rPr>
          <w:sz w:val="24"/>
          <w:szCs w:val="24"/>
          <w:lang w:eastAsia="ru-RU"/>
        </w:rPr>
        <w:t xml:space="preserve"> m. </w:t>
      </w:r>
      <w:r w:rsidR="000E524C">
        <w:rPr>
          <w:sz w:val="24"/>
          <w:szCs w:val="24"/>
          <w:lang w:eastAsia="ru-RU"/>
        </w:rPr>
        <w:t>vasario</w:t>
      </w:r>
      <w:r w:rsidR="00CD1985">
        <w:rPr>
          <w:sz w:val="24"/>
          <w:szCs w:val="24"/>
          <w:lang w:eastAsia="ru-RU"/>
        </w:rPr>
        <w:t xml:space="preserve"> </w:t>
      </w:r>
      <w:r w:rsidR="000E524C">
        <w:rPr>
          <w:sz w:val="24"/>
          <w:szCs w:val="24"/>
          <w:lang w:eastAsia="ru-RU"/>
        </w:rPr>
        <w:t>4</w:t>
      </w:r>
      <w:r w:rsidR="00CD1985">
        <w:rPr>
          <w:sz w:val="24"/>
          <w:szCs w:val="24"/>
          <w:lang w:eastAsia="ru-RU"/>
        </w:rPr>
        <w:t xml:space="preserve"> d.</w:t>
      </w:r>
      <w:r w:rsidR="00365C65">
        <w:rPr>
          <w:sz w:val="24"/>
          <w:szCs w:val="24"/>
          <w:lang w:eastAsia="ru-RU"/>
        </w:rPr>
        <w:t xml:space="preserve"> </w:t>
      </w:r>
      <w:r w:rsidR="000E524C">
        <w:rPr>
          <w:sz w:val="24"/>
          <w:szCs w:val="24"/>
        </w:rPr>
        <w:t>K</w:t>
      </w:r>
      <w:r w:rsidR="000E524C" w:rsidRPr="000E524C">
        <w:rPr>
          <w:sz w:val="24"/>
          <w:szCs w:val="24"/>
        </w:rPr>
        <w:t xml:space="preserve">alėjimų departamento prie </w:t>
      </w:r>
      <w:r w:rsidR="000E524C">
        <w:rPr>
          <w:sz w:val="24"/>
          <w:szCs w:val="24"/>
        </w:rPr>
        <w:t>L</w:t>
      </w:r>
      <w:r w:rsidR="000E524C" w:rsidRPr="000E524C">
        <w:rPr>
          <w:sz w:val="24"/>
          <w:szCs w:val="24"/>
        </w:rPr>
        <w:t xml:space="preserve">ietuvos </w:t>
      </w:r>
      <w:r w:rsidR="000E524C">
        <w:rPr>
          <w:sz w:val="24"/>
          <w:szCs w:val="24"/>
        </w:rPr>
        <w:t>R</w:t>
      </w:r>
      <w:r w:rsidR="000E524C" w:rsidRPr="000E524C">
        <w:rPr>
          <w:sz w:val="24"/>
          <w:szCs w:val="24"/>
        </w:rPr>
        <w:t xml:space="preserve">espublikos teisingumo ministerijos informacinės sistemos </w:t>
      </w:r>
      <w:r w:rsidR="000E524C">
        <w:rPr>
          <w:sz w:val="24"/>
          <w:szCs w:val="24"/>
        </w:rPr>
        <w:t>KADIS</w:t>
      </w:r>
      <w:r w:rsidR="000E524C" w:rsidRPr="000E524C">
        <w:rPr>
          <w:sz w:val="24"/>
          <w:szCs w:val="24"/>
        </w:rPr>
        <w:t>-2 detalios techninės specifikacijos parengimo bei informacinės sistemos kūrimo (modernizavimo) techninės priežiūros paslaugų sutarti</w:t>
      </w:r>
      <w:r w:rsidR="000E524C">
        <w:rPr>
          <w:sz w:val="24"/>
          <w:szCs w:val="24"/>
        </w:rPr>
        <w:t>es Nr. ST-15</w:t>
      </w:r>
      <w:r w:rsidR="000E524C" w:rsidRPr="000E524C">
        <w:rPr>
          <w:sz w:val="24"/>
          <w:szCs w:val="24"/>
        </w:rPr>
        <w:t xml:space="preserve"> </w:t>
      </w:r>
      <w:r w:rsidR="00233198" w:rsidRPr="004C51E7">
        <w:rPr>
          <w:sz w:val="24"/>
          <w:szCs w:val="24"/>
          <w:lang w:eastAsia="ru-RU"/>
        </w:rPr>
        <w:t xml:space="preserve">(toliau – Sutartis) </w:t>
      </w:r>
      <w:r w:rsidR="000E524C">
        <w:rPr>
          <w:sz w:val="24"/>
          <w:szCs w:val="24"/>
          <w:lang w:eastAsia="ru-RU"/>
        </w:rPr>
        <w:t xml:space="preserve">12.1, 12.2, 12.3 </w:t>
      </w:r>
      <w:r w:rsidR="0000048E">
        <w:rPr>
          <w:sz w:val="24"/>
          <w:szCs w:val="24"/>
          <w:lang w:eastAsia="ru-RU"/>
        </w:rPr>
        <w:t xml:space="preserve">papunkčiais </w:t>
      </w:r>
      <w:r w:rsidR="00C3145E">
        <w:rPr>
          <w:sz w:val="24"/>
          <w:szCs w:val="24"/>
          <w:lang w:eastAsia="ru-RU"/>
        </w:rPr>
        <w:t>ir Lietuvos Respublikos viešųjų pirkimo įstatymo 89 straipsni</w:t>
      </w:r>
      <w:r w:rsidR="0000048E">
        <w:rPr>
          <w:sz w:val="24"/>
          <w:szCs w:val="24"/>
          <w:lang w:eastAsia="ru-RU"/>
        </w:rPr>
        <w:t>o 2 dalimi,</w:t>
      </w:r>
      <w:r w:rsidR="00C3145E">
        <w:rPr>
          <w:sz w:val="24"/>
          <w:szCs w:val="24"/>
          <w:lang w:eastAsia="ru-RU"/>
        </w:rPr>
        <w:t xml:space="preserve"> Paslaugų gavėjas ir Paslaugų teikėjas (toliau kartu </w:t>
      </w:r>
      <w:r w:rsidR="00C3145E" w:rsidRPr="00C3145E">
        <w:rPr>
          <w:sz w:val="24"/>
          <w:szCs w:val="24"/>
          <w:lang w:eastAsia="ru-RU"/>
        </w:rPr>
        <w:t>–</w:t>
      </w:r>
      <w:r w:rsidR="00C3145E">
        <w:rPr>
          <w:sz w:val="24"/>
          <w:szCs w:val="24"/>
          <w:lang w:eastAsia="ru-RU"/>
        </w:rPr>
        <w:t xml:space="preserve"> Šalys)</w:t>
      </w:r>
      <w:r w:rsidR="00765E09" w:rsidRPr="00765E09">
        <w:rPr>
          <w:rFonts w:eastAsiaTheme="minorHAnsi"/>
          <w:sz w:val="24"/>
          <w:szCs w:val="24"/>
          <w:lang w:eastAsia="en-US"/>
        </w:rPr>
        <w:t xml:space="preserve"> </w:t>
      </w:r>
      <w:r w:rsidR="00765E09" w:rsidRPr="00765E09">
        <w:rPr>
          <w:sz w:val="24"/>
          <w:szCs w:val="24"/>
          <w:lang w:eastAsia="ru-RU"/>
        </w:rPr>
        <w:t xml:space="preserve">sudarė šį </w:t>
      </w:r>
      <w:r w:rsidR="00765E09">
        <w:rPr>
          <w:sz w:val="24"/>
          <w:szCs w:val="24"/>
          <w:lang w:eastAsia="ru-RU"/>
        </w:rPr>
        <w:t>S</w:t>
      </w:r>
      <w:r w:rsidR="00765E09" w:rsidRPr="00765E09">
        <w:rPr>
          <w:sz w:val="24"/>
          <w:szCs w:val="24"/>
          <w:lang w:eastAsia="ru-RU"/>
        </w:rPr>
        <w:t>usitarimą dėl Sutarties</w:t>
      </w:r>
      <w:r w:rsidR="00765E09">
        <w:rPr>
          <w:sz w:val="24"/>
          <w:szCs w:val="24"/>
          <w:lang w:eastAsia="ru-RU"/>
        </w:rPr>
        <w:t xml:space="preserve"> pakeitimo (toliau – Susitarimas)</w:t>
      </w:r>
      <w:r w:rsidR="00C3145E">
        <w:rPr>
          <w:sz w:val="24"/>
          <w:szCs w:val="24"/>
          <w:lang w:eastAsia="ru-RU"/>
        </w:rPr>
        <w:t xml:space="preserve"> </w:t>
      </w:r>
      <w:r w:rsidR="00765E09">
        <w:rPr>
          <w:sz w:val="24"/>
          <w:szCs w:val="24"/>
          <w:lang w:eastAsia="ru-RU"/>
        </w:rPr>
        <w:t xml:space="preserve">ir </w:t>
      </w:r>
      <w:r w:rsidR="00C3145E">
        <w:rPr>
          <w:sz w:val="24"/>
          <w:szCs w:val="24"/>
          <w:lang w:eastAsia="ru-RU"/>
        </w:rPr>
        <w:t>susitar</w:t>
      </w:r>
      <w:r w:rsidR="00765E09">
        <w:rPr>
          <w:sz w:val="24"/>
          <w:szCs w:val="24"/>
          <w:lang w:eastAsia="ru-RU"/>
        </w:rPr>
        <w:t>ė</w:t>
      </w:r>
      <w:r w:rsidR="000E524C">
        <w:rPr>
          <w:sz w:val="24"/>
          <w:szCs w:val="24"/>
          <w:lang w:eastAsia="ru-RU"/>
        </w:rPr>
        <w:t xml:space="preserve">: </w:t>
      </w:r>
      <w:r w:rsidR="00C3145E">
        <w:rPr>
          <w:sz w:val="24"/>
          <w:szCs w:val="24"/>
          <w:lang w:eastAsia="ru-RU"/>
        </w:rPr>
        <w:t xml:space="preserve"> </w:t>
      </w:r>
    </w:p>
    <w:p w14:paraId="6E8E52E4" w14:textId="201D43E3" w:rsidR="0089716F" w:rsidRPr="00F75211" w:rsidRDefault="00F75211" w:rsidP="00F75211">
      <w:pPr>
        <w:tabs>
          <w:tab w:val="left" w:pos="851"/>
        </w:tabs>
        <w:spacing w:line="240" w:lineRule="atLeast"/>
        <w:jc w:val="both"/>
        <w:rPr>
          <w:b/>
          <w:sz w:val="24"/>
          <w:szCs w:val="24"/>
        </w:rPr>
      </w:pPr>
      <w:r>
        <w:rPr>
          <w:sz w:val="24"/>
          <w:szCs w:val="24"/>
          <w:lang w:eastAsia="ru-RU"/>
        </w:rPr>
        <w:t xml:space="preserve">          1. </w:t>
      </w:r>
      <w:r w:rsidR="00AF65C8" w:rsidRPr="00AF65C8">
        <w:rPr>
          <w:sz w:val="24"/>
          <w:szCs w:val="24"/>
          <w:lang w:eastAsia="ru-RU"/>
        </w:rPr>
        <w:t>Sutarties 3.6 papunkčio 2 lentelės  eilutė</w:t>
      </w:r>
      <w:r w:rsidR="00AF65C8">
        <w:rPr>
          <w:sz w:val="24"/>
          <w:szCs w:val="24"/>
          <w:lang w:eastAsia="ru-RU"/>
        </w:rPr>
        <w:t>j</w:t>
      </w:r>
      <w:r w:rsidR="00AF65C8" w:rsidRPr="00AF65C8">
        <w:rPr>
          <w:sz w:val="24"/>
          <w:szCs w:val="24"/>
          <w:lang w:eastAsia="ru-RU"/>
        </w:rPr>
        <w:t xml:space="preserve">e „Antra paslaugų dalis“ </w:t>
      </w:r>
      <w:r w:rsidR="00AF65C8">
        <w:rPr>
          <w:sz w:val="24"/>
          <w:szCs w:val="24"/>
          <w:lang w:eastAsia="ru-RU"/>
        </w:rPr>
        <w:t xml:space="preserve">suteiktas </w:t>
      </w:r>
      <w:r w:rsidR="002126E3">
        <w:rPr>
          <w:sz w:val="24"/>
          <w:szCs w:val="24"/>
          <w:lang w:eastAsia="ru-RU"/>
        </w:rPr>
        <w:t>paslaugas</w:t>
      </w:r>
      <w:r w:rsidRPr="00F75211">
        <w:rPr>
          <w:sz w:val="24"/>
          <w:szCs w:val="24"/>
          <w:lang w:eastAsia="ru-RU"/>
        </w:rPr>
        <w:t xml:space="preserve"> </w:t>
      </w:r>
      <w:r w:rsidR="00951787">
        <w:rPr>
          <w:sz w:val="24"/>
          <w:szCs w:val="24"/>
          <w:lang w:eastAsia="ru-RU"/>
        </w:rPr>
        <w:t>išskirti į šias dalis</w:t>
      </w:r>
      <w:r w:rsidR="00757ACB" w:rsidRPr="00F75211">
        <w:rPr>
          <w:sz w:val="24"/>
          <w:szCs w:val="24"/>
          <w:lang w:eastAsia="ru-RU"/>
        </w:rPr>
        <w:t>:</w:t>
      </w:r>
      <w:r w:rsidR="00C3145E">
        <w:rPr>
          <w:sz w:val="24"/>
          <w:szCs w:val="24"/>
          <w:lang w:eastAsia="ru-RU"/>
        </w:rPr>
        <w:t xml:space="preserve"> </w:t>
      </w:r>
    </w:p>
    <w:p w14:paraId="692231EA" w14:textId="523533B6" w:rsidR="00C3145E" w:rsidRDefault="00C3145E" w:rsidP="000E524C">
      <w:pPr>
        <w:spacing w:line="240" w:lineRule="atLeast"/>
        <w:ind w:firstLine="567"/>
        <w:jc w:val="both"/>
        <w:rPr>
          <w:sz w:val="24"/>
          <w:szCs w:val="24"/>
        </w:rPr>
      </w:pPr>
    </w:p>
    <w:tbl>
      <w:tblPr>
        <w:tblStyle w:val="TableGrid"/>
        <w:tblW w:w="0" w:type="auto"/>
        <w:tblLook w:val="04A0" w:firstRow="1" w:lastRow="0" w:firstColumn="1" w:lastColumn="0" w:noHBand="0" w:noVBand="1"/>
      </w:tblPr>
      <w:tblGrid>
        <w:gridCol w:w="570"/>
        <w:gridCol w:w="9058"/>
      </w:tblGrid>
      <w:tr w:rsidR="00C3145E" w:rsidRPr="002335EC" w14:paraId="511A1389" w14:textId="77777777" w:rsidTr="00F55774">
        <w:tc>
          <w:tcPr>
            <w:tcW w:w="421" w:type="dxa"/>
          </w:tcPr>
          <w:p w14:paraId="5FE1DE93" w14:textId="77777777" w:rsidR="00C3145E" w:rsidRPr="002335EC" w:rsidRDefault="00C3145E" w:rsidP="00F55774">
            <w:pPr>
              <w:jc w:val="both"/>
              <w:rPr>
                <w:b/>
                <w:bCs/>
                <w:sz w:val="24"/>
                <w:szCs w:val="24"/>
              </w:rPr>
            </w:pPr>
            <w:r w:rsidRPr="002335EC">
              <w:rPr>
                <w:b/>
                <w:bCs/>
                <w:sz w:val="24"/>
                <w:szCs w:val="24"/>
              </w:rPr>
              <w:t>Eil. Nr.</w:t>
            </w:r>
          </w:p>
        </w:tc>
        <w:tc>
          <w:tcPr>
            <w:tcW w:w="9207" w:type="dxa"/>
          </w:tcPr>
          <w:p w14:paraId="772492A1" w14:textId="77777777" w:rsidR="00C3145E" w:rsidRPr="002335EC" w:rsidRDefault="00C3145E" w:rsidP="00765E09">
            <w:pPr>
              <w:jc w:val="center"/>
              <w:rPr>
                <w:b/>
                <w:bCs/>
                <w:sz w:val="24"/>
                <w:szCs w:val="24"/>
              </w:rPr>
            </w:pPr>
            <w:r w:rsidRPr="002335EC">
              <w:rPr>
                <w:b/>
                <w:bCs/>
                <w:sz w:val="24"/>
                <w:szCs w:val="24"/>
              </w:rPr>
              <w:t>Paslauga</w:t>
            </w:r>
          </w:p>
        </w:tc>
      </w:tr>
      <w:tr w:rsidR="00C3145E" w:rsidRPr="002335EC" w14:paraId="08D875E0" w14:textId="77777777" w:rsidTr="00F55774">
        <w:tc>
          <w:tcPr>
            <w:tcW w:w="421" w:type="dxa"/>
          </w:tcPr>
          <w:p w14:paraId="706C6215" w14:textId="77777777" w:rsidR="00C3145E" w:rsidRPr="002335EC" w:rsidRDefault="00C3145E" w:rsidP="00F55774">
            <w:pPr>
              <w:jc w:val="both"/>
              <w:rPr>
                <w:sz w:val="24"/>
                <w:szCs w:val="24"/>
              </w:rPr>
            </w:pPr>
            <w:r w:rsidRPr="002335EC">
              <w:rPr>
                <w:sz w:val="24"/>
                <w:szCs w:val="24"/>
              </w:rPr>
              <w:t>1.</w:t>
            </w:r>
          </w:p>
        </w:tc>
        <w:tc>
          <w:tcPr>
            <w:tcW w:w="9207" w:type="dxa"/>
          </w:tcPr>
          <w:p w14:paraId="3EB85FC0" w14:textId="5579A607" w:rsidR="00A01265" w:rsidRDefault="00C3145E" w:rsidP="00A01265">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I</w:t>
            </w:r>
            <w:r w:rsidRPr="0080702A">
              <w:rPr>
                <w:rFonts w:ascii="Times New Roman" w:hAnsi="Times New Roman"/>
                <w:bCs/>
                <w:sz w:val="24"/>
                <w:szCs w:val="24"/>
                <w:lang w:val="lt-LT"/>
              </w:rPr>
              <w:t xml:space="preserve">nformacinės sistemos KADIS-2 probacijos posistemės ir kitų bendrųjų komponentų techninės specifikacijos </w:t>
            </w:r>
            <w:r w:rsidR="00370B2A">
              <w:rPr>
                <w:rFonts w:ascii="Times New Roman" w:hAnsi="Times New Roman"/>
                <w:bCs/>
                <w:sz w:val="24"/>
                <w:szCs w:val="24"/>
                <w:lang w:val="lt-LT"/>
              </w:rPr>
              <w:t>išskyrimas</w:t>
            </w:r>
            <w:r w:rsidRPr="0080702A">
              <w:rPr>
                <w:rFonts w:ascii="Times New Roman" w:hAnsi="Times New Roman"/>
                <w:bCs/>
                <w:sz w:val="24"/>
                <w:szCs w:val="24"/>
                <w:lang w:val="lt-LT"/>
              </w:rPr>
              <w:t>:</w:t>
            </w:r>
          </w:p>
          <w:p w14:paraId="3A5D5E56" w14:textId="71809D0C" w:rsidR="00C3145E" w:rsidRPr="0080702A" w:rsidRDefault="00A01265" w:rsidP="00A01265">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 xml:space="preserve">       1.1. </w:t>
            </w:r>
            <w:r w:rsidR="00C3145E" w:rsidRPr="0080702A">
              <w:rPr>
                <w:rFonts w:ascii="Times New Roman" w:hAnsi="Times New Roman"/>
                <w:bCs/>
                <w:sz w:val="24"/>
                <w:szCs w:val="24"/>
                <w:lang w:val="lt-LT"/>
              </w:rPr>
              <w:t>Veiklos procesų dokumento atnaujinimas (išskaidymas);</w:t>
            </w:r>
          </w:p>
          <w:p w14:paraId="2AF8CB55" w14:textId="1279E1A1" w:rsidR="00C3145E" w:rsidRPr="0080702A" w:rsidRDefault="00A01265" w:rsidP="00A01265">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 xml:space="preserve">       1.2. </w:t>
            </w:r>
            <w:r w:rsidR="00C3145E" w:rsidRPr="0080702A">
              <w:rPr>
                <w:rFonts w:ascii="Times New Roman" w:hAnsi="Times New Roman"/>
                <w:bCs/>
                <w:sz w:val="24"/>
                <w:szCs w:val="24"/>
                <w:lang w:val="lt-LT"/>
              </w:rPr>
              <w:t>Probacijos posistemės ir kitų aktualių bendrųjų komponentų identifikavimas ir apimties apibrėžimas;</w:t>
            </w:r>
          </w:p>
          <w:p w14:paraId="259D374D" w14:textId="775FB37B" w:rsidR="00C3145E" w:rsidRPr="0080702A" w:rsidRDefault="00A01265" w:rsidP="00A01265">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 xml:space="preserve">       1.3. </w:t>
            </w:r>
            <w:r w:rsidR="00C3145E" w:rsidRPr="0080702A">
              <w:rPr>
                <w:rFonts w:ascii="Times New Roman" w:hAnsi="Times New Roman"/>
                <w:bCs/>
                <w:sz w:val="24"/>
                <w:szCs w:val="24"/>
                <w:lang w:val="lt-LT"/>
              </w:rPr>
              <w:t xml:space="preserve">Tarpinės informacinės sistemos KADIS-2 architektūros </w:t>
            </w:r>
            <w:r w:rsidR="00370B2A">
              <w:rPr>
                <w:rFonts w:ascii="Times New Roman" w:hAnsi="Times New Roman"/>
                <w:bCs/>
                <w:sz w:val="24"/>
                <w:szCs w:val="24"/>
                <w:lang w:val="lt-LT"/>
              </w:rPr>
              <w:t>išskyrimas</w:t>
            </w:r>
            <w:r w:rsidR="00C3145E" w:rsidRPr="0080702A">
              <w:rPr>
                <w:rFonts w:ascii="Times New Roman" w:hAnsi="Times New Roman"/>
                <w:bCs/>
                <w:sz w:val="24"/>
                <w:szCs w:val="24"/>
                <w:lang w:val="lt-LT"/>
              </w:rPr>
              <w:t>;</w:t>
            </w:r>
          </w:p>
          <w:p w14:paraId="1B5F3A06" w14:textId="6C4DFA7D" w:rsidR="00C3145E" w:rsidRPr="0080702A" w:rsidRDefault="00A01265" w:rsidP="00A01265">
            <w:pPr>
              <w:pStyle w:val="Pagrindinistekstas1"/>
              <w:suppressAutoHyphens w:val="0"/>
              <w:rPr>
                <w:rFonts w:ascii="Times New Roman" w:hAnsi="Times New Roman"/>
                <w:bCs/>
                <w:sz w:val="24"/>
                <w:szCs w:val="24"/>
                <w:lang w:val="lt-LT"/>
              </w:rPr>
            </w:pPr>
            <w:r>
              <w:rPr>
                <w:rFonts w:ascii="Times New Roman" w:hAnsi="Times New Roman"/>
                <w:bCs/>
                <w:sz w:val="24"/>
                <w:szCs w:val="24"/>
                <w:lang w:val="lt-LT"/>
              </w:rPr>
              <w:t xml:space="preserve">  1.4. </w:t>
            </w:r>
            <w:r w:rsidR="00C3145E" w:rsidRPr="0080702A">
              <w:rPr>
                <w:rFonts w:ascii="Times New Roman" w:hAnsi="Times New Roman"/>
                <w:bCs/>
                <w:sz w:val="24"/>
                <w:szCs w:val="24"/>
                <w:lang w:val="lt-LT"/>
              </w:rPr>
              <w:t>Diegimo paslaugų teikimo plano parengimas ir reikalavimų apibrėžimas;</w:t>
            </w:r>
          </w:p>
          <w:p w14:paraId="2F41C2BC" w14:textId="63C38EF3" w:rsidR="00C3145E" w:rsidRPr="00A01265" w:rsidRDefault="00A01265" w:rsidP="00A01265">
            <w:pPr>
              <w:jc w:val="both"/>
              <w:rPr>
                <w:sz w:val="24"/>
                <w:szCs w:val="24"/>
              </w:rPr>
            </w:pPr>
            <w:r>
              <w:rPr>
                <w:bCs/>
                <w:sz w:val="24"/>
                <w:szCs w:val="24"/>
              </w:rPr>
              <w:t xml:space="preserve">       1.5. </w:t>
            </w:r>
            <w:r w:rsidR="00C3145E" w:rsidRPr="00A01265">
              <w:rPr>
                <w:bCs/>
                <w:sz w:val="24"/>
                <w:szCs w:val="24"/>
              </w:rPr>
              <w:t>Nefunkcinių reikalavimų informacinei sistemai KADIS-2 apibrėžimas;</w:t>
            </w:r>
          </w:p>
        </w:tc>
      </w:tr>
      <w:tr w:rsidR="00C3145E" w:rsidRPr="002335EC" w14:paraId="69C4E822" w14:textId="77777777" w:rsidTr="00F55774">
        <w:tc>
          <w:tcPr>
            <w:tcW w:w="421" w:type="dxa"/>
          </w:tcPr>
          <w:p w14:paraId="732EC21A" w14:textId="77777777" w:rsidR="00C3145E" w:rsidRPr="002335EC" w:rsidRDefault="00C3145E" w:rsidP="00F55774">
            <w:pPr>
              <w:jc w:val="both"/>
              <w:rPr>
                <w:sz w:val="24"/>
                <w:szCs w:val="24"/>
              </w:rPr>
            </w:pPr>
            <w:r w:rsidRPr="002335EC">
              <w:rPr>
                <w:sz w:val="24"/>
                <w:szCs w:val="24"/>
              </w:rPr>
              <w:t>2.</w:t>
            </w:r>
          </w:p>
        </w:tc>
        <w:tc>
          <w:tcPr>
            <w:tcW w:w="9207" w:type="dxa"/>
          </w:tcPr>
          <w:p w14:paraId="63D95455" w14:textId="2B979521" w:rsidR="00C3145E" w:rsidRPr="0080702A" w:rsidRDefault="00C3145E" w:rsidP="00F55774">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I</w:t>
            </w:r>
            <w:r w:rsidRPr="0080702A">
              <w:rPr>
                <w:rFonts w:ascii="Times New Roman" w:hAnsi="Times New Roman"/>
                <w:bCs/>
                <w:sz w:val="24"/>
                <w:szCs w:val="24"/>
                <w:lang w:val="lt-LT"/>
              </w:rPr>
              <w:t xml:space="preserve">nformacinės sistemos KADIS-2 Kalėjimų departamento posistemių techninės specifikacijos </w:t>
            </w:r>
            <w:r w:rsidR="00370B2A">
              <w:rPr>
                <w:rFonts w:ascii="Times New Roman" w:hAnsi="Times New Roman"/>
                <w:bCs/>
                <w:sz w:val="24"/>
                <w:szCs w:val="24"/>
                <w:lang w:val="lt-LT"/>
              </w:rPr>
              <w:t>išskyrimas</w:t>
            </w:r>
            <w:r w:rsidRPr="0080702A">
              <w:rPr>
                <w:rFonts w:ascii="Times New Roman" w:hAnsi="Times New Roman"/>
                <w:bCs/>
                <w:sz w:val="24"/>
                <w:szCs w:val="24"/>
                <w:lang w:val="lt-LT"/>
              </w:rPr>
              <w:t>:</w:t>
            </w:r>
          </w:p>
          <w:p w14:paraId="23852882" w14:textId="0559CD7A" w:rsidR="00C3145E" w:rsidRPr="0080702A" w:rsidRDefault="00497F8E" w:rsidP="00497F8E">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 xml:space="preserve">         2.1. </w:t>
            </w:r>
            <w:r w:rsidR="00C3145E" w:rsidRPr="0080702A">
              <w:rPr>
                <w:rFonts w:ascii="Times New Roman" w:hAnsi="Times New Roman"/>
                <w:bCs/>
                <w:sz w:val="24"/>
                <w:szCs w:val="24"/>
                <w:lang w:val="lt-LT"/>
              </w:rPr>
              <w:t>Kalėjimų departamento posistemių reikalavimų atnaujinimas (reikalavimų unikalumo užtikrinimas);</w:t>
            </w:r>
          </w:p>
          <w:p w14:paraId="466FBEB8" w14:textId="421E998A" w:rsidR="00C3145E" w:rsidRPr="0080702A" w:rsidRDefault="00497F8E" w:rsidP="00497F8E">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 xml:space="preserve">         2.2. </w:t>
            </w:r>
            <w:r w:rsidR="00C3145E" w:rsidRPr="0080702A">
              <w:rPr>
                <w:rFonts w:ascii="Times New Roman" w:hAnsi="Times New Roman"/>
                <w:bCs/>
                <w:sz w:val="24"/>
                <w:szCs w:val="24"/>
                <w:lang w:val="lt-LT"/>
              </w:rPr>
              <w:t>Pilnos informacinės sistemos KADIS-2 architektūros atnaujinimas;</w:t>
            </w:r>
          </w:p>
          <w:p w14:paraId="47F47B39" w14:textId="2C7A3C9B" w:rsidR="00C3145E" w:rsidRPr="0080702A" w:rsidRDefault="00497F8E" w:rsidP="00497F8E">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 xml:space="preserve">         2.3. </w:t>
            </w:r>
            <w:r w:rsidR="00C3145E" w:rsidRPr="0080702A">
              <w:rPr>
                <w:rFonts w:ascii="Times New Roman" w:hAnsi="Times New Roman"/>
                <w:bCs/>
                <w:sz w:val="24"/>
                <w:szCs w:val="24"/>
                <w:lang w:val="lt-LT"/>
              </w:rPr>
              <w:t>Diegimo paslaugų teikimo plano parengimas ir reikalavimų apibrėžimas;</w:t>
            </w:r>
          </w:p>
          <w:p w14:paraId="09282682" w14:textId="023FC866" w:rsidR="00C3145E" w:rsidRDefault="00497F8E" w:rsidP="00497F8E">
            <w:pPr>
              <w:pStyle w:val="Pagrindinistekstas1"/>
              <w:suppressAutoHyphens w:val="0"/>
              <w:ind w:firstLine="0"/>
              <w:rPr>
                <w:rFonts w:ascii="Times New Roman" w:hAnsi="Times New Roman"/>
                <w:bCs/>
                <w:sz w:val="24"/>
                <w:szCs w:val="24"/>
                <w:lang w:val="lt-LT"/>
              </w:rPr>
            </w:pPr>
            <w:r>
              <w:rPr>
                <w:rFonts w:ascii="Times New Roman" w:hAnsi="Times New Roman"/>
                <w:bCs/>
                <w:sz w:val="24"/>
                <w:szCs w:val="24"/>
                <w:lang w:val="lt-LT"/>
              </w:rPr>
              <w:t xml:space="preserve">         2.4. </w:t>
            </w:r>
            <w:r w:rsidR="00C3145E" w:rsidRPr="0080702A">
              <w:rPr>
                <w:rFonts w:ascii="Times New Roman" w:hAnsi="Times New Roman"/>
                <w:bCs/>
                <w:sz w:val="24"/>
                <w:szCs w:val="24"/>
                <w:lang w:val="lt-LT"/>
              </w:rPr>
              <w:t>Nefunkcinių reikalavimų pilnai informacin</w:t>
            </w:r>
            <w:r w:rsidR="00C3145E">
              <w:rPr>
                <w:rFonts w:ascii="Times New Roman" w:hAnsi="Times New Roman"/>
                <w:bCs/>
                <w:sz w:val="24"/>
                <w:szCs w:val="24"/>
                <w:lang w:val="lt-LT"/>
              </w:rPr>
              <w:t>e</w:t>
            </w:r>
            <w:r w:rsidR="00C3145E" w:rsidRPr="0080702A">
              <w:rPr>
                <w:rFonts w:ascii="Times New Roman" w:hAnsi="Times New Roman"/>
                <w:bCs/>
                <w:sz w:val="24"/>
                <w:szCs w:val="24"/>
                <w:lang w:val="lt-LT"/>
              </w:rPr>
              <w:t>i sistemai KADIS-</w:t>
            </w:r>
            <w:r w:rsidR="00C3145E" w:rsidRPr="0079546E">
              <w:rPr>
                <w:rFonts w:ascii="Times New Roman" w:hAnsi="Times New Roman"/>
                <w:bCs/>
                <w:sz w:val="24"/>
                <w:szCs w:val="24"/>
                <w:lang w:val="lt-LT"/>
              </w:rPr>
              <w:t>2 apibrėžimas.</w:t>
            </w:r>
          </w:p>
          <w:p w14:paraId="6459F2CF" w14:textId="77777777" w:rsidR="00C3145E" w:rsidRPr="002335EC" w:rsidRDefault="00C3145E" w:rsidP="00F55774">
            <w:pPr>
              <w:jc w:val="both"/>
              <w:rPr>
                <w:sz w:val="24"/>
                <w:szCs w:val="24"/>
              </w:rPr>
            </w:pPr>
          </w:p>
        </w:tc>
      </w:tr>
      <w:tr w:rsidR="00C3145E" w:rsidRPr="002335EC" w14:paraId="2808FCF2" w14:textId="77777777" w:rsidTr="00F55774">
        <w:tc>
          <w:tcPr>
            <w:tcW w:w="421" w:type="dxa"/>
          </w:tcPr>
          <w:p w14:paraId="420A40A2" w14:textId="77777777" w:rsidR="00C3145E" w:rsidRPr="002335EC" w:rsidRDefault="00C3145E" w:rsidP="00F55774">
            <w:pPr>
              <w:jc w:val="both"/>
              <w:rPr>
                <w:sz w:val="24"/>
                <w:szCs w:val="24"/>
              </w:rPr>
            </w:pPr>
            <w:r w:rsidRPr="002335EC">
              <w:rPr>
                <w:sz w:val="24"/>
                <w:szCs w:val="24"/>
              </w:rPr>
              <w:t>3.</w:t>
            </w:r>
          </w:p>
        </w:tc>
        <w:tc>
          <w:tcPr>
            <w:tcW w:w="9207" w:type="dxa"/>
          </w:tcPr>
          <w:p w14:paraId="1E5E705A" w14:textId="77777777" w:rsidR="00C3145E" w:rsidRPr="002335EC" w:rsidRDefault="00C3145E" w:rsidP="00F55774">
            <w:pPr>
              <w:jc w:val="both"/>
              <w:rPr>
                <w:sz w:val="24"/>
                <w:szCs w:val="24"/>
              </w:rPr>
            </w:pPr>
            <w:r w:rsidRPr="00D84F4A">
              <w:rPr>
                <w:bCs/>
                <w:sz w:val="24"/>
                <w:szCs w:val="24"/>
              </w:rPr>
              <w:t>Informacinės sistemos KADIS-2 posistemės „E-Paslaugos nuteistiesiems“ ir jai reikalaingų komponentų atskyrimas į atskirą trechninę specifikaciją.</w:t>
            </w:r>
          </w:p>
        </w:tc>
      </w:tr>
    </w:tbl>
    <w:p w14:paraId="055A7EE3" w14:textId="77777777" w:rsidR="000E524C" w:rsidRDefault="000E524C" w:rsidP="000E524C">
      <w:pPr>
        <w:spacing w:line="240" w:lineRule="atLeast"/>
        <w:ind w:firstLine="567"/>
        <w:jc w:val="both"/>
        <w:rPr>
          <w:sz w:val="24"/>
          <w:szCs w:val="24"/>
        </w:rPr>
      </w:pPr>
    </w:p>
    <w:p w14:paraId="5006B16E" w14:textId="6DE78A21" w:rsidR="00C3145E" w:rsidRDefault="000E524C" w:rsidP="000E524C">
      <w:pPr>
        <w:tabs>
          <w:tab w:val="left" w:pos="567"/>
        </w:tabs>
        <w:spacing w:line="240" w:lineRule="atLeast"/>
        <w:jc w:val="both"/>
        <w:rPr>
          <w:sz w:val="24"/>
          <w:szCs w:val="24"/>
        </w:rPr>
      </w:pPr>
      <w:r>
        <w:rPr>
          <w:sz w:val="24"/>
          <w:szCs w:val="24"/>
        </w:rPr>
        <w:tab/>
      </w:r>
      <w:r w:rsidR="00F75211">
        <w:rPr>
          <w:sz w:val="24"/>
          <w:szCs w:val="24"/>
        </w:rPr>
        <w:t>2</w:t>
      </w:r>
      <w:r w:rsidR="00F75211" w:rsidRPr="00CE2F26">
        <w:rPr>
          <w:sz w:val="24"/>
          <w:szCs w:val="24"/>
        </w:rPr>
        <w:t xml:space="preserve">. </w:t>
      </w:r>
      <w:r w:rsidR="009F49C7">
        <w:rPr>
          <w:sz w:val="24"/>
          <w:szCs w:val="24"/>
        </w:rPr>
        <w:t>Paslaugų teikėjas š</w:t>
      </w:r>
      <w:r w:rsidR="00C3145E">
        <w:rPr>
          <w:sz w:val="24"/>
          <w:szCs w:val="24"/>
        </w:rPr>
        <w:t xml:space="preserve">iame </w:t>
      </w:r>
      <w:r w:rsidR="009F49C7">
        <w:rPr>
          <w:sz w:val="24"/>
          <w:szCs w:val="24"/>
        </w:rPr>
        <w:t>S</w:t>
      </w:r>
      <w:r w:rsidR="00C3145E">
        <w:rPr>
          <w:sz w:val="24"/>
          <w:szCs w:val="24"/>
        </w:rPr>
        <w:t xml:space="preserve">usitarime nurodytas paslaugas </w:t>
      </w:r>
      <w:r w:rsidR="00C07F89">
        <w:rPr>
          <w:sz w:val="24"/>
          <w:szCs w:val="24"/>
        </w:rPr>
        <w:t xml:space="preserve">įsipareigoja </w:t>
      </w:r>
      <w:r w:rsidR="00C3145E">
        <w:rPr>
          <w:sz w:val="24"/>
          <w:szCs w:val="24"/>
        </w:rPr>
        <w:t>suteik</w:t>
      </w:r>
      <w:r w:rsidR="00C07F89">
        <w:rPr>
          <w:sz w:val="24"/>
          <w:szCs w:val="24"/>
        </w:rPr>
        <w:t>ti</w:t>
      </w:r>
      <w:r w:rsidR="00370B2A">
        <w:rPr>
          <w:sz w:val="24"/>
          <w:szCs w:val="24"/>
        </w:rPr>
        <w:t>:</w:t>
      </w:r>
      <w:r w:rsidR="00C3145E">
        <w:rPr>
          <w:sz w:val="24"/>
          <w:szCs w:val="24"/>
        </w:rPr>
        <w:t xml:space="preserve"> </w:t>
      </w:r>
      <w:r w:rsidR="00370B2A">
        <w:rPr>
          <w:sz w:val="24"/>
          <w:szCs w:val="24"/>
        </w:rPr>
        <w:t xml:space="preserve">1 dalis – ne vėliau, kaip per 30 kalendorinių dienų, 2 ir 3 dalys ne vėliau, kaip </w:t>
      </w:r>
      <w:r w:rsidR="00C3145E">
        <w:rPr>
          <w:sz w:val="24"/>
          <w:szCs w:val="24"/>
        </w:rPr>
        <w:t>per</w:t>
      </w:r>
      <w:r w:rsidR="00370B2A">
        <w:rPr>
          <w:sz w:val="24"/>
          <w:szCs w:val="24"/>
        </w:rPr>
        <w:t xml:space="preserve"> 60</w:t>
      </w:r>
      <w:r w:rsidR="00F12849">
        <w:rPr>
          <w:sz w:val="24"/>
          <w:szCs w:val="24"/>
        </w:rPr>
        <w:t xml:space="preserve"> kalendorinių dienų</w:t>
      </w:r>
      <w:r w:rsidR="00370B2A">
        <w:rPr>
          <w:sz w:val="24"/>
          <w:szCs w:val="24"/>
        </w:rPr>
        <w:t xml:space="preserve"> </w:t>
      </w:r>
      <w:r w:rsidR="00C3145E">
        <w:rPr>
          <w:sz w:val="24"/>
          <w:szCs w:val="24"/>
        </w:rPr>
        <w:t xml:space="preserve">nuo </w:t>
      </w:r>
      <w:r w:rsidR="00765E09">
        <w:rPr>
          <w:sz w:val="24"/>
          <w:szCs w:val="24"/>
        </w:rPr>
        <w:t>S</w:t>
      </w:r>
      <w:r w:rsidR="00C3145E">
        <w:rPr>
          <w:sz w:val="24"/>
          <w:szCs w:val="24"/>
        </w:rPr>
        <w:t>usitarimo pasirašymo</w:t>
      </w:r>
      <w:r w:rsidR="00951787">
        <w:rPr>
          <w:sz w:val="24"/>
          <w:szCs w:val="24"/>
        </w:rPr>
        <w:t xml:space="preserve"> dienos</w:t>
      </w:r>
      <w:r w:rsidR="00370B2A">
        <w:rPr>
          <w:sz w:val="24"/>
          <w:szCs w:val="24"/>
        </w:rPr>
        <w:t>. Bendra paslaugų kaina</w:t>
      </w:r>
      <w:r w:rsidR="00EA7C59">
        <w:rPr>
          <w:sz w:val="24"/>
          <w:szCs w:val="24"/>
        </w:rPr>
        <w:t xml:space="preserve"> 10 000 (dešimt tūkstančių) Eur su PVM</w:t>
      </w:r>
      <w:r w:rsidR="00C3145E">
        <w:rPr>
          <w:sz w:val="24"/>
          <w:szCs w:val="24"/>
        </w:rPr>
        <w:t xml:space="preserve">. </w:t>
      </w:r>
    </w:p>
    <w:p w14:paraId="4D055F81" w14:textId="14490132" w:rsidR="009F49C7" w:rsidRDefault="009F49C7" w:rsidP="000E524C">
      <w:pPr>
        <w:tabs>
          <w:tab w:val="left" w:pos="567"/>
        </w:tabs>
        <w:spacing w:line="240" w:lineRule="atLeast"/>
        <w:jc w:val="both"/>
        <w:rPr>
          <w:sz w:val="24"/>
          <w:szCs w:val="24"/>
        </w:rPr>
      </w:pPr>
      <w:r>
        <w:rPr>
          <w:sz w:val="24"/>
          <w:szCs w:val="24"/>
        </w:rPr>
        <w:lastRenderedPageBreak/>
        <w:tab/>
        <w:t xml:space="preserve">3. Paslaugų gavėjas už šiame Susitarime nurodytas paslaugas </w:t>
      </w:r>
      <w:r w:rsidR="00C07F89">
        <w:rPr>
          <w:sz w:val="24"/>
          <w:szCs w:val="24"/>
        </w:rPr>
        <w:t>įsipareigoja atsiskaityti</w:t>
      </w:r>
      <w:r>
        <w:rPr>
          <w:sz w:val="24"/>
          <w:szCs w:val="24"/>
        </w:rPr>
        <w:t xml:space="preserve"> Sutarties 3.1.9 papunktyje nustatyta tvarka.</w:t>
      </w:r>
    </w:p>
    <w:p w14:paraId="4FBF9143" w14:textId="7102B6A0" w:rsidR="00825C6D" w:rsidRDefault="00727F65" w:rsidP="000E524C">
      <w:pPr>
        <w:tabs>
          <w:tab w:val="left" w:pos="567"/>
        </w:tabs>
        <w:spacing w:line="240" w:lineRule="atLeast"/>
        <w:jc w:val="both"/>
        <w:rPr>
          <w:sz w:val="24"/>
          <w:szCs w:val="24"/>
        </w:rPr>
      </w:pPr>
      <w:r>
        <w:rPr>
          <w:sz w:val="24"/>
          <w:szCs w:val="24"/>
        </w:rPr>
        <w:tab/>
        <w:t>4. Šalys su</w:t>
      </w:r>
      <w:r w:rsidR="00283FA6">
        <w:rPr>
          <w:sz w:val="24"/>
          <w:szCs w:val="24"/>
        </w:rPr>
        <w:t>sitaria</w:t>
      </w:r>
      <w:r>
        <w:rPr>
          <w:sz w:val="24"/>
          <w:szCs w:val="24"/>
        </w:rPr>
        <w:t xml:space="preserve"> pak</w:t>
      </w:r>
      <w:r w:rsidR="00CC3052">
        <w:rPr>
          <w:sz w:val="24"/>
          <w:szCs w:val="24"/>
        </w:rPr>
        <w:t>ei</w:t>
      </w:r>
      <w:r>
        <w:rPr>
          <w:sz w:val="24"/>
          <w:szCs w:val="24"/>
        </w:rPr>
        <w:t>sti Sutarties 17.1 papunktį ir jį išdėstyti taip:</w:t>
      </w:r>
    </w:p>
    <w:p w14:paraId="7B07E688" w14:textId="7ABA2DE3" w:rsidR="00727F65" w:rsidRPr="00727F65" w:rsidRDefault="00727F65" w:rsidP="00727F65">
      <w:pPr>
        <w:tabs>
          <w:tab w:val="left" w:pos="567"/>
        </w:tabs>
        <w:spacing w:line="240" w:lineRule="atLeast"/>
        <w:jc w:val="both"/>
        <w:rPr>
          <w:sz w:val="24"/>
          <w:szCs w:val="24"/>
        </w:rPr>
      </w:pPr>
      <w:r>
        <w:rPr>
          <w:sz w:val="24"/>
          <w:szCs w:val="24"/>
        </w:rPr>
        <w:tab/>
        <w:t>„</w:t>
      </w:r>
      <w:r w:rsidRPr="00727F65">
        <w:rPr>
          <w:sz w:val="24"/>
          <w:szCs w:val="24"/>
        </w:rPr>
        <w:t>17.1. Asmenys, atsakingi už Sutarties vykdymą ir turintys teisę pasirašyti Paslaugų priėmimo – perdavimo aktą:</w:t>
      </w:r>
    </w:p>
    <w:p w14:paraId="7923F79F" w14:textId="77777777" w:rsidR="00727F65" w:rsidRPr="00727F65" w:rsidRDefault="00727F65" w:rsidP="00727F65">
      <w:pPr>
        <w:tabs>
          <w:tab w:val="left" w:pos="567"/>
        </w:tabs>
        <w:spacing w:line="240" w:lineRule="atLeast"/>
        <w:jc w:val="both"/>
        <w:rPr>
          <w:sz w:val="24"/>
          <w:szCs w:val="24"/>
        </w:rPr>
      </w:pPr>
    </w:p>
    <w:tbl>
      <w:tblPr>
        <w:tblStyle w:val="TableGrid"/>
        <w:tblW w:w="0" w:type="auto"/>
        <w:tblInd w:w="279" w:type="dxa"/>
        <w:tblLook w:val="04A0" w:firstRow="1" w:lastRow="0" w:firstColumn="1" w:lastColumn="0" w:noHBand="0" w:noVBand="1"/>
      </w:tblPr>
      <w:tblGrid>
        <w:gridCol w:w="2093"/>
        <w:gridCol w:w="3323"/>
        <w:gridCol w:w="3514"/>
      </w:tblGrid>
      <w:tr w:rsidR="002F4A19" w:rsidRPr="00727F65" w14:paraId="2131B840" w14:textId="77777777" w:rsidTr="00A603C3">
        <w:tc>
          <w:tcPr>
            <w:tcW w:w="2093" w:type="dxa"/>
          </w:tcPr>
          <w:p w14:paraId="63C9DC79" w14:textId="77777777" w:rsidR="002F4A19" w:rsidRPr="00727F65" w:rsidRDefault="002F4A19" w:rsidP="00727F65">
            <w:pPr>
              <w:tabs>
                <w:tab w:val="left" w:pos="567"/>
              </w:tabs>
              <w:spacing w:line="240" w:lineRule="atLeast"/>
              <w:jc w:val="both"/>
              <w:rPr>
                <w:sz w:val="24"/>
                <w:szCs w:val="24"/>
              </w:rPr>
            </w:pPr>
          </w:p>
        </w:tc>
        <w:tc>
          <w:tcPr>
            <w:tcW w:w="3323" w:type="dxa"/>
          </w:tcPr>
          <w:p w14:paraId="521C0312" w14:textId="77777777" w:rsidR="002F4A19" w:rsidRPr="00727F65" w:rsidRDefault="002F4A19" w:rsidP="00727F65">
            <w:pPr>
              <w:tabs>
                <w:tab w:val="left" w:pos="567"/>
              </w:tabs>
              <w:spacing w:line="240" w:lineRule="atLeast"/>
              <w:jc w:val="both"/>
              <w:rPr>
                <w:sz w:val="24"/>
                <w:szCs w:val="24"/>
              </w:rPr>
            </w:pPr>
            <w:r w:rsidRPr="00727F65">
              <w:rPr>
                <w:sz w:val="24"/>
                <w:szCs w:val="24"/>
              </w:rPr>
              <w:t>Paslaugų gavėjo atstovai</w:t>
            </w:r>
          </w:p>
        </w:tc>
        <w:tc>
          <w:tcPr>
            <w:tcW w:w="3514" w:type="dxa"/>
          </w:tcPr>
          <w:p w14:paraId="17AE9FB6" w14:textId="77777777" w:rsidR="002F4A19" w:rsidRPr="00727F65" w:rsidRDefault="002F4A19" w:rsidP="00727F65">
            <w:pPr>
              <w:tabs>
                <w:tab w:val="left" w:pos="567"/>
              </w:tabs>
              <w:spacing w:line="240" w:lineRule="atLeast"/>
              <w:jc w:val="both"/>
              <w:rPr>
                <w:sz w:val="24"/>
                <w:szCs w:val="24"/>
              </w:rPr>
            </w:pPr>
            <w:r w:rsidRPr="00727F65">
              <w:rPr>
                <w:sz w:val="24"/>
                <w:szCs w:val="24"/>
              </w:rPr>
              <w:t>Paslaugų teikėjo atstovai</w:t>
            </w:r>
          </w:p>
        </w:tc>
      </w:tr>
      <w:tr w:rsidR="002F4A19" w:rsidRPr="00727F65" w14:paraId="7F0C0525" w14:textId="77777777" w:rsidTr="00A603C3">
        <w:tc>
          <w:tcPr>
            <w:tcW w:w="2093" w:type="dxa"/>
          </w:tcPr>
          <w:p w14:paraId="4F91DA8F" w14:textId="77777777" w:rsidR="002F4A19" w:rsidRPr="00727F65" w:rsidRDefault="002F4A19" w:rsidP="00727F65">
            <w:pPr>
              <w:tabs>
                <w:tab w:val="left" w:pos="567"/>
              </w:tabs>
              <w:spacing w:line="240" w:lineRule="atLeast"/>
              <w:jc w:val="both"/>
              <w:rPr>
                <w:sz w:val="24"/>
                <w:szCs w:val="24"/>
              </w:rPr>
            </w:pPr>
            <w:r w:rsidRPr="00727F65">
              <w:rPr>
                <w:sz w:val="24"/>
                <w:szCs w:val="24"/>
              </w:rPr>
              <w:t>Vardas ir pavardė</w:t>
            </w:r>
          </w:p>
        </w:tc>
        <w:tc>
          <w:tcPr>
            <w:tcW w:w="3323" w:type="dxa"/>
          </w:tcPr>
          <w:p w14:paraId="297A7ECF" w14:textId="1B83B02F" w:rsidR="002F4A19" w:rsidRPr="00727F65" w:rsidRDefault="002F4A19" w:rsidP="00727F65">
            <w:pPr>
              <w:tabs>
                <w:tab w:val="left" w:pos="567"/>
              </w:tabs>
              <w:spacing w:line="240" w:lineRule="atLeast"/>
              <w:jc w:val="both"/>
              <w:rPr>
                <w:sz w:val="24"/>
                <w:szCs w:val="24"/>
              </w:rPr>
            </w:pPr>
            <w:r>
              <w:rPr>
                <w:sz w:val="24"/>
                <w:szCs w:val="24"/>
              </w:rPr>
              <w:t>Mantas Ramoška</w:t>
            </w:r>
          </w:p>
        </w:tc>
        <w:tc>
          <w:tcPr>
            <w:tcW w:w="3514" w:type="dxa"/>
          </w:tcPr>
          <w:p w14:paraId="5B5FA363" w14:textId="77777777" w:rsidR="002F4A19" w:rsidRPr="00727F65" w:rsidRDefault="002F4A19" w:rsidP="00727F65">
            <w:pPr>
              <w:tabs>
                <w:tab w:val="left" w:pos="567"/>
              </w:tabs>
              <w:spacing w:line="240" w:lineRule="atLeast"/>
              <w:jc w:val="both"/>
              <w:rPr>
                <w:sz w:val="24"/>
                <w:szCs w:val="24"/>
              </w:rPr>
            </w:pPr>
            <w:r w:rsidRPr="00727F65">
              <w:rPr>
                <w:sz w:val="24"/>
                <w:szCs w:val="24"/>
              </w:rPr>
              <w:t>Ovidijus Kėdžius</w:t>
            </w:r>
          </w:p>
        </w:tc>
      </w:tr>
      <w:tr w:rsidR="002F4A19" w:rsidRPr="00727F65" w14:paraId="73F81306" w14:textId="77777777" w:rsidTr="00A603C3">
        <w:tc>
          <w:tcPr>
            <w:tcW w:w="2093" w:type="dxa"/>
          </w:tcPr>
          <w:p w14:paraId="0EAA606A" w14:textId="77777777" w:rsidR="002F4A19" w:rsidRPr="00727F65" w:rsidRDefault="002F4A19" w:rsidP="00727F65">
            <w:pPr>
              <w:tabs>
                <w:tab w:val="left" w:pos="567"/>
              </w:tabs>
              <w:spacing w:line="240" w:lineRule="atLeast"/>
              <w:jc w:val="both"/>
              <w:rPr>
                <w:sz w:val="24"/>
                <w:szCs w:val="24"/>
              </w:rPr>
            </w:pPr>
            <w:r w:rsidRPr="00727F65">
              <w:rPr>
                <w:sz w:val="24"/>
                <w:szCs w:val="24"/>
              </w:rPr>
              <w:t>Adresas</w:t>
            </w:r>
          </w:p>
        </w:tc>
        <w:tc>
          <w:tcPr>
            <w:tcW w:w="3323" w:type="dxa"/>
          </w:tcPr>
          <w:p w14:paraId="39416F9E" w14:textId="6DA8885D" w:rsidR="002F4A19" w:rsidRPr="00727F65" w:rsidRDefault="00A603C3" w:rsidP="00727F65">
            <w:pPr>
              <w:tabs>
                <w:tab w:val="left" w:pos="567"/>
              </w:tabs>
              <w:spacing w:line="240" w:lineRule="atLeast"/>
              <w:jc w:val="both"/>
              <w:rPr>
                <w:sz w:val="24"/>
                <w:szCs w:val="24"/>
              </w:rPr>
            </w:pPr>
            <w:r w:rsidRPr="00A603C3">
              <w:rPr>
                <w:sz w:val="24"/>
                <w:szCs w:val="24"/>
              </w:rPr>
              <w:t>A. Mickevičiaus g. 11, LT - 44307 Kaunas</w:t>
            </w:r>
          </w:p>
        </w:tc>
        <w:tc>
          <w:tcPr>
            <w:tcW w:w="3514" w:type="dxa"/>
          </w:tcPr>
          <w:p w14:paraId="1E63C137" w14:textId="77777777" w:rsidR="002F4A19" w:rsidRPr="00727F65" w:rsidRDefault="002F4A19" w:rsidP="00727F65">
            <w:pPr>
              <w:tabs>
                <w:tab w:val="left" w:pos="567"/>
              </w:tabs>
              <w:spacing w:line="240" w:lineRule="atLeast"/>
              <w:jc w:val="both"/>
              <w:rPr>
                <w:sz w:val="24"/>
                <w:szCs w:val="24"/>
              </w:rPr>
            </w:pPr>
            <w:r w:rsidRPr="00727F65">
              <w:rPr>
                <w:sz w:val="24"/>
                <w:szCs w:val="24"/>
              </w:rPr>
              <w:t>V. Gerulaičio g. 10, LT-08200 Vilnius</w:t>
            </w:r>
          </w:p>
        </w:tc>
      </w:tr>
      <w:tr w:rsidR="002F4A19" w:rsidRPr="00727F65" w14:paraId="30CF84D1" w14:textId="77777777" w:rsidTr="00A603C3">
        <w:tc>
          <w:tcPr>
            <w:tcW w:w="2093" w:type="dxa"/>
          </w:tcPr>
          <w:p w14:paraId="5F568324" w14:textId="77777777" w:rsidR="002F4A19" w:rsidRPr="00727F65" w:rsidRDefault="002F4A19" w:rsidP="00727F65">
            <w:pPr>
              <w:tabs>
                <w:tab w:val="left" w:pos="567"/>
              </w:tabs>
              <w:spacing w:line="240" w:lineRule="atLeast"/>
              <w:jc w:val="both"/>
              <w:rPr>
                <w:sz w:val="24"/>
                <w:szCs w:val="24"/>
              </w:rPr>
            </w:pPr>
            <w:r w:rsidRPr="00727F65">
              <w:rPr>
                <w:sz w:val="24"/>
                <w:szCs w:val="24"/>
              </w:rPr>
              <w:t>Telefonas</w:t>
            </w:r>
          </w:p>
        </w:tc>
        <w:tc>
          <w:tcPr>
            <w:tcW w:w="3323" w:type="dxa"/>
          </w:tcPr>
          <w:p w14:paraId="14F1E821" w14:textId="758445B4" w:rsidR="002F4A19" w:rsidRPr="00727F65" w:rsidRDefault="00A603C3" w:rsidP="00727F65">
            <w:pPr>
              <w:tabs>
                <w:tab w:val="left" w:pos="567"/>
              </w:tabs>
              <w:spacing w:line="240" w:lineRule="atLeast"/>
              <w:jc w:val="both"/>
              <w:rPr>
                <w:sz w:val="24"/>
                <w:szCs w:val="24"/>
              </w:rPr>
            </w:pPr>
            <w:r w:rsidRPr="00A603C3">
              <w:rPr>
                <w:sz w:val="24"/>
                <w:szCs w:val="24"/>
              </w:rPr>
              <w:t>(8 37) 407 902</w:t>
            </w:r>
          </w:p>
        </w:tc>
        <w:tc>
          <w:tcPr>
            <w:tcW w:w="3514" w:type="dxa"/>
          </w:tcPr>
          <w:p w14:paraId="1F62EA9E" w14:textId="77777777" w:rsidR="002F4A19" w:rsidRPr="00727F65" w:rsidRDefault="002F4A19" w:rsidP="00727F65">
            <w:pPr>
              <w:tabs>
                <w:tab w:val="left" w:pos="567"/>
              </w:tabs>
              <w:spacing w:line="240" w:lineRule="atLeast"/>
              <w:jc w:val="both"/>
              <w:rPr>
                <w:sz w:val="24"/>
                <w:szCs w:val="24"/>
              </w:rPr>
            </w:pPr>
            <w:r w:rsidRPr="00727F65">
              <w:rPr>
                <w:sz w:val="24"/>
                <w:szCs w:val="24"/>
              </w:rPr>
              <w:t>+370 645 02330</w:t>
            </w:r>
          </w:p>
        </w:tc>
      </w:tr>
      <w:tr w:rsidR="002F4A19" w:rsidRPr="00727F65" w14:paraId="0B2B6300" w14:textId="77777777" w:rsidTr="00A603C3">
        <w:tc>
          <w:tcPr>
            <w:tcW w:w="2093" w:type="dxa"/>
          </w:tcPr>
          <w:p w14:paraId="0C61EF39" w14:textId="77777777" w:rsidR="002F4A19" w:rsidRPr="00727F65" w:rsidRDefault="002F4A19" w:rsidP="00727F65">
            <w:pPr>
              <w:tabs>
                <w:tab w:val="left" w:pos="567"/>
              </w:tabs>
              <w:spacing w:line="240" w:lineRule="atLeast"/>
              <w:jc w:val="both"/>
              <w:rPr>
                <w:sz w:val="24"/>
                <w:szCs w:val="24"/>
              </w:rPr>
            </w:pPr>
            <w:r w:rsidRPr="00727F65">
              <w:rPr>
                <w:sz w:val="24"/>
                <w:szCs w:val="24"/>
              </w:rPr>
              <w:t>Faksas</w:t>
            </w:r>
          </w:p>
        </w:tc>
        <w:tc>
          <w:tcPr>
            <w:tcW w:w="3323" w:type="dxa"/>
          </w:tcPr>
          <w:p w14:paraId="242315D5" w14:textId="77777777" w:rsidR="002F4A19" w:rsidRPr="00727F65" w:rsidRDefault="002F4A19" w:rsidP="00727F65">
            <w:pPr>
              <w:tabs>
                <w:tab w:val="left" w:pos="567"/>
              </w:tabs>
              <w:spacing w:line="240" w:lineRule="atLeast"/>
              <w:jc w:val="both"/>
              <w:rPr>
                <w:sz w:val="24"/>
                <w:szCs w:val="24"/>
              </w:rPr>
            </w:pPr>
            <w:r w:rsidRPr="00727F65">
              <w:rPr>
                <w:sz w:val="24"/>
                <w:szCs w:val="24"/>
              </w:rPr>
              <w:t>-</w:t>
            </w:r>
          </w:p>
        </w:tc>
        <w:tc>
          <w:tcPr>
            <w:tcW w:w="3514" w:type="dxa"/>
          </w:tcPr>
          <w:p w14:paraId="710941BA" w14:textId="77777777" w:rsidR="002F4A19" w:rsidRPr="00727F65" w:rsidRDefault="002F4A19" w:rsidP="00727F65">
            <w:pPr>
              <w:tabs>
                <w:tab w:val="left" w:pos="567"/>
              </w:tabs>
              <w:spacing w:line="240" w:lineRule="atLeast"/>
              <w:jc w:val="both"/>
              <w:rPr>
                <w:sz w:val="24"/>
                <w:szCs w:val="24"/>
              </w:rPr>
            </w:pPr>
            <w:r w:rsidRPr="00727F65">
              <w:rPr>
                <w:sz w:val="24"/>
                <w:szCs w:val="24"/>
              </w:rPr>
              <w:t>-</w:t>
            </w:r>
          </w:p>
        </w:tc>
      </w:tr>
      <w:tr w:rsidR="002F4A19" w:rsidRPr="00727F65" w14:paraId="760DAFBB" w14:textId="77777777" w:rsidTr="00A603C3">
        <w:tc>
          <w:tcPr>
            <w:tcW w:w="2093" w:type="dxa"/>
          </w:tcPr>
          <w:p w14:paraId="7D3647D0" w14:textId="77777777" w:rsidR="002F4A19" w:rsidRPr="00727F65" w:rsidRDefault="002F4A19" w:rsidP="00727F65">
            <w:pPr>
              <w:tabs>
                <w:tab w:val="left" w:pos="567"/>
              </w:tabs>
              <w:spacing w:line="240" w:lineRule="atLeast"/>
              <w:jc w:val="both"/>
              <w:rPr>
                <w:sz w:val="24"/>
                <w:szCs w:val="24"/>
              </w:rPr>
            </w:pPr>
            <w:r w:rsidRPr="00727F65">
              <w:rPr>
                <w:sz w:val="24"/>
                <w:szCs w:val="24"/>
              </w:rPr>
              <w:t>El. paštas</w:t>
            </w:r>
          </w:p>
        </w:tc>
        <w:tc>
          <w:tcPr>
            <w:tcW w:w="3323" w:type="dxa"/>
          </w:tcPr>
          <w:p w14:paraId="266DFF9C" w14:textId="3D7EF069" w:rsidR="002F4A19" w:rsidRPr="00727F65" w:rsidRDefault="002F4A19" w:rsidP="00727F65">
            <w:pPr>
              <w:tabs>
                <w:tab w:val="left" w:pos="567"/>
              </w:tabs>
              <w:spacing w:line="240" w:lineRule="atLeast"/>
              <w:jc w:val="both"/>
              <w:rPr>
                <w:sz w:val="24"/>
                <w:szCs w:val="24"/>
              </w:rPr>
            </w:pPr>
            <w:r>
              <w:rPr>
                <w:sz w:val="24"/>
                <w:szCs w:val="24"/>
              </w:rPr>
              <w:t>mantas.ramoska</w:t>
            </w:r>
            <w:r w:rsidRPr="00727F65">
              <w:rPr>
                <w:sz w:val="24"/>
                <w:szCs w:val="24"/>
              </w:rPr>
              <w:t>@</w:t>
            </w:r>
            <w:r>
              <w:rPr>
                <w:sz w:val="24"/>
                <w:szCs w:val="24"/>
              </w:rPr>
              <w:t>kaunoti</w:t>
            </w:r>
            <w:r w:rsidRPr="00727F65">
              <w:rPr>
                <w:sz w:val="24"/>
                <w:szCs w:val="24"/>
              </w:rPr>
              <w:t>.lt</w:t>
            </w:r>
          </w:p>
        </w:tc>
        <w:tc>
          <w:tcPr>
            <w:tcW w:w="3514" w:type="dxa"/>
          </w:tcPr>
          <w:p w14:paraId="64F3BFB0" w14:textId="5A172194" w:rsidR="002F4A19" w:rsidRPr="00727F65" w:rsidRDefault="002F4A19" w:rsidP="00727F65">
            <w:pPr>
              <w:tabs>
                <w:tab w:val="left" w:pos="567"/>
              </w:tabs>
              <w:spacing w:line="240" w:lineRule="atLeast"/>
              <w:jc w:val="both"/>
              <w:rPr>
                <w:sz w:val="24"/>
                <w:szCs w:val="24"/>
              </w:rPr>
            </w:pPr>
            <w:proofErr w:type="spellStart"/>
            <w:r w:rsidRPr="00727F65">
              <w:rPr>
                <w:sz w:val="24"/>
                <w:szCs w:val="24"/>
                <w:lang w:val="en-US"/>
              </w:rPr>
              <w:t>ovidijus.kedzius@ioprojects.lt</w:t>
            </w:r>
            <w:proofErr w:type="spellEnd"/>
            <w:r>
              <w:rPr>
                <w:sz w:val="24"/>
                <w:szCs w:val="24"/>
                <w:lang w:val="en-US"/>
              </w:rPr>
              <w:t>”</w:t>
            </w:r>
          </w:p>
        </w:tc>
      </w:tr>
    </w:tbl>
    <w:p w14:paraId="60CDD24E" w14:textId="26CD4ED0" w:rsidR="00727F65" w:rsidRDefault="00727F65" w:rsidP="000E524C">
      <w:pPr>
        <w:tabs>
          <w:tab w:val="left" w:pos="567"/>
        </w:tabs>
        <w:spacing w:line="240" w:lineRule="atLeast"/>
        <w:jc w:val="both"/>
        <w:rPr>
          <w:sz w:val="24"/>
          <w:szCs w:val="24"/>
        </w:rPr>
      </w:pPr>
    </w:p>
    <w:p w14:paraId="7C60E0AA" w14:textId="6E72F636" w:rsidR="00CA1665" w:rsidRPr="00CE2F26" w:rsidRDefault="00C3145E" w:rsidP="000E524C">
      <w:pPr>
        <w:tabs>
          <w:tab w:val="left" w:pos="567"/>
        </w:tabs>
        <w:spacing w:line="240" w:lineRule="atLeast"/>
        <w:jc w:val="both"/>
        <w:rPr>
          <w:sz w:val="24"/>
          <w:szCs w:val="24"/>
        </w:rPr>
      </w:pPr>
      <w:r>
        <w:rPr>
          <w:sz w:val="24"/>
          <w:szCs w:val="24"/>
        </w:rPr>
        <w:tab/>
      </w:r>
      <w:r w:rsidR="00CC0766">
        <w:rPr>
          <w:sz w:val="24"/>
          <w:szCs w:val="24"/>
        </w:rPr>
        <w:t>5</w:t>
      </w:r>
      <w:r>
        <w:rPr>
          <w:sz w:val="24"/>
          <w:szCs w:val="24"/>
        </w:rPr>
        <w:t xml:space="preserve">. </w:t>
      </w:r>
      <w:r w:rsidR="00CA1665" w:rsidRPr="00CE2F26">
        <w:rPr>
          <w:sz w:val="24"/>
          <w:szCs w:val="24"/>
        </w:rPr>
        <w:t xml:space="preserve">Jei Susitarimas pasirašytas ne elektroniniu ir (ar) nemobiliu parašu laikoma, kad Susitarimas sudarytas </w:t>
      </w:r>
      <w:r w:rsidR="000E524C">
        <w:rPr>
          <w:sz w:val="24"/>
          <w:szCs w:val="24"/>
        </w:rPr>
        <w:t>dviem</w:t>
      </w:r>
      <w:r w:rsidR="00CA1665" w:rsidRPr="00CE2F26">
        <w:rPr>
          <w:sz w:val="24"/>
          <w:szCs w:val="24"/>
        </w:rPr>
        <w:t xml:space="preserve">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w:t>
      </w:r>
    </w:p>
    <w:p w14:paraId="1B0C3F7B" w14:textId="4B5C5E24" w:rsidR="005E1580" w:rsidRDefault="00F75211" w:rsidP="00F75211">
      <w:pPr>
        <w:tabs>
          <w:tab w:val="left" w:pos="851"/>
        </w:tabs>
        <w:spacing w:line="240" w:lineRule="atLeast"/>
        <w:jc w:val="both"/>
        <w:rPr>
          <w:sz w:val="24"/>
          <w:szCs w:val="24"/>
        </w:rPr>
      </w:pPr>
      <w:r>
        <w:rPr>
          <w:sz w:val="24"/>
          <w:szCs w:val="24"/>
        </w:rPr>
        <w:t xml:space="preserve">           </w:t>
      </w:r>
      <w:r w:rsidR="00CC0766">
        <w:rPr>
          <w:sz w:val="24"/>
          <w:szCs w:val="24"/>
        </w:rPr>
        <w:t>6</w:t>
      </w:r>
      <w:r>
        <w:rPr>
          <w:sz w:val="24"/>
          <w:szCs w:val="24"/>
        </w:rPr>
        <w:t xml:space="preserve">. </w:t>
      </w:r>
      <w:r w:rsidR="005E1580" w:rsidRPr="00F75211">
        <w:rPr>
          <w:sz w:val="24"/>
          <w:szCs w:val="24"/>
        </w:rPr>
        <w:t xml:space="preserve">Susitarimas įsigalioja nuo to momento, kai jį pasirašo </w:t>
      </w:r>
      <w:r w:rsidR="00CA1665">
        <w:rPr>
          <w:sz w:val="24"/>
          <w:szCs w:val="24"/>
        </w:rPr>
        <w:t xml:space="preserve">abi </w:t>
      </w:r>
      <w:r w:rsidR="005E1580" w:rsidRPr="00F75211">
        <w:rPr>
          <w:sz w:val="24"/>
          <w:szCs w:val="24"/>
        </w:rPr>
        <w:t>Šalys, ir galioja iki tol, kol Šalys įvykdys visus savo įsipareigojimus pagal Sutartį arba Sutartis bus nutraukta.</w:t>
      </w:r>
    </w:p>
    <w:p w14:paraId="6E8E52E7" w14:textId="6B828039" w:rsidR="0089716F" w:rsidRDefault="00F75211" w:rsidP="00EE5199">
      <w:pPr>
        <w:tabs>
          <w:tab w:val="left" w:pos="851"/>
        </w:tabs>
        <w:spacing w:line="240" w:lineRule="atLeast"/>
        <w:jc w:val="both"/>
        <w:rPr>
          <w:sz w:val="24"/>
          <w:szCs w:val="24"/>
        </w:rPr>
      </w:pPr>
      <w:r>
        <w:rPr>
          <w:sz w:val="24"/>
          <w:szCs w:val="24"/>
        </w:rPr>
        <w:t xml:space="preserve">           </w:t>
      </w:r>
      <w:r w:rsidR="00CC0766">
        <w:rPr>
          <w:sz w:val="24"/>
          <w:szCs w:val="24"/>
        </w:rPr>
        <w:t>7</w:t>
      </w:r>
      <w:r>
        <w:rPr>
          <w:sz w:val="24"/>
          <w:szCs w:val="24"/>
        </w:rPr>
        <w:t xml:space="preserve">. </w:t>
      </w:r>
      <w:r w:rsidR="006A59EC" w:rsidRPr="00F75211">
        <w:rPr>
          <w:sz w:val="24"/>
          <w:szCs w:val="24"/>
        </w:rPr>
        <w:t>Šis Susitarimas yra neatsiejama Sutarties dalis.</w:t>
      </w:r>
    </w:p>
    <w:p w14:paraId="2DC5E596" w14:textId="77777777" w:rsidR="00EE5199" w:rsidRDefault="00EE5199" w:rsidP="00354BCA">
      <w:pPr>
        <w:spacing w:after="120" w:line="240" w:lineRule="atLeast"/>
        <w:jc w:val="center"/>
        <w:rPr>
          <w:b/>
          <w:sz w:val="24"/>
          <w:szCs w:val="24"/>
        </w:rPr>
      </w:pPr>
    </w:p>
    <w:p w14:paraId="6E8E52E9" w14:textId="1C0569E9" w:rsidR="0089716F" w:rsidRDefault="00EE5199" w:rsidP="00354BCA">
      <w:pPr>
        <w:spacing w:after="120" w:line="240" w:lineRule="atLeast"/>
        <w:jc w:val="center"/>
        <w:rPr>
          <w:sz w:val="24"/>
          <w:szCs w:val="24"/>
        </w:rPr>
      </w:pPr>
      <w:r>
        <w:rPr>
          <w:b/>
          <w:sz w:val="24"/>
          <w:szCs w:val="24"/>
        </w:rPr>
        <w:t>Š</w:t>
      </w:r>
      <w:r w:rsidR="0089716F" w:rsidRPr="00757ACB">
        <w:rPr>
          <w:b/>
          <w:sz w:val="24"/>
          <w:szCs w:val="24"/>
        </w:rPr>
        <w:t>ALIŲ REKVIZITAI</w:t>
      </w:r>
      <w:r w:rsidR="00C11F52">
        <w:rPr>
          <w:b/>
          <w:sz w:val="24"/>
          <w:szCs w:val="24"/>
        </w:rPr>
        <w:t xml:space="preserve"> IR PARAŠAI</w:t>
      </w:r>
    </w:p>
    <w:tbl>
      <w:tblPr>
        <w:tblW w:w="9812" w:type="dxa"/>
        <w:tblLayout w:type="fixed"/>
        <w:tblLook w:val="0000" w:firstRow="0" w:lastRow="0" w:firstColumn="0" w:lastColumn="0" w:noHBand="0" w:noVBand="0"/>
      </w:tblPr>
      <w:tblGrid>
        <w:gridCol w:w="5387"/>
        <w:gridCol w:w="4425"/>
      </w:tblGrid>
      <w:tr w:rsidR="007E403C" w:rsidRPr="00DF10B5" w14:paraId="2F2008DC" w14:textId="77777777" w:rsidTr="007E403C">
        <w:trPr>
          <w:trHeight w:val="291"/>
        </w:trPr>
        <w:tc>
          <w:tcPr>
            <w:tcW w:w="5387" w:type="dxa"/>
          </w:tcPr>
          <w:p w14:paraId="6BB560AD" w14:textId="278747E0" w:rsidR="007E403C" w:rsidRPr="00DF10B5" w:rsidRDefault="005E2988" w:rsidP="00F55774">
            <w:pPr>
              <w:ind w:right="-1277"/>
              <w:jc w:val="both"/>
              <w:rPr>
                <w:b/>
                <w:sz w:val="24"/>
                <w:szCs w:val="24"/>
              </w:rPr>
            </w:pPr>
            <w:r w:rsidRPr="00DF10B5">
              <w:rPr>
                <w:b/>
                <w:sz w:val="24"/>
                <w:szCs w:val="24"/>
              </w:rPr>
              <w:t xml:space="preserve">PASLAUGŲ GAVĖJAS </w:t>
            </w:r>
          </w:p>
          <w:p w14:paraId="284ABAA8" w14:textId="77777777" w:rsidR="007E403C" w:rsidRPr="00DF10B5" w:rsidRDefault="007E403C" w:rsidP="00F55774">
            <w:pPr>
              <w:ind w:right="-1277"/>
              <w:jc w:val="both"/>
              <w:rPr>
                <w:b/>
                <w:sz w:val="24"/>
                <w:szCs w:val="24"/>
              </w:rPr>
            </w:pPr>
          </w:p>
        </w:tc>
        <w:tc>
          <w:tcPr>
            <w:tcW w:w="4425" w:type="dxa"/>
          </w:tcPr>
          <w:p w14:paraId="55E78D2E" w14:textId="3F75F02A" w:rsidR="007E403C" w:rsidRPr="00DF10B5" w:rsidRDefault="005E2988" w:rsidP="00F55774">
            <w:pPr>
              <w:ind w:right="-1277"/>
              <w:jc w:val="both"/>
              <w:rPr>
                <w:b/>
                <w:bCs/>
                <w:sz w:val="24"/>
                <w:szCs w:val="24"/>
              </w:rPr>
            </w:pPr>
            <w:r w:rsidRPr="00DF10B5">
              <w:rPr>
                <w:b/>
                <w:bCs/>
                <w:sz w:val="24"/>
                <w:szCs w:val="24"/>
              </w:rPr>
              <w:t>PASLAUGŲ TEIKĖJAS</w:t>
            </w:r>
          </w:p>
        </w:tc>
      </w:tr>
      <w:tr w:rsidR="007E403C" w:rsidRPr="00DF10B5" w14:paraId="470F28B2" w14:textId="77777777" w:rsidTr="007E403C">
        <w:trPr>
          <w:trHeight w:val="994"/>
        </w:trPr>
        <w:tc>
          <w:tcPr>
            <w:tcW w:w="5387" w:type="dxa"/>
          </w:tcPr>
          <w:p w14:paraId="7B00B004" w14:textId="77777777" w:rsidR="007E403C" w:rsidRPr="00CD2927" w:rsidRDefault="007E403C" w:rsidP="00F55774">
            <w:pPr>
              <w:ind w:right="-1277"/>
              <w:rPr>
                <w:b/>
                <w:bCs/>
                <w:sz w:val="24"/>
              </w:rPr>
            </w:pPr>
            <w:r w:rsidRPr="00CD2927">
              <w:rPr>
                <w:b/>
                <w:bCs/>
                <w:sz w:val="24"/>
              </w:rPr>
              <w:t xml:space="preserve">Kalėjimų departamentas prie Lietuvos Respublikos </w:t>
            </w:r>
          </w:p>
          <w:p w14:paraId="646D9052" w14:textId="77777777" w:rsidR="007E403C" w:rsidRPr="00CD2927" w:rsidRDefault="007E403C" w:rsidP="00F55774">
            <w:pPr>
              <w:ind w:right="-1277"/>
              <w:rPr>
                <w:b/>
                <w:bCs/>
                <w:sz w:val="24"/>
              </w:rPr>
            </w:pPr>
            <w:r w:rsidRPr="00CD2927">
              <w:rPr>
                <w:b/>
                <w:bCs/>
                <w:sz w:val="24"/>
              </w:rPr>
              <w:t xml:space="preserve">teisingumo ministerijos    </w:t>
            </w:r>
          </w:p>
          <w:p w14:paraId="48D5A4B5" w14:textId="77777777" w:rsidR="00765E09" w:rsidRDefault="00765E09" w:rsidP="00F55774">
            <w:pPr>
              <w:ind w:right="-1277"/>
              <w:jc w:val="both"/>
              <w:rPr>
                <w:sz w:val="24"/>
              </w:rPr>
            </w:pPr>
          </w:p>
          <w:p w14:paraId="5A469831" w14:textId="7676DBA8" w:rsidR="007E403C" w:rsidRPr="00DF10B5" w:rsidRDefault="007E403C" w:rsidP="00F55774">
            <w:pPr>
              <w:ind w:right="-1277"/>
              <w:jc w:val="both"/>
              <w:rPr>
                <w:sz w:val="24"/>
                <w:szCs w:val="24"/>
              </w:rPr>
            </w:pPr>
            <w:r w:rsidRPr="00CD2927">
              <w:rPr>
                <w:sz w:val="24"/>
              </w:rPr>
              <w:t xml:space="preserve">L. Sapiegos g. 1, LT – 10312 Vilnius                               </w:t>
            </w:r>
          </w:p>
        </w:tc>
        <w:tc>
          <w:tcPr>
            <w:tcW w:w="4425" w:type="dxa"/>
          </w:tcPr>
          <w:p w14:paraId="2A906035" w14:textId="0702189C" w:rsidR="00765E09" w:rsidRDefault="00765E09" w:rsidP="00F55774">
            <w:pPr>
              <w:rPr>
                <w:b/>
                <w:bCs/>
                <w:sz w:val="24"/>
              </w:rPr>
            </w:pPr>
            <w:r>
              <w:rPr>
                <w:b/>
                <w:bCs/>
                <w:sz w:val="24"/>
              </w:rPr>
              <w:t>Ū</w:t>
            </w:r>
            <w:r w:rsidRPr="00765E09">
              <w:rPr>
                <w:b/>
                <w:bCs/>
                <w:sz w:val="24"/>
              </w:rPr>
              <w:t xml:space="preserve">kio subjektų grupė, kurią sudaro UAB „IO projects“ ir UAB „Forit“, atstovaujama UAB „IO projects“ </w:t>
            </w:r>
          </w:p>
          <w:p w14:paraId="5ADC0DED" w14:textId="6F9E64DD" w:rsidR="007E403C" w:rsidRPr="00DF10B5" w:rsidRDefault="007E403C" w:rsidP="00F55774">
            <w:pPr>
              <w:rPr>
                <w:sz w:val="24"/>
                <w:szCs w:val="24"/>
              </w:rPr>
            </w:pPr>
            <w:r>
              <w:rPr>
                <w:sz w:val="24"/>
              </w:rPr>
              <w:t>V. Gerulaičio g. 10, LT-08200 Vilnius</w:t>
            </w:r>
          </w:p>
        </w:tc>
      </w:tr>
      <w:tr w:rsidR="007E403C" w:rsidRPr="00DF10B5" w14:paraId="2EC7FB17" w14:textId="77777777" w:rsidTr="007E403C">
        <w:trPr>
          <w:trHeight w:val="249"/>
        </w:trPr>
        <w:tc>
          <w:tcPr>
            <w:tcW w:w="5387" w:type="dxa"/>
          </w:tcPr>
          <w:p w14:paraId="2B990836" w14:textId="77777777" w:rsidR="007E403C" w:rsidRPr="00DF10B5" w:rsidRDefault="007E403C" w:rsidP="00F55774">
            <w:pPr>
              <w:ind w:right="-1277"/>
              <w:jc w:val="both"/>
              <w:rPr>
                <w:sz w:val="24"/>
                <w:szCs w:val="24"/>
              </w:rPr>
            </w:pPr>
            <w:r w:rsidRPr="00CD2927">
              <w:rPr>
                <w:sz w:val="24"/>
              </w:rPr>
              <w:t>Įstaigos kodas 288697120</w:t>
            </w:r>
          </w:p>
        </w:tc>
        <w:tc>
          <w:tcPr>
            <w:tcW w:w="4425" w:type="dxa"/>
          </w:tcPr>
          <w:p w14:paraId="28DCC766" w14:textId="77777777" w:rsidR="007E403C" w:rsidRDefault="007E403C" w:rsidP="00F55774">
            <w:pPr>
              <w:ind w:right="-1277"/>
              <w:jc w:val="both"/>
              <w:rPr>
                <w:bCs/>
                <w:sz w:val="24"/>
              </w:rPr>
            </w:pPr>
            <w:r>
              <w:rPr>
                <w:bCs/>
                <w:sz w:val="24"/>
              </w:rPr>
              <w:t>Juridinio asmens kodas 302444537</w:t>
            </w:r>
          </w:p>
          <w:p w14:paraId="38DA6E58" w14:textId="77777777" w:rsidR="007E403C" w:rsidRPr="00DF10B5" w:rsidRDefault="007E403C" w:rsidP="00F55774">
            <w:pPr>
              <w:ind w:right="-1277"/>
              <w:jc w:val="both"/>
              <w:rPr>
                <w:bCs/>
                <w:sz w:val="24"/>
                <w:szCs w:val="24"/>
              </w:rPr>
            </w:pPr>
            <w:r>
              <w:rPr>
                <w:bCs/>
                <w:sz w:val="24"/>
              </w:rPr>
              <w:t xml:space="preserve">PVM mokėtojo kodas </w:t>
            </w:r>
            <w:r>
              <w:rPr>
                <w:sz w:val="24"/>
              </w:rPr>
              <w:t>LT100005017015</w:t>
            </w:r>
          </w:p>
        </w:tc>
      </w:tr>
      <w:tr w:rsidR="007E403C" w:rsidRPr="00DF10B5" w14:paraId="3BC435DF" w14:textId="77777777" w:rsidTr="007E403C">
        <w:trPr>
          <w:trHeight w:val="390"/>
        </w:trPr>
        <w:tc>
          <w:tcPr>
            <w:tcW w:w="5387" w:type="dxa"/>
          </w:tcPr>
          <w:p w14:paraId="48F86205" w14:textId="77777777" w:rsidR="007E403C" w:rsidRPr="00DF10B5" w:rsidRDefault="007E403C" w:rsidP="00F55774">
            <w:pPr>
              <w:ind w:right="-1277"/>
              <w:jc w:val="both"/>
              <w:rPr>
                <w:sz w:val="24"/>
                <w:szCs w:val="24"/>
              </w:rPr>
            </w:pPr>
            <w:r>
              <w:rPr>
                <w:sz w:val="24"/>
              </w:rPr>
              <w:t xml:space="preserve">Tel. </w:t>
            </w:r>
            <w:r w:rsidRPr="00D4641A">
              <w:rPr>
                <w:sz w:val="24"/>
              </w:rPr>
              <w:t xml:space="preserve">(8 5) 271 9003                                                      </w:t>
            </w:r>
          </w:p>
        </w:tc>
        <w:tc>
          <w:tcPr>
            <w:tcW w:w="4425" w:type="dxa"/>
          </w:tcPr>
          <w:p w14:paraId="7BD52A49" w14:textId="77777777" w:rsidR="007E403C" w:rsidRPr="00DF10B5" w:rsidRDefault="007E403C" w:rsidP="00F55774">
            <w:pPr>
              <w:widowControl w:val="0"/>
              <w:jc w:val="both"/>
              <w:rPr>
                <w:sz w:val="24"/>
                <w:szCs w:val="24"/>
              </w:rPr>
            </w:pPr>
            <w:r w:rsidRPr="00FD504E">
              <w:rPr>
                <w:sz w:val="24"/>
              </w:rPr>
              <w:t>Tel. (8 5) 278 9098</w:t>
            </w:r>
          </w:p>
        </w:tc>
      </w:tr>
      <w:tr w:rsidR="007E403C" w:rsidRPr="00DF10B5" w14:paraId="3BE9539F" w14:textId="77777777" w:rsidTr="007E403C">
        <w:trPr>
          <w:trHeight w:val="249"/>
        </w:trPr>
        <w:tc>
          <w:tcPr>
            <w:tcW w:w="5387" w:type="dxa"/>
          </w:tcPr>
          <w:p w14:paraId="71536F85" w14:textId="77777777" w:rsidR="007E403C" w:rsidRPr="00DF10B5" w:rsidRDefault="007E403C" w:rsidP="00F55774">
            <w:pPr>
              <w:ind w:right="-1277"/>
              <w:jc w:val="both"/>
              <w:rPr>
                <w:sz w:val="24"/>
                <w:szCs w:val="24"/>
              </w:rPr>
            </w:pPr>
            <w:r w:rsidRPr="00D4641A">
              <w:rPr>
                <w:sz w:val="24"/>
              </w:rPr>
              <w:t>El. p</w:t>
            </w:r>
            <w:r>
              <w:rPr>
                <w:sz w:val="24"/>
              </w:rPr>
              <w:t>aštas:</w:t>
            </w:r>
            <w:r w:rsidRPr="00D4641A">
              <w:rPr>
                <w:sz w:val="24"/>
              </w:rPr>
              <w:t xml:space="preserve"> kaldep@kaldep.lt      </w:t>
            </w:r>
            <w:r>
              <w:rPr>
                <w:sz w:val="24"/>
              </w:rPr>
              <w:t xml:space="preserve"> </w:t>
            </w:r>
            <w:r w:rsidRPr="00D4641A">
              <w:rPr>
                <w:sz w:val="24"/>
              </w:rPr>
              <w:t xml:space="preserve">                                          </w:t>
            </w:r>
          </w:p>
        </w:tc>
        <w:tc>
          <w:tcPr>
            <w:tcW w:w="4425" w:type="dxa"/>
          </w:tcPr>
          <w:p w14:paraId="28EA3468" w14:textId="77777777" w:rsidR="007E403C" w:rsidRPr="00DF10B5" w:rsidRDefault="007E403C" w:rsidP="00F55774">
            <w:pPr>
              <w:ind w:right="-1277"/>
              <w:jc w:val="both"/>
              <w:rPr>
                <w:sz w:val="24"/>
                <w:szCs w:val="24"/>
              </w:rPr>
            </w:pPr>
            <w:r w:rsidRPr="00FD504E">
              <w:rPr>
                <w:sz w:val="24"/>
              </w:rPr>
              <w:t>El. paštas: info@ioprojects.lt</w:t>
            </w:r>
          </w:p>
        </w:tc>
      </w:tr>
      <w:tr w:rsidR="007E403C" w:rsidRPr="00DF10B5" w14:paraId="2B1D15B5" w14:textId="77777777" w:rsidTr="007E403C">
        <w:trPr>
          <w:trHeight w:val="263"/>
        </w:trPr>
        <w:tc>
          <w:tcPr>
            <w:tcW w:w="5387" w:type="dxa"/>
          </w:tcPr>
          <w:p w14:paraId="0139CC70" w14:textId="77777777" w:rsidR="007E403C" w:rsidRPr="00DF10B5" w:rsidRDefault="007E403C" w:rsidP="00F55774">
            <w:pPr>
              <w:ind w:right="-1277"/>
              <w:jc w:val="both"/>
              <w:rPr>
                <w:sz w:val="24"/>
                <w:szCs w:val="24"/>
              </w:rPr>
            </w:pPr>
            <w:r w:rsidRPr="00D4641A">
              <w:rPr>
                <w:sz w:val="24"/>
              </w:rPr>
              <w:t xml:space="preserve">A. s. </w:t>
            </w:r>
            <w:r>
              <w:rPr>
                <w:sz w:val="24"/>
              </w:rPr>
              <w:t xml:space="preserve">Nr. </w:t>
            </w:r>
            <w:r w:rsidRPr="00D4641A">
              <w:rPr>
                <w:sz w:val="24"/>
              </w:rPr>
              <w:t xml:space="preserve">LT 88 7300 010 0245 5579                                 </w:t>
            </w:r>
          </w:p>
        </w:tc>
        <w:tc>
          <w:tcPr>
            <w:tcW w:w="4425" w:type="dxa"/>
          </w:tcPr>
          <w:p w14:paraId="216497B7" w14:textId="77777777" w:rsidR="007E403C" w:rsidRPr="00DF10B5" w:rsidRDefault="007E403C" w:rsidP="00F55774">
            <w:pPr>
              <w:ind w:right="-1277"/>
              <w:jc w:val="both"/>
              <w:rPr>
                <w:sz w:val="24"/>
                <w:szCs w:val="24"/>
              </w:rPr>
            </w:pPr>
            <w:r w:rsidRPr="00FD504E">
              <w:rPr>
                <w:sz w:val="24"/>
              </w:rPr>
              <w:t>A. s. Nr. LT43 7044 0600 0769 9184</w:t>
            </w:r>
          </w:p>
        </w:tc>
      </w:tr>
      <w:tr w:rsidR="007E403C" w:rsidRPr="00DF10B5" w14:paraId="5E60E0FD" w14:textId="77777777" w:rsidTr="007E403C">
        <w:trPr>
          <w:trHeight w:val="249"/>
        </w:trPr>
        <w:tc>
          <w:tcPr>
            <w:tcW w:w="5387" w:type="dxa"/>
          </w:tcPr>
          <w:p w14:paraId="15D69803" w14:textId="77777777" w:rsidR="007E403C" w:rsidRPr="00DF10B5" w:rsidRDefault="007E403C" w:rsidP="00F55774">
            <w:pPr>
              <w:ind w:right="-1277"/>
              <w:jc w:val="both"/>
              <w:rPr>
                <w:bCs/>
                <w:sz w:val="24"/>
                <w:szCs w:val="24"/>
              </w:rPr>
            </w:pPr>
            <w:r w:rsidRPr="00D4641A">
              <w:rPr>
                <w:bCs/>
                <w:sz w:val="24"/>
              </w:rPr>
              <w:t>Bankas AB</w:t>
            </w:r>
            <w:r>
              <w:rPr>
                <w:bCs/>
                <w:sz w:val="24"/>
              </w:rPr>
              <w:t xml:space="preserve"> </w:t>
            </w:r>
            <w:r w:rsidRPr="00D4641A">
              <w:rPr>
                <w:bCs/>
                <w:sz w:val="24"/>
              </w:rPr>
              <w:t xml:space="preserve">„Swedbank“                                               </w:t>
            </w:r>
          </w:p>
        </w:tc>
        <w:tc>
          <w:tcPr>
            <w:tcW w:w="4425" w:type="dxa"/>
          </w:tcPr>
          <w:p w14:paraId="64925F5A" w14:textId="77777777" w:rsidR="007E403C" w:rsidRPr="00DF10B5" w:rsidRDefault="007E403C" w:rsidP="00F55774">
            <w:pPr>
              <w:ind w:right="-1277"/>
              <w:jc w:val="both"/>
              <w:rPr>
                <w:bCs/>
                <w:sz w:val="24"/>
                <w:szCs w:val="24"/>
              </w:rPr>
            </w:pPr>
            <w:r w:rsidRPr="00FD504E">
              <w:rPr>
                <w:sz w:val="24"/>
              </w:rPr>
              <w:t xml:space="preserve">AB SEB bankas </w:t>
            </w:r>
          </w:p>
        </w:tc>
      </w:tr>
      <w:tr w:rsidR="007E403C" w:rsidRPr="00DF10B5" w14:paraId="4F3BE465" w14:textId="77777777" w:rsidTr="007E403C">
        <w:trPr>
          <w:trHeight w:val="512"/>
        </w:trPr>
        <w:tc>
          <w:tcPr>
            <w:tcW w:w="5387" w:type="dxa"/>
          </w:tcPr>
          <w:p w14:paraId="45A4319C" w14:textId="77777777" w:rsidR="007E403C" w:rsidRPr="00DF10B5" w:rsidRDefault="007E403C" w:rsidP="00F55774">
            <w:pPr>
              <w:ind w:right="-1117"/>
              <w:jc w:val="both"/>
              <w:rPr>
                <w:sz w:val="24"/>
                <w:szCs w:val="24"/>
              </w:rPr>
            </w:pPr>
          </w:p>
        </w:tc>
        <w:tc>
          <w:tcPr>
            <w:tcW w:w="4425" w:type="dxa"/>
          </w:tcPr>
          <w:p w14:paraId="4710167F" w14:textId="77777777" w:rsidR="007E403C" w:rsidRPr="00DF10B5" w:rsidRDefault="007E403C" w:rsidP="00F55774">
            <w:pPr>
              <w:ind w:right="-1277"/>
              <w:jc w:val="both"/>
              <w:rPr>
                <w:sz w:val="24"/>
                <w:szCs w:val="24"/>
              </w:rPr>
            </w:pPr>
          </w:p>
        </w:tc>
      </w:tr>
      <w:tr w:rsidR="007E403C" w:rsidRPr="00DF10B5" w14:paraId="65E1DF24" w14:textId="77777777" w:rsidTr="007E403C">
        <w:trPr>
          <w:trHeight w:val="1704"/>
        </w:trPr>
        <w:tc>
          <w:tcPr>
            <w:tcW w:w="5387" w:type="dxa"/>
          </w:tcPr>
          <w:p w14:paraId="47B5E3DD" w14:textId="77777777" w:rsidR="007E403C" w:rsidRPr="00DF10B5" w:rsidRDefault="007E403C" w:rsidP="00C33495">
            <w:pPr>
              <w:ind w:right="-1277"/>
              <w:rPr>
                <w:sz w:val="24"/>
                <w:szCs w:val="24"/>
              </w:rPr>
            </w:pPr>
            <w:r w:rsidRPr="00DF10B5">
              <w:rPr>
                <w:sz w:val="24"/>
                <w:szCs w:val="24"/>
              </w:rPr>
              <w:t>Direktorius</w:t>
            </w:r>
          </w:p>
          <w:p w14:paraId="27F361B7" w14:textId="77777777" w:rsidR="007E403C" w:rsidRPr="00DF10B5" w:rsidRDefault="007E403C" w:rsidP="00C33495">
            <w:pPr>
              <w:ind w:right="-1277"/>
              <w:rPr>
                <w:sz w:val="24"/>
                <w:szCs w:val="24"/>
              </w:rPr>
            </w:pPr>
            <w:r w:rsidRPr="00DF10B5">
              <w:rPr>
                <w:sz w:val="24"/>
                <w:szCs w:val="24"/>
              </w:rPr>
              <w:t>Virginijus Kulikauskas</w:t>
            </w:r>
          </w:p>
          <w:p w14:paraId="3EF86772" w14:textId="77777777" w:rsidR="007E403C" w:rsidRPr="00DF10B5" w:rsidRDefault="007E403C" w:rsidP="00F55774">
            <w:pPr>
              <w:ind w:right="-1277"/>
              <w:jc w:val="both"/>
              <w:rPr>
                <w:sz w:val="24"/>
                <w:szCs w:val="24"/>
              </w:rPr>
            </w:pPr>
          </w:p>
          <w:p w14:paraId="5AA56292" w14:textId="77777777" w:rsidR="007E403C" w:rsidRPr="00DF10B5" w:rsidRDefault="007E403C" w:rsidP="00F55774">
            <w:pPr>
              <w:ind w:right="-1277"/>
              <w:jc w:val="both"/>
              <w:rPr>
                <w:sz w:val="24"/>
                <w:szCs w:val="24"/>
              </w:rPr>
            </w:pPr>
            <w:r w:rsidRPr="00DF10B5">
              <w:rPr>
                <w:sz w:val="24"/>
                <w:szCs w:val="24"/>
              </w:rPr>
              <w:t xml:space="preserve">                                                   </w:t>
            </w:r>
          </w:p>
          <w:p w14:paraId="015150C7" w14:textId="32DAC6B1" w:rsidR="007E403C" w:rsidRPr="00DF10B5" w:rsidRDefault="007E403C" w:rsidP="00F55774">
            <w:pPr>
              <w:ind w:right="-1277"/>
              <w:jc w:val="both"/>
              <w:rPr>
                <w:sz w:val="24"/>
                <w:szCs w:val="24"/>
              </w:rPr>
            </w:pPr>
            <w:r w:rsidRPr="00DF10B5">
              <w:rPr>
                <w:sz w:val="24"/>
                <w:szCs w:val="24"/>
              </w:rPr>
              <w:t>A.V.</w:t>
            </w:r>
          </w:p>
        </w:tc>
        <w:tc>
          <w:tcPr>
            <w:tcW w:w="4425" w:type="dxa"/>
          </w:tcPr>
          <w:p w14:paraId="27948D61" w14:textId="79E64B03" w:rsidR="007E403C" w:rsidRPr="00C74D26" w:rsidRDefault="000B374A" w:rsidP="00C33495">
            <w:pPr>
              <w:ind w:right="-1277"/>
              <w:rPr>
                <w:sz w:val="24"/>
                <w:szCs w:val="24"/>
              </w:rPr>
            </w:pPr>
            <w:r w:rsidRPr="000B374A">
              <w:rPr>
                <w:sz w:val="24"/>
                <w:szCs w:val="24"/>
              </w:rPr>
              <w:t>UAB „IO projects“</w:t>
            </w:r>
            <w:r w:rsidRPr="000B374A">
              <w:rPr>
                <w:b/>
                <w:bCs/>
                <w:sz w:val="24"/>
                <w:szCs w:val="24"/>
              </w:rPr>
              <w:t xml:space="preserve"> </w:t>
            </w:r>
            <w:r>
              <w:rPr>
                <w:sz w:val="24"/>
                <w:szCs w:val="24"/>
              </w:rPr>
              <w:t>d</w:t>
            </w:r>
            <w:r w:rsidR="007E403C" w:rsidRPr="00C74D26">
              <w:rPr>
                <w:sz w:val="24"/>
                <w:szCs w:val="24"/>
              </w:rPr>
              <w:t xml:space="preserve">irektorė </w:t>
            </w:r>
          </w:p>
          <w:p w14:paraId="090086BA" w14:textId="77777777" w:rsidR="007E403C" w:rsidRPr="00DF10B5" w:rsidRDefault="007E403C" w:rsidP="00C33495">
            <w:pPr>
              <w:ind w:right="-1277"/>
              <w:rPr>
                <w:sz w:val="24"/>
                <w:szCs w:val="24"/>
              </w:rPr>
            </w:pPr>
            <w:r w:rsidRPr="00C74D26">
              <w:rPr>
                <w:sz w:val="24"/>
                <w:szCs w:val="24"/>
              </w:rPr>
              <w:t xml:space="preserve">Neringa Račkauskaitė                                             </w:t>
            </w:r>
          </w:p>
          <w:p w14:paraId="3545E627" w14:textId="77777777" w:rsidR="00C33495" w:rsidRDefault="00C33495" w:rsidP="00C33495">
            <w:pPr>
              <w:ind w:right="-1277"/>
              <w:jc w:val="both"/>
              <w:rPr>
                <w:sz w:val="24"/>
                <w:szCs w:val="24"/>
              </w:rPr>
            </w:pPr>
          </w:p>
          <w:p w14:paraId="40E7B368" w14:textId="77777777" w:rsidR="00C33495" w:rsidRDefault="00C33495" w:rsidP="00C33495">
            <w:pPr>
              <w:ind w:right="-1277"/>
              <w:jc w:val="both"/>
              <w:rPr>
                <w:sz w:val="24"/>
                <w:szCs w:val="24"/>
              </w:rPr>
            </w:pPr>
          </w:p>
          <w:p w14:paraId="7E5389FE" w14:textId="559B4660" w:rsidR="007E403C" w:rsidRPr="00DF10B5" w:rsidRDefault="007E403C" w:rsidP="00C33495">
            <w:pPr>
              <w:ind w:right="-1277"/>
              <w:jc w:val="both"/>
              <w:rPr>
                <w:sz w:val="24"/>
                <w:szCs w:val="24"/>
              </w:rPr>
            </w:pPr>
            <w:r w:rsidRPr="00DF10B5">
              <w:rPr>
                <w:sz w:val="24"/>
                <w:szCs w:val="24"/>
              </w:rPr>
              <w:t>A.V.</w:t>
            </w:r>
          </w:p>
        </w:tc>
      </w:tr>
    </w:tbl>
    <w:p w14:paraId="6E8E52EA" w14:textId="76EE9713" w:rsidR="0089716F" w:rsidRDefault="0089716F" w:rsidP="00586D4A">
      <w:pPr>
        <w:tabs>
          <w:tab w:val="left" w:pos="2190"/>
        </w:tabs>
        <w:spacing w:line="240" w:lineRule="atLeast"/>
        <w:rPr>
          <w:sz w:val="24"/>
          <w:szCs w:val="24"/>
        </w:rPr>
      </w:pPr>
    </w:p>
    <w:p w14:paraId="6E8E5328" w14:textId="59B15A05" w:rsidR="0089716F" w:rsidRPr="0089716F" w:rsidRDefault="007B4435" w:rsidP="00CA1665">
      <w:pPr>
        <w:rPr>
          <w:sz w:val="24"/>
          <w:szCs w:val="24"/>
        </w:rPr>
      </w:pPr>
      <w:r>
        <w:rPr>
          <w:sz w:val="24"/>
          <w:szCs w:val="24"/>
        </w:rPr>
        <w:tab/>
      </w:r>
      <w:r>
        <w:rPr>
          <w:sz w:val="24"/>
          <w:szCs w:val="24"/>
        </w:rPr>
        <w:tab/>
      </w:r>
      <w:r>
        <w:rPr>
          <w:sz w:val="24"/>
          <w:szCs w:val="24"/>
        </w:rPr>
        <w:tab/>
      </w:r>
    </w:p>
    <w:sectPr w:rsidR="0089716F" w:rsidRPr="0089716F" w:rsidSect="00354BCA">
      <w:pgSz w:w="11906" w:h="16838"/>
      <w:pgMar w:top="851" w:right="567" w:bottom="73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FF85" w14:textId="77777777" w:rsidR="00B165B8" w:rsidRDefault="00B165B8" w:rsidP="0054301A">
      <w:r>
        <w:separator/>
      </w:r>
    </w:p>
  </w:endnote>
  <w:endnote w:type="continuationSeparator" w:id="0">
    <w:p w14:paraId="3D701C02" w14:textId="77777777" w:rsidR="00B165B8" w:rsidRDefault="00B165B8" w:rsidP="0054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340C" w14:textId="77777777" w:rsidR="00B165B8" w:rsidRDefault="00B165B8" w:rsidP="0054301A">
      <w:r>
        <w:separator/>
      </w:r>
    </w:p>
  </w:footnote>
  <w:footnote w:type="continuationSeparator" w:id="0">
    <w:p w14:paraId="31313DDA" w14:textId="77777777" w:rsidR="00B165B8" w:rsidRDefault="00B165B8" w:rsidP="00543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1F1"/>
    <w:multiLevelType w:val="multilevel"/>
    <w:tmpl w:val="2460CCB2"/>
    <w:lvl w:ilvl="0">
      <w:start w:val="1"/>
      <w:numFmt w:val="decimal"/>
      <w:lvlText w:val="%1."/>
      <w:lvlJc w:val="left"/>
      <w:pPr>
        <w:ind w:left="927" w:hanging="360"/>
      </w:pPr>
      <w:rPr>
        <w:rFonts w:hint="default"/>
        <w:b w:val="0"/>
      </w:rPr>
    </w:lvl>
    <w:lvl w:ilvl="1">
      <w:start w:val="1"/>
      <w:numFmt w:val="decimal"/>
      <w:isLgl/>
      <w:lvlText w:val="%1.%2"/>
      <w:lvlJc w:val="left"/>
      <w:pPr>
        <w:ind w:left="1572" w:hanging="945"/>
      </w:pPr>
      <w:rPr>
        <w:rFonts w:hint="default"/>
      </w:rPr>
    </w:lvl>
    <w:lvl w:ilvl="2">
      <w:start w:val="1"/>
      <w:numFmt w:val="decimal"/>
      <w:isLgl/>
      <w:lvlText w:val="%1.%2.%3"/>
      <w:lvlJc w:val="left"/>
      <w:pPr>
        <w:ind w:left="1632" w:hanging="945"/>
      </w:pPr>
      <w:rPr>
        <w:rFonts w:hint="default"/>
      </w:rPr>
    </w:lvl>
    <w:lvl w:ilvl="3">
      <w:start w:val="1"/>
      <w:numFmt w:val="decimal"/>
      <w:isLgl/>
      <w:lvlText w:val="%1.%2.%3.%4"/>
      <w:lvlJc w:val="left"/>
      <w:pPr>
        <w:ind w:left="1692" w:hanging="945"/>
      </w:pPr>
      <w:rPr>
        <w:rFonts w:hint="default"/>
      </w:rPr>
    </w:lvl>
    <w:lvl w:ilvl="4">
      <w:start w:val="1"/>
      <w:numFmt w:val="decimal"/>
      <w:isLgl/>
      <w:lvlText w:val="%1.%2.%3.%4.%5"/>
      <w:lvlJc w:val="left"/>
      <w:pPr>
        <w:ind w:left="1887" w:hanging="1080"/>
      </w:pPr>
      <w:rPr>
        <w:rFonts w:hint="default"/>
      </w:rPr>
    </w:lvl>
    <w:lvl w:ilvl="5">
      <w:start w:val="1"/>
      <w:numFmt w:val="decimal"/>
      <w:isLgl/>
      <w:lvlText w:val="%1.%2.%3.%4.%5.%6"/>
      <w:lvlJc w:val="left"/>
      <w:pPr>
        <w:ind w:left="194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42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1CA9231B"/>
    <w:multiLevelType w:val="hybridMultilevel"/>
    <w:tmpl w:val="11008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2D03BC"/>
    <w:multiLevelType w:val="multilevel"/>
    <w:tmpl w:val="8B96A0A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Restart w:val="0"/>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532B54D1"/>
    <w:multiLevelType w:val="hybridMultilevel"/>
    <w:tmpl w:val="43EC1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907810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166957">
    <w:abstractNumId w:val="0"/>
  </w:num>
  <w:num w:numId="3" w16cid:durableId="1096097946">
    <w:abstractNumId w:val="4"/>
  </w:num>
  <w:num w:numId="4" w16cid:durableId="1548251214">
    <w:abstractNumId w:val="3"/>
  </w:num>
  <w:num w:numId="5" w16cid:durableId="113051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16F"/>
    <w:rsid w:val="0000048E"/>
    <w:rsid w:val="0002400F"/>
    <w:rsid w:val="000400A5"/>
    <w:rsid w:val="0007234D"/>
    <w:rsid w:val="00082DD2"/>
    <w:rsid w:val="000B374A"/>
    <w:rsid w:val="000E524C"/>
    <w:rsid w:val="000E579A"/>
    <w:rsid w:val="00111377"/>
    <w:rsid w:val="001E286E"/>
    <w:rsid w:val="001F221A"/>
    <w:rsid w:val="0020460F"/>
    <w:rsid w:val="002126E3"/>
    <w:rsid w:val="00233198"/>
    <w:rsid w:val="002469D8"/>
    <w:rsid w:val="00246D30"/>
    <w:rsid w:val="002703A2"/>
    <w:rsid w:val="0027495E"/>
    <w:rsid w:val="00283FA6"/>
    <w:rsid w:val="00285315"/>
    <w:rsid w:val="002F4A19"/>
    <w:rsid w:val="003022C3"/>
    <w:rsid w:val="00331E71"/>
    <w:rsid w:val="00333711"/>
    <w:rsid w:val="00354BCA"/>
    <w:rsid w:val="003611FD"/>
    <w:rsid w:val="00365C65"/>
    <w:rsid w:val="00370B2A"/>
    <w:rsid w:val="003F4ABD"/>
    <w:rsid w:val="004252AA"/>
    <w:rsid w:val="00497F8E"/>
    <w:rsid w:val="004C51E7"/>
    <w:rsid w:val="00514DD7"/>
    <w:rsid w:val="0054301A"/>
    <w:rsid w:val="00566696"/>
    <w:rsid w:val="00581841"/>
    <w:rsid w:val="00586D4A"/>
    <w:rsid w:val="00593CA8"/>
    <w:rsid w:val="005E1580"/>
    <w:rsid w:val="005E2988"/>
    <w:rsid w:val="00620CA8"/>
    <w:rsid w:val="00692A88"/>
    <w:rsid w:val="006A59EC"/>
    <w:rsid w:val="00727F65"/>
    <w:rsid w:val="00735481"/>
    <w:rsid w:val="00755175"/>
    <w:rsid w:val="00757ACB"/>
    <w:rsid w:val="0076081D"/>
    <w:rsid w:val="00765E09"/>
    <w:rsid w:val="007B2B91"/>
    <w:rsid w:val="007B4435"/>
    <w:rsid w:val="007D04C8"/>
    <w:rsid w:val="007E403C"/>
    <w:rsid w:val="00825C6D"/>
    <w:rsid w:val="008447EE"/>
    <w:rsid w:val="0085716B"/>
    <w:rsid w:val="008632FF"/>
    <w:rsid w:val="00875177"/>
    <w:rsid w:val="0089716F"/>
    <w:rsid w:val="008B6E11"/>
    <w:rsid w:val="0090180A"/>
    <w:rsid w:val="00924EDD"/>
    <w:rsid w:val="00940866"/>
    <w:rsid w:val="00943A17"/>
    <w:rsid w:val="00945D8C"/>
    <w:rsid w:val="00951787"/>
    <w:rsid w:val="009A408B"/>
    <w:rsid w:val="009C71CF"/>
    <w:rsid w:val="009E26C2"/>
    <w:rsid w:val="009E3BCF"/>
    <w:rsid w:val="009F48BB"/>
    <w:rsid w:val="009F49C7"/>
    <w:rsid w:val="00A01265"/>
    <w:rsid w:val="00A031BA"/>
    <w:rsid w:val="00A3773C"/>
    <w:rsid w:val="00A51CA4"/>
    <w:rsid w:val="00A603C3"/>
    <w:rsid w:val="00A7541F"/>
    <w:rsid w:val="00A84985"/>
    <w:rsid w:val="00AB62E5"/>
    <w:rsid w:val="00AB6D9C"/>
    <w:rsid w:val="00AF65C8"/>
    <w:rsid w:val="00B165B8"/>
    <w:rsid w:val="00B932DD"/>
    <w:rsid w:val="00BF6628"/>
    <w:rsid w:val="00C07F89"/>
    <w:rsid w:val="00C11F52"/>
    <w:rsid w:val="00C3145E"/>
    <w:rsid w:val="00C33495"/>
    <w:rsid w:val="00CA1665"/>
    <w:rsid w:val="00CC0766"/>
    <w:rsid w:val="00CC3052"/>
    <w:rsid w:val="00CD1985"/>
    <w:rsid w:val="00CE2F26"/>
    <w:rsid w:val="00D05650"/>
    <w:rsid w:val="00D9452D"/>
    <w:rsid w:val="00E16F98"/>
    <w:rsid w:val="00E339B0"/>
    <w:rsid w:val="00E35DC3"/>
    <w:rsid w:val="00E50C17"/>
    <w:rsid w:val="00EA3E34"/>
    <w:rsid w:val="00EA7C59"/>
    <w:rsid w:val="00EC2BC1"/>
    <w:rsid w:val="00ED087A"/>
    <w:rsid w:val="00EE5199"/>
    <w:rsid w:val="00EF03D7"/>
    <w:rsid w:val="00F04817"/>
    <w:rsid w:val="00F12849"/>
    <w:rsid w:val="00F25E6C"/>
    <w:rsid w:val="00F51D26"/>
    <w:rsid w:val="00F75211"/>
    <w:rsid w:val="00FE0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52DD"/>
  <w15:docId w15:val="{5B08430E-1CAE-4C8D-A60A-29C18375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6F"/>
    <w:pPr>
      <w:spacing w:after="0" w:line="240" w:lineRule="auto"/>
    </w:pPr>
    <w:rPr>
      <w:rFonts w:ascii="Times New Roman" w:eastAsia="Times New Roman" w:hAnsi="Times New Roman" w:cs="Times New Roman"/>
      <w:sz w:val="20"/>
      <w:szCs w:val="20"/>
      <w:lang w:eastAsia="lt-LT"/>
    </w:rPr>
  </w:style>
  <w:style w:type="paragraph" w:styleId="Heading1">
    <w:name w:val="heading 1"/>
    <w:aliases w:val="Heading 1mano,Appendix,stydde,app heading 1,app heading 11,app heading 12,app heading 111,app heading 13,1,1 ghost,g,ghost,H1,Kapitel,Arial 14 Fett,Arial 14 Fett1,Arial 14 Fett2,Arial 16 Fett,Datasheet title,Chapter,TF-Overskrift 1,H11,H12"/>
    <w:basedOn w:val="Normal"/>
    <w:next w:val="Normal"/>
    <w:link w:val="Heading1Char"/>
    <w:uiPriority w:val="9"/>
    <w:qFormat/>
    <w:rsid w:val="00EE5199"/>
    <w:pPr>
      <w:keepNext/>
      <w:numPr>
        <w:numId w:val="3"/>
      </w:numPr>
      <w:spacing w:before="360" w:after="360" w:line="276" w:lineRule="auto"/>
      <w:jc w:val="center"/>
      <w:outlineLvl w:val="0"/>
    </w:pPr>
    <w:rPr>
      <w:rFonts w:eastAsia="Calibri"/>
      <w:sz w:val="28"/>
      <w:lang w:eastAsia="en-US"/>
    </w:rPr>
  </w:style>
  <w:style w:type="paragraph" w:styleId="Heading2">
    <w:name w:val="heading 2"/>
    <w:aliases w:val="Title Header2,Header_mano2"/>
    <w:basedOn w:val="Normal"/>
    <w:next w:val="Normal"/>
    <w:link w:val="Heading2Char"/>
    <w:uiPriority w:val="99"/>
    <w:qFormat/>
    <w:rsid w:val="00EE5199"/>
    <w:pPr>
      <w:numPr>
        <w:ilvl w:val="1"/>
        <w:numId w:val="3"/>
      </w:numPr>
      <w:spacing w:after="200" w:line="276" w:lineRule="auto"/>
      <w:jc w:val="both"/>
      <w:outlineLvl w:val="1"/>
    </w:pPr>
    <w:rPr>
      <w:rFonts w:eastAsia="Calibri"/>
      <w:sz w:val="24"/>
      <w:lang w:eastAsia="en-US"/>
    </w:rPr>
  </w:style>
  <w:style w:type="paragraph" w:styleId="Heading3">
    <w:name w:val="heading 3"/>
    <w:aliases w:val="Section Header3,Sub-Clause Paragraph"/>
    <w:basedOn w:val="Normal"/>
    <w:next w:val="Normal"/>
    <w:link w:val="Heading3Char"/>
    <w:uiPriority w:val="99"/>
    <w:qFormat/>
    <w:rsid w:val="00EE5199"/>
    <w:pPr>
      <w:keepNext/>
      <w:numPr>
        <w:ilvl w:val="2"/>
        <w:numId w:val="3"/>
      </w:numPr>
      <w:spacing w:after="200" w:line="276" w:lineRule="auto"/>
      <w:jc w:val="both"/>
      <w:outlineLvl w:val="2"/>
    </w:pPr>
    <w:rPr>
      <w:rFonts w:eastAsia="Calibri"/>
      <w:sz w:val="24"/>
      <w:lang w:eastAsia="en-US"/>
    </w:rPr>
  </w:style>
  <w:style w:type="paragraph" w:styleId="Heading4">
    <w:name w:val="heading 4"/>
    <w:aliases w:val=" Sub-Clause Sub-paragraph,Sub-Clause Sub-paragraph,Heading 4 Char Char Char Char,hd4"/>
    <w:basedOn w:val="Normal"/>
    <w:next w:val="Normal"/>
    <w:link w:val="Heading4Char"/>
    <w:qFormat/>
    <w:rsid w:val="00EE5199"/>
    <w:pPr>
      <w:keepNext/>
      <w:numPr>
        <w:ilvl w:val="3"/>
        <w:numId w:val="3"/>
      </w:numPr>
      <w:spacing w:after="200" w:line="276" w:lineRule="auto"/>
      <w:outlineLvl w:val="3"/>
    </w:pPr>
    <w:rPr>
      <w:rFonts w:eastAsia="Calibri"/>
      <w:b/>
      <w:sz w:val="44"/>
      <w:lang w:eastAsia="en-US"/>
    </w:rPr>
  </w:style>
  <w:style w:type="paragraph" w:styleId="Heading5">
    <w:name w:val="heading 5"/>
    <w:aliases w:val=" Diagrama"/>
    <w:basedOn w:val="Normal"/>
    <w:next w:val="Normal"/>
    <w:link w:val="Heading5Char"/>
    <w:qFormat/>
    <w:rsid w:val="00EE5199"/>
    <w:pPr>
      <w:keepNext/>
      <w:numPr>
        <w:ilvl w:val="4"/>
        <w:numId w:val="3"/>
      </w:numPr>
      <w:spacing w:after="200" w:line="276" w:lineRule="auto"/>
      <w:outlineLvl w:val="4"/>
    </w:pPr>
    <w:rPr>
      <w:rFonts w:eastAsia="Calibri"/>
      <w:b/>
      <w:sz w:val="40"/>
      <w:lang w:eastAsia="en-US"/>
    </w:rPr>
  </w:style>
  <w:style w:type="paragraph" w:styleId="Heading6">
    <w:name w:val="heading 6"/>
    <w:basedOn w:val="Normal"/>
    <w:next w:val="Normal"/>
    <w:link w:val="Heading6Char"/>
    <w:qFormat/>
    <w:rsid w:val="00EE5199"/>
    <w:pPr>
      <w:keepNext/>
      <w:numPr>
        <w:ilvl w:val="5"/>
        <w:numId w:val="3"/>
      </w:numPr>
      <w:spacing w:after="200" w:line="276" w:lineRule="auto"/>
      <w:outlineLvl w:val="5"/>
    </w:pPr>
    <w:rPr>
      <w:rFonts w:eastAsia="Calibri"/>
      <w:b/>
      <w:sz w:val="36"/>
      <w:lang w:eastAsia="en-US"/>
    </w:rPr>
  </w:style>
  <w:style w:type="paragraph" w:styleId="Heading7">
    <w:name w:val="heading 7"/>
    <w:basedOn w:val="Normal"/>
    <w:next w:val="Normal"/>
    <w:link w:val="Heading7Char"/>
    <w:qFormat/>
    <w:rsid w:val="00EE5199"/>
    <w:pPr>
      <w:keepNext/>
      <w:numPr>
        <w:ilvl w:val="6"/>
        <w:numId w:val="3"/>
      </w:numPr>
      <w:spacing w:after="200" w:line="276" w:lineRule="auto"/>
      <w:outlineLvl w:val="6"/>
    </w:pPr>
    <w:rPr>
      <w:rFonts w:eastAsia="Calibri"/>
      <w:sz w:val="48"/>
      <w:lang w:eastAsia="en-US"/>
    </w:rPr>
  </w:style>
  <w:style w:type="paragraph" w:styleId="Heading8">
    <w:name w:val="heading 8"/>
    <w:basedOn w:val="Normal"/>
    <w:next w:val="Normal"/>
    <w:link w:val="Heading8Char"/>
    <w:qFormat/>
    <w:rsid w:val="00EE5199"/>
    <w:pPr>
      <w:keepNext/>
      <w:numPr>
        <w:ilvl w:val="7"/>
        <w:numId w:val="3"/>
      </w:numPr>
      <w:spacing w:after="200" w:line="276" w:lineRule="auto"/>
      <w:outlineLvl w:val="7"/>
    </w:pPr>
    <w:rPr>
      <w:rFonts w:eastAsia="Calibri"/>
      <w:b/>
      <w:sz w:val="18"/>
      <w:lang w:eastAsia="en-US"/>
    </w:rPr>
  </w:style>
  <w:style w:type="paragraph" w:styleId="Heading9">
    <w:name w:val="heading 9"/>
    <w:basedOn w:val="Normal"/>
    <w:next w:val="Normal"/>
    <w:link w:val="Heading9Char"/>
    <w:qFormat/>
    <w:rsid w:val="00EE5199"/>
    <w:pPr>
      <w:keepNext/>
      <w:numPr>
        <w:ilvl w:val="8"/>
        <w:numId w:val="3"/>
      </w:numPr>
      <w:spacing w:after="200" w:line="276" w:lineRule="auto"/>
      <w:outlineLvl w:val="8"/>
    </w:pPr>
    <w:rPr>
      <w:rFonts w:eastAsia="Calibri"/>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DD"/>
    <w:pPr>
      <w:ind w:left="720"/>
      <w:contextualSpacing/>
    </w:pPr>
  </w:style>
  <w:style w:type="paragraph" w:styleId="Header">
    <w:name w:val="header"/>
    <w:basedOn w:val="Normal"/>
    <w:link w:val="HeaderChar"/>
    <w:uiPriority w:val="99"/>
    <w:unhideWhenUsed/>
    <w:rsid w:val="0054301A"/>
    <w:pPr>
      <w:tabs>
        <w:tab w:val="center" w:pos="4819"/>
        <w:tab w:val="right" w:pos="9638"/>
      </w:tabs>
    </w:pPr>
  </w:style>
  <w:style w:type="character" w:customStyle="1" w:styleId="HeaderChar">
    <w:name w:val="Header Char"/>
    <w:basedOn w:val="DefaultParagraphFont"/>
    <w:link w:val="Header"/>
    <w:uiPriority w:val="99"/>
    <w:rsid w:val="0054301A"/>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54301A"/>
    <w:pPr>
      <w:tabs>
        <w:tab w:val="center" w:pos="4819"/>
        <w:tab w:val="right" w:pos="9638"/>
      </w:tabs>
    </w:pPr>
  </w:style>
  <w:style w:type="character" w:customStyle="1" w:styleId="FooterChar">
    <w:name w:val="Footer Char"/>
    <w:basedOn w:val="DefaultParagraphFont"/>
    <w:link w:val="Footer"/>
    <w:uiPriority w:val="99"/>
    <w:rsid w:val="0054301A"/>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ED087A"/>
    <w:rPr>
      <w:sz w:val="16"/>
      <w:szCs w:val="16"/>
    </w:rPr>
  </w:style>
  <w:style w:type="paragraph" w:styleId="CommentText">
    <w:name w:val="annotation text"/>
    <w:basedOn w:val="Normal"/>
    <w:link w:val="CommentTextChar"/>
    <w:uiPriority w:val="99"/>
    <w:unhideWhenUsed/>
    <w:rsid w:val="00ED087A"/>
  </w:style>
  <w:style w:type="character" w:customStyle="1" w:styleId="CommentTextChar">
    <w:name w:val="Comment Text Char"/>
    <w:basedOn w:val="DefaultParagraphFont"/>
    <w:link w:val="CommentText"/>
    <w:uiPriority w:val="99"/>
    <w:rsid w:val="00ED087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D087A"/>
    <w:rPr>
      <w:b/>
      <w:bCs/>
    </w:rPr>
  </w:style>
  <w:style w:type="character" w:customStyle="1" w:styleId="CommentSubjectChar">
    <w:name w:val="Comment Subject Char"/>
    <w:basedOn w:val="CommentTextChar"/>
    <w:link w:val="CommentSubject"/>
    <w:uiPriority w:val="99"/>
    <w:semiHidden/>
    <w:rsid w:val="00ED087A"/>
    <w:rPr>
      <w:rFonts w:ascii="Times New Roman" w:eastAsia="Times New Roman" w:hAnsi="Times New Roman" w:cs="Times New Roman"/>
      <w:b/>
      <w:bCs/>
      <w:sz w:val="20"/>
      <w:szCs w:val="20"/>
      <w:lang w:eastAsia="lt-LT"/>
    </w:rPr>
  </w:style>
  <w:style w:type="paragraph" w:styleId="Revision">
    <w:name w:val="Revision"/>
    <w:hidden/>
    <w:uiPriority w:val="99"/>
    <w:semiHidden/>
    <w:rsid w:val="00ED087A"/>
    <w:pPr>
      <w:spacing w:after="0" w:line="240" w:lineRule="auto"/>
    </w:pPr>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ED087A"/>
    <w:rPr>
      <w:rFonts w:ascii="Tahoma" w:hAnsi="Tahoma" w:cs="Tahoma"/>
      <w:sz w:val="16"/>
      <w:szCs w:val="16"/>
    </w:rPr>
  </w:style>
  <w:style w:type="character" w:customStyle="1" w:styleId="BalloonTextChar">
    <w:name w:val="Balloon Text Char"/>
    <w:basedOn w:val="DefaultParagraphFont"/>
    <w:link w:val="BalloonText"/>
    <w:uiPriority w:val="99"/>
    <w:semiHidden/>
    <w:rsid w:val="00ED087A"/>
    <w:rPr>
      <w:rFonts w:ascii="Tahoma" w:eastAsia="Times New Roman" w:hAnsi="Tahoma" w:cs="Tahoma"/>
      <w:sz w:val="16"/>
      <w:szCs w:val="16"/>
      <w:lang w:eastAsia="lt-LT"/>
    </w:rPr>
  </w:style>
  <w:style w:type="character" w:customStyle="1" w:styleId="Bodytext213ptScale75">
    <w:name w:val="Body text (2) + 13 pt;Scale 75%"/>
    <w:basedOn w:val="DefaultParagraphFont"/>
    <w:rsid w:val="003611FD"/>
    <w:rPr>
      <w:rFonts w:ascii="Times New Roman" w:eastAsia="Times New Roman" w:hAnsi="Times New Roman" w:cs="Times New Roman"/>
      <w:b w:val="0"/>
      <w:bCs w:val="0"/>
      <w:i w:val="0"/>
      <w:iCs w:val="0"/>
      <w:smallCaps w:val="0"/>
      <w:strike w:val="0"/>
      <w:color w:val="000000"/>
      <w:spacing w:val="0"/>
      <w:w w:val="75"/>
      <w:position w:val="0"/>
      <w:sz w:val="26"/>
      <w:szCs w:val="26"/>
      <w:u w:val="none"/>
      <w:lang w:val="lt-LT" w:eastAsia="lt-LT" w:bidi="lt-LT"/>
    </w:rPr>
  </w:style>
  <w:style w:type="character" w:customStyle="1" w:styleId="Bodytext2Bold">
    <w:name w:val="Body text (2) + Bold"/>
    <w:basedOn w:val="DefaultParagraphFont"/>
    <w:rsid w:val="003611FD"/>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styleId="Hyperlink">
    <w:name w:val="Hyperlink"/>
    <w:basedOn w:val="DefaultParagraphFont"/>
    <w:rsid w:val="003611FD"/>
    <w:rPr>
      <w:color w:val="0066CC"/>
      <w:u w:val="single"/>
    </w:rPr>
  </w:style>
  <w:style w:type="character" w:customStyle="1" w:styleId="Neapdorotaspaminjimas1">
    <w:name w:val="Neapdorotas paminėjimas1"/>
    <w:basedOn w:val="DefaultParagraphFont"/>
    <w:uiPriority w:val="99"/>
    <w:semiHidden/>
    <w:unhideWhenUsed/>
    <w:rsid w:val="003611FD"/>
    <w:rPr>
      <w:color w:val="605E5C"/>
      <w:shd w:val="clear" w:color="auto" w:fill="E1DFDD"/>
    </w:rPr>
  </w:style>
  <w:style w:type="character" w:customStyle="1" w:styleId="Bodytext3">
    <w:name w:val="Body text (3)_"/>
    <w:basedOn w:val="DefaultParagraphFont"/>
    <w:link w:val="Bodytext30"/>
    <w:rsid w:val="000E579A"/>
    <w:rPr>
      <w:rFonts w:ascii="Times New Roman" w:eastAsia="Times New Roman" w:hAnsi="Times New Roman" w:cs="Times New Roman"/>
      <w:b/>
      <w:bCs/>
      <w:shd w:val="clear" w:color="auto" w:fill="FFFFFF"/>
    </w:rPr>
  </w:style>
  <w:style w:type="character" w:customStyle="1" w:styleId="Heading20">
    <w:name w:val="Heading #2_"/>
    <w:basedOn w:val="DefaultParagraphFont"/>
    <w:link w:val="Heading21"/>
    <w:rsid w:val="000E579A"/>
    <w:rPr>
      <w:rFonts w:ascii="Times New Roman" w:eastAsia="Times New Roman" w:hAnsi="Times New Roman" w:cs="Times New Roman"/>
      <w:b/>
      <w:bCs/>
      <w:shd w:val="clear" w:color="auto" w:fill="FFFFFF"/>
    </w:rPr>
  </w:style>
  <w:style w:type="character" w:customStyle="1" w:styleId="Heading2Exact">
    <w:name w:val="Heading #2 Exact"/>
    <w:basedOn w:val="DefaultParagraphFont"/>
    <w:rsid w:val="000E579A"/>
    <w:rPr>
      <w:rFonts w:ascii="Times New Roman" w:eastAsia="Times New Roman" w:hAnsi="Times New Roman" w:cs="Times New Roman"/>
      <w:b/>
      <w:bCs/>
      <w:i w:val="0"/>
      <w:iCs w:val="0"/>
      <w:smallCaps w:val="0"/>
      <w:strike w:val="0"/>
      <w:sz w:val="22"/>
      <w:szCs w:val="22"/>
      <w:u w:val="none"/>
    </w:rPr>
  </w:style>
  <w:style w:type="character" w:customStyle="1" w:styleId="Bodytext3Exact">
    <w:name w:val="Body text (3) Exact"/>
    <w:basedOn w:val="DefaultParagraphFont"/>
    <w:rsid w:val="000E579A"/>
    <w:rPr>
      <w:rFonts w:ascii="Times New Roman" w:eastAsia="Times New Roman" w:hAnsi="Times New Roman" w:cs="Times New Roman"/>
      <w:b/>
      <w:bCs/>
      <w:i w:val="0"/>
      <w:iCs w:val="0"/>
      <w:smallCaps w:val="0"/>
      <w:strike w:val="0"/>
      <w:sz w:val="22"/>
      <w:szCs w:val="22"/>
      <w:u w:val="none"/>
    </w:rPr>
  </w:style>
  <w:style w:type="character" w:customStyle="1" w:styleId="Bodytext2Exact">
    <w:name w:val="Body text (2) Exact"/>
    <w:basedOn w:val="DefaultParagraphFont"/>
    <w:rsid w:val="000E579A"/>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0E579A"/>
    <w:pPr>
      <w:widowControl w:val="0"/>
      <w:shd w:val="clear" w:color="auto" w:fill="FFFFFF"/>
      <w:spacing w:after="300" w:line="0" w:lineRule="atLeast"/>
      <w:jc w:val="right"/>
    </w:pPr>
    <w:rPr>
      <w:b/>
      <w:bCs/>
      <w:sz w:val="22"/>
      <w:szCs w:val="22"/>
      <w:lang w:eastAsia="en-US"/>
    </w:rPr>
  </w:style>
  <w:style w:type="paragraph" w:customStyle="1" w:styleId="Heading21">
    <w:name w:val="Heading #2"/>
    <w:basedOn w:val="Normal"/>
    <w:link w:val="Heading20"/>
    <w:rsid w:val="000E579A"/>
    <w:pPr>
      <w:widowControl w:val="0"/>
      <w:shd w:val="clear" w:color="auto" w:fill="FFFFFF"/>
      <w:spacing w:line="266" w:lineRule="exact"/>
      <w:jc w:val="both"/>
      <w:outlineLvl w:val="1"/>
    </w:pPr>
    <w:rPr>
      <w:b/>
      <w:bCs/>
      <w:sz w:val="22"/>
      <w:szCs w:val="22"/>
      <w:lang w:eastAsia="en-US"/>
    </w:rPr>
  </w:style>
  <w:style w:type="character" w:customStyle="1" w:styleId="FontStyle12">
    <w:name w:val="Font Style12"/>
    <w:uiPriority w:val="99"/>
    <w:rsid w:val="004C51E7"/>
    <w:rPr>
      <w:rFonts w:ascii="Times New Roman" w:hAnsi="Times New Roman" w:cs="Times New Roman" w:hint="default"/>
      <w:color w:val="000000"/>
      <w:sz w:val="24"/>
      <w:szCs w:val="24"/>
    </w:rPr>
  </w:style>
  <w:style w:type="character" w:customStyle="1" w:styleId="Bodytext2">
    <w:name w:val="Body text (2)_"/>
    <w:basedOn w:val="DefaultParagraphFont"/>
    <w:link w:val="Bodytext20"/>
    <w:rsid w:val="004C51E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4C51E7"/>
    <w:pPr>
      <w:widowControl w:val="0"/>
      <w:shd w:val="clear" w:color="auto" w:fill="FFFFFF"/>
      <w:spacing w:before="180" w:line="0" w:lineRule="atLeast"/>
    </w:pPr>
    <w:rPr>
      <w:sz w:val="22"/>
      <w:szCs w:val="22"/>
      <w:lang w:eastAsia="en-US"/>
    </w:rPr>
  </w:style>
  <w:style w:type="character" w:customStyle="1" w:styleId="Heading1Char">
    <w:name w:val="Heading 1 Char"/>
    <w:aliases w:val="Heading 1mano Char,Appendix Char,stydde Char,app heading 1 Char,app heading 11 Char,app heading 12 Char,app heading 111 Char,app heading 13 Char,1 Char,1 ghost Char,g Char,ghost Char,H1 Char,Kapitel Char,Arial 14 Fett Char,Chapter Char"/>
    <w:basedOn w:val="DefaultParagraphFont"/>
    <w:link w:val="Heading1"/>
    <w:uiPriority w:val="9"/>
    <w:rsid w:val="00EE5199"/>
    <w:rPr>
      <w:rFonts w:ascii="Times New Roman" w:eastAsia="Calibri" w:hAnsi="Times New Roman" w:cs="Times New Roman"/>
      <w:sz w:val="28"/>
      <w:szCs w:val="20"/>
    </w:rPr>
  </w:style>
  <w:style w:type="character" w:customStyle="1" w:styleId="Heading2Char">
    <w:name w:val="Heading 2 Char"/>
    <w:aliases w:val="Title Header2 Char,Header_mano2 Char"/>
    <w:basedOn w:val="DefaultParagraphFont"/>
    <w:link w:val="Heading2"/>
    <w:uiPriority w:val="99"/>
    <w:rsid w:val="00EE5199"/>
    <w:rPr>
      <w:rFonts w:ascii="Times New Roman" w:eastAsia="Calibri"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9"/>
    <w:rsid w:val="00EE5199"/>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d4 Char"/>
    <w:basedOn w:val="DefaultParagraphFont"/>
    <w:link w:val="Heading4"/>
    <w:rsid w:val="00EE5199"/>
    <w:rPr>
      <w:rFonts w:ascii="Times New Roman" w:eastAsia="Calibri" w:hAnsi="Times New Roman" w:cs="Times New Roman"/>
      <w:b/>
      <w:sz w:val="44"/>
      <w:szCs w:val="20"/>
    </w:rPr>
  </w:style>
  <w:style w:type="character" w:customStyle="1" w:styleId="Heading5Char">
    <w:name w:val="Heading 5 Char"/>
    <w:aliases w:val=" Diagrama Char"/>
    <w:basedOn w:val="DefaultParagraphFont"/>
    <w:link w:val="Heading5"/>
    <w:rsid w:val="00EE5199"/>
    <w:rPr>
      <w:rFonts w:ascii="Times New Roman" w:eastAsia="Calibri" w:hAnsi="Times New Roman" w:cs="Times New Roman"/>
      <w:b/>
      <w:sz w:val="40"/>
      <w:szCs w:val="20"/>
    </w:rPr>
  </w:style>
  <w:style w:type="character" w:customStyle="1" w:styleId="Heading6Char">
    <w:name w:val="Heading 6 Char"/>
    <w:basedOn w:val="DefaultParagraphFont"/>
    <w:link w:val="Heading6"/>
    <w:rsid w:val="00EE5199"/>
    <w:rPr>
      <w:rFonts w:ascii="Times New Roman" w:eastAsia="Calibri" w:hAnsi="Times New Roman" w:cs="Times New Roman"/>
      <w:b/>
      <w:sz w:val="36"/>
      <w:szCs w:val="20"/>
    </w:rPr>
  </w:style>
  <w:style w:type="character" w:customStyle="1" w:styleId="Heading7Char">
    <w:name w:val="Heading 7 Char"/>
    <w:basedOn w:val="DefaultParagraphFont"/>
    <w:link w:val="Heading7"/>
    <w:rsid w:val="00EE5199"/>
    <w:rPr>
      <w:rFonts w:ascii="Times New Roman" w:eastAsia="Calibri" w:hAnsi="Times New Roman" w:cs="Times New Roman"/>
      <w:sz w:val="48"/>
      <w:szCs w:val="20"/>
    </w:rPr>
  </w:style>
  <w:style w:type="character" w:customStyle="1" w:styleId="Heading8Char">
    <w:name w:val="Heading 8 Char"/>
    <w:basedOn w:val="DefaultParagraphFont"/>
    <w:link w:val="Heading8"/>
    <w:rsid w:val="00EE5199"/>
    <w:rPr>
      <w:rFonts w:ascii="Times New Roman" w:eastAsia="Calibri" w:hAnsi="Times New Roman" w:cs="Times New Roman"/>
      <w:b/>
      <w:sz w:val="18"/>
      <w:szCs w:val="20"/>
    </w:rPr>
  </w:style>
  <w:style w:type="character" w:customStyle="1" w:styleId="Heading9Char">
    <w:name w:val="Heading 9 Char"/>
    <w:basedOn w:val="DefaultParagraphFont"/>
    <w:link w:val="Heading9"/>
    <w:rsid w:val="00EE5199"/>
    <w:rPr>
      <w:rFonts w:ascii="Times New Roman" w:eastAsia="Calibri" w:hAnsi="Times New Roman" w:cs="Times New Roman"/>
      <w:sz w:val="40"/>
      <w:szCs w:val="20"/>
    </w:rPr>
  </w:style>
  <w:style w:type="table" w:styleId="TableGrid">
    <w:name w:val="Table Grid"/>
    <w:basedOn w:val="TableNormal"/>
    <w:uiPriority w:val="39"/>
    <w:rsid w:val="00C3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qFormat/>
    <w:rsid w:val="00C3145E"/>
    <w:pPr>
      <w:suppressAutoHyphens/>
      <w:spacing w:after="0" w:line="240" w:lineRule="auto"/>
      <w:ind w:firstLine="312"/>
      <w:jc w:val="both"/>
    </w:pPr>
    <w:rPr>
      <w:rFonts w:ascii="TimesLT;Times New Roman" w:eastAsia="Times New Roman" w:hAnsi="TimesLT;Times New Roman" w:cs="Times New Roman"/>
      <w:sz w:val="20"/>
      <w:szCs w:val="20"/>
      <w:lang w:val="en-US" w:eastAsia="zh-CN"/>
    </w:rPr>
  </w:style>
  <w:style w:type="character" w:styleId="UnresolvedMention">
    <w:name w:val="Unresolved Mention"/>
    <w:basedOn w:val="DefaultParagraphFont"/>
    <w:uiPriority w:val="99"/>
    <w:semiHidden/>
    <w:unhideWhenUsed/>
    <w:rsid w:val="0037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79AB4-C6E3-47EE-A3CE-2E53EE7F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3561</Words>
  <Characters>2030</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Butkevičienė</dc:creator>
  <cp:lastModifiedBy>Edita Žaltauskė</cp:lastModifiedBy>
  <cp:revision>4</cp:revision>
  <dcterms:created xsi:type="dcterms:W3CDTF">2022-11-25T08:35:00Z</dcterms:created>
  <dcterms:modified xsi:type="dcterms:W3CDTF">2022-11-25T12:24:00Z</dcterms:modified>
</cp:coreProperties>
</file>