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4CA8A" w14:textId="77777777" w:rsidR="00214865" w:rsidRPr="00F4396E" w:rsidRDefault="00214865" w:rsidP="00214865">
      <w:pPr>
        <w:ind w:right="-2"/>
        <w:jc w:val="center"/>
        <w:rPr>
          <w:b/>
        </w:rPr>
      </w:pPr>
      <w:bookmarkStart w:id="0" w:name="_GoBack"/>
      <w:bookmarkEnd w:id="0"/>
      <w:r>
        <w:rPr>
          <w:noProof/>
          <w:lang w:eastAsia="lt-LT"/>
        </w:rPr>
        <w:drawing>
          <wp:anchor distT="0" distB="0" distL="114300" distR="114300" simplePos="0" relativeHeight="251659264" behindDoc="0" locked="0" layoutInCell="1" allowOverlap="1" wp14:anchorId="40D3E7B7" wp14:editId="1C6D23AF">
            <wp:simplePos x="0" y="0"/>
            <wp:positionH relativeFrom="margin">
              <wp:align>center</wp:align>
            </wp:positionH>
            <wp:positionV relativeFrom="paragraph">
              <wp:posOffset>-9525</wp:posOffset>
            </wp:positionV>
            <wp:extent cx="1799590" cy="417195"/>
            <wp:effectExtent l="0" t="0" r="0" b="1905"/>
            <wp:wrapNone/>
            <wp:docPr id="3" name="Picture 3" descr="Text, 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icon  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9590" cy="417195"/>
                    </a:xfrm>
                    <a:prstGeom prst="rect">
                      <a:avLst/>
                    </a:prstGeom>
                  </pic:spPr>
                </pic:pic>
              </a:graphicData>
            </a:graphic>
            <wp14:sizeRelH relativeFrom="margin">
              <wp14:pctWidth>0</wp14:pctWidth>
            </wp14:sizeRelH>
            <wp14:sizeRelV relativeFrom="margin">
              <wp14:pctHeight>0</wp14:pctHeight>
            </wp14:sizeRelV>
          </wp:anchor>
        </w:drawing>
      </w:r>
    </w:p>
    <w:p w14:paraId="5C6B0C36" w14:textId="77777777" w:rsidR="00214865" w:rsidRPr="00DF7888" w:rsidRDefault="00214865" w:rsidP="00214865">
      <w:pPr>
        <w:ind w:right="-2"/>
        <w:jc w:val="center"/>
        <w:rPr>
          <w:sz w:val="28"/>
          <w:szCs w:val="28"/>
        </w:rPr>
      </w:pPr>
    </w:p>
    <w:p w14:paraId="11C06C08" w14:textId="77777777" w:rsidR="00214865" w:rsidRDefault="00214865" w:rsidP="00214865">
      <w:pPr>
        <w:ind w:right="27"/>
        <w:jc w:val="center"/>
        <w:rPr>
          <w:rFonts w:cs="Verdana-Bold"/>
        </w:rPr>
      </w:pPr>
    </w:p>
    <w:p w14:paraId="1DFD1E6A" w14:textId="77777777" w:rsidR="00214865" w:rsidRPr="00145A38" w:rsidRDefault="00214865" w:rsidP="00214865">
      <w:pPr>
        <w:ind w:right="27"/>
        <w:jc w:val="center"/>
        <w:rPr>
          <w:sz w:val="20"/>
          <w:szCs w:val="20"/>
        </w:rPr>
      </w:pPr>
      <w:r w:rsidRPr="00BD0A45">
        <w:rPr>
          <w:rFonts w:cs="Verdana-Bold"/>
        </w:rPr>
        <w:t>UAB „Asseco Lietuva</w:t>
      </w:r>
      <w:r w:rsidRPr="00BD0A45">
        <w:rPr>
          <w:rFonts w:asciiTheme="minorHAnsi" w:hAnsiTheme="minorHAnsi" w:cstheme="minorHAnsi"/>
        </w:rPr>
        <w:t>”,</w:t>
      </w:r>
      <w:r w:rsidRPr="00147B19">
        <w:rPr>
          <w:rFonts w:asciiTheme="minorHAnsi" w:hAnsiTheme="minorHAnsi" w:cstheme="minorHAnsi"/>
          <w:bCs/>
        </w:rPr>
        <w:t xml:space="preserve"> </w:t>
      </w:r>
      <w:bookmarkStart w:id="1" w:name="_Hlk89359680"/>
      <w:r w:rsidRPr="00147B19">
        <w:rPr>
          <w:rFonts w:asciiTheme="minorHAnsi" w:hAnsiTheme="minorHAnsi" w:cstheme="minorHAnsi"/>
        </w:rPr>
        <w:t>V. Gerulaičio g. 10, 08200 Vilnius</w:t>
      </w:r>
      <w:bookmarkEnd w:id="1"/>
      <w:r w:rsidRPr="00147B19">
        <w:rPr>
          <w:rFonts w:asciiTheme="minorHAnsi" w:hAnsiTheme="minorHAnsi" w:cstheme="minorHAnsi"/>
        </w:rPr>
        <w:t>, tel.</w:t>
      </w:r>
      <w:r w:rsidRPr="00E30E12">
        <w:t xml:space="preserve"> +370 5 210 2400, įregistruota Juridinių asmenų registre, Vilniaus filiale, įmonės kodas 302631095, PVM mokėtojo kodas LT100006181715</w:t>
      </w:r>
    </w:p>
    <w:p w14:paraId="12848221" w14:textId="77777777" w:rsidR="00214865" w:rsidRDefault="00214865" w:rsidP="00214865">
      <w:pPr>
        <w:tabs>
          <w:tab w:val="left" w:pos="567"/>
        </w:tabs>
        <w:jc w:val="center"/>
        <w:rPr>
          <w:rFonts w:asciiTheme="minorHAnsi" w:hAnsiTheme="minorHAnsi" w:cstheme="minorHAnsi"/>
          <w:b/>
          <w:color w:val="000000"/>
        </w:rPr>
      </w:pPr>
    </w:p>
    <w:p w14:paraId="0080F99E" w14:textId="77777777" w:rsidR="00214865" w:rsidRDefault="00214865" w:rsidP="00214865">
      <w:pPr>
        <w:tabs>
          <w:tab w:val="left" w:pos="567"/>
        </w:tabs>
        <w:jc w:val="center"/>
        <w:rPr>
          <w:rFonts w:asciiTheme="minorHAnsi" w:hAnsiTheme="minorHAnsi" w:cstheme="minorHAnsi"/>
          <w:b/>
          <w:color w:val="000000"/>
        </w:rPr>
      </w:pPr>
    </w:p>
    <w:p w14:paraId="6EF4DCC4" w14:textId="77777777" w:rsidR="00214865" w:rsidRPr="00242B94" w:rsidRDefault="00214865" w:rsidP="00214865">
      <w:pPr>
        <w:tabs>
          <w:tab w:val="left" w:pos="567"/>
        </w:tabs>
        <w:rPr>
          <w:rFonts w:asciiTheme="minorHAnsi" w:hAnsiTheme="minorHAnsi" w:cstheme="minorHAnsi"/>
          <w:bCs/>
          <w:color w:val="000000"/>
        </w:rPr>
      </w:pPr>
      <w:r w:rsidRPr="00242B94">
        <w:rPr>
          <w:rFonts w:asciiTheme="minorHAnsi" w:hAnsiTheme="minorHAnsi" w:cstheme="minorHAnsi"/>
          <w:bCs/>
          <w:color w:val="000000"/>
        </w:rPr>
        <w:t xml:space="preserve">Turto valdymo ir ūkio departamentui </w:t>
      </w:r>
    </w:p>
    <w:p w14:paraId="42C63826" w14:textId="77777777" w:rsidR="00214865" w:rsidRPr="00242B94" w:rsidRDefault="00214865" w:rsidP="00214865">
      <w:pPr>
        <w:tabs>
          <w:tab w:val="left" w:pos="567"/>
        </w:tabs>
        <w:rPr>
          <w:rFonts w:asciiTheme="minorHAnsi" w:hAnsiTheme="minorHAnsi" w:cstheme="minorHAnsi"/>
          <w:bCs/>
          <w:color w:val="000000"/>
        </w:rPr>
      </w:pPr>
      <w:r w:rsidRPr="00242B94">
        <w:rPr>
          <w:rFonts w:asciiTheme="minorHAnsi" w:hAnsiTheme="minorHAnsi" w:cstheme="minorHAnsi"/>
          <w:bCs/>
          <w:color w:val="000000"/>
        </w:rPr>
        <w:t>prie Lietuvos Respublikos vidaus reikalų ministerijos</w:t>
      </w:r>
    </w:p>
    <w:p w14:paraId="4964F33B" w14:textId="77777777" w:rsidR="00214865" w:rsidRPr="00242B94" w:rsidRDefault="00214865" w:rsidP="00214865">
      <w:pPr>
        <w:tabs>
          <w:tab w:val="left" w:pos="567"/>
        </w:tabs>
        <w:rPr>
          <w:rFonts w:asciiTheme="minorHAnsi" w:hAnsiTheme="minorHAnsi" w:cstheme="minorHAnsi"/>
          <w:bCs/>
          <w:color w:val="000000"/>
        </w:rPr>
      </w:pPr>
      <w:r w:rsidRPr="00242B94">
        <w:rPr>
          <w:rFonts w:asciiTheme="minorHAnsi" w:hAnsiTheme="minorHAnsi" w:cstheme="minorHAnsi"/>
          <w:bCs/>
          <w:color w:val="000000"/>
        </w:rPr>
        <w:t>Šventaragio g. 2, LT-01510 Vilnius</w:t>
      </w:r>
    </w:p>
    <w:p w14:paraId="406AC974" w14:textId="77777777" w:rsidR="00214865" w:rsidRDefault="00214865" w:rsidP="00EB2D25">
      <w:pPr>
        <w:tabs>
          <w:tab w:val="left" w:pos="567"/>
        </w:tabs>
        <w:jc w:val="center"/>
        <w:rPr>
          <w:rFonts w:asciiTheme="majorHAnsi" w:hAnsiTheme="majorHAnsi" w:cstheme="majorHAnsi"/>
          <w:b/>
          <w:color w:val="000000"/>
        </w:rPr>
      </w:pPr>
    </w:p>
    <w:p w14:paraId="3B4056A2" w14:textId="0ABE4507" w:rsidR="00C36E59" w:rsidRPr="008373B7" w:rsidRDefault="00C36E59" w:rsidP="00EB2D25">
      <w:pPr>
        <w:tabs>
          <w:tab w:val="left" w:pos="567"/>
        </w:tabs>
        <w:jc w:val="center"/>
        <w:rPr>
          <w:rFonts w:asciiTheme="majorHAnsi" w:hAnsiTheme="majorHAnsi" w:cstheme="majorHAnsi"/>
          <w:b/>
          <w:color w:val="000000"/>
        </w:rPr>
      </w:pPr>
      <w:r w:rsidRPr="008373B7">
        <w:rPr>
          <w:rFonts w:asciiTheme="majorHAnsi" w:hAnsiTheme="majorHAnsi" w:cstheme="majorHAnsi"/>
          <w:b/>
          <w:color w:val="000000"/>
        </w:rPr>
        <w:t>PASIŪLYMAS</w:t>
      </w:r>
    </w:p>
    <w:p w14:paraId="2E4859F9" w14:textId="77777777" w:rsidR="00C36E59" w:rsidRPr="008373B7" w:rsidRDefault="00A64337" w:rsidP="00A64337">
      <w:pPr>
        <w:spacing w:before="60" w:after="60"/>
        <w:jc w:val="center"/>
        <w:rPr>
          <w:rFonts w:asciiTheme="majorHAnsi" w:hAnsiTheme="majorHAnsi" w:cstheme="majorHAnsi"/>
          <w:color w:val="000000"/>
        </w:rPr>
      </w:pPr>
      <w:r w:rsidRPr="008373B7">
        <w:rPr>
          <w:rFonts w:asciiTheme="majorHAnsi" w:eastAsia="Times New Roman" w:hAnsiTheme="majorHAnsi" w:cstheme="majorHAnsi"/>
          <w:b/>
        </w:rPr>
        <w:t xml:space="preserve">DOKUMENTŲ VALDYMO BENDROSIOS INFORMACINĖS SISTEMOS MOBILIOJO ELEKTRONINIO PARAŠO INFRASTRUKTŪROS PASLAUGOS </w:t>
      </w:r>
      <w:r w:rsidRPr="008373B7">
        <w:rPr>
          <w:rFonts w:asciiTheme="majorHAnsi" w:hAnsiTheme="majorHAnsi" w:cstheme="majorHAnsi"/>
          <w:b/>
          <w:color w:val="000000"/>
        </w:rPr>
        <w:t>(Nr. IRD-A99-136</w:t>
      </w:r>
      <w:r w:rsidRPr="008373B7">
        <w:rPr>
          <w:rFonts w:asciiTheme="majorHAnsi" w:hAnsiTheme="majorHAnsi" w:cstheme="majorHAnsi"/>
          <w:color w:val="000000"/>
        </w:rPr>
        <w:t>)</w:t>
      </w:r>
    </w:p>
    <w:p w14:paraId="28B0661F" w14:textId="77777777" w:rsidR="00A64337" w:rsidRPr="008373B7" w:rsidRDefault="00A64337" w:rsidP="00C36E59">
      <w:pPr>
        <w:jc w:val="center"/>
        <w:rPr>
          <w:rFonts w:asciiTheme="majorHAnsi" w:hAnsiTheme="majorHAnsi" w:cstheme="majorHAnsi"/>
          <w:color w:val="000000"/>
          <w:u w:val="single"/>
        </w:rPr>
      </w:pPr>
    </w:p>
    <w:p w14:paraId="41929438" w14:textId="07FDBAEF" w:rsidR="00214865" w:rsidRPr="0047702F" w:rsidRDefault="00214865" w:rsidP="00214865">
      <w:pPr>
        <w:jc w:val="center"/>
        <w:rPr>
          <w:rFonts w:ascii="Calibri Light" w:hAnsi="Calibri Light" w:cs="Calibri Light"/>
          <w:color w:val="000000"/>
        </w:rPr>
      </w:pPr>
      <w:r>
        <w:rPr>
          <w:rFonts w:ascii="Calibri Light" w:hAnsi="Calibri Light" w:cs="Calibri Light"/>
          <w:color w:val="000000"/>
          <w:u w:val="single"/>
        </w:rPr>
        <w:t>2022 m. lapkričio 15 d.</w:t>
      </w:r>
    </w:p>
    <w:p w14:paraId="2F4CFE83" w14:textId="77777777" w:rsidR="00214865" w:rsidRPr="0047702F" w:rsidRDefault="00214865" w:rsidP="00214865">
      <w:pPr>
        <w:jc w:val="center"/>
        <w:rPr>
          <w:rFonts w:ascii="Calibri Light" w:hAnsi="Calibri Light" w:cs="Calibri Light"/>
          <w:color w:val="000000"/>
        </w:rPr>
      </w:pPr>
      <w:r>
        <w:rPr>
          <w:rFonts w:ascii="Calibri Light" w:hAnsi="Calibri Light" w:cs="Calibri Light"/>
          <w:color w:val="000000"/>
        </w:rPr>
        <w:t>Vilnius</w:t>
      </w:r>
    </w:p>
    <w:p w14:paraId="2C8DD3F5" w14:textId="77777777" w:rsidR="00C36E59" w:rsidRPr="008373B7" w:rsidRDefault="00C36E59" w:rsidP="00C36E59">
      <w:pPr>
        <w:jc w:val="center"/>
        <w:rPr>
          <w:rFonts w:asciiTheme="majorHAnsi" w:hAnsiTheme="majorHAnsi" w:cstheme="majorHAnsi"/>
          <w:color w:val="000000"/>
        </w:rPr>
      </w:pPr>
    </w:p>
    <w:p w14:paraId="580923C3" w14:textId="77777777" w:rsidR="00C36E59" w:rsidRPr="008373B7" w:rsidRDefault="00C36E59" w:rsidP="00C36E59">
      <w:pPr>
        <w:rPr>
          <w:rFonts w:asciiTheme="majorHAnsi" w:hAnsiTheme="majorHAnsi" w:cstheme="majorHAnsi"/>
          <w:b/>
          <w:color w:val="000000"/>
        </w:rPr>
      </w:pPr>
      <w:r w:rsidRPr="008373B7">
        <w:rPr>
          <w:rFonts w:asciiTheme="majorHAnsi" w:hAnsiTheme="majorHAnsi" w:cstheme="majorHAnsi"/>
          <w:b/>
          <w:color w:val="000000"/>
        </w:rPr>
        <w:t>1 lentelė. Tiekėjo rekvizitai.</w:t>
      </w:r>
    </w:p>
    <w:tbl>
      <w:tblPr>
        <w:tblW w:w="49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46"/>
        <w:gridCol w:w="6464"/>
      </w:tblGrid>
      <w:tr w:rsidR="00FF780E" w:rsidRPr="008373B7" w14:paraId="6BF43705" w14:textId="77777777" w:rsidTr="00FF780E">
        <w:tc>
          <w:tcPr>
            <w:tcW w:w="1637" w:type="pct"/>
            <w:shd w:val="clear" w:color="auto" w:fill="F2F2F2"/>
            <w:tcMar>
              <w:top w:w="0" w:type="dxa"/>
              <w:left w:w="108" w:type="dxa"/>
              <w:bottom w:w="0" w:type="dxa"/>
              <w:right w:w="108" w:type="dxa"/>
            </w:tcMar>
            <w:vAlign w:val="center"/>
            <w:hideMark/>
          </w:tcPr>
          <w:p w14:paraId="71ADCDCC" w14:textId="77777777" w:rsidR="00FF780E" w:rsidRPr="008373B7" w:rsidRDefault="00FF780E" w:rsidP="00FF780E">
            <w:pPr>
              <w:spacing w:line="276" w:lineRule="auto"/>
              <w:rPr>
                <w:rFonts w:asciiTheme="majorHAnsi" w:hAnsiTheme="majorHAnsi" w:cstheme="majorHAnsi"/>
                <w:b/>
                <w:bCs/>
              </w:rPr>
            </w:pPr>
            <w:r w:rsidRPr="008373B7">
              <w:rPr>
                <w:rFonts w:asciiTheme="majorHAnsi" w:hAnsiTheme="majorHAnsi" w:cstheme="majorHAnsi"/>
                <w:b/>
                <w:bCs/>
              </w:rPr>
              <w:t>Tiekėjo pavadinimas ir kodas</w:t>
            </w:r>
          </w:p>
        </w:tc>
        <w:tc>
          <w:tcPr>
            <w:tcW w:w="3363" w:type="pct"/>
            <w:vAlign w:val="center"/>
          </w:tcPr>
          <w:p w14:paraId="141EB45F" w14:textId="09FF5DC9" w:rsidR="00FF780E" w:rsidRPr="008373B7" w:rsidRDefault="00FF780E" w:rsidP="00FF780E">
            <w:pPr>
              <w:spacing w:line="276" w:lineRule="auto"/>
              <w:rPr>
                <w:rFonts w:asciiTheme="majorHAnsi" w:hAnsiTheme="majorHAnsi" w:cstheme="majorHAnsi"/>
                <w:i/>
                <w:iCs/>
              </w:rPr>
            </w:pPr>
            <w:r w:rsidRPr="00C005DA">
              <w:rPr>
                <w:rFonts w:ascii="Calibri Light" w:hAnsi="Calibri Light" w:cs="Calibri Light"/>
              </w:rPr>
              <w:t>UAB „Asseco Lietuva”, įm. k. 302631095</w:t>
            </w:r>
          </w:p>
        </w:tc>
      </w:tr>
      <w:tr w:rsidR="00FF780E" w:rsidRPr="008373B7" w14:paraId="612819F9" w14:textId="77777777" w:rsidTr="00FF780E">
        <w:tc>
          <w:tcPr>
            <w:tcW w:w="1637" w:type="pct"/>
            <w:shd w:val="clear" w:color="auto" w:fill="F2F2F2"/>
            <w:tcMar>
              <w:top w:w="0" w:type="dxa"/>
              <w:left w:w="108" w:type="dxa"/>
              <w:bottom w:w="0" w:type="dxa"/>
              <w:right w:w="108" w:type="dxa"/>
            </w:tcMar>
            <w:vAlign w:val="center"/>
            <w:hideMark/>
          </w:tcPr>
          <w:p w14:paraId="12EFA6F1" w14:textId="77777777" w:rsidR="00FF780E" w:rsidRPr="008373B7" w:rsidRDefault="00FF780E" w:rsidP="00FF780E">
            <w:pPr>
              <w:spacing w:line="276" w:lineRule="auto"/>
              <w:rPr>
                <w:rFonts w:asciiTheme="majorHAnsi" w:hAnsiTheme="majorHAnsi" w:cstheme="majorHAnsi"/>
                <w:b/>
                <w:bCs/>
              </w:rPr>
            </w:pPr>
            <w:r w:rsidRPr="008373B7">
              <w:rPr>
                <w:rFonts w:asciiTheme="majorHAnsi" w:hAnsiTheme="majorHAnsi" w:cstheme="majorHAnsi"/>
                <w:b/>
                <w:bCs/>
              </w:rPr>
              <w:t xml:space="preserve">Tiekėjo adresas </w:t>
            </w:r>
          </w:p>
        </w:tc>
        <w:tc>
          <w:tcPr>
            <w:tcW w:w="3363" w:type="pct"/>
            <w:vAlign w:val="center"/>
          </w:tcPr>
          <w:p w14:paraId="3843ADC3" w14:textId="24BD902F" w:rsidR="00FF780E" w:rsidRPr="008373B7" w:rsidRDefault="00FF780E" w:rsidP="00FF780E">
            <w:pPr>
              <w:spacing w:line="276" w:lineRule="auto"/>
              <w:rPr>
                <w:rFonts w:asciiTheme="majorHAnsi" w:hAnsiTheme="majorHAnsi" w:cstheme="majorHAnsi"/>
                <w:i/>
                <w:iCs/>
              </w:rPr>
            </w:pPr>
            <w:r w:rsidRPr="00C005DA">
              <w:rPr>
                <w:rFonts w:ascii="Calibri Light" w:hAnsi="Calibri Light" w:cs="Calibri Light"/>
              </w:rPr>
              <w:t>V. Gerulaičio g. 10, 08200 Vilnius</w:t>
            </w:r>
          </w:p>
        </w:tc>
      </w:tr>
      <w:tr w:rsidR="00FF780E" w:rsidRPr="008373B7" w14:paraId="109C9114" w14:textId="77777777" w:rsidTr="00FF780E">
        <w:tc>
          <w:tcPr>
            <w:tcW w:w="1637" w:type="pct"/>
            <w:shd w:val="clear" w:color="auto" w:fill="F2F2F2"/>
            <w:tcMar>
              <w:top w:w="0" w:type="dxa"/>
              <w:left w:w="108" w:type="dxa"/>
              <w:bottom w:w="0" w:type="dxa"/>
              <w:right w:w="108" w:type="dxa"/>
            </w:tcMar>
            <w:vAlign w:val="center"/>
            <w:hideMark/>
          </w:tcPr>
          <w:p w14:paraId="5A793E3F" w14:textId="77777777" w:rsidR="00FF780E" w:rsidRPr="008373B7" w:rsidRDefault="00FF780E" w:rsidP="00FF780E">
            <w:pPr>
              <w:spacing w:line="276" w:lineRule="auto"/>
              <w:rPr>
                <w:rFonts w:asciiTheme="majorHAnsi" w:hAnsiTheme="majorHAnsi" w:cstheme="majorHAnsi"/>
                <w:b/>
                <w:bCs/>
              </w:rPr>
            </w:pPr>
            <w:r w:rsidRPr="008373B7">
              <w:rPr>
                <w:rFonts w:asciiTheme="majorHAnsi" w:hAnsiTheme="majorHAnsi" w:cstheme="majorHAnsi"/>
                <w:b/>
                <w:bCs/>
              </w:rPr>
              <w:t>PVM mokėtojo kodas</w:t>
            </w:r>
          </w:p>
        </w:tc>
        <w:tc>
          <w:tcPr>
            <w:tcW w:w="3363" w:type="pct"/>
            <w:vAlign w:val="center"/>
          </w:tcPr>
          <w:p w14:paraId="6D36D80E" w14:textId="17511C57" w:rsidR="00FF780E" w:rsidRPr="008373B7" w:rsidRDefault="00FF780E" w:rsidP="00FF780E">
            <w:pPr>
              <w:spacing w:line="276" w:lineRule="auto"/>
              <w:rPr>
                <w:rFonts w:asciiTheme="majorHAnsi" w:hAnsiTheme="majorHAnsi" w:cstheme="majorHAnsi"/>
                <w:i/>
                <w:iCs/>
              </w:rPr>
            </w:pPr>
            <w:r w:rsidRPr="00C005DA">
              <w:rPr>
                <w:rFonts w:ascii="Calibri Light" w:hAnsi="Calibri Light" w:cs="Calibri Light"/>
              </w:rPr>
              <w:t>LT100006181715</w:t>
            </w:r>
          </w:p>
        </w:tc>
      </w:tr>
      <w:tr w:rsidR="00FF780E" w:rsidRPr="008373B7" w14:paraId="746E1F90" w14:textId="77777777" w:rsidTr="00FF780E">
        <w:tc>
          <w:tcPr>
            <w:tcW w:w="1637" w:type="pct"/>
            <w:shd w:val="clear" w:color="auto" w:fill="F2F2F2"/>
            <w:tcMar>
              <w:top w:w="0" w:type="dxa"/>
              <w:left w:w="108" w:type="dxa"/>
              <w:bottom w:w="0" w:type="dxa"/>
              <w:right w:w="108" w:type="dxa"/>
            </w:tcMar>
            <w:vAlign w:val="center"/>
            <w:hideMark/>
          </w:tcPr>
          <w:p w14:paraId="61767552" w14:textId="77777777" w:rsidR="00FF780E" w:rsidRPr="008373B7" w:rsidRDefault="00FF780E" w:rsidP="00FF780E">
            <w:pPr>
              <w:spacing w:line="276" w:lineRule="auto"/>
              <w:rPr>
                <w:rFonts w:asciiTheme="majorHAnsi" w:hAnsiTheme="majorHAnsi" w:cstheme="majorHAnsi"/>
                <w:b/>
                <w:bCs/>
              </w:rPr>
            </w:pPr>
            <w:r w:rsidRPr="008373B7">
              <w:rPr>
                <w:rFonts w:asciiTheme="majorHAnsi" w:hAnsiTheme="majorHAnsi" w:cstheme="majorHAnsi"/>
                <w:b/>
                <w:bCs/>
              </w:rPr>
              <w:t>Bankas ir sąskaitos numeris</w:t>
            </w:r>
          </w:p>
        </w:tc>
        <w:tc>
          <w:tcPr>
            <w:tcW w:w="3363" w:type="pct"/>
            <w:vAlign w:val="center"/>
          </w:tcPr>
          <w:p w14:paraId="115BE672" w14:textId="1DB8F11A" w:rsidR="00FF780E" w:rsidRPr="008373B7" w:rsidRDefault="00FF780E" w:rsidP="00FF780E">
            <w:pPr>
              <w:spacing w:line="276" w:lineRule="auto"/>
              <w:ind w:left="34"/>
              <w:rPr>
                <w:rFonts w:asciiTheme="majorHAnsi" w:hAnsiTheme="majorHAnsi" w:cstheme="majorHAnsi"/>
                <w:i/>
                <w:iCs/>
              </w:rPr>
            </w:pPr>
            <w:r w:rsidRPr="0016343C">
              <w:rPr>
                <w:rFonts w:ascii="Calibri Light" w:hAnsi="Calibri Light" w:cs="Calibri Light"/>
              </w:rPr>
              <w:t>AB SEB bankas</w:t>
            </w:r>
            <w:r>
              <w:rPr>
                <w:rFonts w:ascii="Calibri Light" w:hAnsi="Calibri Light" w:cs="Calibri Light"/>
              </w:rPr>
              <w:t xml:space="preserve">, </w:t>
            </w:r>
            <w:r w:rsidRPr="0016343C">
              <w:rPr>
                <w:rFonts w:ascii="Calibri Light" w:hAnsi="Calibri Light" w:cs="Calibri Light"/>
              </w:rPr>
              <w:t>a.s.</w:t>
            </w:r>
            <w:r>
              <w:rPr>
                <w:rFonts w:ascii="Calibri Light" w:hAnsi="Calibri Light" w:cs="Calibri Light"/>
              </w:rPr>
              <w:t xml:space="preserve"> </w:t>
            </w:r>
            <w:r w:rsidRPr="0016343C">
              <w:rPr>
                <w:rFonts w:ascii="Calibri Light" w:hAnsi="Calibri Light" w:cs="Calibri Light"/>
              </w:rPr>
              <w:t>LT64 7044 0600 0770 5693</w:t>
            </w:r>
          </w:p>
        </w:tc>
      </w:tr>
      <w:tr w:rsidR="00FF780E" w:rsidRPr="008373B7" w14:paraId="4A7164F5" w14:textId="77777777" w:rsidTr="00FF780E">
        <w:tc>
          <w:tcPr>
            <w:tcW w:w="1637" w:type="pct"/>
            <w:shd w:val="clear" w:color="auto" w:fill="F2F2F2"/>
            <w:tcMar>
              <w:top w:w="0" w:type="dxa"/>
              <w:left w:w="108" w:type="dxa"/>
              <w:bottom w:w="0" w:type="dxa"/>
              <w:right w:w="108" w:type="dxa"/>
            </w:tcMar>
            <w:vAlign w:val="center"/>
            <w:hideMark/>
          </w:tcPr>
          <w:p w14:paraId="3FBDC4B5" w14:textId="77777777" w:rsidR="00FF780E" w:rsidRPr="008373B7" w:rsidRDefault="00FF780E" w:rsidP="00FF780E">
            <w:pPr>
              <w:spacing w:line="276" w:lineRule="auto"/>
              <w:rPr>
                <w:rFonts w:asciiTheme="majorHAnsi" w:hAnsiTheme="majorHAnsi" w:cstheme="majorHAnsi"/>
                <w:b/>
                <w:bCs/>
              </w:rPr>
            </w:pPr>
            <w:r w:rsidRPr="008373B7">
              <w:rPr>
                <w:rFonts w:asciiTheme="majorHAnsi" w:hAnsiTheme="majorHAnsi" w:cstheme="majorHAnsi"/>
                <w:b/>
                <w:bCs/>
              </w:rPr>
              <w:t xml:space="preserve">Telefono Nr., internetinis puslapis, el. paštas </w:t>
            </w:r>
          </w:p>
        </w:tc>
        <w:tc>
          <w:tcPr>
            <w:tcW w:w="3363" w:type="pct"/>
            <w:vAlign w:val="center"/>
          </w:tcPr>
          <w:p w14:paraId="756F7172" w14:textId="5B062E76" w:rsidR="00FF780E" w:rsidRPr="008373B7" w:rsidRDefault="00FF780E" w:rsidP="00FF780E">
            <w:pPr>
              <w:spacing w:line="276" w:lineRule="auto"/>
              <w:ind w:left="34"/>
              <w:rPr>
                <w:rFonts w:asciiTheme="majorHAnsi" w:hAnsiTheme="majorHAnsi" w:cstheme="majorHAnsi"/>
                <w:i/>
                <w:iCs/>
              </w:rPr>
            </w:pPr>
            <w:r>
              <w:rPr>
                <w:rFonts w:ascii="Calibri Light" w:hAnsi="Calibri Light" w:cs="Calibri Light"/>
              </w:rPr>
              <w:t xml:space="preserve">+370 5 210 2400, </w:t>
            </w:r>
            <w:hyperlink r:id="rId8" w:history="1">
              <w:r w:rsidRPr="00BA6F9F">
                <w:rPr>
                  <w:rStyle w:val="Hipersaitas"/>
                  <w:rFonts w:ascii="Calibri Light" w:hAnsi="Calibri Light" w:cs="Calibri Light"/>
                </w:rPr>
                <w:t>https://lt.asseco.com/</w:t>
              </w:r>
            </w:hyperlink>
            <w:r>
              <w:rPr>
                <w:rFonts w:ascii="Calibri Light" w:hAnsi="Calibri Light" w:cs="Calibri Light"/>
              </w:rPr>
              <w:t xml:space="preserve">, </w:t>
            </w:r>
            <w:hyperlink r:id="rId9" w:history="1">
              <w:r w:rsidRPr="00BA6F9F">
                <w:rPr>
                  <w:rStyle w:val="Hipersaitas"/>
                  <w:rFonts w:ascii="Calibri Light" w:hAnsi="Calibri Light" w:cs="Calibri Light"/>
                </w:rPr>
                <w:t>info@asseco.lt</w:t>
              </w:r>
            </w:hyperlink>
            <w:r>
              <w:rPr>
                <w:rFonts w:ascii="Calibri Light" w:hAnsi="Calibri Light" w:cs="Calibri Light"/>
              </w:rPr>
              <w:t xml:space="preserve">  </w:t>
            </w:r>
          </w:p>
        </w:tc>
      </w:tr>
      <w:tr w:rsidR="00FF780E" w:rsidRPr="008373B7" w14:paraId="2A62A4A0" w14:textId="77777777" w:rsidTr="00FF780E">
        <w:tc>
          <w:tcPr>
            <w:tcW w:w="1637" w:type="pct"/>
            <w:shd w:val="clear" w:color="auto" w:fill="F2F2F2"/>
            <w:tcMar>
              <w:top w:w="0" w:type="dxa"/>
              <w:left w:w="108" w:type="dxa"/>
              <w:bottom w:w="0" w:type="dxa"/>
              <w:right w:w="108" w:type="dxa"/>
            </w:tcMar>
            <w:vAlign w:val="center"/>
            <w:hideMark/>
          </w:tcPr>
          <w:p w14:paraId="7B3AEE6E" w14:textId="77777777" w:rsidR="00FF780E" w:rsidRPr="008373B7" w:rsidRDefault="00FF780E" w:rsidP="00FF780E">
            <w:pPr>
              <w:spacing w:line="276" w:lineRule="auto"/>
              <w:rPr>
                <w:rFonts w:asciiTheme="majorHAnsi" w:hAnsiTheme="majorHAnsi" w:cstheme="majorHAnsi"/>
                <w:b/>
                <w:bCs/>
              </w:rPr>
            </w:pPr>
            <w:r w:rsidRPr="008373B7">
              <w:rPr>
                <w:rFonts w:asciiTheme="majorHAnsi" w:hAnsiTheme="majorHAnsi" w:cstheme="majorHAnsi"/>
                <w:b/>
                <w:bCs/>
                <w:color w:val="00000A"/>
              </w:rPr>
              <w:t>Asmens, pateikusio pasiūlymą, vardas, pavardė, pareigos</w:t>
            </w:r>
          </w:p>
        </w:tc>
        <w:tc>
          <w:tcPr>
            <w:tcW w:w="3363" w:type="pct"/>
            <w:vAlign w:val="center"/>
          </w:tcPr>
          <w:p w14:paraId="330EFC53" w14:textId="173151AA" w:rsidR="00FF780E" w:rsidRPr="008373B7" w:rsidRDefault="00FF780E" w:rsidP="00FF780E">
            <w:pPr>
              <w:spacing w:line="276" w:lineRule="auto"/>
              <w:ind w:left="34"/>
              <w:rPr>
                <w:rFonts w:asciiTheme="majorHAnsi" w:hAnsiTheme="majorHAnsi" w:cstheme="majorHAnsi"/>
                <w:i/>
                <w:iCs/>
              </w:rPr>
            </w:pPr>
            <w:r>
              <w:rPr>
                <w:rFonts w:ascii="Calibri Light" w:hAnsi="Calibri Light" w:cs="Calibri Light"/>
              </w:rPr>
              <w:t>Albertas Šermokas, generalinis direktorius</w:t>
            </w:r>
          </w:p>
        </w:tc>
      </w:tr>
      <w:tr w:rsidR="00FF780E" w:rsidRPr="008373B7" w14:paraId="4F7A8567" w14:textId="77777777" w:rsidTr="00FF780E">
        <w:tc>
          <w:tcPr>
            <w:tcW w:w="1637" w:type="pct"/>
            <w:shd w:val="clear" w:color="auto" w:fill="F2F2F2"/>
            <w:tcMar>
              <w:top w:w="0" w:type="dxa"/>
              <w:left w:w="108" w:type="dxa"/>
              <w:bottom w:w="0" w:type="dxa"/>
              <w:right w:w="108" w:type="dxa"/>
            </w:tcMar>
            <w:vAlign w:val="center"/>
            <w:hideMark/>
          </w:tcPr>
          <w:p w14:paraId="25524D84" w14:textId="77777777" w:rsidR="00FF780E" w:rsidRPr="008373B7" w:rsidRDefault="00FF780E" w:rsidP="00FF780E">
            <w:pPr>
              <w:spacing w:line="276" w:lineRule="auto"/>
              <w:jc w:val="both"/>
              <w:rPr>
                <w:rFonts w:asciiTheme="majorHAnsi" w:hAnsiTheme="majorHAnsi" w:cstheme="majorHAnsi"/>
                <w:b/>
                <w:bCs/>
                <w:color w:val="00000A"/>
              </w:rPr>
            </w:pPr>
            <w:r w:rsidRPr="008373B7">
              <w:rPr>
                <w:rFonts w:asciiTheme="majorHAnsi" w:hAnsiTheme="majorHAnsi" w:cstheme="majorHAnsi"/>
                <w:b/>
                <w:bCs/>
                <w:color w:val="00000A"/>
              </w:rPr>
              <w:t>Ryšiams palaikyti skiriamo asmens vardas, pavardė, pareigos ir kontaktiniai telefonai</w:t>
            </w:r>
          </w:p>
        </w:tc>
        <w:tc>
          <w:tcPr>
            <w:tcW w:w="3363" w:type="pct"/>
            <w:vAlign w:val="center"/>
          </w:tcPr>
          <w:p w14:paraId="5B848B6C" w14:textId="5A16B6B4" w:rsidR="00FF780E" w:rsidRPr="008373B7" w:rsidRDefault="00FF780E" w:rsidP="00FF780E">
            <w:pPr>
              <w:spacing w:line="276" w:lineRule="auto"/>
              <w:ind w:left="34"/>
              <w:rPr>
                <w:rFonts w:asciiTheme="majorHAnsi" w:hAnsiTheme="majorHAnsi" w:cstheme="majorHAnsi"/>
                <w:i/>
                <w:iCs/>
              </w:rPr>
            </w:pPr>
            <w:r>
              <w:rPr>
                <w:rFonts w:ascii="Calibri Light" w:hAnsi="Calibri Light" w:cs="Calibri Light"/>
              </w:rPr>
              <w:t xml:space="preserve">Juozas Čėglys, DVS diegimo ir priežiūros srities vadovas, tel. +370 633 22442, el. p. adresas </w:t>
            </w:r>
            <w:hyperlink r:id="rId10" w:history="1">
              <w:r w:rsidRPr="00BA6F9F">
                <w:rPr>
                  <w:rStyle w:val="Hipersaitas"/>
                  <w:rFonts w:ascii="Calibri Light" w:hAnsi="Calibri Light" w:cs="Calibri Light"/>
                </w:rPr>
                <w:t>juozas.ceglys@asseco.lt</w:t>
              </w:r>
            </w:hyperlink>
            <w:r>
              <w:rPr>
                <w:rFonts w:ascii="Calibri Light" w:hAnsi="Calibri Light" w:cs="Calibri Light"/>
              </w:rPr>
              <w:t xml:space="preserve"> </w:t>
            </w:r>
          </w:p>
        </w:tc>
      </w:tr>
    </w:tbl>
    <w:p w14:paraId="2A5CA3D9" w14:textId="77777777" w:rsidR="00C36E59" w:rsidRPr="008373B7" w:rsidRDefault="00C36E59" w:rsidP="00C36E59">
      <w:pPr>
        <w:tabs>
          <w:tab w:val="left" w:pos="851"/>
        </w:tabs>
        <w:jc w:val="center"/>
        <w:rPr>
          <w:rFonts w:asciiTheme="majorHAnsi" w:hAnsiTheme="majorHAnsi" w:cstheme="majorHAnsi"/>
          <w:b/>
        </w:rPr>
      </w:pPr>
    </w:p>
    <w:p w14:paraId="3F069718" w14:textId="77777777" w:rsidR="00B46A6F" w:rsidRPr="008373B7" w:rsidRDefault="00B46A6F" w:rsidP="00B46A6F">
      <w:pPr>
        <w:rPr>
          <w:rFonts w:asciiTheme="majorHAnsi" w:hAnsiTheme="majorHAnsi" w:cstheme="majorHAnsi"/>
        </w:rPr>
      </w:pPr>
      <w:r w:rsidRPr="008373B7">
        <w:rPr>
          <w:rFonts w:asciiTheme="majorHAnsi" w:hAnsiTheme="majorHAnsi" w:cstheme="majorHAnsi"/>
          <w:b/>
        </w:rPr>
        <w:t>2</w:t>
      </w:r>
      <w:r w:rsidR="00F05AED" w:rsidRPr="008373B7">
        <w:rPr>
          <w:rFonts w:asciiTheme="majorHAnsi" w:hAnsiTheme="majorHAnsi" w:cstheme="majorHAnsi"/>
          <w:b/>
        </w:rPr>
        <w:t xml:space="preserve"> lentelė. Finansinis pasiūlymas.</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4"/>
        <w:gridCol w:w="3830"/>
        <w:gridCol w:w="1744"/>
        <w:gridCol w:w="1744"/>
        <w:gridCol w:w="1732"/>
      </w:tblGrid>
      <w:tr w:rsidR="00B70B7B" w:rsidRPr="008373B7" w14:paraId="01E7B6B3" w14:textId="77777777" w:rsidTr="00B70B7B">
        <w:trPr>
          <w:trHeight w:val="20"/>
        </w:trPr>
        <w:tc>
          <w:tcPr>
            <w:tcW w:w="303" w:type="pct"/>
            <w:shd w:val="clear" w:color="auto" w:fill="F2F2F2" w:themeFill="background1" w:themeFillShade="F2"/>
            <w:vAlign w:val="center"/>
          </w:tcPr>
          <w:p w14:paraId="7ADF56B2" w14:textId="77777777" w:rsidR="00B70B7B" w:rsidRPr="008373B7" w:rsidRDefault="00B70B7B" w:rsidP="001321A7">
            <w:pPr>
              <w:jc w:val="center"/>
              <w:rPr>
                <w:rFonts w:asciiTheme="majorHAnsi" w:hAnsiTheme="majorHAnsi" w:cstheme="majorHAnsi"/>
                <w:b/>
              </w:rPr>
            </w:pPr>
            <w:r w:rsidRPr="008373B7">
              <w:rPr>
                <w:rFonts w:asciiTheme="majorHAnsi" w:hAnsiTheme="majorHAnsi" w:cstheme="majorHAnsi"/>
                <w:b/>
              </w:rPr>
              <w:t>Eil.</w:t>
            </w:r>
          </w:p>
          <w:p w14:paraId="650DE8D7" w14:textId="77777777" w:rsidR="00B70B7B" w:rsidRPr="008373B7" w:rsidRDefault="00B70B7B" w:rsidP="001321A7">
            <w:pPr>
              <w:jc w:val="center"/>
              <w:rPr>
                <w:rFonts w:asciiTheme="majorHAnsi" w:hAnsiTheme="majorHAnsi" w:cstheme="majorHAnsi"/>
                <w:b/>
              </w:rPr>
            </w:pPr>
            <w:r w:rsidRPr="008373B7">
              <w:rPr>
                <w:rFonts w:asciiTheme="majorHAnsi" w:hAnsiTheme="majorHAnsi" w:cstheme="majorHAnsi"/>
                <w:b/>
              </w:rPr>
              <w:t>Nr.</w:t>
            </w:r>
          </w:p>
        </w:tc>
        <w:tc>
          <w:tcPr>
            <w:tcW w:w="1988" w:type="pct"/>
            <w:shd w:val="clear" w:color="auto" w:fill="F2F2F2" w:themeFill="background1" w:themeFillShade="F2"/>
            <w:vAlign w:val="center"/>
          </w:tcPr>
          <w:p w14:paraId="61AA7BCF" w14:textId="77777777" w:rsidR="00B70B7B" w:rsidRPr="008373B7" w:rsidRDefault="00B70B7B" w:rsidP="001321A7">
            <w:pPr>
              <w:jc w:val="center"/>
              <w:rPr>
                <w:rFonts w:asciiTheme="majorHAnsi" w:hAnsiTheme="majorHAnsi" w:cstheme="majorHAnsi"/>
                <w:b/>
              </w:rPr>
            </w:pPr>
            <w:r w:rsidRPr="008373B7">
              <w:rPr>
                <w:rFonts w:asciiTheme="majorHAnsi" w:hAnsiTheme="majorHAnsi" w:cstheme="majorHAnsi"/>
                <w:b/>
              </w:rPr>
              <w:t>Paslaugos pavadinimas</w:t>
            </w:r>
          </w:p>
          <w:p w14:paraId="645CB021" w14:textId="77777777" w:rsidR="00B70B7B" w:rsidRPr="008373B7" w:rsidRDefault="00B70B7B" w:rsidP="001321A7">
            <w:pPr>
              <w:jc w:val="center"/>
              <w:rPr>
                <w:rFonts w:asciiTheme="majorHAnsi" w:hAnsiTheme="majorHAnsi" w:cstheme="majorHAnsi"/>
                <w:b/>
              </w:rPr>
            </w:pPr>
          </w:p>
        </w:tc>
        <w:tc>
          <w:tcPr>
            <w:tcW w:w="905" w:type="pct"/>
            <w:shd w:val="clear" w:color="auto" w:fill="F2F2F2" w:themeFill="background1" w:themeFillShade="F2"/>
          </w:tcPr>
          <w:p w14:paraId="7CB550C0" w14:textId="77777777" w:rsidR="00B70B7B" w:rsidRPr="00B70B7B" w:rsidRDefault="00B70B7B" w:rsidP="00B70B7B">
            <w:pPr>
              <w:jc w:val="center"/>
              <w:rPr>
                <w:rFonts w:asciiTheme="majorHAnsi" w:hAnsiTheme="majorHAnsi" w:cstheme="majorHAnsi"/>
                <w:b/>
                <w:bCs/>
              </w:rPr>
            </w:pPr>
            <w:r w:rsidRPr="00B70B7B">
              <w:rPr>
                <w:rFonts w:asciiTheme="majorHAnsi" w:hAnsiTheme="majorHAnsi" w:cstheme="majorHAnsi"/>
                <w:b/>
                <w:bCs/>
              </w:rPr>
              <w:t>Paslaugos suteikimo kiekis per mėn.,</w:t>
            </w:r>
          </w:p>
          <w:p w14:paraId="25AEB898" w14:textId="52E7CED5" w:rsidR="00B70B7B" w:rsidRPr="008373B7" w:rsidRDefault="00B70B7B" w:rsidP="00B70B7B">
            <w:pPr>
              <w:jc w:val="center"/>
              <w:rPr>
                <w:rFonts w:asciiTheme="majorHAnsi" w:hAnsiTheme="majorHAnsi" w:cstheme="majorHAnsi"/>
                <w:b/>
                <w:bCs/>
              </w:rPr>
            </w:pPr>
            <w:r w:rsidRPr="00B70B7B">
              <w:rPr>
                <w:rFonts w:asciiTheme="majorHAnsi" w:hAnsiTheme="majorHAnsi" w:cstheme="majorHAnsi"/>
                <w:b/>
                <w:bCs/>
              </w:rPr>
              <w:t>vnt.</w:t>
            </w:r>
          </w:p>
        </w:tc>
        <w:tc>
          <w:tcPr>
            <w:tcW w:w="905" w:type="pct"/>
            <w:shd w:val="clear" w:color="auto" w:fill="F2F2F2" w:themeFill="background1" w:themeFillShade="F2"/>
            <w:vAlign w:val="center"/>
          </w:tcPr>
          <w:p w14:paraId="21F9A8FB" w14:textId="6ACF16E8" w:rsidR="00B70B7B" w:rsidRPr="008373B7" w:rsidRDefault="00B70B7B" w:rsidP="00607EB6">
            <w:pPr>
              <w:jc w:val="center"/>
              <w:rPr>
                <w:rFonts w:asciiTheme="majorHAnsi" w:hAnsiTheme="majorHAnsi" w:cstheme="majorHAnsi"/>
                <w:b/>
                <w:bCs/>
              </w:rPr>
            </w:pPr>
            <w:r w:rsidRPr="008373B7">
              <w:rPr>
                <w:rFonts w:asciiTheme="majorHAnsi" w:hAnsiTheme="majorHAnsi" w:cstheme="majorHAnsi"/>
                <w:b/>
                <w:bCs/>
              </w:rPr>
              <w:t>Vienos paslaugos įkainis, EUR be PVM</w:t>
            </w:r>
          </w:p>
        </w:tc>
        <w:tc>
          <w:tcPr>
            <w:tcW w:w="899" w:type="pct"/>
            <w:shd w:val="clear" w:color="auto" w:fill="F2F2F2" w:themeFill="background1" w:themeFillShade="F2"/>
            <w:vAlign w:val="center"/>
          </w:tcPr>
          <w:p w14:paraId="01D45E0F" w14:textId="77777777" w:rsidR="00B70B7B" w:rsidRPr="008373B7" w:rsidRDefault="00B70B7B" w:rsidP="00794499">
            <w:pPr>
              <w:jc w:val="center"/>
              <w:rPr>
                <w:rFonts w:asciiTheme="majorHAnsi" w:hAnsiTheme="majorHAnsi" w:cstheme="majorHAnsi"/>
                <w:b/>
                <w:bCs/>
              </w:rPr>
            </w:pPr>
            <w:r w:rsidRPr="008373B7">
              <w:rPr>
                <w:rFonts w:asciiTheme="majorHAnsi" w:hAnsiTheme="majorHAnsi" w:cstheme="majorHAnsi"/>
                <w:b/>
                <w:bCs/>
              </w:rPr>
              <w:t>Vienos paslaugos įkainis, EUR su PVM*</w:t>
            </w:r>
          </w:p>
          <w:p w14:paraId="4B2913C1" w14:textId="77777777" w:rsidR="00B70B7B" w:rsidRPr="008373B7" w:rsidRDefault="00B70B7B" w:rsidP="001321A7">
            <w:pPr>
              <w:jc w:val="center"/>
              <w:rPr>
                <w:rFonts w:asciiTheme="majorHAnsi" w:hAnsiTheme="majorHAnsi" w:cstheme="majorHAnsi"/>
                <w:b/>
                <w:bCs/>
              </w:rPr>
            </w:pPr>
          </w:p>
        </w:tc>
      </w:tr>
      <w:tr w:rsidR="00B70B7B" w:rsidRPr="008373B7" w14:paraId="2A6D2AAE" w14:textId="77777777" w:rsidTr="00B70B7B">
        <w:trPr>
          <w:trHeight w:val="296"/>
        </w:trPr>
        <w:tc>
          <w:tcPr>
            <w:tcW w:w="303" w:type="pct"/>
            <w:shd w:val="clear" w:color="auto" w:fill="auto"/>
            <w:vAlign w:val="center"/>
          </w:tcPr>
          <w:p w14:paraId="3158A481" w14:textId="77777777" w:rsidR="00B70B7B" w:rsidRPr="008373B7" w:rsidRDefault="00B70B7B" w:rsidP="00591B0A">
            <w:pPr>
              <w:jc w:val="center"/>
              <w:rPr>
                <w:rFonts w:asciiTheme="majorHAnsi" w:hAnsiTheme="majorHAnsi" w:cstheme="majorHAnsi"/>
              </w:rPr>
            </w:pPr>
            <w:r w:rsidRPr="008373B7">
              <w:rPr>
                <w:rFonts w:asciiTheme="majorHAnsi" w:hAnsiTheme="majorHAnsi" w:cstheme="majorHAnsi"/>
              </w:rPr>
              <w:t>1</w:t>
            </w:r>
          </w:p>
        </w:tc>
        <w:tc>
          <w:tcPr>
            <w:tcW w:w="1988" w:type="pct"/>
            <w:shd w:val="clear" w:color="auto" w:fill="auto"/>
            <w:vAlign w:val="center"/>
          </w:tcPr>
          <w:p w14:paraId="30ABBA8A" w14:textId="77777777" w:rsidR="00B70B7B" w:rsidRPr="008373B7" w:rsidRDefault="00B70B7B" w:rsidP="00591B0A">
            <w:pPr>
              <w:autoSpaceDE w:val="0"/>
              <w:autoSpaceDN w:val="0"/>
              <w:jc w:val="center"/>
              <w:rPr>
                <w:rFonts w:asciiTheme="majorHAnsi" w:hAnsiTheme="majorHAnsi" w:cstheme="majorHAnsi"/>
              </w:rPr>
            </w:pPr>
            <w:r w:rsidRPr="008373B7">
              <w:rPr>
                <w:rFonts w:asciiTheme="majorHAnsi" w:hAnsiTheme="majorHAnsi" w:cstheme="majorHAnsi"/>
                <w:color w:val="000000"/>
                <w:lang w:eastAsia="lt-LT"/>
              </w:rPr>
              <w:t>2</w:t>
            </w:r>
          </w:p>
        </w:tc>
        <w:tc>
          <w:tcPr>
            <w:tcW w:w="905" w:type="pct"/>
          </w:tcPr>
          <w:p w14:paraId="1BD9128A" w14:textId="21F6AF9A" w:rsidR="00B70B7B" w:rsidRDefault="00B70B7B" w:rsidP="00A55AE1">
            <w:pPr>
              <w:jc w:val="center"/>
              <w:rPr>
                <w:rFonts w:asciiTheme="majorHAnsi" w:hAnsiTheme="majorHAnsi" w:cstheme="majorHAnsi"/>
              </w:rPr>
            </w:pPr>
            <w:r>
              <w:rPr>
                <w:rFonts w:asciiTheme="majorHAnsi" w:hAnsiTheme="majorHAnsi" w:cstheme="majorHAnsi"/>
              </w:rPr>
              <w:t>3</w:t>
            </w:r>
          </w:p>
        </w:tc>
        <w:tc>
          <w:tcPr>
            <w:tcW w:w="905" w:type="pct"/>
          </w:tcPr>
          <w:p w14:paraId="3332B26B" w14:textId="22A5461B" w:rsidR="00B70B7B" w:rsidRPr="008373B7" w:rsidRDefault="00B70B7B" w:rsidP="00A55AE1">
            <w:pPr>
              <w:jc w:val="center"/>
              <w:rPr>
                <w:rFonts w:asciiTheme="majorHAnsi" w:hAnsiTheme="majorHAnsi" w:cstheme="majorHAnsi"/>
              </w:rPr>
            </w:pPr>
            <w:r>
              <w:rPr>
                <w:rFonts w:asciiTheme="majorHAnsi" w:hAnsiTheme="majorHAnsi" w:cstheme="majorHAnsi"/>
              </w:rPr>
              <w:t>4</w:t>
            </w:r>
          </w:p>
        </w:tc>
        <w:tc>
          <w:tcPr>
            <w:tcW w:w="899" w:type="pct"/>
          </w:tcPr>
          <w:p w14:paraId="3AF37F73" w14:textId="610163C8" w:rsidR="00B70B7B" w:rsidRPr="008373B7" w:rsidRDefault="00B70B7B" w:rsidP="00591B0A">
            <w:pPr>
              <w:jc w:val="center"/>
              <w:rPr>
                <w:rFonts w:asciiTheme="majorHAnsi" w:hAnsiTheme="majorHAnsi" w:cstheme="majorHAnsi"/>
              </w:rPr>
            </w:pPr>
            <w:r>
              <w:rPr>
                <w:rFonts w:asciiTheme="majorHAnsi" w:hAnsiTheme="majorHAnsi" w:cstheme="majorHAnsi"/>
              </w:rPr>
              <w:t>5</w:t>
            </w:r>
          </w:p>
        </w:tc>
      </w:tr>
      <w:tr w:rsidR="00B70B7B" w:rsidRPr="000A68BF" w14:paraId="23939114" w14:textId="77777777" w:rsidTr="00AB42C5">
        <w:trPr>
          <w:trHeight w:val="571"/>
        </w:trPr>
        <w:tc>
          <w:tcPr>
            <w:tcW w:w="303" w:type="pct"/>
            <w:vMerge w:val="restart"/>
            <w:shd w:val="clear" w:color="auto" w:fill="auto"/>
            <w:vAlign w:val="center"/>
          </w:tcPr>
          <w:p w14:paraId="390B2F20" w14:textId="77777777" w:rsidR="00B70B7B" w:rsidRPr="000A68BF" w:rsidRDefault="00B70B7B" w:rsidP="00591B0A">
            <w:pPr>
              <w:jc w:val="center"/>
              <w:rPr>
                <w:rFonts w:asciiTheme="majorHAnsi" w:hAnsiTheme="majorHAnsi" w:cstheme="majorHAnsi"/>
              </w:rPr>
            </w:pPr>
            <w:r w:rsidRPr="000A68BF">
              <w:rPr>
                <w:rFonts w:asciiTheme="majorHAnsi" w:hAnsiTheme="majorHAnsi" w:cstheme="majorHAnsi"/>
              </w:rPr>
              <w:t>1.</w:t>
            </w:r>
          </w:p>
        </w:tc>
        <w:tc>
          <w:tcPr>
            <w:tcW w:w="1988" w:type="pct"/>
            <w:vMerge w:val="restart"/>
            <w:shd w:val="clear" w:color="auto" w:fill="auto"/>
            <w:vAlign w:val="center"/>
          </w:tcPr>
          <w:p w14:paraId="7D1BB743" w14:textId="77777777" w:rsidR="00B70B7B" w:rsidRPr="000A68BF" w:rsidRDefault="00B70B7B" w:rsidP="006B17A0">
            <w:pPr>
              <w:tabs>
                <w:tab w:val="left" w:pos="567"/>
              </w:tabs>
              <w:jc w:val="both"/>
              <w:rPr>
                <w:rFonts w:asciiTheme="majorHAnsi" w:hAnsiTheme="majorHAnsi" w:cstheme="majorHAnsi"/>
              </w:rPr>
            </w:pPr>
            <w:r w:rsidRPr="000A68BF">
              <w:rPr>
                <w:rFonts w:asciiTheme="majorHAnsi" w:hAnsiTheme="majorHAnsi" w:cstheme="majorHAnsi"/>
              </w:rPr>
              <w:t>Dokumentų valdymo bendrosios informacinės sistemos mobiliojo elektroninio parašo infrastruktūros paslaugos</w:t>
            </w:r>
          </w:p>
        </w:tc>
        <w:tc>
          <w:tcPr>
            <w:tcW w:w="905" w:type="pct"/>
          </w:tcPr>
          <w:p w14:paraId="7A1E3D6D" w14:textId="01528DEC" w:rsidR="00B70B7B" w:rsidRPr="000A68BF" w:rsidRDefault="003214CB" w:rsidP="00591B0A">
            <w:pPr>
              <w:jc w:val="center"/>
              <w:rPr>
                <w:rFonts w:asciiTheme="majorHAnsi" w:hAnsiTheme="majorHAnsi" w:cstheme="majorHAnsi"/>
              </w:rPr>
            </w:pPr>
            <w:r w:rsidRPr="000A68BF">
              <w:rPr>
                <w:rFonts w:asciiTheme="majorHAnsi" w:hAnsiTheme="majorHAnsi" w:cstheme="majorHAnsi"/>
              </w:rPr>
              <w:t xml:space="preserve">20 000 </w:t>
            </w:r>
            <w:r w:rsidR="00AB42C5" w:rsidRPr="000A68BF">
              <w:rPr>
                <w:rFonts w:asciiTheme="majorHAnsi" w:hAnsiTheme="majorHAnsi" w:cstheme="majorHAnsi"/>
              </w:rPr>
              <w:t>– 100 000</w:t>
            </w:r>
          </w:p>
        </w:tc>
        <w:tc>
          <w:tcPr>
            <w:tcW w:w="905" w:type="pct"/>
          </w:tcPr>
          <w:p w14:paraId="592A8A6C" w14:textId="051B9E0D" w:rsidR="00B70B7B" w:rsidRPr="000A68BF" w:rsidRDefault="00FF780E" w:rsidP="00591B0A">
            <w:pPr>
              <w:jc w:val="center"/>
              <w:rPr>
                <w:rFonts w:asciiTheme="majorHAnsi" w:hAnsiTheme="majorHAnsi" w:cstheme="majorHAnsi"/>
              </w:rPr>
            </w:pPr>
            <w:r w:rsidRPr="00FF780E">
              <w:rPr>
                <w:rFonts w:asciiTheme="majorHAnsi" w:hAnsiTheme="majorHAnsi" w:cstheme="majorHAnsi"/>
              </w:rPr>
              <w:t>0,03</w:t>
            </w:r>
          </w:p>
        </w:tc>
        <w:tc>
          <w:tcPr>
            <w:tcW w:w="899" w:type="pct"/>
          </w:tcPr>
          <w:p w14:paraId="500D26BA" w14:textId="09AE7719" w:rsidR="00B70B7B" w:rsidRPr="000A68BF" w:rsidRDefault="00196F71" w:rsidP="00591B0A">
            <w:pPr>
              <w:jc w:val="center"/>
              <w:rPr>
                <w:rFonts w:asciiTheme="majorHAnsi" w:hAnsiTheme="majorHAnsi" w:cstheme="majorHAnsi"/>
              </w:rPr>
            </w:pPr>
            <w:r w:rsidRPr="00FF780E">
              <w:rPr>
                <w:rFonts w:asciiTheme="majorHAnsi" w:hAnsiTheme="majorHAnsi" w:cstheme="majorHAnsi"/>
              </w:rPr>
              <w:t>0,0363</w:t>
            </w:r>
          </w:p>
        </w:tc>
      </w:tr>
      <w:tr w:rsidR="00B70B7B" w:rsidRPr="000A68BF" w14:paraId="66FE4F67" w14:textId="77777777" w:rsidTr="00B70B7B">
        <w:trPr>
          <w:trHeight w:val="309"/>
        </w:trPr>
        <w:tc>
          <w:tcPr>
            <w:tcW w:w="303" w:type="pct"/>
            <w:vMerge/>
            <w:shd w:val="clear" w:color="auto" w:fill="auto"/>
            <w:vAlign w:val="center"/>
          </w:tcPr>
          <w:p w14:paraId="73BEF764" w14:textId="77777777" w:rsidR="00B70B7B" w:rsidRPr="000A68BF" w:rsidRDefault="00B70B7B" w:rsidP="00591B0A">
            <w:pPr>
              <w:jc w:val="center"/>
              <w:rPr>
                <w:rFonts w:asciiTheme="majorHAnsi" w:hAnsiTheme="majorHAnsi" w:cstheme="majorHAnsi"/>
              </w:rPr>
            </w:pPr>
          </w:p>
        </w:tc>
        <w:tc>
          <w:tcPr>
            <w:tcW w:w="1988" w:type="pct"/>
            <w:vMerge/>
            <w:shd w:val="clear" w:color="auto" w:fill="auto"/>
            <w:vAlign w:val="center"/>
          </w:tcPr>
          <w:p w14:paraId="0025AB9F" w14:textId="77777777" w:rsidR="00B70B7B" w:rsidRPr="000A68BF" w:rsidRDefault="00B70B7B" w:rsidP="006B17A0">
            <w:pPr>
              <w:tabs>
                <w:tab w:val="left" w:pos="567"/>
              </w:tabs>
              <w:jc w:val="both"/>
              <w:rPr>
                <w:rFonts w:asciiTheme="majorHAnsi" w:hAnsiTheme="majorHAnsi" w:cstheme="majorHAnsi"/>
              </w:rPr>
            </w:pPr>
          </w:p>
        </w:tc>
        <w:tc>
          <w:tcPr>
            <w:tcW w:w="905" w:type="pct"/>
          </w:tcPr>
          <w:p w14:paraId="0407F4F4" w14:textId="717F7A97" w:rsidR="00B70B7B" w:rsidRPr="000A68BF" w:rsidRDefault="00AB42C5" w:rsidP="00591B0A">
            <w:pPr>
              <w:jc w:val="center"/>
              <w:rPr>
                <w:rFonts w:asciiTheme="majorHAnsi" w:hAnsiTheme="majorHAnsi" w:cstheme="majorHAnsi"/>
              </w:rPr>
            </w:pPr>
            <w:r w:rsidRPr="000A68BF">
              <w:rPr>
                <w:rFonts w:asciiTheme="majorHAnsi" w:hAnsiTheme="majorHAnsi" w:cstheme="majorHAnsi"/>
              </w:rPr>
              <w:t>Daugiau nei 100 001</w:t>
            </w:r>
          </w:p>
        </w:tc>
        <w:tc>
          <w:tcPr>
            <w:tcW w:w="905" w:type="pct"/>
          </w:tcPr>
          <w:p w14:paraId="4035A2A4" w14:textId="17A5F54C" w:rsidR="00B70B7B" w:rsidRPr="000A68BF" w:rsidRDefault="00196F71" w:rsidP="00591B0A">
            <w:pPr>
              <w:jc w:val="center"/>
              <w:rPr>
                <w:rFonts w:asciiTheme="majorHAnsi" w:hAnsiTheme="majorHAnsi" w:cstheme="majorHAnsi"/>
              </w:rPr>
            </w:pPr>
            <w:r w:rsidRPr="00196F71">
              <w:rPr>
                <w:rFonts w:asciiTheme="majorHAnsi" w:hAnsiTheme="majorHAnsi" w:cstheme="majorHAnsi"/>
              </w:rPr>
              <w:t>0,024</w:t>
            </w:r>
          </w:p>
        </w:tc>
        <w:tc>
          <w:tcPr>
            <w:tcW w:w="899" w:type="pct"/>
          </w:tcPr>
          <w:p w14:paraId="64AD4A0A" w14:textId="507D2DE9" w:rsidR="00B70B7B" w:rsidRPr="000A68BF" w:rsidRDefault="00196F71" w:rsidP="00591B0A">
            <w:pPr>
              <w:jc w:val="center"/>
              <w:rPr>
                <w:rFonts w:asciiTheme="majorHAnsi" w:hAnsiTheme="majorHAnsi" w:cstheme="majorHAnsi"/>
              </w:rPr>
            </w:pPr>
            <w:r w:rsidRPr="00196F71">
              <w:rPr>
                <w:rFonts w:asciiTheme="majorHAnsi" w:hAnsiTheme="majorHAnsi" w:cstheme="majorHAnsi"/>
              </w:rPr>
              <w:t>0,02904</w:t>
            </w:r>
          </w:p>
        </w:tc>
      </w:tr>
    </w:tbl>
    <w:p w14:paraId="6F316821" w14:textId="77777777" w:rsidR="00F05AED" w:rsidRPr="009A56A0" w:rsidRDefault="00F05AED" w:rsidP="00F05AED">
      <w:pPr>
        <w:jc w:val="both"/>
        <w:rPr>
          <w:rFonts w:asciiTheme="majorHAnsi" w:hAnsiTheme="majorHAnsi" w:cstheme="majorHAnsi"/>
          <w:sz w:val="20"/>
          <w:szCs w:val="20"/>
        </w:rPr>
      </w:pPr>
      <w:r w:rsidRPr="000A68BF">
        <w:rPr>
          <w:rFonts w:asciiTheme="majorHAnsi" w:hAnsiTheme="majorHAnsi" w:cstheme="majorHAnsi"/>
          <w:sz w:val="20"/>
          <w:szCs w:val="20"/>
        </w:rPr>
        <w:t>*</w:t>
      </w:r>
      <w:r w:rsidR="00AD5C0F" w:rsidRPr="000A68BF">
        <w:rPr>
          <w:rFonts w:asciiTheme="majorHAnsi" w:hAnsiTheme="majorHAnsi" w:cstheme="majorHAnsi"/>
          <w:sz w:val="20"/>
          <w:szCs w:val="20"/>
        </w:rPr>
        <w:t>Į Pasiūlymo (sutarties) kainą įskaitomi visi mokesčiai ir rinkliavos bei</w:t>
      </w:r>
      <w:r w:rsidR="00AD5C0F" w:rsidRPr="009A56A0">
        <w:rPr>
          <w:rFonts w:asciiTheme="majorHAnsi" w:hAnsiTheme="majorHAnsi" w:cstheme="majorHAnsi"/>
          <w:sz w:val="20"/>
          <w:szCs w:val="20"/>
        </w:rPr>
        <w:t xml:space="preserve"> kitos išlaidos (taip pat ir sąskaitų faktūrų teikimo elektroniniu būdu išlaidos), susijusios su Sutarties vykdymu.</w:t>
      </w:r>
      <w:r w:rsidRPr="009A56A0">
        <w:rPr>
          <w:rFonts w:asciiTheme="majorHAnsi" w:hAnsiTheme="majorHAnsi" w:cstheme="majorHAnsi"/>
          <w:sz w:val="20"/>
          <w:szCs w:val="20"/>
        </w:rPr>
        <w:t xml:space="preserve"> Tiekėjas turi nurodyti kainą </w:t>
      </w:r>
      <w:r w:rsidR="00D24783" w:rsidRPr="009A56A0">
        <w:rPr>
          <w:rFonts w:asciiTheme="majorHAnsi" w:hAnsiTheme="majorHAnsi" w:cstheme="majorHAnsi"/>
          <w:sz w:val="20"/>
          <w:szCs w:val="20"/>
        </w:rPr>
        <w:t>EUR</w:t>
      </w:r>
      <w:r w:rsidRPr="009A56A0">
        <w:rPr>
          <w:rFonts w:asciiTheme="majorHAnsi" w:hAnsiTheme="majorHAnsi" w:cstheme="majorHAnsi"/>
          <w:sz w:val="20"/>
          <w:szCs w:val="20"/>
        </w:rPr>
        <w:t xml:space="preserve"> su PVM, je</w:t>
      </w:r>
      <w:r w:rsidR="00D24783" w:rsidRPr="009A56A0">
        <w:rPr>
          <w:rFonts w:asciiTheme="majorHAnsi" w:hAnsiTheme="majorHAnsi" w:cstheme="majorHAnsi"/>
          <w:sz w:val="20"/>
          <w:szCs w:val="20"/>
        </w:rPr>
        <w:t>i jis yra PVM mokėtojas arba EUR</w:t>
      </w:r>
      <w:r w:rsidRPr="009A56A0">
        <w:rPr>
          <w:rFonts w:asciiTheme="majorHAnsi" w:hAnsiTheme="majorHAnsi" w:cstheme="majorHAnsi"/>
          <w:sz w:val="20"/>
          <w:szCs w:val="20"/>
        </w:rPr>
        <w:t xml:space="preserve"> be PVM, jei tiekėjas yra ne PVM mokėtojas. </w:t>
      </w:r>
      <w:r w:rsidR="00607EB6" w:rsidRPr="009A56A0">
        <w:rPr>
          <w:rFonts w:asciiTheme="majorHAnsi" w:hAnsiTheme="majorHAnsi" w:cstheme="majorHAnsi"/>
          <w:sz w:val="20"/>
          <w:szCs w:val="20"/>
        </w:rPr>
        <w:t xml:space="preserve"> </w:t>
      </w:r>
    </w:p>
    <w:p w14:paraId="5574BF36" w14:textId="77777777" w:rsidR="00AD5C0F" w:rsidRPr="009A56A0" w:rsidRDefault="00AD5C0F" w:rsidP="00F05AED">
      <w:pPr>
        <w:rPr>
          <w:rFonts w:asciiTheme="majorHAnsi" w:hAnsiTheme="majorHAnsi" w:cstheme="majorHAnsi"/>
          <w:sz w:val="20"/>
          <w:szCs w:val="20"/>
        </w:rPr>
      </w:pPr>
    </w:p>
    <w:p w14:paraId="7AD852F4" w14:textId="77777777" w:rsidR="00A64337" w:rsidRPr="008373B7" w:rsidRDefault="00A81B5A" w:rsidP="00A81B5A">
      <w:pPr>
        <w:jc w:val="both"/>
        <w:rPr>
          <w:rFonts w:asciiTheme="majorHAnsi" w:hAnsiTheme="majorHAnsi" w:cstheme="majorHAnsi"/>
          <w:b/>
        </w:rPr>
      </w:pPr>
      <w:r>
        <w:rPr>
          <w:rFonts w:asciiTheme="majorHAnsi" w:hAnsiTheme="majorHAnsi" w:cstheme="majorHAnsi"/>
        </w:rPr>
        <w:t xml:space="preserve"> </w:t>
      </w:r>
      <w:r>
        <w:rPr>
          <w:rFonts w:asciiTheme="majorHAnsi" w:hAnsiTheme="majorHAnsi" w:cstheme="majorHAnsi"/>
          <w:b/>
        </w:rPr>
        <w:t xml:space="preserve"> </w:t>
      </w:r>
    </w:p>
    <w:p w14:paraId="57F360C3" w14:textId="77777777" w:rsidR="00A64337" w:rsidRPr="008373B7" w:rsidRDefault="00A64337" w:rsidP="00A64337">
      <w:pPr>
        <w:spacing w:before="60" w:after="60"/>
        <w:jc w:val="center"/>
        <w:rPr>
          <w:rFonts w:asciiTheme="majorHAnsi" w:eastAsia="Times New Roman" w:hAnsiTheme="majorHAnsi" w:cstheme="majorHAnsi"/>
          <w:b/>
        </w:rPr>
      </w:pPr>
      <w:r w:rsidRPr="008373B7">
        <w:rPr>
          <w:rFonts w:asciiTheme="majorHAnsi" w:eastAsia="Times New Roman" w:hAnsiTheme="majorHAnsi" w:cstheme="majorHAnsi"/>
          <w:b/>
        </w:rPr>
        <w:t xml:space="preserve">DOKUMENTŲ VALDYMO BENDROSIOS INFORMACINĖS SISTEMOS MOBILIOJO ELEKTRONINIO PARAŠO INFRASTRUKTŪROS PASLAUGŲ </w:t>
      </w:r>
    </w:p>
    <w:p w14:paraId="2ED3F813" w14:textId="77777777" w:rsidR="00A64337" w:rsidRPr="008373B7" w:rsidRDefault="00A64337" w:rsidP="00A64337">
      <w:pPr>
        <w:spacing w:before="60" w:after="60"/>
        <w:jc w:val="center"/>
        <w:rPr>
          <w:rFonts w:asciiTheme="majorHAnsi" w:eastAsia="Times New Roman" w:hAnsiTheme="majorHAnsi" w:cstheme="majorHAnsi"/>
          <w:b/>
        </w:rPr>
      </w:pPr>
      <w:r w:rsidRPr="008373B7">
        <w:rPr>
          <w:rFonts w:asciiTheme="majorHAnsi" w:eastAsia="Times New Roman" w:hAnsiTheme="majorHAnsi" w:cstheme="majorHAnsi"/>
          <w:b/>
        </w:rPr>
        <w:t>PIRKIMO UŽDUOTIS</w:t>
      </w:r>
    </w:p>
    <w:p w14:paraId="14E0C593" w14:textId="77777777" w:rsidR="00A64337" w:rsidRPr="008373B7" w:rsidRDefault="00A64337" w:rsidP="00A64337">
      <w:pPr>
        <w:spacing w:before="60" w:after="60"/>
        <w:jc w:val="center"/>
        <w:rPr>
          <w:rFonts w:asciiTheme="majorHAnsi" w:eastAsia="Times New Roman" w:hAnsiTheme="majorHAnsi" w:cstheme="majorHAnsi"/>
          <w:b/>
        </w:rPr>
      </w:pPr>
    </w:p>
    <w:p w14:paraId="0E08559F" w14:textId="77777777" w:rsidR="00A64337" w:rsidRPr="008373B7" w:rsidRDefault="00A64337" w:rsidP="00A64337">
      <w:pPr>
        <w:pStyle w:val="Sraopastraipa"/>
        <w:numPr>
          <w:ilvl w:val="0"/>
          <w:numId w:val="4"/>
        </w:numPr>
        <w:tabs>
          <w:tab w:val="left" w:pos="426"/>
        </w:tabs>
        <w:spacing w:before="60" w:after="60"/>
        <w:ind w:left="0" w:firstLine="0"/>
        <w:contextualSpacing w:val="0"/>
        <w:jc w:val="center"/>
        <w:rPr>
          <w:rFonts w:asciiTheme="majorHAnsi" w:hAnsiTheme="majorHAnsi" w:cstheme="majorHAnsi"/>
          <w:b/>
          <w:sz w:val="22"/>
          <w:szCs w:val="22"/>
        </w:rPr>
      </w:pPr>
      <w:r w:rsidRPr="008373B7">
        <w:rPr>
          <w:rFonts w:asciiTheme="majorHAnsi" w:hAnsiTheme="majorHAnsi" w:cstheme="majorHAnsi"/>
          <w:b/>
          <w:sz w:val="22"/>
          <w:szCs w:val="22"/>
        </w:rPr>
        <w:t>BENDROSIOS NUOSTATOS</w:t>
      </w:r>
    </w:p>
    <w:p w14:paraId="70C97798" w14:textId="77777777" w:rsidR="00A64337" w:rsidRPr="008373B7" w:rsidRDefault="00A64337" w:rsidP="00A64337">
      <w:pPr>
        <w:pStyle w:val="Sraopastraipa"/>
        <w:spacing w:before="60" w:after="60"/>
        <w:ind w:left="1800"/>
        <w:rPr>
          <w:rFonts w:asciiTheme="majorHAnsi" w:hAnsiTheme="majorHAnsi" w:cstheme="majorHAnsi"/>
          <w:b/>
          <w:sz w:val="22"/>
          <w:szCs w:val="22"/>
        </w:rPr>
      </w:pPr>
    </w:p>
    <w:p w14:paraId="7BFE0351" w14:textId="01120033" w:rsidR="00A64337" w:rsidRPr="000A68BF" w:rsidRDefault="00A64337" w:rsidP="00A64337">
      <w:pPr>
        <w:pStyle w:val="Sraopastraipa"/>
        <w:numPr>
          <w:ilvl w:val="0"/>
          <w:numId w:val="3"/>
        </w:numPr>
        <w:spacing w:before="60" w:after="60"/>
        <w:ind w:left="0" w:firstLine="709"/>
        <w:contextualSpacing w:val="0"/>
        <w:jc w:val="both"/>
        <w:rPr>
          <w:rFonts w:asciiTheme="majorHAnsi" w:hAnsiTheme="majorHAnsi" w:cstheme="majorHAnsi"/>
          <w:sz w:val="22"/>
          <w:szCs w:val="22"/>
        </w:rPr>
      </w:pPr>
      <w:r w:rsidRPr="008373B7">
        <w:rPr>
          <w:rFonts w:asciiTheme="majorHAnsi" w:hAnsiTheme="majorHAnsi" w:cstheme="majorHAnsi"/>
          <w:sz w:val="22"/>
          <w:szCs w:val="22"/>
        </w:rPr>
        <w:t>Pirkimo tikslas – įsigyti mobiliojo elektroninio parašo infrastruktūros paslaugų, skirtų užtikrinti galimybę pasirašyti ADOC V-1.0 elektroninius dokumentus kvalifikuotu mobiliuoju el. parašu Dokumentų valdymo bendrojoje informacinėje sistemoje (toliau – DBSIS) teikimą</w:t>
      </w:r>
      <w:r w:rsidR="00DB7F77" w:rsidRPr="000A68BF">
        <w:rPr>
          <w:rFonts w:asciiTheme="majorHAnsi" w:hAnsiTheme="majorHAnsi" w:cstheme="majorHAnsi"/>
          <w:sz w:val="22"/>
          <w:szCs w:val="22"/>
        </w:rPr>
        <w:t>.</w:t>
      </w:r>
    </w:p>
    <w:p w14:paraId="5AD2396E" w14:textId="77777777" w:rsidR="008373B7" w:rsidRPr="008373B7" w:rsidRDefault="008373B7" w:rsidP="008373B7">
      <w:pPr>
        <w:pStyle w:val="Sraopastraipa"/>
        <w:spacing w:before="60" w:after="60"/>
        <w:ind w:left="709"/>
        <w:contextualSpacing w:val="0"/>
        <w:jc w:val="both"/>
        <w:rPr>
          <w:rFonts w:asciiTheme="majorHAnsi" w:hAnsiTheme="majorHAnsi" w:cstheme="majorHAnsi"/>
          <w:sz w:val="22"/>
          <w:szCs w:val="22"/>
        </w:rPr>
      </w:pPr>
    </w:p>
    <w:p w14:paraId="4DF2064E" w14:textId="50FC7E1B" w:rsidR="003151C6" w:rsidRPr="005F02D2" w:rsidRDefault="007B55D4" w:rsidP="007B55D4">
      <w:pPr>
        <w:pStyle w:val="Sraopastraipa"/>
        <w:tabs>
          <w:tab w:val="left" w:pos="426"/>
          <w:tab w:val="left" w:pos="4111"/>
        </w:tabs>
        <w:spacing w:before="60" w:after="60"/>
        <w:ind w:left="1800"/>
        <w:rPr>
          <w:rFonts w:asciiTheme="majorHAnsi" w:hAnsiTheme="majorHAnsi" w:cstheme="majorHAnsi"/>
          <w:b/>
          <w:sz w:val="22"/>
          <w:szCs w:val="22"/>
        </w:rPr>
      </w:pPr>
      <w:r>
        <w:rPr>
          <w:rFonts w:asciiTheme="majorHAnsi" w:hAnsiTheme="majorHAnsi" w:cstheme="majorHAnsi"/>
          <w:b/>
          <w:sz w:val="22"/>
          <w:szCs w:val="22"/>
        </w:rPr>
        <w:t xml:space="preserve">                                     II.  </w:t>
      </w:r>
      <w:r w:rsidR="003151C6" w:rsidRPr="005F02D2">
        <w:rPr>
          <w:rFonts w:asciiTheme="majorHAnsi" w:hAnsiTheme="majorHAnsi" w:cstheme="majorHAnsi"/>
          <w:b/>
          <w:sz w:val="22"/>
          <w:szCs w:val="22"/>
        </w:rPr>
        <w:t>TECHNINĖ SPECIFIKACIJA</w:t>
      </w:r>
    </w:p>
    <w:p w14:paraId="72C79C97" w14:textId="77777777" w:rsidR="005F02D2" w:rsidRPr="005F02D2" w:rsidRDefault="005F02D2" w:rsidP="005F02D2">
      <w:pPr>
        <w:pStyle w:val="Sraopastraipa"/>
        <w:tabs>
          <w:tab w:val="left" w:pos="426"/>
        </w:tabs>
        <w:spacing w:before="60" w:after="60"/>
        <w:ind w:left="1800"/>
        <w:rPr>
          <w:rFonts w:asciiTheme="majorHAnsi" w:hAnsiTheme="majorHAnsi" w:cstheme="majorHAnsi"/>
          <w:b/>
        </w:rPr>
      </w:pPr>
    </w:p>
    <w:p w14:paraId="0DC4CB39" w14:textId="76F0DBCD" w:rsidR="005F02D2" w:rsidRPr="005F02D2" w:rsidRDefault="005F02D2" w:rsidP="005F02D2">
      <w:pPr>
        <w:spacing w:before="60" w:after="60"/>
        <w:ind w:firstLine="709"/>
        <w:jc w:val="both"/>
        <w:rPr>
          <w:rFonts w:ascii="Calibri Light" w:hAnsi="Calibri Light" w:cs="Calibri Light"/>
        </w:rPr>
      </w:pPr>
      <w:r w:rsidRPr="005F02D2">
        <w:rPr>
          <w:rFonts w:ascii="Calibri Light" w:hAnsi="Calibri Light" w:cs="Calibri Light"/>
        </w:rPr>
        <w:t xml:space="preserve">1. </w:t>
      </w:r>
      <w:r w:rsidRPr="005F02D2">
        <w:rPr>
          <w:rFonts w:asciiTheme="majorHAnsi" w:hAnsiTheme="majorHAnsi" w:cstheme="majorHAnsi"/>
        </w:rPr>
        <w:t>Pirkimo objektui taikomi Lietuvos Respublikos viešųjų pirkimų įstatymo 37 str. 9 dalies reikalavimai susiję su nacionaliniu saugumu</w:t>
      </w:r>
      <w:r>
        <w:rPr>
          <w:rFonts w:asciiTheme="majorHAnsi" w:hAnsiTheme="majorHAnsi" w:cstheme="majorHAnsi"/>
        </w:rPr>
        <w:t>.</w:t>
      </w:r>
      <w:r w:rsidRPr="005F02D2">
        <w:rPr>
          <w:rFonts w:ascii="Calibri Light" w:hAnsi="Calibri Light" w:cs="Calibri Light"/>
        </w:rPr>
        <w:t xml:space="preserve"> Tiekėjas privalo įrodyti, kad paslaugos nekelia grėsmės nacionaliniam saugumui, nėra toliau nurodytų aplinkybių: </w:t>
      </w:r>
    </w:p>
    <w:p w14:paraId="51B4F7AD" w14:textId="2B48AE55" w:rsidR="005F02D2" w:rsidRPr="005F02D2" w:rsidRDefault="005F02D2" w:rsidP="005F02D2">
      <w:pPr>
        <w:spacing w:before="60" w:after="60"/>
        <w:ind w:firstLine="709"/>
        <w:jc w:val="both"/>
        <w:rPr>
          <w:rFonts w:ascii="Calibri Light" w:hAnsi="Calibri Light" w:cs="Calibri Light"/>
        </w:rPr>
      </w:pPr>
      <w:r w:rsidRPr="005F02D2">
        <w:rPr>
          <w:rFonts w:ascii="Calibri Light" w:hAnsi="Calibri Light" w:cs="Calibri Light"/>
        </w:rPr>
        <w:t>1.1. 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424FC455" w14:textId="112D2E34" w:rsidR="005F02D2" w:rsidRPr="005F02D2" w:rsidRDefault="005F02D2" w:rsidP="005F02D2">
      <w:pPr>
        <w:pStyle w:val="Sraopastraipa"/>
        <w:spacing w:before="60" w:after="60"/>
        <w:ind w:left="0" w:firstLine="709"/>
        <w:contextualSpacing w:val="0"/>
        <w:jc w:val="both"/>
        <w:rPr>
          <w:rFonts w:asciiTheme="majorHAnsi" w:hAnsiTheme="majorHAnsi" w:cstheme="majorHAnsi"/>
          <w:sz w:val="22"/>
          <w:szCs w:val="22"/>
        </w:rPr>
      </w:pPr>
      <w:r>
        <w:rPr>
          <w:rFonts w:ascii="Calibri Light" w:hAnsi="Calibri Light" w:cs="Calibri Light"/>
          <w:sz w:val="22"/>
          <w:szCs w:val="22"/>
        </w:rPr>
        <w:t>1.2.</w:t>
      </w:r>
      <w:r w:rsidRPr="005F02D2">
        <w:rPr>
          <w:rFonts w:ascii="Calibri Light" w:hAnsi="Calibri Light" w:cs="Calibri Light"/>
          <w:sz w:val="22"/>
          <w:szCs w:val="22"/>
        </w:rPr>
        <w:t xml:space="preserve"> </w:t>
      </w:r>
      <w:r w:rsidRPr="005F02D2">
        <w:rPr>
          <w:rFonts w:asciiTheme="majorHAnsi" w:hAnsiTheme="majorHAnsi" w:cstheme="majorHAnsi"/>
          <w:sz w:val="22"/>
          <w:szCs w:val="22"/>
        </w:rPr>
        <w:t>paslaugos būtų teikiamos iš VPĮ 92 straipsnio 14 dalyje numatytame sąraše nurodytų valstybių ar teritorijų.</w:t>
      </w:r>
    </w:p>
    <w:p w14:paraId="316BCD70" w14:textId="0D523592" w:rsidR="003151C6" w:rsidRPr="005F02D2" w:rsidRDefault="003151C6" w:rsidP="005F02D2">
      <w:pPr>
        <w:spacing w:before="60" w:after="60"/>
        <w:jc w:val="both"/>
        <w:rPr>
          <w:rFonts w:asciiTheme="majorHAnsi" w:hAnsiTheme="majorHAnsi" w:cstheme="majorHAnsi"/>
          <w:b/>
        </w:rPr>
      </w:pPr>
      <w:r w:rsidRPr="005F02D2">
        <w:rPr>
          <w:rFonts w:asciiTheme="majorHAnsi" w:hAnsiTheme="majorHAnsi" w:cstheme="majorHAnsi"/>
        </w:rPr>
        <w:t xml:space="preserve"> </w:t>
      </w:r>
      <w:r w:rsidR="0032405B" w:rsidRPr="005F02D2">
        <w:rPr>
          <w:rFonts w:ascii="Calibri Light" w:hAnsi="Calibri Light" w:cs="Calibri Light"/>
          <w:b/>
        </w:rPr>
        <w:t>3. lentelė. Reikalavimai susiję su nacionaliniu saugumu.</w:t>
      </w:r>
    </w:p>
    <w:tbl>
      <w:tblPr>
        <w:tblStyle w:val="Lentelstinklelis"/>
        <w:tblW w:w="0" w:type="auto"/>
        <w:tblLook w:val="04A0" w:firstRow="1" w:lastRow="0" w:firstColumn="1" w:lastColumn="0" w:noHBand="0" w:noVBand="1"/>
      </w:tblPr>
      <w:tblGrid>
        <w:gridCol w:w="4814"/>
        <w:gridCol w:w="4814"/>
      </w:tblGrid>
      <w:tr w:rsidR="003151C6" w:rsidRPr="008373B7" w14:paraId="10E09D00" w14:textId="77777777" w:rsidTr="003151C6">
        <w:tc>
          <w:tcPr>
            <w:tcW w:w="4814" w:type="dxa"/>
            <w:shd w:val="clear" w:color="auto" w:fill="F2F2F2" w:themeFill="background1" w:themeFillShade="F2"/>
          </w:tcPr>
          <w:p w14:paraId="0FB520ED" w14:textId="77777777" w:rsidR="003151C6" w:rsidRPr="008373B7" w:rsidRDefault="003151C6" w:rsidP="00B04F56">
            <w:pPr>
              <w:jc w:val="center"/>
              <w:rPr>
                <w:rFonts w:asciiTheme="majorHAnsi" w:hAnsiTheme="majorHAnsi" w:cstheme="majorHAnsi"/>
                <w:b/>
              </w:rPr>
            </w:pPr>
            <w:r w:rsidRPr="008373B7">
              <w:rPr>
                <w:rFonts w:asciiTheme="majorHAnsi" w:hAnsiTheme="majorHAnsi" w:cstheme="majorHAnsi"/>
                <w:b/>
              </w:rPr>
              <w:t>Techninės specifikacijos reikalavimas</w:t>
            </w:r>
          </w:p>
        </w:tc>
        <w:tc>
          <w:tcPr>
            <w:tcW w:w="4814" w:type="dxa"/>
            <w:shd w:val="clear" w:color="auto" w:fill="F2F2F2" w:themeFill="background1" w:themeFillShade="F2"/>
          </w:tcPr>
          <w:p w14:paraId="32BCD268" w14:textId="77777777" w:rsidR="003151C6" w:rsidRPr="008373B7" w:rsidRDefault="003151C6" w:rsidP="00B04F56">
            <w:pPr>
              <w:jc w:val="center"/>
              <w:rPr>
                <w:rFonts w:asciiTheme="majorHAnsi" w:hAnsiTheme="majorHAnsi" w:cstheme="majorHAnsi"/>
                <w:b/>
              </w:rPr>
            </w:pPr>
            <w:r w:rsidRPr="008373B7">
              <w:rPr>
                <w:rFonts w:asciiTheme="majorHAnsi" w:hAnsiTheme="majorHAnsi" w:cstheme="majorHAnsi"/>
                <w:b/>
              </w:rPr>
              <w:t>Įrodantys dokumentai</w:t>
            </w:r>
          </w:p>
        </w:tc>
      </w:tr>
      <w:tr w:rsidR="003151C6" w:rsidRPr="008373B7" w14:paraId="5AC36FD2" w14:textId="77777777" w:rsidTr="003151C6">
        <w:tc>
          <w:tcPr>
            <w:tcW w:w="4814" w:type="dxa"/>
          </w:tcPr>
          <w:p w14:paraId="13F3CBD7" w14:textId="77777777" w:rsidR="003151C6" w:rsidRPr="00A81B5A" w:rsidRDefault="003151C6" w:rsidP="003151C6">
            <w:pPr>
              <w:tabs>
                <w:tab w:val="left" w:pos="570"/>
              </w:tabs>
              <w:jc w:val="both"/>
              <w:rPr>
                <w:rFonts w:asciiTheme="majorHAnsi" w:hAnsiTheme="majorHAnsi" w:cstheme="majorHAnsi"/>
                <w:i/>
              </w:rPr>
            </w:pPr>
            <w:r w:rsidRPr="00A81B5A">
              <w:rPr>
                <w:rFonts w:asciiTheme="majorHAnsi" w:hAnsiTheme="majorHAnsi" w:cstheme="majorHAnsi"/>
                <w:i/>
              </w:rPr>
              <w:t xml:space="preserve">Tiekėjas privalo įrodyti, kad prekės ar paslaugos nekelia grėsmės nacionaliniam saugumui, kad nėra žemiau nurodytų aplinkybių: </w:t>
            </w:r>
          </w:p>
          <w:p w14:paraId="0ADFAB7C" w14:textId="77777777" w:rsidR="003151C6" w:rsidRPr="00A81B5A" w:rsidRDefault="003151C6" w:rsidP="003151C6">
            <w:pPr>
              <w:tabs>
                <w:tab w:val="left" w:pos="570"/>
              </w:tabs>
              <w:jc w:val="both"/>
              <w:rPr>
                <w:rFonts w:asciiTheme="majorHAnsi" w:hAnsiTheme="majorHAnsi" w:cstheme="majorHAnsi"/>
                <w:i/>
              </w:rPr>
            </w:pPr>
            <w:r w:rsidRPr="00A81B5A">
              <w:rPr>
                <w:rFonts w:asciiTheme="majorHAnsi" w:hAnsiTheme="majorHAnsi" w:cstheme="majorHAnsi"/>
                <w:i/>
              </w:rPr>
              <w:t>1) 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41C26640" w14:textId="77777777" w:rsidR="003151C6" w:rsidRPr="00A81B5A" w:rsidRDefault="003151C6" w:rsidP="003151C6">
            <w:pPr>
              <w:jc w:val="both"/>
              <w:rPr>
                <w:rFonts w:asciiTheme="majorHAnsi" w:hAnsiTheme="majorHAnsi" w:cstheme="majorHAnsi"/>
                <w:i/>
              </w:rPr>
            </w:pPr>
            <w:r w:rsidRPr="00A81B5A">
              <w:rPr>
                <w:rFonts w:asciiTheme="majorHAnsi" w:hAnsiTheme="majorHAnsi" w:cstheme="majorHAnsi"/>
                <w:i/>
              </w:rPr>
              <w:t>2) techninės ar programinės įrangos priežiūra ar palaikymas būtų vykdomas iš VPĮ 92 straipsnio 14 dalyje numatytame sąraše nurodytų valstybių ar teritorijų.</w:t>
            </w:r>
          </w:p>
        </w:tc>
        <w:tc>
          <w:tcPr>
            <w:tcW w:w="4814" w:type="dxa"/>
          </w:tcPr>
          <w:p w14:paraId="59D9738C" w14:textId="77777777" w:rsidR="003151C6" w:rsidRPr="00A81B5A" w:rsidRDefault="003151C6" w:rsidP="003151C6">
            <w:pPr>
              <w:jc w:val="both"/>
              <w:rPr>
                <w:rFonts w:asciiTheme="majorHAnsi" w:hAnsiTheme="majorHAnsi" w:cstheme="majorHAnsi"/>
                <w:i/>
              </w:rPr>
            </w:pPr>
            <w:r w:rsidRPr="00A81B5A">
              <w:rPr>
                <w:rFonts w:asciiTheme="majorHAnsi" w:hAnsiTheme="majorHAnsi" w:cstheme="majorHAnsi"/>
                <w:i/>
              </w:rPr>
              <w:t xml:space="preserve">Tiekėjas privalo </w:t>
            </w:r>
            <w:r w:rsidRPr="00A81B5A">
              <w:rPr>
                <w:rFonts w:asciiTheme="majorHAnsi" w:hAnsiTheme="majorHAnsi" w:cstheme="majorHAnsi"/>
                <w:b/>
                <w:bCs/>
                <w:i/>
              </w:rPr>
              <w:t>PATEIKTI</w:t>
            </w:r>
            <w:r w:rsidRPr="00A81B5A">
              <w:rPr>
                <w:rFonts w:asciiTheme="majorHAnsi" w:hAnsiTheme="majorHAnsi" w:cstheme="majorHAnsi"/>
                <w:i/>
              </w:rPr>
              <w:t xml:space="preserve"> šiuos dokumentus:</w:t>
            </w:r>
          </w:p>
          <w:p w14:paraId="0632BAF3" w14:textId="77777777" w:rsidR="003151C6" w:rsidRPr="00A81B5A" w:rsidRDefault="003151C6" w:rsidP="003151C6">
            <w:pPr>
              <w:jc w:val="both"/>
              <w:rPr>
                <w:rFonts w:asciiTheme="majorHAnsi" w:hAnsiTheme="majorHAnsi" w:cstheme="majorHAnsi"/>
                <w:i/>
              </w:rPr>
            </w:pPr>
            <w:r w:rsidRPr="00A81B5A">
              <w:rPr>
                <w:rFonts w:asciiTheme="majorHAnsi" w:hAnsiTheme="majorHAnsi" w:cstheme="majorHAnsi"/>
                <w:i/>
              </w:rPr>
              <w:t xml:space="preserve">1) jeigu techninės ar programinės įrangos priežiūrą ir palaikymą vykdantis asmuo arba gamintojas ar jį kontroliuojantis asmuo yra juridinis asmuo, pateikiama juridinio asmens vadovo patvirtinta juridinio asmens steigimo dokumentų kopija, Juridinių asmenų registro išplėstinis išrašas su istorija arba atitinkami valstybės narės ar trečiosios šalies dokumentai; </w:t>
            </w:r>
          </w:p>
          <w:p w14:paraId="633A9DC5" w14:textId="77777777" w:rsidR="003151C6" w:rsidRPr="00A81B5A" w:rsidRDefault="003151C6" w:rsidP="003151C6">
            <w:pPr>
              <w:jc w:val="both"/>
              <w:rPr>
                <w:rFonts w:asciiTheme="majorHAnsi" w:hAnsiTheme="majorHAnsi" w:cstheme="majorHAnsi"/>
                <w:i/>
              </w:rPr>
            </w:pPr>
            <w:r w:rsidRPr="00A81B5A">
              <w:rPr>
                <w:rFonts w:asciiTheme="majorHAnsi" w:hAnsiTheme="majorHAnsi" w:cstheme="majorHAnsi"/>
                <w:i/>
              </w:rPr>
              <w:t>2) jeigu techninės ar programinės įrangos priežiūrą ir palaikymą vykdantis asmuo arba gamintojas ar jį kontroliuojantis asmuo yra fizinis asmuo, pateikiama jo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r w:rsidR="003151C6" w:rsidRPr="008373B7" w14:paraId="79CA89B4" w14:textId="77777777" w:rsidTr="003151C6">
        <w:tc>
          <w:tcPr>
            <w:tcW w:w="4814" w:type="dxa"/>
          </w:tcPr>
          <w:p w14:paraId="16A5C2A7" w14:textId="77777777" w:rsidR="003151C6" w:rsidRPr="008373B7" w:rsidRDefault="003151C6" w:rsidP="00E455DA">
            <w:pPr>
              <w:tabs>
                <w:tab w:val="left" w:pos="570"/>
              </w:tabs>
              <w:rPr>
                <w:rFonts w:asciiTheme="majorHAnsi" w:hAnsiTheme="majorHAnsi" w:cstheme="majorHAnsi"/>
                <w:b/>
                <w:bCs/>
              </w:rPr>
            </w:pPr>
            <w:r w:rsidRPr="008373B7">
              <w:rPr>
                <w:rFonts w:asciiTheme="majorHAnsi" w:hAnsiTheme="majorHAnsi" w:cstheme="majorHAnsi"/>
                <w:b/>
                <w:bCs/>
              </w:rPr>
              <w:t>Nurodomi pateikiami dokumentai:</w:t>
            </w:r>
          </w:p>
        </w:tc>
        <w:tc>
          <w:tcPr>
            <w:tcW w:w="4814" w:type="dxa"/>
          </w:tcPr>
          <w:p w14:paraId="702941B4" w14:textId="77777777" w:rsidR="003151C6" w:rsidRPr="008373B7" w:rsidRDefault="003151C6" w:rsidP="00B04F56">
            <w:pPr>
              <w:rPr>
                <w:rFonts w:asciiTheme="majorHAnsi" w:hAnsiTheme="majorHAnsi" w:cstheme="majorHAnsi"/>
                <w:b/>
                <w:bCs/>
              </w:rPr>
            </w:pPr>
          </w:p>
        </w:tc>
      </w:tr>
      <w:tr w:rsidR="00196F71" w:rsidRPr="008373B7" w14:paraId="1D34B701" w14:textId="77777777" w:rsidTr="000A5B8E">
        <w:tc>
          <w:tcPr>
            <w:tcW w:w="9628" w:type="dxa"/>
            <w:gridSpan w:val="2"/>
          </w:tcPr>
          <w:p w14:paraId="3BAFB983" w14:textId="77777777" w:rsidR="00196F71" w:rsidRPr="00E455DA" w:rsidRDefault="00196F71" w:rsidP="00E455DA">
            <w:pPr>
              <w:ind w:left="599"/>
              <w:rPr>
                <w:rFonts w:asciiTheme="majorHAnsi" w:hAnsiTheme="majorHAnsi" w:cstheme="majorHAnsi"/>
              </w:rPr>
            </w:pPr>
            <w:r w:rsidRPr="00E455DA">
              <w:rPr>
                <w:rFonts w:asciiTheme="majorHAnsi" w:hAnsiTheme="majorHAnsi" w:cstheme="majorHAnsi"/>
              </w:rPr>
              <w:t>1.</w:t>
            </w:r>
            <w:r w:rsidRPr="00E455DA">
              <w:rPr>
                <w:rFonts w:asciiTheme="majorHAnsi" w:hAnsiTheme="majorHAnsi" w:cstheme="majorHAnsi"/>
              </w:rPr>
              <w:tab/>
              <w:t>UAB „Asseco Lietuva“ LR JAR išplėstinis išrašas (konfidencialu_AL_isplestinis.pdf);</w:t>
            </w:r>
          </w:p>
          <w:p w14:paraId="5F6CA2A4" w14:textId="77777777" w:rsidR="00196F71" w:rsidRPr="00E455DA" w:rsidRDefault="00196F71" w:rsidP="00E455DA">
            <w:pPr>
              <w:ind w:left="599"/>
              <w:rPr>
                <w:rFonts w:asciiTheme="majorHAnsi" w:hAnsiTheme="majorHAnsi" w:cstheme="majorHAnsi"/>
              </w:rPr>
            </w:pPr>
            <w:r w:rsidRPr="00E455DA">
              <w:rPr>
                <w:rFonts w:asciiTheme="majorHAnsi" w:hAnsiTheme="majorHAnsi" w:cstheme="majorHAnsi"/>
              </w:rPr>
              <w:t>2.</w:t>
            </w:r>
            <w:r w:rsidRPr="00E455DA">
              <w:rPr>
                <w:rFonts w:asciiTheme="majorHAnsi" w:hAnsiTheme="majorHAnsi" w:cstheme="majorHAnsi"/>
              </w:rPr>
              <w:tab/>
              <w:t>UAB „Asseco Lietuva“ įstatai (konfidencialu_AL_istatai.pdf);</w:t>
            </w:r>
          </w:p>
          <w:p w14:paraId="65A8556D" w14:textId="77777777" w:rsidR="00196F71" w:rsidRPr="00E455DA" w:rsidRDefault="00196F71" w:rsidP="00E455DA">
            <w:pPr>
              <w:ind w:left="599"/>
              <w:rPr>
                <w:rFonts w:asciiTheme="majorHAnsi" w:hAnsiTheme="majorHAnsi" w:cstheme="majorHAnsi"/>
              </w:rPr>
            </w:pPr>
            <w:r w:rsidRPr="00E455DA">
              <w:rPr>
                <w:rFonts w:asciiTheme="majorHAnsi" w:hAnsiTheme="majorHAnsi" w:cstheme="majorHAnsi"/>
              </w:rPr>
              <w:t>3.</w:t>
            </w:r>
            <w:r w:rsidRPr="00E455DA">
              <w:rPr>
                <w:rFonts w:asciiTheme="majorHAnsi" w:hAnsiTheme="majorHAnsi" w:cstheme="majorHAnsi"/>
              </w:rPr>
              <w:tab/>
              <w:t>UAB „Asseco Lietuva“ duomenų apie juridinio asmens dalyvius išrašas (konfidencialu_RC_israsas.pdf);</w:t>
            </w:r>
          </w:p>
          <w:p w14:paraId="06D46509" w14:textId="05E22D5D" w:rsidR="00196F71" w:rsidRPr="008373B7" w:rsidRDefault="00196F71" w:rsidP="00E455DA">
            <w:pPr>
              <w:ind w:left="599"/>
              <w:rPr>
                <w:rFonts w:asciiTheme="majorHAnsi" w:hAnsiTheme="majorHAnsi" w:cstheme="majorHAnsi"/>
                <w:b/>
                <w:bCs/>
              </w:rPr>
            </w:pPr>
            <w:r w:rsidRPr="00E455DA">
              <w:rPr>
                <w:rFonts w:asciiTheme="majorHAnsi" w:hAnsiTheme="majorHAnsi" w:cstheme="majorHAnsi"/>
              </w:rPr>
              <w:t>4.</w:t>
            </w:r>
            <w:r w:rsidRPr="00E455DA">
              <w:rPr>
                <w:rFonts w:asciiTheme="majorHAnsi" w:hAnsiTheme="majorHAnsi" w:cstheme="majorHAnsi"/>
              </w:rPr>
              <w:tab/>
              <w:t>Asseco Intenational, a.s. dokumentai (konfidencialu_AI_israsas.pdf, konfidencialu_AI_istatai.pdf).</w:t>
            </w:r>
          </w:p>
        </w:tc>
      </w:tr>
    </w:tbl>
    <w:p w14:paraId="6A11AD35" w14:textId="77777777" w:rsidR="003151C6" w:rsidRPr="008373B7" w:rsidRDefault="003151C6" w:rsidP="003151C6">
      <w:pPr>
        <w:pStyle w:val="Sraopastraipa"/>
        <w:tabs>
          <w:tab w:val="left" w:pos="426"/>
        </w:tabs>
        <w:spacing w:before="60" w:after="60"/>
        <w:ind w:left="0"/>
        <w:contextualSpacing w:val="0"/>
        <w:rPr>
          <w:rFonts w:asciiTheme="majorHAnsi" w:hAnsiTheme="majorHAnsi" w:cstheme="majorHAnsi"/>
          <w:b/>
          <w:sz w:val="22"/>
          <w:szCs w:val="22"/>
        </w:rPr>
      </w:pPr>
    </w:p>
    <w:p w14:paraId="432EBCF8" w14:textId="77777777" w:rsidR="00A64337" w:rsidRPr="008373B7" w:rsidRDefault="00A64337" w:rsidP="00A64337">
      <w:pPr>
        <w:pStyle w:val="Sraopastraipa"/>
        <w:numPr>
          <w:ilvl w:val="0"/>
          <w:numId w:val="3"/>
        </w:numPr>
        <w:spacing w:before="60" w:after="60"/>
        <w:ind w:left="0" w:firstLine="709"/>
        <w:contextualSpacing w:val="0"/>
        <w:jc w:val="both"/>
        <w:rPr>
          <w:rFonts w:asciiTheme="majorHAnsi" w:hAnsiTheme="majorHAnsi" w:cstheme="majorHAnsi"/>
          <w:sz w:val="22"/>
          <w:szCs w:val="22"/>
        </w:rPr>
      </w:pPr>
      <w:r w:rsidRPr="008373B7">
        <w:rPr>
          <w:rFonts w:asciiTheme="majorHAnsi" w:hAnsiTheme="majorHAnsi" w:cstheme="majorHAnsi"/>
          <w:sz w:val="22"/>
          <w:szCs w:val="22"/>
        </w:rPr>
        <w:t>Pirkimo objektas – mobiliojo elektroninio parašo infrastruktūros paslaugų (toliau – Paslaugos), skirtų užtikrinti galimybę pasirašyti ADOC V-1.0 elektroninius dokumentus kvalifikuotu mobiliuoju el. parašu DBSIS, teikimas iki 2023 m. rugpjūčio 31 d.</w:t>
      </w:r>
    </w:p>
    <w:p w14:paraId="73145374" w14:textId="77777777" w:rsidR="00A64337" w:rsidRPr="008373B7" w:rsidRDefault="00A64337" w:rsidP="00A64337">
      <w:pPr>
        <w:pStyle w:val="Sraopastraipa"/>
        <w:numPr>
          <w:ilvl w:val="0"/>
          <w:numId w:val="3"/>
        </w:numPr>
        <w:spacing w:before="60" w:after="60"/>
        <w:ind w:left="0" w:firstLine="709"/>
        <w:contextualSpacing w:val="0"/>
        <w:jc w:val="both"/>
        <w:rPr>
          <w:rFonts w:asciiTheme="majorHAnsi" w:hAnsiTheme="majorHAnsi" w:cstheme="majorHAnsi"/>
          <w:sz w:val="22"/>
          <w:szCs w:val="22"/>
        </w:rPr>
      </w:pPr>
      <w:r w:rsidRPr="008373B7">
        <w:rPr>
          <w:rFonts w:asciiTheme="majorHAnsi" w:hAnsiTheme="majorHAnsi" w:cstheme="majorHAnsi"/>
          <w:sz w:val="22"/>
          <w:szCs w:val="22"/>
        </w:rPr>
        <w:lastRenderedPageBreak/>
        <w:t>Paslaugos apima pasirašančiųjų asmenų autentifikavimą ir elektroninių dokumentų pasirašymą mobiliuoju elektroniniu parašu, kuris sukurtas mobilaus GSM ryšio operatorių UAB „Bitė Lietuva“, UAB „Telia“, UAB „Tele2“ ir UAB „Teledema“ saugia parašo formavimo įranga.</w:t>
      </w:r>
    </w:p>
    <w:p w14:paraId="6DD26F6A" w14:textId="77777777" w:rsidR="00A64337" w:rsidRPr="008373B7" w:rsidRDefault="00A64337" w:rsidP="00A64337">
      <w:pPr>
        <w:pStyle w:val="Sraopastraipa"/>
        <w:numPr>
          <w:ilvl w:val="0"/>
          <w:numId w:val="3"/>
        </w:numPr>
        <w:spacing w:before="60" w:after="60"/>
        <w:ind w:left="0" w:firstLine="709"/>
        <w:contextualSpacing w:val="0"/>
        <w:jc w:val="both"/>
        <w:rPr>
          <w:rFonts w:asciiTheme="majorHAnsi" w:hAnsiTheme="majorHAnsi" w:cstheme="majorHAnsi"/>
          <w:sz w:val="22"/>
          <w:szCs w:val="22"/>
        </w:rPr>
      </w:pPr>
      <w:r w:rsidRPr="008373B7">
        <w:rPr>
          <w:rFonts w:asciiTheme="majorHAnsi" w:hAnsiTheme="majorHAnsi" w:cstheme="majorHAnsi"/>
          <w:sz w:val="22"/>
          <w:szCs w:val="22"/>
        </w:rPr>
        <w:t xml:space="preserve">Paslaugų teikimo tvarka: </w:t>
      </w:r>
    </w:p>
    <w:p w14:paraId="3D093376" w14:textId="77777777" w:rsidR="00A64337" w:rsidRPr="008373B7" w:rsidRDefault="00A64337" w:rsidP="00A64337">
      <w:pPr>
        <w:pStyle w:val="Sraopastraipa"/>
        <w:numPr>
          <w:ilvl w:val="1"/>
          <w:numId w:val="3"/>
        </w:numPr>
        <w:spacing w:before="60" w:after="60"/>
        <w:ind w:left="0" w:firstLine="709"/>
        <w:contextualSpacing w:val="0"/>
        <w:jc w:val="both"/>
        <w:rPr>
          <w:rFonts w:asciiTheme="majorHAnsi" w:hAnsiTheme="majorHAnsi" w:cstheme="majorHAnsi"/>
          <w:sz w:val="22"/>
          <w:szCs w:val="22"/>
        </w:rPr>
      </w:pPr>
      <w:r w:rsidRPr="008373B7">
        <w:rPr>
          <w:rFonts w:asciiTheme="majorHAnsi" w:hAnsiTheme="majorHAnsi" w:cstheme="majorHAnsi"/>
          <w:sz w:val="22"/>
          <w:szCs w:val="22"/>
        </w:rPr>
        <w:t>Paslaugų teikėjas internetu priima iš DBSIS šiuos užklausos duomenis, susijusius su pasirašančiuoju asmeniu ir pasirašomais duomenimis: pasirašančiojo asmens mobiliojo telefono numerį, pasirašančiojo asmens kodą, pasirašomų duomenų santrauką;</w:t>
      </w:r>
    </w:p>
    <w:p w14:paraId="25081CBF" w14:textId="77777777" w:rsidR="00A64337" w:rsidRPr="008373B7" w:rsidRDefault="00A64337" w:rsidP="00A64337">
      <w:pPr>
        <w:pStyle w:val="Sraopastraipa"/>
        <w:numPr>
          <w:ilvl w:val="1"/>
          <w:numId w:val="3"/>
        </w:numPr>
        <w:spacing w:before="60" w:after="60"/>
        <w:ind w:left="0" w:firstLine="709"/>
        <w:contextualSpacing w:val="0"/>
        <w:jc w:val="both"/>
        <w:rPr>
          <w:rFonts w:asciiTheme="majorHAnsi" w:hAnsiTheme="majorHAnsi" w:cstheme="majorHAnsi"/>
          <w:sz w:val="22"/>
          <w:szCs w:val="22"/>
        </w:rPr>
      </w:pPr>
      <w:r w:rsidRPr="008373B7">
        <w:rPr>
          <w:rFonts w:asciiTheme="majorHAnsi" w:hAnsiTheme="majorHAnsi" w:cstheme="majorHAnsi"/>
          <w:sz w:val="22"/>
          <w:szCs w:val="22"/>
        </w:rPr>
        <w:t>Paslaugų teikėjas, priėmęs iš DBSIS mobiliuoju parašu pasirašančiojo asmens duomenis ir pasirašomų duomenų santrauką, perduoda internetu į DBSIS šiuos duomenis: pasirašančio asmens privačiu raktu užšifruotą pasirašomų duomenų santrauką, pasirašančio asmens kvalifikuotą elektroninį sertifikatą.</w:t>
      </w:r>
    </w:p>
    <w:p w14:paraId="43438DEC" w14:textId="77777777" w:rsidR="00A64337" w:rsidRPr="008373B7" w:rsidRDefault="00A64337" w:rsidP="00A64337">
      <w:pPr>
        <w:pStyle w:val="Sraopastraipa"/>
        <w:numPr>
          <w:ilvl w:val="0"/>
          <w:numId w:val="3"/>
        </w:numPr>
        <w:spacing w:before="60" w:after="60"/>
        <w:ind w:left="0" w:firstLine="709"/>
        <w:contextualSpacing w:val="0"/>
        <w:jc w:val="both"/>
        <w:rPr>
          <w:rFonts w:asciiTheme="majorHAnsi" w:hAnsiTheme="majorHAnsi" w:cstheme="majorHAnsi"/>
          <w:sz w:val="22"/>
          <w:szCs w:val="22"/>
        </w:rPr>
      </w:pPr>
      <w:r w:rsidRPr="008373B7">
        <w:rPr>
          <w:rFonts w:asciiTheme="majorHAnsi" w:hAnsiTheme="majorHAnsi" w:cstheme="majorHAnsi"/>
          <w:sz w:val="22"/>
          <w:szCs w:val="22"/>
        </w:rPr>
        <w:t>Reikalavimai Paslaugoms:</w:t>
      </w:r>
    </w:p>
    <w:p w14:paraId="11A87BF7" w14:textId="77777777" w:rsidR="00A64337" w:rsidRPr="008373B7" w:rsidRDefault="00A64337" w:rsidP="00A64337">
      <w:pPr>
        <w:pStyle w:val="Sraopastraipa"/>
        <w:numPr>
          <w:ilvl w:val="1"/>
          <w:numId w:val="3"/>
        </w:numPr>
        <w:spacing w:before="60" w:after="60"/>
        <w:ind w:left="0" w:firstLine="709"/>
        <w:contextualSpacing w:val="0"/>
        <w:jc w:val="both"/>
        <w:rPr>
          <w:rFonts w:asciiTheme="majorHAnsi" w:hAnsiTheme="majorHAnsi" w:cstheme="majorHAnsi"/>
          <w:sz w:val="22"/>
          <w:szCs w:val="22"/>
        </w:rPr>
      </w:pPr>
      <w:r w:rsidRPr="008373B7">
        <w:rPr>
          <w:rFonts w:asciiTheme="majorHAnsi" w:hAnsiTheme="majorHAnsi" w:cstheme="majorHAnsi"/>
          <w:sz w:val="22"/>
          <w:szCs w:val="22"/>
        </w:rPr>
        <w:t>Paslaugos teikiamos HTTPS protokolu pagal DBSIS autentifikuotą užklausimą, kaip saugios tinklinės paslaugos;</w:t>
      </w:r>
    </w:p>
    <w:p w14:paraId="07A8756C" w14:textId="77777777" w:rsidR="00A64337" w:rsidRPr="008373B7" w:rsidRDefault="00A64337" w:rsidP="00A64337">
      <w:pPr>
        <w:pStyle w:val="Sraopastraipa"/>
        <w:numPr>
          <w:ilvl w:val="1"/>
          <w:numId w:val="3"/>
        </w:numPr>
        <w:spacing w:before="60" w:after="60"/>
        <w:ind w:left="0" w:firstLine="709"/>
        <w:contextualSpacing w:val="0"/>
        <w:jc w:val="both"/>
        <w:rPr>
          <w:rFonts w:asciiTheme="majorHAnsi" w:hAnsiTheme="majorHAnsi" w:cstheme="majorHAnsi"/>
          <w:sz w:val="22"/>
          <w:szCs w:val="22"/>
        </w:rPr>
      </w:pPr>
      <w:r w:rsidRPr="008373B7">
        <w:rPr>
          <w:rFonts w:asciiTheme="majorHAnsi" w:hAnsiTheme="majorHAnsi" w:cstheme="majorHAnsi"/>
          <w:sz w:val="22"/>
          <w:szCs w:val="22"/>
        </w:rPr>
        <w:t>Paslaugos turi atitikti standarto ETSI TS 102 204 V1.1.4 (2003-08) „Mobile Commerce (M-COMM); Mobile Signature Service; Web Service Interface“ reikalavimus. Realizuojamos pasirašymo tinklinės paslaugos: sertifikato pateikimas (operacija „Registration“), pasirašymas (operacija „Signature“);</w:t>
      </w:r>
    </w:p>
    <w:p w14:paraId="64AD56AC" w14:textId="77777777" w:rsidR="00A64337" w:rsidRPr="008373B7" w:rsidRDefault="00A64337" w:rsidP="00A64337">
      <w:pPr>
        <w:pStyle w:val="Sraopastraipa"/>
        <w:numPr>
          <w:ilvl w:val="1"/>
          <w:numId w:val="3"/>
        </w:numPr>
        <w:spacing w:before="60" w:after="60"/>
        <w:ind w:left="0" w:firstLine="709"/>
        <w:contextualSpacing w:val="0"/>
        <w:jc w:val="both"/>
        <w:rPr>
          <w:rFonts w:asciiTheme="majorHAnsi" w:hAnsiTheme="majorHAnsi" w:cstheme="majorHAnsi"/>
          <w:sz w:val="22"/>
          <w:szCs w:val="22"/>
        </w:rPr>
      </w:pPr>
      <w:r w:rsidRPr="008373B7">
        <w:rPr>
          <w:rFonts w:asciiTheme="majorHAnsi" w:hAnsiTheme="majorHAnsi" w:cstheme="majorHAnsi"/>
          <w:sz w:val="22"/>
          <w:szCs w:val="22"/>
        </w:rPr>
        <w:t>Paslaugos turi atitikti visus Lietuvos Respublikos teisės aktų, reglamentuojančių elektroninio parašo naudojimą ir elektroninio parašo paslaugų teikimą, reikalavimus;</w:t>
      </w:r>
    </w:p>
    <w:p w14:paraId="68E2E54A" w14:textId="77777777" w:rsidR="00A64337" w:rsidRPr="008373B7" w:rsidRDefault="00A64337" w:rsidP="00A64337">
      <w:pPr>
        <w:pStyle w:val="Sraopastraipa"/>
        <w:numPr>
          <w:ilvl w:val="1"/>
          <w:numId w:val="3"/>
        </w:numPr>
        <w:spacing w:before="60" w:after="60"/>
        <w:ind w:left="0" w:firstLine="709"/>
        <w:contextualSpacing w:val="0"/>
        <w:jc w:val="both"/>
        <w:rPr>
          <w:rFonts w:asciiTheme="majorHAnsi" w:hAnsiTheme="majorHAnsi" w:cstheme="majorHAnsi"/>
          <w:sz w:val="22"/>
          <w:szCs w:val="22"/>
        </w:rPr>
      </w:pPr>
      <w:r w:rsidRPr="008373B7">
        <w:rPr>
          <w:rFonts w:asciiTheme="majorHAnsi" w:hAnsiTheme="majorHAnsi" w:cstheme="majorHAnsi"/>
          <w:sz w:val="22"/>
          <w:szCs w:val="22"/>
        </w:rPr>
        <w:t>Paslaugos turi būti teikiamos nepertraukiamai 7 dienas per savaitę ir 24 valandas per  parą;</w:t>
      </w:r>
    </w:p>
    <w:p w14:paraId="63833BCC" w14:textId="77777777" w:rsidR="00A64337" w:rsidRPr="008373B7" w:rsidRDefault="00A64337" w:rsidP="00A64337">
      <w:pPr>
        <w:pStyle w:val="Sraopastraipa"/>
        <w:numPr>
          <w:ilvl w:val="1"/>
          <w:numId w:val="3"/>
        </w:numPr>
        <w:spacing w:before="60" w:after="60"/>
        <w:ind w:left="0" w:firstLine="709"/>
        <w:contextualSpacing w:val="0"/>
        <w:jc w:val="both"/>
        <w:rPr>
          <w:rFonts w:asciiTheme="majorHAnsi" w:hAnsiTheme="majorHAnsi" w:cstheme="majorHAnsi"/>
          <w:sz w:val="22"/>
          <w:szCs w:val="22"/>
        </w:rPr>
      </w:pPr>
      <w:r w:rsidRPr="008373B7">
        <w:rPr>
          <w:rFonts w:asciiTheme="majorHAnsi" w:hAnsiTheme="majorHAnsi" w:cstheme="majorHAnsi"/>
          <w:sz w:val="22"/>
          <w:szCs w:val="22"/>
        </w:rPr>
        <w:t>Paslaugų prieinamumo per mėnesį lygis turi būti ne mažesnis kaip 99,5 proc.;</w:t>
      </w:r>
    </w:p>
    <w:p w14:paraId="3C99DAE0" w14:textId="77777777" w:rsidR="00A64337" w:rsidRPr="008373B7" w:rsidRDefault="00A64337" w:rsidP="00A64337">
      <w:pPr>
        <w:pStyle w:val="Sraopastraipa"/>
        <w:spacing w:before="60" w:after="60"/>
        <w:ind w:left="0" w:firstLine="709"/>
        <w:jc w:val="both"/>
        <w:rPr>
          <w:rFonts w:asciiTheme="majorHAnsi" w:hAnsiTheme="majorHAnsi" w:cstheme="majorHAnsi"/>
          <w:sz w:val="22"/>
          <w:szCs w:val="22"/>
        </w:rPr>
      </w:pPr>
      <w:r w:rsidRPr="008373B7">
        <w:rPr>
          <w:rFonts w:asciiTheme="majorHAnsi" w:hAnsiTheme="majorHAnsi" w:cstheme="majorHAnsi"/>
          <w:sz w:val="22"/>
          <w:szCs w:val="22"/>
        </w:rPr>
        <w:t>6.6. Paslaugos turi būti teikiamos užtikrinant asmens duomenų naudojimą, apsaugą ir tvarkymą vadovaujantis Europos Sąjungos Bendruoju duomenų apsaugos reglamentu, Lietuvos Respublikos asmens duomenų teisinės apsaugos įstatymu ir kitais teisės aktais.</w:t>
      </w:r>
    </w:p>
    <w:p w14:paraId="06D1C43B" w14:textId="1727559A" w:rsidR="00DE264A" w:rsidRPr="00DE264A" w:rsidRDefault="00DE264A" w:rsidP="00DE264A">
      <w:pPr>
        <w:pStyle w:val="Sraopastraipa"/>
        <w:numPr>
          <w:ilvl w:val="0"/>
          <w:numId w:val="3"/>
        </w:numPr>
        <w:spacing w:before="60" w:after="60"/>
        <w:ind w:left="0" w:firstLine="709"/>
        <w:contextualSpacing w:val="0"/>
        <w:jc w:val="both"/>
        <w:rPr>
          <w:rFonts w:ascii="Calibri Light" w:hAnsi="Calibri Light" w:cs="Calibri Light"/>
          <w:sz w:val="22"/>
          <w:szCs w:val="22"/>
        </w:rPr>
      </w:pPr>
      <w:r w:rsidRPr="00DE264A">
        <w:rPr>
          <w:rFonts w:ascii="Calibri Light" w:hAnsi="Calibri Light" w:cs="Calibri Light"/>
          <w:sz w:val="22"/>
          <w:szCs w:val="22"/>
        </w:rPr>
        <w:t xml:space="preserve">Orientacinė paslaugų apimtis: </w:t>
      </w:r>
      <w:r w:rsidRPr="000A68BF">
        <w:rPr>
          <w:rFonts w:ascii="Calibri Light" w:hAnsi="Calibri Light" w:cs="Calibri Light"/>
          <w:sz w:val="22"/>
          <w:szCs w:val="22"/>
        </w:rPr>
        <w:t xml:space="preserve">nuo </w:t>
      </w:r>
      <w:r w:rsidR="003214CB" w:rsidRPr="000A68BF">
        <w:rPr>
          <w:rFonts w:ascii="Calibri Light" w:hAnsi="Calibri Light" w:cs="Calibri Light"/>
          <w:sz w:val="22"/>
          <w:szCs w:val="22"/>
        </w:rPr>
        <w:t>20 </w:t>
      </w:r>
      <w:r w:rsidRPr="000A68BF">
        <w:rPr>
          <w:rFonts w:ascii="Calibri Light" w:hAnsi="Calibri Light" w:cs="Calibri Light"/>
          <w:sz w:val="22"/>
          <w:szCs w:val="22"/>
        </w:rPr>
        <w:t>000 (</w:t>
      </w:r>
      <w:r w:rsidR="003214CB" w:rsidRPr="000A68BF">
        <w:rPr>
          <w:rFonts w:ascii="Calibri Light" w:hAnsi="Calibri Light" w:cs="Calibri Light"/>
          <w:sz w:val="22"/>
          <w:szCs w:val="22"/>
        </w:rPr>
        <w:t xml:space="preserve">dvidešimties </w:t>
      </w:r>
      <w:r w:rsidRPr="000A68BF">
        <w:rPr>
          <w:rFonts w:ascii="Calibri Light" w:hAnsi="Calibri Light" w:cs="Calibri Light"/>
          <w:sz w:val="22"/>
          <w:szCs w:val="22"/>
        </w:rPr>
        <w:t>tūkstančių</w:t>
      </w:r>
      <w:r w:rsidRPr="00DE264A">
        <w:rPr>
          <w:rFonts w:ascii="Calibri Light" w:hAnsi="Calibri Light" w:cs="Calibri Light"/>
          <w:sz w:val="22"/>
          <w:szCs w:val="22"/>
        </w:rPr>
        <w:t>) iki 100 000 (vieno šimto tūkstančių) ir daugiau mobiliųjų elektroninių parašų per mėnesį.</w:t>
      </w:r>
    </w:p>
    <w:p w14:paraId="2D4D72C7" w14:textId="77777777" w:rsidR="00A64337" w:rsidRDefault="00A64337" w:rsidP="00423918">
      <w:pPr>
        <w:pStyle w:val="Sraopastraipa"/>
        <w:numPr>
          <w:ilvl w:val="0"/>
          <w:numId w:val="3"/>
        </w:numPr>
        <w:spacing w:before="120" w:after="120"/>
        <w:ind w:left="0" w:firstLine="709"/>
        <w:contextualSpacing w:val="0"/>
        <w:jc w:val="both"/>
        <w:rPr>
          <w:rFonts w:ascii="Calibri Light" w:hAnsi="Calibri Light" w:cs="Calibri Light"/>
          <w:sz w:val="22"/>
          <w:szCs w:val="22"/>
        </w:rPr>
      </w:pPr>
      <w:r w:rsidRPr="00DE264A">
        <w:rPr>
          <w:rFonts w:ascii="Calibri Light" w:hAnsi="Calibri Light" w:cs="Calibri Light"/>
          <w:sz w:val="22"/>
          <w:szCs w:val="22"/>
        </w:rPr>
        <w:t>Paslaugos turi būti pradėtos teikti kitą dieną po Paslaugų teikimo sutarties įsigaliojimo dienos.</w:t>
      </w:r>
    </w:p>
    <w:p w14:paraId="7489529C" w14:textId="77777777" w:rsidR="007B55D4" w:rsidRPr="00DE264A" w:rsidRDefault="007B55D4" w:rsidP="007B55D4">
      <w:pPr>
        <w:pStyle w:val="Sraopastraipa"/>
        <w:spacing w:before="120" w:after="120"/>
        <w:ind w:left="709"/>
        <w:contextualSpacing w:val="0"/>
        <w:jc w:val="both"/>
        <w:rPr>
          <w:rFonts w:ascii="Calibri Light" w:hAnsi="Calibri Light" w:cs="Calibri Light"/>
          <w:sz w:val="22"/>
          <w:szCs w:val="22"/>
        </w:rPr>
      </w:pPr>
    </w:p>
    <w:p w14:paraId="0F390A26" w14:textId="77777777" w:rsidR="00A64337" w:rsidRPr="008373B7" w:rsidRDefault="00A81B5A" w:rsidP="00A64337">
      <w:pPr>
        <w:pStyle w:val="Sraopastraipa"/>
        <w:numPr>
          <w:ilvl w:val="0"/>
          <w:numId w:val="4"/>
        </w:numPr>
        <w:tabs>
          <w:tab w:val="left" w:pos="426"/>
        </w:tabs>
        <w:spacing w:before="60" w:after="60"/>
        <w:ind w:left="0" w:firstLine="0"/>
        <w:contextualSpacing w:val="0"/>
        <w:jc w:val="center"/>
        <w:rPr>
          <w:rFonts w:asciiTheme="majorHAnsi" w:hAnsiTheme="majorHAnsi" w:cstheme="majorHAnsi"/>
          <w:b/>
          <w:sz w:val="22"/>
          <w:szCs w:val="22"/>
        </w:rPr>
      </w:pPr>
      <w:r>
        <w:rPr>
          <w:rFonts w:asciiTheme="majorHAnsi" w:hAnsiTheme="majorHAnsi" w:cstheme="majorHAnsi"/>
          <w:b/>
          <w:sz w:val="22"/>
          <w:szCs w:val="22"/>
        </w:rPr>
        <w:t>KVALIFIKACIJOS</w:t>
      </w:r>
      <w:r w:rsidR="00A64337" w:rsidRPr="008373B7">
        <w:rPr>
          <w:rFonts w:asciiTheme="majorHAnsi" w:hAnsiTheme="majorHAnsi" w:cstheme="majorHAnsi"/>
          <w:b/>
          <w:sz w:val="22"/>
          <w:szCs w:val="22"/>
        </w:rPr>
        <w:t xml:space="preserve"> REIKALAVIMAI PASLAUGŲ TEIKĖJUI</w:t>
      </w:r>
    </w:p>
    <w:p w14:paraId="1A46FCB8" w14:textId="77777777" w:rsidR="00A64337" w:rsidRPr="008373B7" w:rsidRDefault="00A64337" w:rsidP="00A64337">
      <w:pPr>
        <w:pStyle w:val="Sraopastraipa"/>
        <w:spacing w:before="60" w:after="60"/>
        <w:ind w:left="1800"/>
        <w:rPr>
          <w:rFonts w:asciiTheme="majorHAnsi" w:hAnsiTheme="majorHAnsi" w:cstheme="majorHAnsi"/>
          <w:b/>
          <w:sz w:val="22"/>
          <w:szCs w:val="22"/>
        </w:rPr>
      </w:pPr>
    </w:p>
    <w:p w14:paraId="01E919D3" w14:textId="7230009F" w:rsidR="00423918" w:rsidRPr="005F02D2" w:rsidRDefault="0032405B" w:rsidP="005F02D2">
      <w:pPr>
        <w:pStyle w:val="Sraopastraipa"/>
        <w:numPr>
          <w:ilvl w:val="0"/>
          <w:numId w:val="8"/>
        </w:numPr>
        <w:ind w:left="709"/>
        <w:contextualSpacing w:val="0"/>
        <w:jc w:val="both"/>
        <w:rPr>
          <w:rFonts w:asciiTheme="majorHAnsi" w:eastAsia="Calibri" w:hAnsiTheme="majorHAnsi" w:cstheme="majorHAnsi"/>
        </w:rPr>
      </w:pPr>
      <w:r w:rsidRPr="005F02D2">
        <w:rPr>
          <w:rFonts w:asciiTheme="majorHAnsi" w:hAnsiTheme="majorHAnsi" w:cstheme="majorHAnsi"/>
          <w:b/>
          <w:sz w:val="22"/>
          <w:szCs w:val="22"/>
        </w:rPr>
        <w:t xml:space="preserve">lentelė. </w:t>
      </w:r>
      <w:r w:rsidR="00D24783" w:rsidRPr="005F02D2">
        <w:rPr>
          <w:rFonts w:asciiTheme="majorHAnsi" w:hAnsiTheme="majorHAnsi" w:cstheme="majorHAnsi"/>
          <w:b/>
          <w:sz w:val="22"/>
          <w:szCs w:val="22"/>
        </w:rPr>
        <w:t>Kvalifikacijos</w:t>
      </w:r>
      <w:r w:rsidR="00A64337" w:rsidRPr="005F02D2">
        <w:rPr>
          <w:rFonts w:asciiTheme="majorHAnsi" w:hAnsiTheme="majorHAnsi" w:cstheme="majorHAnsi"/>
          <w:b/>
          <w:sz w:val="22"/>
          <w:szCs w:val="22"/>
        </w:rPr>
        <w:t xml:space="preserve"> reikalavimai, susiję su nacionaliniu saugumu</w:t>
      </w:r>
      <w:r w:rsidR="007B55D4">
        <w:rPr>
          <w:rFonts w:asciiTheme="majorHAnsi" w:hAnsiTheme="majorHAnsi" w:cstheme="majorHAnsi"/>
          <w:sz w:val="22"/>
          <w:szCs w:val="22"/>
        </w:rPr>
        <w:t>.</w:t>
      </w:r>
      <w:r w:rsidR="00D24783" w:rsidRPr="005F02D2">
        <w:rPr>
          <w:rFonts w:asciiTheme="majorHAnsi" w:eastAsia="Calibri" w:hAnsiTheme="majorHAnsi" w:cstheme="majorHAnsi"/>
        </w:rPr>
        <w:t xml:space="preserve"> </w:t>
      </w: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705"/>
        <w:gridCol w:w="4498"/>
        <w:gridCol w:w="4425"/>
      </w:tblGrid>
      <w:tr w:rsidR="00215773" w:rsidRPr="008373B7" w14:paraId="7FD1BC96" w14:textId="77777777" w:rsidTr="00D24783">
        <w:trPr>
          <w:trHeight w:val="241"/>
        </w:trPr>
        <w:tc>
          <w:tcPr>
            <w:tcW w:w="366" w:type="pct"/>
            <w:shd w:val="clear" w:color="auto" w:fill="F2F2F2" w:themeFill="background1" w:themeFillShade="F2"/>
            <w:vAlign w:val="center"/>
          </w:tcPr>
          <w:p w14:paraId="6690736A" w14:textId="77777777" w:rsidR="00D24783" w:rsidRPr="008373B7" w:rsidRDefault="00215773" w:rsidP="00B04F56">
            <w:pPr>
              <w:rPr>
                <w:rFonts w:asciiTheme="majorHAnsi" w:eastAsia="Calibri" w:hAnsiTheme="majorHAnsi" w:cstheme="majorHAnsi"/>
                <w:b/>
              </w:rPr>
            </w:pPr>
            <w:r w:rsidRPr="008373B7">
              <w:rPr>
                <w:rFonts w:asciiTheme="majorHAnsi" w:eastAsia="Calibri" w:hAnsiTheme="majorHAnsi" w:cstheme="majorHAnsi"/>
                <w:b/>
              </w:rPr>
              <w:t>Eil.</w:t>
            </w:r>
          </w:p>
          <w:p w14:paraId="4EA89974" w14:textId="30A07E2F" w:rsidR="00215773" w:rsidRPr="008373B7" w:rsidRDefault="00215773" w:rsidP="00B04F56">
            <w:pPr>
              <w:rPr>
                <w:rFonts w:asciiTheme="majorHAnsi" w:eastAsia="Calibri" w:hAnsiTheme="majorHAnsi" w:cstheme="majorHAnsi"/>
                <w:b/>
              </w:rPr>
            </w:pPr>
            <w:r w:rsidRPr="008373B7">
              <w:rPr>
                <w:rFonts w:asciiTheme="majorHAnsi" w:eastAsia="Calibri" w:hAnsiTheme="majorHAnsi" w:cstheme="majorHAnsi"/>
                <w:b/>
              </w:rPr>
              <w:t>Nr.</w:t>
            </w:r>
          </w:p>
        </w:tc>
        <w:tc>
          <w:tcPr>
            <w:tcW w:w="2336" w:type="pct"/>
            <w:shd w:val="clear" w:color="auto" w:fill="F2F2F2" w:themeFill="background1" w:themeFillShade="F2"/>
            <w:vAlign w:val="center"/>
          </w:tcPr>
          <w:p w14:paraId="3513CFDB" w14:textId="77777777" w:rsidR="00215773" w:rsidRPr="008373B7" w:rsidRDefault="00215773" w:rsidP="00B04F56">
            <w:pPr>
              <w:jc w:val="center"/>
              <w:rPr>
                <w:rFonts w:asciiTheme="majorHAnsi" w:eastAsia="Calibri" w:hAnsiTheme="majorHAnsi" w:cstheme="majorHAnsi"/>
                <w:b/>
              </w:rPr>
            </w:pPr>
            <w:r w:rsidRPr="008373B7">
              <w:rPr>
                <w:rFonts w:asciiTheme="majorHAnsi" w:eastAsia="Calibri" w:hAnsiTheme="majorHAnsi" w:cstheme="majorHAnsi"/>
                <w:b/>
              </w:rPr>
              <w:t>Kvalifikacijos reikalavimai</w:t>
            </w:r>
          </w:p>
        </w:tc>
        <w:tc>
          <w:tcPr>
            <w:tcW w:w="2298" w:type="pct"/>
            <w:shd w:val="clear" w:color="auto" w:fill="F2F2F2" w:themeFill="background1" w:themeFillShade="F2"/>
            <w:vAlign w:val="center"/>
          </w:tcPr>
          <w:p w14:paraId="5419E0CB" w14:textId="77777777" w:rsidR="00215773" w:rsidRPr="008373B7" w:rsidRDefault="00215773" w:rsidP="00B04F56">
            <w:pPr>
              <w:jc w:val="center"/>
              <w:rPr>
                <w:rFonts w:asciiTheme="majorHAnsi" w:eastAsia="Calibri" w:hAnsiTheme="majorHAnsi" w:cstheme="majorHAnsi"/>
                <w:b/>
              </w:rPr>
            </w:pPr>
            <w:r w:rsidRPr="008373B7">
              <w:rPr>
                <w:rFonts w:asciiTheme="majorHAnsi" w:eastAsia="Calibri" w:hAnsiTheme="majorHAnsi" w:cstheme="majorHAnsi"/>
                <w:b/>
              </w:rPr>
              <w:t>Atitiktį įrodantys dokumentai</w:t>
            </w:r>
          </w:p>
        </w:tc>
      </w:tr>
      <w:tr w:rsidR="00215773" w:rsidRPr="008373B7" w14:paraId="2D475AAF" w14:textId="77777777" w:rsidTr="00A81B5A">
        <w:trPr>
          <w:trHeight w:val="257"/>
        </w:trPr>
        <w:tc>
          <w:tcPr>
            <w:tcW w:w="366" w:type="pct"/>
            <w:shd w:val="clear" w:color="auto" w:fill="F2F2F2" w:themeFill="background1" w:themeFillShade="F2"/>
          </w:tcPr>
          <w:p w14:paraId="2C3CB576" w14:textId="2963C4CB" w:rsidR="00215773" w:rsidRPr="008373B7" w:rsidRDefault="0032405B" w:rsidP="00A81B5A">
            <w:pPr>
              <w:pStyle w:val="Sraopastraipa"/>
              <w:tabs>
                <w:tab w:val="left" w:pos="284"/>
                <w:tab w:val="left" w:pos="459"/>
              </w:tabs>
              <w:ind w:left="0"/>
              <w:jc w:val="center"/>
              <w:rPr>
                <w:rFonts w:asciiTheme="majorHAnsi" w:eastAsia="Calibri" w:hAnsiTheme="majorHAnsi" w:cstheme="majorHAnsi"/>
                <w:i/>
                <w:sz w:val="22"/>
                <w:szCs w:val="22"/>
              </w:rPr>
            </w:pPr>
            <w:r>
              <w:rPr>
                <w:rFonts w:asciiTheme="majorHAnsi" w:eastAsia="Calibri" w:hAnsiTheme="majorHAnsi" w:cstheme="majorHAnsi"/>
                <w:i/>
                <w:sz w:val="22"/>
                <w:szCs w:val="22"/>
              </w:rPr>
              <w:t>4</w:t>
            </w:r>
            <w:r w:rsidR="00215773" w:rsidRPr="008373B7">
              <w:rPr>
                <w:rFonts w:asciiTheme="majorHAnsi" w:eastAsia="Calibri" w:hAnsiTheme="majorHAnsi" w:cstheme="majorHAnsi"/>
                <w:i/>
                <w:sz w:val="22"/>
                <w:szCs w:val="22"/>
              </w:rPr>
              <w:t>.1.</w:t>
            </w:r>
          </w:p>
        </w:tc>
        <w:tc>
          <w:tcPr>
            <w:tcW w:w="2336" w:type="pct"/>
            <w:shd w:val="clear" w:color="auto" w:fill="auto"/>
          </w:tcPr>
          <w:p w14:paraId="300A4A28" w14:textId="77777777" w:rsidR="00215773" w:rsidRPr="008373B7" w:rsidRDefault="00215773" w:rsidP="00B04F56">
            <w:pPr>
              <w:jc w:val="both"/>
              <w:rPr>
                <w:rFonts w:asciiTheme="majorHAnsi" w:eastAsia="Calibri" w:hAnsiTheme="majorHAnsi" w:cstheme="majorHAnsi"/>
                <w:i/>
              </w:rPr>
            </w:pPr>
            <w:r w:rsidRPr="008373B7">
              <w:rPr>
                <w:rFonts w:asciiTheme="majorHAnsi" w:eastAsia="Calibri" w:hAnsiTheme="majorHAnsi" w:cstheme="majorHAnsi"/>
                <w:i/>
              </w:rPr>
              <w:t>Tiekėjas neturi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15CBB5A7" w14:textId="77777777" w:rsidR="00215773" w:rsidRPr="008373B7" w:rsidRDefault="00215773" w:rsidP="00B04F56">
            <w:pPr>
              <w:jc w:val="both"/>
              <w:rPr>
                <w:rFonts w:asciiTheme="majorHAnsi" w:eastAsia="Calibri" w:hAnsiTheme="majorHAnsi" w:cstheme="majorHAnsi"/>
                <w:i/>
              </w:rPr>
            </w:pPr>
            <w:r w:rsidRPr="008373B7">
              <w:rPr>
                <w:rFonts w:asciiTheme="majorHAnsi" w:eastAsia="Calibri" w:hAnsiTheme="majorHAnsi" w:cstheme="majorHAnsi"/>
                <w:i/>
              </w:rPr>
              <w:t>Perkančioji organizacija iš tiekėjo reikalauja šių dokumentų:</w:t>
            </w:r>
          </w:p>
          <w:p w14:paraId="43048855" w14:textId="77777777" w:rsidR="00215773" w:rsidRPr="008373B7" w:rsidRDefault="00215773" w:rsidP="00B04F56">
            <w:pPr>
              <w:jc w:val="both"/>
              <w:rPr>
                <w:rFonts w:asciiTheme="majorHAnsi" w:eastAsia="Calibri" w:hAnsiTheme="majorHAnsi" w:cstheme="majorHAnsi"/>
                <w:i/>
              </w:rPr>
            </w:pPr>
            <w:r w:rsidRPr="008373B7">
              <w:rPr>
                <w:rFonts w:asciiTheme="majorHAnsi" w:eastAsia="Calibri" w:hAnsiTheme="majorHAnsi" w:cstheme="majorHAnsi"/>
                <w:i/>
              </w:rPr>
              <w:t xml:space="preserve">1) jeigu tiekėjas, jo subtiekėjas, ūkio subjektas, kurio pajėgumais remiamasi, tiekėjo siūlomų prekių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1FEEF55B" w14:textId="77777777" w:rsidR="00215773" w:rsidRPr="008373B7" w:rsidRDefault="00215773" w:rsidP="00B04F56">
            <w:pPr>
              <w:jc w:val="both"/>
              <w:rPr>
                <w:rFonts w:asciiTheme="majorHAnsi" w:eastAsia="Calibri" w:hAnsiTheme="majorHAnsi" w:cstheme="majorHAnsi"/>
                <w:i/>
              </w:rPr>
            </w:pPr>
            <w:r w:rsidRPr="008373B7">
              <w:rPr>
                <w:rFonts w:asciiTheme="majorHAnsi" w:eastAsia="Calibri" w:hAnsiTheme="majorHAnsi" w:cstheme="majorHAnsi"/>
                <w:i/>
              </w:rPr>
              <w:t xml:space="preserve">2) jeigu tiekėjas, jo subtiekėjas, ūkio subjektas, kurio pajėgumais remiamasi, tiekėjo siūlomų prekių gamintojas ar juos kontroliuojantis asmuo yra fizinis asmuo, pateikiama asmens tapatybę patvirtinančio dokumento (tapatybės kortelės ar paso) kopija, leidimo verstis </w:t>
            </w:r>
            <w:r w:rsidRPr="008373B7">
              <w:rPr>
                <w:rFonts w:asciiTheme="majorHAnsi" w:eastAsia="Calibri" w:hAnsiTheme="majorHAnsi" w:cstheme="majorHAnsi"/>
                <w:i/>
              </w:rPr>
              <w:lastRenderedPageBreak/>
              <w:t>atitinkama ūkine veikla patvirtinančio dokumento (pavyzdžiui, verslo liudijimo, individualios veiklos pažymėjimo ir pan.) kopija ir pažyma apie deklaruotą gyvenamąją vietą arba atitinkami valstybės narės ar trečiosios šalies dokumentai.</w:t>
            </w:r>
          </w:p>
        </w:tc>
      </w:tr>
      <w:tr w:rsidR="00215773" w:rsidRPr="008373B7" w14:paraId="223CCBDA" w14:textId="77777777" w:rsidTr="00B04F56">
        <w:trPr>
          <w:trHeight w:val="257"/>
        </w:trPr>
        <w:tc>
          <w:tcPr>
            <w:tcW w:w="5000" w:type="pct"/>
            <w:gridSpan w:val="3"/>
            <w:shd w:val="clear" w:color="auto" w:fill="F2F2F2" w:themeFill="background1" w:themeFillShade="F2"/>
            <w:vAlign w:val="center"/>
          </w:tcPr>
          <w:p w14:paraId="256EAF03" w14:textId="475375FC" w:rsidR="00215773" w:rsidRPr="008373B7" w:rsidRDefault="0032405B" w:rsidP="00A81B5A">
            <w:pPr>
              <w:jc w:val="both"/>
              <w:rPr>
                <w:rFonts w:asciiTheme="majorHAnsi" w:eastAsia="Calibri" w:hAnsiTheme="majorHAnsi" w:cstheme="majorHAnsi"/>
                <w:i/>
              </w:rPr>
            </w:pPr>
            <w:r>
              <w:rPr>
                <w:rFonts w:asciiTheme="majorHAnsi" w:eastAsia="Calibri" w:hAnsiTheme="majorHAnsi" w:cstheme="majorHAnsi"/>
                <w:i/>
              </w:rPr>
              <w:lastRenderedPageBreak/>
              <w:t>Pastaba. 4</w:t>
            </w:r>
            <w:r w:rsidR="00D24783" w:rsidRPr="008373B7">
              <w:rPr>
                <w:rFonts w:asciiTheme="majorHAnsi" w:eastAsia="Calibri" w:hAnsiTheme="majorHAnsi" w:cstheme="majorHAnsi"/>
                <w:i/>
              </w:rPr>
              <w:t>.1. punkte</w:t>
            </w:r>
            <w:r w:rsidR="00215773" w:rsidRPr="008373B7">
              <w:rPr>
                <w:rFonts w:asciiTheme="majorHAnsi" w:eastAsia="Calibri" w:hAnsiTheme="majorHAnsi" w:cstheme="majorHAnsi"/>
                <w:i/>
              </w:rPr>
              <w:t xml:space="preserv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tc>
      </w:tr>
      <w:tr w:rsidR="00E455DA" w:rsidRPr="008373B7" w14:paraId="3CAFB657" w14:textId="77777777" w:rsidTr="00B04F56">
        <w:trPr>
          <w:trHeight w:val="257"/>
        </w:trPr>
        <w:tc>
          <w:tcPr>
            <w:tcW w:w="5000" w:type="pct"/>
            <w:gridSpan w:val="3"/>
            <w:shd w:val="clear" w:color="auto" w:fill="F2F2F2" w:themeFill="background1" w:themeFillShade="F2"/>
            <w:vAlign w:val="center"/>
          </w:tcPr>
          <w:p w14:paraId="6A240859" w14:textId="77777777" w:rsidR="00E455DA" w:rsidRPr="00E455DA" w:rsidRDefault="00E455DA" w:rsidP="00E455DA">
            <w:pPr>
              <w:jc w:val="both"/>
              <w:rPr>
                <w:rFonts w:asciiTheme="majorHAnsi" w:eastAsia="Calibri" w:hAnsiTheme="majorHAnsi" w:cstheme="majorHAnsi"/>
                <w:i/>
              </w:rPr>
            </w:pPr>
            <w:r w:rsidRPr="00E455DA">
              <w:rPr>
                <w:rFonts w:asciiTheme="majorHAnsi" w:eastAsia="Calibri" w:hAnsiTheme="majorHAnsi" w:cstheme="majorHAnsi"/>
                <w:i/>
              </w:rPr>
              <w:t>pateikiami dokumentai:</w:t>
            </w:r>
          </w:p>
          <w:p w14:paraId="036133C0" w14:textId="77777777" w:rsidR="00E455DA" w:rsidRPr="00E455DA" w:rsidRDefault="00E455DA" w:rsidP="00E455DA">
            <w:pPr>
              <w:ind w:firstLine="741"/>
              <w:jc w:val="both"/>
              <w:rPr>
                <w:rFonts w:asciiTheme="majorHAnsi" w:eastAsia="Calibri" w:hAnsiTheme="majorHAnsi" w:cstheme="majorHAnsi"/>
                <w:i/>
              </w:rPr>
            </w:pPr>
            <w:r w:rsidRPr="00E455DA">
              <w:rPr>
                <w:rFonts w:asciiTheme="majorHAnsi" w:eastAsia="Calibri" w:hAnsiTheme="majorHAnsi" w:cstheme="majorHAnsi"/>
                <w:i/>
              </w:rPr>
              <w:t>1.</w:t>
            </w:r>
            <w:r w:rsidRPr="00E455DA">
              <w:rPr>
                <w:rFonts w:asciiTheme="majorHAnsi" w:eastAsia="Calibri" w:hAnsiTheme="majorHAnsi" w:cstheme="majorHAnsi"/>
                <w:i/>
              </w:rPr>
              <w:tab/>
              <w:t>UAB „Asseco Lietuva“ LR JAR išplėstinis išrašas (konfidencialu_AL_isplestinis.pdf);</w:t>
            </w:r>
          </w:p>
          <w:p w14:paraId="430AF210" w14:textId="77777777" w:rsidR="00E455DA" w:rsidRPr="00E455DA" w:rsidRDefault="00E455DA" w:rsidP="00E455DA">
            <w:pPr>
              <w:ind w:firstLine="741"/>
              <w:jc w:val="both"/>
              <w:rPr>
                <w:rFonts w:asciiTheme="majorHAnsi" w:eastAsia="Calibri" w:hAnsiTheme="majorHAnsi" w:cstheme="majorHAnsi"/>
                <w:i/>
              </w:rPr>
            </w:pPr>
            <w:r w:rsidRPr="00E455DA">
              <w:rPr>
                <w:rFonts w:asciiTheme="majorHAnsi" w:eastAsia="Calibri" w:hAnsiTheme="majorHAnsi" w:cstheme="majorHAnsi"/>
                <w:i/>
              </w:rPr>
              <w:t>2.</w:t>
            </w:r>
            <w:r w:rsidRPr="00E455DA">
              <w:rPr>
                <w:rFonts w:asciiTheme="majorHAnsi" w:eastAsia="Calibri" w:hAnsiTheme="majorHAnsi" w:cstheme="majorHAnsi"/>
                <w:i/>
              </w:rPr>
              <w:tab/>
              <w:t>UAB „Asseco Lietuva“ įstatai (konfidencialu_AL_istatai.pdf);</w:t>
            </w:r>
          </w:p>
          <w:p w14:paraId="15F53B30" w14:textId="77777777" w:rsidR="00E455DA" w:rsidRPr="00E455DA" w:rsidRDefault="00E455DA" w:rsidP="00E455DA">
            <w:pPr>
              <w:ind w:firstLine="741"/>
              <w:jc w:val="both"/>
              <w:rPr>
                <w:rFonts w:asciiTheme="majorHAnsi" w:eastAsia="Calibri" w:hAnsiTheme="majorHAnsi" w:cstheme="majorHAnsi"/>
                <w:i/>
              </w:rPr>
            </w:pPr>
            <w:r w:rsidRPr="00E455DA">
              <w:rPr>
                <w:rFonts w:asciiTheme="majorHAnsi" w:eastAsia="Calibri" w:hAnsiTheme="majorHAnsi" w:cstheme="majorHAnsi"/>
                <w:i/>
              </w:rPr>
              <w:t>3.</w:t>
            </w:r>
            <w:r w:rsidRPr="00E455DA">
              <w:rPr>
                <w:rFonts w:asciiTheme="majorHAnsi" w:eastAsia="Calibri" w:hAnsiTheme="majorHAnsi" w:cstheme="majorHAnsi"/>
                <w:i/>
              </w:rPr>
              <w:tab/>
              <w:t>UAB „Asseco Lietuva“ duomenų apie juridinio asmens dalyvius išrašas (konfidencialu_RC_israsas.pdf);</w:t>
            </w:r>
          </w:p>
          <w:p w14:paraId="1B523B0A" w14:textId="7BEC5F13" w:rsidR="00E455DA" w:rsidRDefault="00E455DA" w:rsidP="00E455DA">
            <w:pPr>
              <w:ind w:firstLine="741"/>
              <w:jc w:val="both"/>
              <w:rPr>
                <w:rFonts w:asciiTheme="majorHAnsi" w:eastAsia="Calibri" w:hAnsiTheme="majorHAnsi" w:cstheme="majorHAnsi"/>
                <w:i/>
              </w:rPr>
            </w:pPr>
            <w:r w:rsidRPr="00E455DA">
              <w:rPr>
                <w:rFonts w:asciiTheme="majorHAnsi" w:eastAsia="Calibri" w:hAnsiTheme="majorHAnsi" w:cstheme="majorHAnsi"/>
                <w:i/>
              </w:rPr>
              <w:t>4.</w:t>
            </w:r>
            <w:r w:rsidRPr="00E455DA">
              <w:rPr>
                <w:rFonts w:asciiTheme="majorHAnsi" w:eastAsia="Calibri" w:hAnsiTheme="majorHAnsi" w:cstheme="majorHAnsi"/>
                <w:i/>
              </w:rPr>
              <w:tab/>
              <w:t>Asseco Intenational, a.s. dokumentai (konfidencialu_AI_israsas.pdf, konfidencialu_AI_istatai.pdf).</w:t>
            </w:r>
          </w:p>
        </w:tc>
      </w:tr>
    </w:tbl>
    <w:p w14:paraId="116521CC" w14:textId="77777777" w:rsidR="00A64337" w:rsidRPr="008373B7" w:rsidRDefault="00A64337" w:rsidP="00A64337">
      <w:pPr>
        <w:pStyle w:val="Sraopastraipa"/>
        <w:spacing w:before="60" w:after="60"/>
        <w:ind w:left="360"/>
        <w:rPr>
          <w:rFonts w:asciiTheme="majorHAnsi" w:hAnsiTheme="majorHAnsi" w:cstheme="majorHAnsi"/>
          <w:b/>
          <w:sz w:val="22"/>
          <w:szCs w:val="22"/>
        </w:rPr>
      </w:pPr>
    </w:p>
    <w:p w14:paraId="6FCE3A0A" w14:textId="77777777" w:rsidR="00A64337" w:rsidRPr="008373B7" w:rsidRDefault="00A64337" w:rsidP="0032405B">
      <w:pPr>
        <w:pStyle w:val="Sraopastraipa"/>
        <w:numPr>
          <w:ilvl w:val="0"/>
          <w:numId w:val="7"/>
        </w:numPr>
        <w:tabs>
          <w:tab w:val="left" w:pos="426"/>
        </w:tabs>
        <w:spacing w:before="60" w:after="60"/>
        <w:ind w:left="0" w:firstLine="0"/>
        <w:contextualSpacing w:val="0"/>
        <w:jc w:val="center"/>
        <w:rPr>
          <w:rFonts w:asciiTheme="majorHAnsi" w:hAnsiTheme="majorHAnsi" w:cstheme="majorHAnsi"/>
          <w:b/>
          <w:sz w:val="22"/>
          <w:szCs w:val="22"/>
        </w:rPr>
      </w:pPr>
      <w:r w:rsidRPr="008373B7">
        <w:rPr>
          <w:rFonts w:asciiTheme="majorHAnsi" w:hAnsiTheme="majorHAnsi" w:cstheme="majorHAnsi"/>
          <w:b/>
          <w:sz w:val="22"/>
          <w:szCs w:val="22"/>
        </w:rPr>
        <w:t>PAGRINDINĖS SUTARTIES SĄLYGOS</w:t>
      </w:r>
    </w:p>
    <w:p w14:paraId="559594E8" w14:textId="77777777" w:rsidR="00A64337" w:rsidRPr="008373B7" w:rsidRDefault="00A64337" w:rsidP="00A64337">
      <w:pPr>
        <w:pStyle w:val="Sraopastraipa"/>
        <w:spacing w:before="60" w:after="60"/>
        <w:ind w:left="1800"/>
        <w:jc w:val="both"/>
        <w:rPr>
          <w:rFonts w:asciiTheme="majorHAnsi" w:hAnsiTheme="majorHAnsi" w:cstheme="majorHAnsi"/>
          <w:sz w:val="22"/>
          <w:szCs w:val="22"/>
        </w:rPr>
      </w:pPr>
    </w:p>
    <w:p w14:paraId="667E6B1C" w14:textId="77777777" w:rsidR="00A64337" w:rsidRPr="008373B7" w:rsidRDefault="00A64337" w:rsidP="00A64337">
      <w:pPr>
        <w:pStyle w:val="Sraopastraipa"/>
        <w:numPr>
          <w:ilvl w:val="0"/>
          <w:numId w:val="3"/>
        </w:numPr>
        <w:spacing w:before="60" w:after="60"/>
        <w:ind w:left="0" w:firstLine="709"/>
        <w:contextualSpacing w:val="0"/>
        <w:jc w:val="both"/>
        <w:rPr>
          <w:rFonts w:asciiTheme="majorHAnsi" w:hAnsiTheme="majorHAnsi" w:cstheme="majorHAnsi"/>
          <w:sz w:val="22"/>
          <w:szCs w:val="22"/>
        </w:rPr>
      </w:pPr>
      <w:r w:rsidRPr="008373B7">
        <w:rPr>
          <w:rFonts w:asciiTheme="majorHAnsi" w:hAnsiTheme="majorHAnsi" w:cstheme="majorHAnsi"/>
          <w:sz w:val="22"/>
          <w:szCs w:val="22"/>
        </w:rPr>
        <w:t>Sutartis įsigalioja nuo jos pasirašymo dienos ir galioja iki visiško Sutarties šalių įsipareigojimų įvykdymo.</w:t>
      </w:r>
    </w:p>
    <w:p w14:paraId="1AE0016B" w14:textId="77777777" w:rsidR="00A64337" w:rsidRPr="008373B7" w:rsidRDefault="00A64337" w:rsidP="00A64337">
      <w:pPr>
        <w:pStyle w:val="Sraopastraipa"/>
        <w:numPr>
          <w:ilvl w:val="0"/>
          <w:numId w:val="3"/>
        </w:numPr>
        <w:spacing w:before="60" w:after="60"/>
        <w:ind w:left="0" w:firstLine="709"/>
        <w:contextualSpacing w:val="0"/>
        <w:jc w:val="both"/>
        <w:rPr>
          <w:rFonts w:asciiTheme="majorHAnsi" w:hAnsiTheme="majorHAnsi" w:cstheme="majorHAnsi"/>
          <w:sz w:val="22"/>
          <w:szCs w:val="22"/>
        </w:rPr>
      </w:pPr>
      <w:r w:rsidRPr="008373B7">
        <w:rPr>
          <w:rFonts w:asciiTheme="majorHAnsi" w:hAnsiTheme="majorHAnsi" w:cstheme="majorHAnsi"/>
          <w:sz w:val="22"/>
          <w:szCs w:val="22"/>
        </w:rPr>
        <w:t>Bendra Sutarties vertė (pradinė sutarties vertė) nustatoma vadovaujantis Kainodaros taisyklių nustatymo metodikos, patvirtintos Viešųjų pirkimų tarnybos direktoriaus 2017 m. birželio 28 d. įsakymu Nr. 1S-95 „Dėl Kainodaros taisyklių nustatymo metodikos patvirtinimo“, 17.2 papunkčiu ir yra iki 36 300 Eur su PVM, 30 000 Eur be PVM.</w:t>
      </w:r>
    </w:p>
    <w:p w14:paraId="1EA31D18" w14:textId="77777777" w:rsidR="00A64337" w:rsidRPr="008373B7" w:rsidRDefault="00A64337" w:rsidP="00A64337">
      <w:pPr>
        <w:pStyle w:val="Sraopastraipa"/>
        <w:numPr>
          <w:ilvl w:val="0"/>
          <w:numId w:val="3"/>
        </w:numPr>
        <w:ind w:left="0" w:firstLine="709"/>
        <w:contextualSpacing w:val="0"/>
        <w:jc w:val="both"/>
        <w:rPr>
          <w:rFonts w:asciiTheme="majorHAnsi" w:hAnsiTheme="majorHAnsi" w:cstheme="majorHAnsi"/>
          <w:sz w:val="22"/>
          <w:szCs w:val="22"/>
        </w:rPr>
      </w:pPr>
      <w:r w:rsidRPr="008373B7">
        <w:rPr>
          <w:rFonts w:asciiTheme="majorHAnsi" w:hAnsiTheme="majorHAnsi" w:cstheme="majorHAnsi"/>
          <w:sz w:val="22"/>
          <w:szCs w:val="22"/>
        </w:rPr>
        <w:t>Paslaugų teikėjas įsipareigoja laikytis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perkančiajai organizacijai ir/ar tretiesiems asmenims nuostolių atlyginimą, jei paslaugų teikėjas ar jo specialistai, darbuotojai, atstovai nesilaikytų Lietuvos Respublikoje galiojančių teisės aktų reikalavimų ir dėl to perkančiajai organizacijai ir/ar tretiesiems asmenims būtų pateikti kokie nors reikalavimai ar pradėti procesiniai veiksmai.</w:t>
      </w:r>
    </w:p>
    <w:p w14:paraId="729FF689" w14:textId="77777777" w:rsidR="00A64337" w:rsidRPr="008373B7" w:rsidRDefault="00A64337" w:rsidP="00A64337">
      <w:pPr>
        <w:pStyle w:val="Sraopastraipa"/>
        <w:numPr>
          <w:ilvl w:val="0"/>
          <w:numId w:val="3"/>
        </w:numPr>
        <w:spacing w:before="60" w:after="60"/>
        <w:ind w:left="0" w:firstLine="567"/>
        <w:contextualSpacing w:val="0"/>
        <w:jc w:val="both"/>
        <w:rPr>
          <w:rFonts w:asciiTheme="majorHAnsi" w:hAnsiTheme="majorHAnsi" w:cstheme="majorHAnsi"/>
          <w:sz w:val="22"/>
          <w:szCs w:val="22"/>
        </w:rPr>
      </w:pPr>
      <w:r w:rsidRPr="008373B7">
        <w:rPr>
          <w:rFonts w:asciiTheme="majorHAnsi" w:hAnsiTheme="majorHAnsi" w:cstheme="majorHAnsi"/>
          <w:sz w:val="22"/>
          <w:szCs w:val="22"/>
        </w:rPr>
        <w:t xml:space="preserve">Paslaugos turi būti teikiamos nuo sutarties įsigaliojimo dienos iki kol bus pasiekta sutarties kaina (bendra sutarties vertė), bet ne ilgiau kaip iki 2023 m. rugpjūčio 31 d. adresu: Šventaragio g. 2, Vilnius, Lietuva. </w:t>
      </w:r>
    </w:p>
    <w:p w14:paraId="7DC1D748" w14:textId="77777777" w:rsidR="00A64337" w:rsidRPr="008373B7" w:rsidRDefault="00A64337" w:rsidP="00A64337">
      <w:pPr>
        <w:pStyle w:val="Sraopastraipa"/>
        <w:numPr>
          <w:ilvl w:val="0"/>
          <w:numId w:val="3"/>
        </w:numPr>
        <w:spacing w:before="60" w:after="60"/>
        <w:ind w:left="0" w:firstLine="567"/>
        <w:contextualSpacing w:val="0"/>
        <w:jc w:val="both"/>
        <w:rPr>
          <w:rFonts w:asciiTheme="majorHAnsi" w:hAnsiTheme="majorHAnsi" w:cstheme="majorHAnsi"/>
          <w:sz w:val="22"/>
          <w:szCs w:val="22"/>
        </w:rPr>
      </w:pPr>
      <w:r w:rsidRPr="008373B7">
        <w:rPr>
          <w:rFonts w:asciiTheme="majorHAnsi" w:hAnsiTheme="majorHAnsi" w:cstheme="majorHAnsi"/>
          <w:sz w:val="22"/>
          <w:szCs w:val="22"/>
        </w:rPr>
        <w:t xml:space="preserve">Paslaugos teikiamos Sutartyje nustatyta tvarka ir sąlygomis pagal paslaugų gavėjo faktinį poreikį, taikant Paslaugų teikėjo pasiūlyme nurodytą įkainį.     </w:t>
      </w:r>
    </w:p>
    <w:p w14:paraId="106CEC8E" w14:textId="77777777" w:rsidR="00A64337" w:rsidRPr="008373B7" w:rsidRDefault="00A64337" w:rsidP="00A64337">
      <w:pPr>
        <w:pStyle w:val="Sraopastraipa"/>
        <w:numPr>
          <w:ilvl w:val="0"/>
          <w:numId w:val="3"/>
        </w:numPr>
        <w:spacing w:before="60" w:after="60"/>
        <w:ind w:left="0" w:firstLine="567"/>
        <w:contextualSpacing w:val="0"/>
        <w:jc w:val="both"/>
        <w:rPr>
          <w:rFonts w:asciiTheme="majorHAnsi" w:hAnsiTheme="majorHAnsi" w:cstheme="majorHAnsi"/>
          <w:sz w:val="22"/>
          <w:szCs w:val="22"/>
        </w:rPr>
      </w:pPr>
      <w:r w:rsidRPr="008373B7">
        <w:rPr>
          <w:rFonts w:asciiTheme="majorHAnsi" w:hAnsiTheme="majorHAnsi" w:cstheme="majorHAnsi"/>
          <w:sz w:val="22"/>
          <w:szCs w:val="22"/>
        </w:rPr>
        <w:t>Per kalendorinį mėnesį tinkamai ir faktiškai suteiktų paslaugų perdavimas ir priėmimas įforminamas paslaugų perdavimo-priėmimo aktais, kurie pasirašomi paslaugų teikėjo ir perkančiosios organizacijos.</w:t>
      </w:r>
    </w:p>
    <w:p w14:paraId="3DBBBFC1" w14:textId="77777777" w:rsidR="00A64337" w:rsidRPr="008373B7" w:rsidRDefault="00A64337" w:rsidP="00A64337">
      <w:pPr>
        <w:pStyle w:val="Sraopastraipa"/>
        <w:numPr>
          <w:ilvl w:val="0"/>
          <w:numId w:val="3"/>
        </w:numPr>
        <w:ind w:left="0" w:firstLine="567"/>
        <w:contextualSpacing w:val="0"/>
        <w:jc w:val="both"/>
        <w:rPr>
          <w:rFonts w:asciiTheme="majorHAnsi" w:hAnsiTheme="majorHAnsi" w:cstheme="majorHAnsi"/>
          <w:sz w:val="22"/>
          <w:szCs w:val="22"/>
        </w:rPr>
      </w:pPr>
      <w:r w:rsidRPr="008373B7">
        <w:rPr>
          <w:rFonts w:asciiTheme="majorHAnsi" w:hAnsiTheme="majorHAnsi" w:cstheme="majorHAnsi"/>
          <w:sz w:val="22"/>
          <w:szCs w:val="22"/>
        </w:rPr>
        <w:t>Kartu su paslaugų perdavimo-priėmimo aktu už per praėjusį kalendorinį mėnesį suteiktas paslaugas, paslaugų teikėjas pateikia perkančiajai organizacijai ataskaitą apie per praėjusį kalendorinį mėnesį suteiktas Paslaugas.</w:t>
      </w:r>
    </w:p>
    <w:p w14:paraId="66B8237B" w14:textId="77777777" w:rsidR="00A64337" w:rsidRPr="008373B7" w:rsidRDefault="00A64337" w:rsidP="00A64337">
      <w:pPr>
        <w:pStyle w:val="Sraopastraipa"/>
        <w:numPr>
          <w:ilvl w:val="0"/>
          <w:numId w:val="3"/>
        </w:numPr>
        <w:spacing w:before="60" w:after="60"/>
        <w:ind w:left="0" w:firstLine="567"/>
        <w:contextualSpacing w:val="0"/>
        <w:jc w:val="both"/>
        <w:rPr>
          <w:rFonts w:asciiTheme="majorHAnsi" w:hAnsiTheme="majorHAnsi" w:cstheme="majorHAnsi"/>
          <w:sz w:val="22"/>
          <w:szCs w:val="22"/>
        </w:rPr>
      </w:pPr>
      <w:r w:rsidRPr="008373B7">
        <w:rPr>
          <w:rFonts w:asciiTheme="majorHAnsi" w:hAnsiTheme="majorHAnsi" w:cstheme="majorHAnsi"/>
          <w:sz w:val="22"/>
          <w:szCs w:val="22"/>
        </w:rPr>
        <w:t>Už tinkamai ir faktiškai per kalendorinį mėnesį suteiktas paslaugas, atitinkančias pirkimo sutarties reikalavimus, perkančioji organizacija su paslaugų teikėju atsiskaito mokėjimo pavedimu, pinigus pervesdama į paslaugų teikėjo nurodytą sąskaitą per 30 (trisdešimt) kalendorinių dienų nuo paslaugų perdavimo–priėmimo akto pasirašymo ir teisingos PVM sąskaitos faktūros gavimo dienos.</w:t>
      </w:r>
    </w:p>
    <w:p w14:paraId="413613C1" w14:textId="77777777" w:rsidR="00A64337" w:rsidRPr="008373B7" w:rsidRDefault="00A64337" w:rsidP="00A64337">
      <w:pPr>
        <w:pStyle w:val="Sraopastraipa"/>
        <w:numPr>
          <w:ilvl w:val="0"/>
          <w:numId w:val="3"/>
        </w:numPr>
        <w:spacing w:before="60" w:after="60"/>
        <w:ind w:left="0" w:firstLine="709"/>
        <w:contextualSpacing w:val="0"/>
        <w:jc w:val="both"/>
        <w:rPr>
          <w:rFonts w:asciiTheme="majorHAnsi" w:hAnsiTheme="majorHAnsi" w:cstheme="majorHAnsi"/>
          <w:sz w:val="22"/>
          <w:szCs w:val="22"/>
        </w:rPr>
      </w:pPr>
      <w:r w:rsidRPr="008373B7">
        <w:rPr>
          <w:rFonts w:asciiTheme="majorHAnsi" w:hAnsiTheme="majorHAnsi" w:cstheme="majorHAnsi"/>
          <w:sz w:val="22"/>
          <w:szCs w:val="22"/>
        </w:rPr>
        <w:t>Jeigu einamaisiais biudžetiniais metais teisės aktais bus apribotas tam tikram laikotarpiui numatytas valstybės piniginių išteklių išdavimas, perkančioji organizacija turi teisę einamaisiais biudžetiniais metais atsisakyti tam tikrų pirkimo sutartyje numatytų, tačiau dar nesuteiktų paslaugų ir privalo apie tai informuoti paslaugų teikėją. Esant valstybės piniginių išteklių išdavimo ribojimo situacijai ir perkančiajai organizacijai atsisakius dar nesuteiktų paslaugų, perkančiajai organizacijai nėra taikomos jokios paslaugų teikėjo sankcijos, kylančios dėl sutartinių įsipareigojimų nevykdymo.</w:t>
      </w:r>
    </w:p>
    <w:p w14:paraId="52A0A66F" w14:textId="77777777" w:rsidR="00A64337" w:rsidRPr="008373B7" w:rsidRDefault="00A64337" w:rsidP="00A64337">
      <w:pPr>
        <w:pStyle w:val="Sraopastraipa"/>
        <w:numPr>
          <w:ilvl w:val="0"/>
          <w:numId w:val="3"/>
        </w:numPr>
        <w:spacing w:before="60" w:after="60"/>
        <w:ind w:left="0" w:firstLine="567"/>
        <w:contextualSpacing w:val="0"/>
        <w:jc w:val="both"/>
        <w:rPr>
          <w:rFonts w:asciiTheme="majorHAnsi" w:hAnsiTheme="majorHAnsi" w:cstheme="majorHAnsi"/>
          <w:sz w:val="22"/>
          <w:szCs w:val="22"/>
        </w:rPr>
      </w:pPr>
      <w:r w:rsidRPr="008373B7">
        <w:rPr>
          <w:rFonts w:asciiTheme="majorHAnsi" w:hAnsiTheme="majorHAnsi" w:cstheme="majorHAnsi"/>
          <w:sz w:val="22"/>
          <w:szCs w:val="22"/>
        </w:rPr>
        <w:lastRenderedPageBreak/>
        <w:t>Jei paslaugų teikėjas nevykdo ar netinkamai vykdo sutartinius įsipareigojimus apie kuriuos jam buvo pranešta raštu ir per nurodytą rašte terminą neištaisė paslaugų teikimo trūkumų , moka perkančiajai organizacijai 3 (trijų) procentų nuo visos pasiūlymo (Sutarties) kainos be PVM dydžio baudą.</w:t>
      </w:r>
    </w:p>
    <w:p w14:paraId="781DC990" w14:textId="77777777" w:rsidR="00A64337" w:rsidRPr="008373B7" w:rsidRDefault="00A64337" w:rsidP="00A64337">
      <w:pPr>
        <w:pStyle w:val="Sraopastraipa"/>
        <w:numPr>
          <w:ilvl w:val="0"/>
          <w:numId w:val="3"/>
        </w:numPr>
        <w:spacing w:before="60" w:after="60"/>
        <w:ind w:left="0" w:firstLine="567"/>
        <w:contextualSpacing w:val="0"/>
        <w:jc w:val="both"/>
        <w:rPr>
          <w:rFonts w:asciiTheme="majorHAnsi" w:hAnsiTheme="majorHAnsi" w:cstheme="majorHAnsi"/>
          <w:sz w:val="22"/>
          <w:szCs w:val="22"/>
        </w:rPr>
      </w:pPr>
      <w:r w:rsidRPr="008373B7">
        <w:rPr>
          <w:rFonts w:asciiTheme="majorHAnsi" w:hAnsiTheme="majorHAnsi" w:cstheme="majorHAnsi"/>
          <w:sz w:val="22"/>
          <w:szCs w:val="22"/>
        </w:rPr>
        <w:t>Jei Perkančioji organizacija nevykdo savo sutartinių įsipareigojimų Sutartyje numatytais terminais sumokėti Paslaugų teikėjui už tinkamai ir faktiškai suteiktas paslaugas, Paslaugų teikėjas turi teisę be oficialaus įspėjimo ir neribodamas kitų savo teisių gynimo būdų pradėti skaičiuoti 0,02 (dviejų šimtųjų) procentų dydžio delspinigius nuo atitinkamos neapmokėtos paslaugų kainos be PVM už kiekvieną uždelstą dieną.</w:t>
      </w:r>
    </w:p>
    <w:p w14:paraId="29CA7FF7" w14:textId="77777777" w:rsidR="00A64337" w:rsidRPr="008373B7" w:rsidRDefault="00A64337" w:rsidP="00A64337">
      <w:pPr>
        <w:pStyle w:val="Sraopastraipa"/>
        <w:numPr>
          <w:ilvl w:val="0"/>
          <w:numId w:val="3"/>
        </w:numPr>
        <w:spacing w:before="60" w:after="60"/>
        <w:ind w:left="0" w:firstLine="567"/>
        <w:contextualSpacing w:val="0"/>
        <w:jc w:val="both"/>
        <w:rPr>
          <w:rFonts w:asciiTheme="majorHAnsi" w:hAnsiTheme="majorHAnsi" w:cstheme="majorHAnsi"/>
          <w:sz w:val="22"/>
          <w:szCs w:val="22"/>
        </w:rPr>
      </w:pPr>
      <w:r w:rsidRPr="008373B7">
        <w:rPr>
          <w:rFonts w:asciiTheme="majorHAnsi" w:hAnsiTheme="majorHAnsi" w:cstheme="majorHAnsi"/>
          <w:sz w:val="22"/>
          <w:szCs w:val="22"/>
        </w:rPr>
        <w:t>Paslaugų teikėjas PVM sąskaitą faktūrą / sąskaitą faktūrą turi pateikti elektroniniu būdu, kaip numatyta Mažos vertės pirkimų tvarkos aprašo, patvirtinto Viešųjų pirkimų tarnybos direktoriaus 2017 m. birželio 28 d. įsakymu Nr. 1S-97 „Dėl Mažos vertės pirkimų tvarkos aprašo patvirtinimo“ 21.4.7 papunktyje. Paslaugų teikėjui nepateikus PVM sąskaitos faktūros / sąskaitos faktūros elektroniniu būdu perkančioji organizacija turi teisę nevykdyti mokėjimo.</w:t>
      </w:r>
    </w:p>
    <w:p w14:paraId="589BFAE0" w14:textId="77777777" w:rsidR="00A64337" w:rsidRPr="008373B7" w:rsidRDefault="00A64337" w:rsidP="00A64337">
      <w:pPr>
        <w:pStyle w:val="Sraopastraipa"/>
        <w:numPr>
          <w:ilvl w:val="0"/>
          <w:numId w:val="3"/>
        </w:numPr>
        <w:spacing w:before="60" w:after="60"/>
        <w:ind w:left="0" w:firstLine="567"/>
        <w:contextualSpacing w:val="0"/>
        <w:jc w:val="both"/>
        <w:rPr>
          <w:rFonts w:asciiTheme="majorHAnsi" w:hAnsiTheme="majorHAnsi" w:cstheme="majorHAnsi"/>
          <w:sz w:val="22"/>
          <w:szCs w:val="22"/>
        </w:rPr>
      </w:pPr>
      <w:r w:rsidRPr="008373B7">
        <w:rPr>
          <w:rFonts w:asciiTheme="majorHAnsi" w:hAnsiTheme="majorHAnsi" w:cstheme="majorHAnsi"/>
          <w:sz w:val="22"/>
          <w:szCs w:val="22"/>
        </w:rPr>
        <w:t>Pirkimo sutarčiai aiškinti bei ginčams spręsti taikoma Lietuvos Respublikos teisė.</w:t>
      </w:r>
    </w:p>
    <w:p w14:paraId="72F43C89" w14:textId="77777777" w:rsidR="00A64337" w:rsidRPr="008373B7" w:rsidRDefault="00A64337" w:rsidP="00A64337">
      <w:pPr>
        <w:pStyle w:val="Sraopastraipa"/>
        <w:numPr>
          <w:ilvl w:val="0"/>
          <w:numId w:val="3"/>
        </w:numPr>
        <w:spacing w:before="60" w:after="60"/>
        <w:ind w:left="0" w:firstLine="567"/>
        <w:contextualSpacing w:val="0"/>
        <w:jc w:val="both"/>
        <w:rPr>
          <w:rFonts w:asciiTheme="majorHAnsi" w:hAnsiTheme="majorHAnsi" w:cstheme="majorHAnsi"/>
          <w:sz w:val="22"/>
          <w:szCs w:val="22"/>
        </w:rPr>
      </w:pPr>
      <w:r w:rsidRPr="008373B7">
        <w:rPr>
          <w:rFonts w:asciiTheme="majorHAnsi" w:hAnsiTheme="majorHAnsi" w:cstheme="majorHAnsi"/>
          <w:sz w:val="22"/>
          <w:szCs w:val="22"/>
        </w:rPr>
        <w:t>Jei viena iš pirkimo sutarties šalių nevykdo sutartinių įsipareigojimų ir tai yra esminis pirkimo sutarties pažeidimas, kita šalis gali vienašališkai nutraukti pirkimo sutartį raštu prieš 10 (dešimt) dienų įspėjusi kitą pirkimo sutarties šalį ir pateikusi pagrįstus motyvus. Esminis pirkimo sutarties pažeidimas turi būti suprantamas ir pagal Civilinio kodekso 6.217 straipsnio 2 dalies kriterijus, ir pagal pirkimo sutartį (kai šalys susitaria, ką laikys esminiu pirkimo sutarties pažeidimu). Šalys susitaria, kad esminiu pirkimo sutarties pažeidimu pagal pirkimo sutartį laikomi:</w:t>
      </w:r>
    </w:p>
    <w:p w14:paraId="1EC359D2" w14:textId="77777777" w:rsidR="00A64337" w:rsidRPr="008373B7" w:rsidRDefault="00A64337" w:rsidP="00A64337">
      <w:pPr>
        <w:pStyle w:val="Sraopastraipa"/>
        <w:numPr>
          <w:ilvl w:val="1"/>
          <w:numId w:val="3"/>
        </w:numPr>
        <w:spacing w:before="60" w:after="60"/>
        <w:ind w:left="0" w:firstLine="567"/>
        <w:contextualSpacing w:val="0"/>
        <w:jc w:val="both"/>
        <w:rPr>
          <w:rFonts w:asciiTheme="majorHAnsi" w:hAnsiTheme="majorHAnsi" w:cstheme="majorHAnsi"/>
          <w:sz w:val="22"/>
          <w:szCs w:val="22"/>
        </w:rPr>
      </w:pPr>
      <w:r w:rsidRPr="008373B7">
        <w:rPr>
          <w:rFonts w:asciiTheme="majorHAnsi" w:hAnsiTheme="majorHAnsi" w:cstheme="majorHAnsi"/>
          <w:sz w:val="22"/>
          <w:szCs w:val="22"/>
        </w:rPr>
        <w:t>perkančiosios organizacijos mokėjimo prievolės termino praleidimas daugiau kaip 30 (trisdešimt) dienų;</w:t>
      </w:r>
    </w:p>
    <w:p w14:paraId="47597F1E" w14:textId="77777777" w:rsidR="00A64337" w:rsidRPr="008373B7" w:rsidRDefault="00A64337" w:rsidP="00A64337">
      <w:pPr>
        <w:pStyle w:val="Sraopastraipa"/>
        <w:numPr>
          <w:ilvl w:val="1"/>
          <w:numId w:val="3"/>
        </w:numPr>
        <w:spacing w:before="60" w:after="60"/>
        <w:ind w:hanging="225"/>
        <w:contextualSpacing w:val="0"/>
        <w:jc w:val="both"/>
        <w:rPr>
          <w:rFonts w:asciiTheme="majorHAnsi" w:hAnsiTheme="majorHAnsi" w:cstheme="majorHAnsi"/>
          <w:sz w:val="22"/>
          <w:szCs w:val="22"/>
        </w:rPr>
      </w:pPr>
      <w:r w:rsidRPr="008373B7">
        <w:rPr>
          <w:rFonts w:asciiTheme="majorHAnsi" w:hAnsiTheme="majorHAnsi" w:cstheme="majorHAnsi"/>
          <w:sz w:val="22"/>
          <w:szCs w:val="22"/>
        </w:rPr>
        <w:t>netinkamas paslaugų teikimas antrą kalendorinį mėnesį iš eilės.</w:t>
      </w:r>
    </w:p>
    <w:p w14:paraId="4F6E73B8" w14:textId="77777777" w:rsidR="00A64337" w:rsidRPr="008373B7" w:rsidRDefault="00A64337" w:rsidP="00A64337">
      <w:pPr>
        <w:pStyle w:val="Sraopastraipa"/>
        <w:numPr>
          <w:ilvl w:val="0"/>
          <w:numId w:val="3"/>
        </w:numPr>
        <w:ind w:left="0" w:firstLine="567"/>
        <w:contextualSpacing w:val="0"/>
        <w:jc w:val="both"/>
        <w:rPr>
          <w:rFonts w:asciiTheme="majorHAnsi" w:hAnsiTheme="majorHAnsi" w:cstheme="majorHAnsi"/>
          <w:sz w:val="22"/>
          <w:szCs w:val="22"/>
        </w:rPr>
      </w:pPr>
      <w:r w:rsidRPr="008373B7">
        <w:rPr>
          <w:rFonts w:asciiTheme="majorHAnsi" w:hAnsiTheme="majorHAnsi" w:cstheme="majorHAnsi"/>
          <w:sz w:val="22"/>
          <w:szCs w:val="22"/>
        </w:rPr>
        <w:t>Perkančioji organizacija turi teisę vienašališkai nutraukti Sutartį pranešusi Paslaugų teikėjui prieš 30 (trisdešimt) dienų. Paslaugų teikėjas turi teisę vienašališkai nutraukti Sutartį tik dėl svarbių priežasčių, apie tai pranešęs Perkančiajai organizacijai raštu prieš 30 (trisdešimt) dienų. Šiuo atveju Paslaugų teikėjas privalo visiškai atlyginti Perkančioji organizacija patirtus nuostolius.</w:t>
      </w:r>
    </w:p>
    <w:p w14:paraId="5B5A412B" w14:textId="77777777" w:rsidR="00A64337" w:rsidRPr="008373B7" w:rsidRDefault="00A64337" w:rsidP="00A64337">
      <w:pPr>
        <w:pStyle w:val="Sraopastraipa"/>
        <w:numPr>
          <w:ilvl w:val="0"/>
          <w:numId w:val="3"/>
        </w:numPr>
        <w:contextualSpacing w:val="0"/>
        <w:rPr>
          <w:rFonts w:asciiTheme="majorHAnsi" w:hAnsiTheme="majorHAnsi" w:cstheme="majorHAnsi"/>
          <w:sz w:val="22"/>
          <w:szCs w:val="22"/>
        </w:rPr>
      </w:pPr>
    </w:p>
    <w:p w14:paraId="3082FAF8" w14:textId="77777777" w:rsidR="00A64337" w:rsidRPr="008373B7" w:rsidRDefault="00A64337" w:rsidP="00A64337">
      <w:pPr>
        <w:pStyle w:val="Sraopastraipa"/>
        <w:numPr>
          <w:ilvl w:val="0"/>
          <w:numId w:val="3"/>
        </w:numPr>
        <w:ind w:left="0" w:firstLine="567"/>
        <w:contextualSpacing w:val="0"/>
        <w:rPr>
          <w:rFonts w:asciiTheme="majorHAnsi" w:hAnsiTheme="majorHAnsi" w:cstheme="majorHAnsi"/>
          <w:sz w:val="22"/>
          <w:szCs w:val="22"/>
        </w:rPr>
      </w:pPr>
      <w:r w:rsidRPr="008373B7">
        <w:rPr>
          <w:rFonts w:asciiTheme="majorHAnsi" w:hAnsiTheme="majorHAnsi" w:cstheme="majorHAnsi"/>
          <w:sz w:val="22"/>
          <w:szCs w:val="22"/>
        </w:rPr>
        <w:t>Sutartis yra nutraukiama nedelsiant, kai Lietuvos Respublikos Vyriausybė Nacionaliniam saugumui užtikrinti svarbių objektų apsaugos įstatymo nustatyta tvarka priima sprendimą, patvirtinantį, kad Sutartis neatitinka nacionalinio saugumo interesų (Lietuvos Respublikos viešųjų pirkimų įstatymo 87 straipsnio 3 dalis).</w:t>
      </w:r>
    </w:p>
    <w:p w14:paraId="2BE2C899" w14:textId="77777777" w:rsidR="00A64337" w:rsidRPr="008373B7" w:rsidRDefault="00A64337" w:rsidP="00A64337">
      <w:pPr>
        <w:pStyle w:val="Sraopastraipa"/>
        <w:numPr>
          <w:ilvl w:val="0"/>
          <w:numId w:val="3"/>
        </w:numPr>
        <w:ind w:left="0" w:firstLine="567"/>
        <w:contextualSpacing w:val="0"/>
        <w:rPr>
          <w:rFonts w:asciiTheme="majorHAnsi" w:hAnsiTheme="majorHAnsi" w:cstheme="majorHAnsi"/>
          <w:sz w:val="22"/>
          <w:szCs w:val="22"/>
        </w:rPr>
      </w:pPr>
      <w:r w:rsidRPr="008373B7">
        <w:rPr>
          <w:rFonts w:asciiTheme="majorHAnsi" w:hAnsiTheme="majorHAnsi" w:cstheme="majorHAnsi"/>
          <w:sz w:val="22"/>
          <w:szCs w:val="22"/>
        </w:rPr>
        <w:t>Sutartis gali būti nutraukta LR viešųjų pirkimų įstatymo 90 straipsnio nustatytais atvejais ir tvarka.</w:t>
      </w:r>
    </w:p>
    <w:p w14:paraId="36365A84" w14:textId="77777777" w:rsidR="00A64337" w:rsidRPr="008373B7" w:rsidRDefault="00A64337" w:rsidP="00A64337">
      <w:pPr>
        <w:pStyle w:val="Sraopastraipa"/>
        <w:numPr>
          <w:ilvl w:val="0"/>
          <w:numId w:val="3"/>
        </w:numPr>
        <w:ind w:left="0" w:firstLine="567"/>
        <w:contextualSpacing w:val="0"/>
        <w:jc w:val="both"/>
        <w:rPr>
          <w:rFonts w:asciiTheme="majorHAnsi" w:hAnsiTheme="majorHAnsi" w:cstheme="majorHAnsi"/>
          <w:sz w:val="22"/>
          <w:szCs w:val="22"/>
        </w:rPr>
      </w:pPr>
      <w:r w:rsidRPr="008373B7">
        <w:rPr>
          <w:rFonts w:asciiTheme="majorHAnsi" w:hAnsiTheme="majorHAnsi" w:cstheme="majorHAnsi"/>
          <w:sz w:val="22"/>
          <w:szCs w:val="22"/>
        </w:rPr>
        <w:t>Sutartis bet kada gali būti nutraukta raštišku abiejų Šalių susitarimu ir kitais teisės aktų numatytais atvejais.</w:t>
      </w:r>
    </w:p>
    <w:p w14:paraId="5E3B57FD" w14:textId="77777777" w:rsidR="00A64337" w:rsidRPr="008373B7" w:rsidRDefault="00A64337" w:rsidP="00A64337">
      <w:pPr>
        <w:pStyle w:val="Sraopastraipa"/>
        <w:numPr>
          <w:ilvl w:val="0"/>
          <w:numId w:val="3"/>
        </w:numPr>
        <w:ind w:left="0" w:firstLine="567"/>
        <w:contextualSpacing w:val="0"/>
        <w:jc w:val="both"/>
        <w:rPr>
          <w:rFonts w:asciiTheme="majorHAnsi" w:hAnsiTheme="majorHAnsi" w:cstheme="majorHAnsi"/>
          <w:sz w:val="22"/>
          <w:szCs w:val="22"/>
        </w:rPr>
      </w:pPr>
      <w:r w:rsidRPr="008373B7">
        <w:rPr>
          <w:rFonts w:asciiTheme="majorHAnsi" w:hAnsiTheme="majorHAnsi" w:cstheme="majorHAnsi"/>
          <w:sz w:val="22"/>
          <w:szCs w:val="22"/>
        </w:rPr>
        <w:t>Sutarties sąlygos galiojimo laikotarpiu gali būti keičiamos šioje Sutartyje ir VPĮ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25AB5D2D" w14:textId="77777777" w:rsidR="00A64337" w:rsidRPr="008373B7" w:rsidRDefault="00A64337" w:rsidP="00A64337">
      <w:pPr>
        <w:pStyle w:val="Sraopastraipa"/>
        <w:numPr>
          <w:ilvl w:val="0"/>
          <w:numId w:val="3"/>
        </w:numPr>
        <w:ind w:left="0" w:firstLine="567"/>
        <w:contextualSpacing w:val="0"/>
        <w:rPr>
          <w:rFonts w:asciiTheme="majorHAnsi" w:hAnsiTheme="majorHAnsi" w:cstheme="majorHAnsi"/>
          <w:sz w:val="22"/>
          <w:szCs w:val="22"/>
        </w:rPr>
      </w:pPr>
      <w:r w:rsidRPr="008373B7">
        <w:rPr>
          <w:rFonts w:asciiTheme="majorHAnsi" w:hAnsiTheme="majorHAnsi" w:cstheme="majorHAnsi"/>
          <w:sz w:val="22"/>
          <w:szCs w:val="22"/>
        </w:rPr>
        <w:t>Į Pasiūlymo (sutarties) kainą įskaitomi visi mokesčiai ir rinkliavos bei kitos išlaidos (taip pat ir sąskaitų faktūrų teikimo elektroniniu būdu išlaidos), susijusios su Sutarties vykdymu.</w:t>
      </w:r>
    </w:p>
    <w:p w14:paraId="3A226023" w14:textId="77777777" w:rsidR="00A64337" w:rsidRPr="008373B7" w:rsidRDefault="00A64337" w:rsidP="00A64337">
      <w:pPr>
        <w:pStyle w:val="Sraopastraipa"/>
        <w:numPr>
          <w:ilvl w:val="0"/>
          <w:numId w:val="3"/>
        </w:numPr>
        <w:spacing w:before="60" w:after="60"/>
        <w:ind w:left="0" w:firstLine="567"/>
        <w:contextualSpacing w:val="0"/>
        <w:jc w:val="both"/>
        <w:rPr>
          <w:rFonts w:asciiTheme="majorHAnsi" w:hAnsiTheme="majorHAnsi" w:cstheme="majorHAnsi"/>
          <w:sz w:val="22"/>
          <w:szCs w:val="22"/>
        </w:rPr>
      </w:pPr>
      <w:r w:rsidRPr="008373B7">
        <w:rPr>
          <w:rFonts w:asciiTheme="majorHAnsi" w:hAnsiTheme="majorHAnsi" w:cstheme="majorHAnsi"/>
          <w:sz w:val="22"/>
          <w:szCs w:val="22"/>
        </w:rPr>
        <w:t>Paslaugų teikėjas sutarties vykdymui turi teisę pasitelkti:</w:t>
      </w:r>
    </w:p>
    <w:p w14:paraId="53CF01EB" w14:textId="77777777" w:rsidR="00A64337" w:rsidRPr="008373B7" w:rsidRDefault="00A64337" w:rsidP="00A64337">
      <w:pPr>
        <w:pStyle w:val="Sraopastraipa"/>
        <w:spacing w:before="60" w:after="60"/>
        <w:ind w:left="0" w:firstLine="567"/>
        <w:jc w:val="both"/>
        <w:rPr>
          <w:rFonts w:asciiTheme="majorHAnsi" w:hAnsiTheme="majorHAnsi" w:cstheme="majorHAnsi"/>
          <w:sz w:val="22"/>
          <w:szCs w:val="22"/>
        </w:rPr>
      </w:pPr>
      <w:r w:rsidRPr="008373B7">
        <w:rPr>
          <w:rFonts w:asciiTheme="majorHAnsi" w:hAnsiTheme="majorHAnsi" w:cstheme="majorHAnsi"/>
          <w:sz w:val="22"/>
          <w:szCs w:val="22"/>
        </w:rPr>
        <w:t>31.1. savo pasiūlyme nurodytus subtiekėjus;</w:t>
      </w:r>
    </w:p>
    <w:p w14:paraId="47898118" w14:textId="77777777" w:rsidR="00A64337" w:rsidRPr="008373B7" w:rsidRDefault="00A64337" w:rsidP="00A64337">
      <w:pPr>
        <w:pStyle w:val="Sraopastraipa"/>
        <w:spacing w:before="60" w:after="60"/>
        <w:ind w:left="0" w:firstLine="567"/>
        <w:jc w:val="both"/>
        <w:rPr>
          <w:rFonts w:asciiTheme="majorHAnsi" w:hAnsiTheme="majorHAnsi" w:cstheme="majorHAnsi"/>
          <w:sz w:val="22"/>
          <w:szCs w:val="22"/>
        </w:rPr>
      </w:pPr>
      <w:r w:rsidRPr="008373B7">
        <w:rPr>
          <w:rFonts w:asciiTheme="majorHAnsi" w:hAnsiTheme="majorHAnsi" w:cstheme="majorHAnsi"/>
          <w:sz w:val="22"/>
          <w:szCs w:val="22"/>
        </w:rPr>
        <w:t xml:space="preserve">31.2. kitus subtiekėjus, jeigu pasiūlymo pateikimo metu jie buvo žinomi. Tuo atveju, jei pasiūlymo pateikimo metu Paslaugų teikėjui nebuvo žinomi kiti subtiekėjai, Paslaugų teikėjas po sutarties įsigaliojimo įsipareigoja ne vėliau kaip likus 2 (dviem) darbo dienoms iki sutarties ar sutarties etapo, kurio veiklas vykdys numatomas pasitelkti subtiekėjas, vykdymo pradžios perkančiajai organizacijai pranešti tuo metu žinomų subtiekėjų pavadinimus, kontaktinius duomenis ir jų atstovus. Paslaugų teikėjas privalo informuoti perkančiąją organizaciją apie minėtos informacijos pasikeitimus visu sutarties vykdymo metu. </w:t>
      </w:r>
    </w:p>
    <w:p w14:paraId="012A3EB4" w14:textId="77777777" w:rsidR="00A64337" w:rsidRPr="008373B7" w:rsidRDefault="00A64337" w:rsidP="00A64337">
      <w:pPr>
        <w:pStyle w:val="Sraopastraipa"/>
        <w:numPr>
          <w:ilvl w:val="0"/>
          <w:numId w:val="3"/>
        </w:numPr>
        <w:spacing w:before="60" w:after="60"/>
        <w:ind w:left="0" w:firstLine="567"/>
        <w:contextualSpacing w:val="0"/>
        <w:jc w:val="both"/>
        <w:rPr>
          <w:rFonts w:asciiTheme="majorHAnsi" w:hAnsiTheme="majorHAnsi" w:cstheme="majorHAnsi"/>
          <w:sz w:val="22"/>
          <w:szCs w:val="22"/>
        </w:rPr>
      </w:pPr>
      <w:r w:rsidRPr="008373B7">
        <w:rPr>
          <w:rFonts w:asciiTheme="majorHAnsi" w:hAnsiTheme="majorHAnsi" w:cstheme="majorHAnsi"/>
          <w:sz w:val="22"/>
          <w:szCs w:val="22"/>
        </w:rPr>
        <w:t>Subtiekėjo pasitelkimas nekeičia Paslaugų teikėjo atsakomybės dėl sutarties įvykdymo.</w:t>
      </w:r>
    </w:p>
    <w:p w14:paraId="4CB42FB8" w14:textId="77777777" w:rsidR="00A64337" w:rsidRPr="008373B7" w:rsidRDefault="00A64337" w:rsidP="00A64337">
      <w:pPr>
        <w:pStyle w:val="Sraopastraipa"/>
        <w:numPr>
          <w:ilvl w:val="0"/>
          <w:numId w:val="3"/>
        </w:numPr>
        <w:spacing w:before="60" w:after="60"/>
        <w:ind w:left="0" w:firstLine="567"/>
        <w:contextualSpacing w:val="0"/>
        <w:jc w:val="both"/>
        <w:rPr>
          <w:rFonts w:asciiTheme="majorHAnsi" w:hAnsiTheme="majorHAnsi" w:cstheme="majorHAnsi"/>
          <w:sz w:val="22"/>
          <w:szCs w:val="22"/>
        </w:rPr>
      </w:pPr>
      <w:r w:rsidRPr="008373B7">
        <w:rPr>
          <w:rFonts w:asciiTheme="majorHAnsi" w:hAnsiTheme="majorHAnsi" w:cstheme="majorHAnsi"/>
          <w:sz w:val="22"/>
          <w:szCs w:val="22"/>
        </w:rPr>
        <w:lastRenderedPageBreak/>
        <w:t>Paslaugų teikėjas gali pakeisti subtiekėjus,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379785C1" w14:textId="77777777" w:rsidR="00A64337" w:rsidRPr="008373B7" w:rsidRDefault="00A64337" w:rsidP="00A64337">
      <w:pPr>
        <w:pStyle w:val="Sraopastraipa"/>
        <w:numPr>
          <w:ilvl w:val="0"/>
          <w:numId w:val="3"/>
        </w:numPr>
        <w:spacing w:before="60" w:after="60"/>
        <w:ind w:left="0" w:firstLine="567"/>
        <w:contextualSpacing w:val="0"/>
        <w:jc w:val="both"/>
        <w:rPr>
          <w:rFonts w:asciiTheme="majorHAnsi" w:hAnsiTheme="majorHAnsi" w:cstheme="majorHAnsi"/>
          <w:sz w:val="22"/>
          <w:szCs w:val="22"/>
        </w:rPr>
      </w:pPr>
      <w:r w:rsidRPr="008373B7">
        <w:rPr>
          <w:rFonts w:asciiTheme="majorHAnsi" w:hAnsiTheme="majorHAnsi" w:cstheme="majorHAnsi"/>
          <w:sz w:val="22"/>
          <w:szCs w:val="22"/>
        </w:rPr>
        <w:t>Apie subtiekėjų keitimą ar naujų papildomų subtiekėjų pasitelkimą Paslaugų teikėjas iš anksto raštu turi informuoti perkančiąją organizaciją, nurodydamas subtiekėjų pakeitimo priežastis ir būsimus subtiekėjus. Pasitelkdamas ir vėliau keisdamas subtiekėjus Paslaugų teikėjas turi užtikrinti, kad subtiekėjai yra pajėgūs ir kompetentingi tinkamam jiems pavestų užduočių vykdymui. Subtiekėjai gali būti keičiami ar pasitelkiami nauji papildomi subtiekėjai tik gavus rašytinį perkančiosios organizacijos sutikimą. Naujai pasitelkiami subtiekėjai turės atitikti pirkimo dokumentų kvalifikacinių reikalavimų lentelės 9.1 papunktyje keliamą kvalifikacinį reikalavimą.</w:t>
      </w:r>
    </w:p>
    <w:p w14:paraId="4AF30F3C" w14:textId="77777777" w:rsidR="00A64337" w:rsidRPr="008373B7" w:rsidRDefault="00A64337" w:rsidP="00A64337">
      <w:pPr>
        <w:pStyle w:val="Sraopastraipa"/>
        <w:numPr>
          <w:ilvl w:val="0"/>
          <w:numId w:val="3"/>
        </w:numPr>
        <w:ind w:left="0" w:firstLine="567"/>
        <w:contextualSpacing w:val="0"/>
        <w:jc w:val="both"/>
        <w:rPr>
          <w:rFonts w:asciiTheme="majorHAnsi" w:hAnsiTheme="majorHAnsi" w:cstheme="majorHAnsi"/>
          <w:sz w:val="22"/>
          <w:szCs w:val="22"/>
        </w:rPr>
      </w:pPr>
      <w:r w:rsidRPr="008373B7">
        <w:rPr>
          <w:rFonts w:asciiTheme="majorHAnsi" w:hAnsiTheme="majorHAnsi" w:cstheme="majorHAnsi"/>
          <w:sz w:val="22"/>
          <w:szCs w:val="22"/>
        </w:rPr>
        <w:t>Konfidencialumo įsipareigojimai.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pirkimo  sutarties vykdymu. Konfidencialią informaciją gavusi šalis privalo ją naudoti tik vykdydama pirkimo sutartį ir užtikrinti, kad gauta konfidenciali informacija nebus naudojama tokiu būdu, kuri pakenktų informaciją perdavusiai šaliai. Per 5 (penkias) darbo dienas nuo pirkimo sutarties įsigaliojimo, paslaugų teikėjas turi pateikti perkančiajai organizacijai jo specialistų (asmenų), vykdysiančių pirkimo sutartį, pasirašytus konfidencialumo pasižadėjimus (pasižadėjimo forma pridedama). Jei paslaugų teikėjas keičia specialistą pirkimo sutarčiai įgyvendinti, kartu su prašymu skirti (pakeisti) specialistą, turi būti pateiktas kiekvieno specialisto pasirašytas konfidencialumo pasižadėjimas.</w:t>
      </w:r>
    </w:p>
    <w:p w14:paraId="699C4DA1" w14:textId="77777777" w:rsidR="00A64337" w:rsidRPr="008373B7" w:rsidRDefault="00A64337" w:rsidP="00A64337">
      <w:pPr>
        <w:pStyle w:val="Sraopastraipa"/>
        <w:spacing w:before="60" w:after="60"/>
        <w:ind w:left="0" w:firstLine="709"/>
        <w:jc w:val="both"/>
        <w:rPr>
          <w:rFonts w:asciiTheme="majorHAnsi" w:hAnsiTheme="majorHAnsi" w:cstheme="majorHAnsi"/>
          <w:sz w:val="22"/>
          <w:szCs w:val="22"/>
        </w:rPr>
      </w:pPr>
      <w:r w:rsidRPr="008373B7">
        <w:rPr>
          <w:rFonts w:asciiTheme="majorHAnsi" w:hAnsiTheme="majorHAnsi" w:cstheme="majorHAnsi"/>
          <w:sz w:val="22"/>
          <w:szCs w:val="22"/>
        </w:rPr>
        <w:t>36. Aplinkos apsaugos reikalavimai/kriterijai:</w:t>
      </w:r>
    </w:p>
    <w:p w14:paraId="2C5B1BB7" w14:textId="77777777" w:rsidR="00A64337" w:rsidRPr="008373B7" w:rsidRDefault="00A64337" w:rsidP="00A64337">
      <w:pPr>
        <w:pStyle w:val="Sraopastraipa"/>
        <w:spacing w:before="60" w:after="60"/>
        <w:ind w:left="0" w:firstLine="709"/>
        <w:jc w:val="both"/>
        <w:rPr>
          <w:rFonts w:asciiTheme="majorHAnsi" w:hAnsiTheme="majorHAnsi" w:cstheme="majorHAnsi"/>
          <w:sz w:val="22"/>
          <w:szCs w:val="22"/>
        </w:rPr>
      </w:pPr>
      <w:r w:rsidRPr="008373B7">
        <w:rPr>
          <w:rFonts w:asciiTheme="majorHAnsi" w:hAnsiTheme="majorHAnsi" w:cstheme="majorHAnsi"/>
          <w:sz w:val="22"/>
          <w:szCs w:val="22"/>
        </w:rPr>
        <w:t>36.1. 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w:t>
      </w:r>
    </w:p>
    <w:p w14:paraId="3E43097B" w14:textId="77777777" w:rsidR="00A64337" w:rsidRPr="008373B7" w:rsidRDefault="00A64337" w:rsidP="00A64337">
      <w:pPr>
        <w:pStyle w:val="Sraopastraipa"/>
        <w:spacing w:before="60" w:after="60"/>
        <w:ind w:left="0" w:firstLine="709"/>
        <w:jc w:val="both"/>
        <w:rPr>
          <w:rFonts w:asciiTheme="majorHAnsi" w:hAnsiTheme="majorHAnsi" w:cstheme="majorHAnsi"/>
          <w:sz w:val="22"/>
          <w:szCs w:val="22"/>
        </w:rPr>
      </w:pPr>
      <w:r w:rsidRPr="008373B7">
        <w:rPr>
          <w:rFonts w:asciiTheme="majorHAnsi" w:hAnsiTheme="majorHAnsi" w:cstheme="majorHAnsi"/>
          <w:sz w:val="22"/>
          <w:szCs w:val="22"/>
        </w:rPr>
        <w:t>36.2. susitikimai organizuojami nuotoliniu būdu, taip sumažinant aplinkos taršą (degalų išmetimą), išskyrus atvejus, kai fizinis susitikimas objektyviai būtinas.</w:t>
      </w:r>
    </w:p>
    <w:p w14:paraId="2CCF90E5" w14:textId="77777777" w:rsidR="00A64337" w:rsidRPr="008373B7" w:rsidRDefault="00A64337" w:rsidP="00A64337">
      <w:pPr>
        <w:pStyle w:val="Sraopastraipa"/>
        <w:spacing w:before="60" w:after="60"/>
        <w:ind w:left="0" w:firstLine="709"/>
        <w:jc w:val="both"/>
        <w:rPr>
          <w:rFonts w:asciiTheme="majorHAnsi" w:hAnsiTheme="majorHAnsi" w:cstheme="majorHAnsi"/>
          <w:sz w:val="22"/>
          <w:szCs w:val="22"/>
        </w:rPr>
      </w:pPr>
      <w:r w:rsidRPr="008373B7">
        <w:rPr>
          <w:rFonts w:asciiTheme="majorHAnsi" w:hAnsiTheme="majorHAnsi" w:cstheme="majorHAnsi"/>
          <w:sz w:val="22"/>
          <w:szCs w:val="22"/>
        </w:rPr>
        <w:t>37. Sutarčiai aiškinti bei ginčams spręsti taikoma Lietuvos Respublikos teisė.</w:t>
      </w:r>
    </w:p>
    <w:p w14:paraId="31F67988" w14:textId="77777777" w:rsidR="00A64337" w:rsidRPr="008373B7" w:rsidRDefault="00A64337" w:rsidP="00A64337">
      <w:pPr>
        <w:pStyle w:val="Sraopastraipa"/>
        <w:spacing w:before="60" w:after="60"/>
        <w:ind w:left="0" w:firstLine="709"/>
        <w:jc w:val="both"/>
        <w:rPr>
          <w:rFonts w:asciiTheme="majorHAnsi" w:hAnsiTheme="majorHAnsi" w:cstheme="majorHAnsi"/>
          <w:sz w:val="22"/>
          <w:szCs w:val="22"/>
        </w:rPr>
      </w:pPr>
    </w:p>
    <w:p w14:paraId="5EA7C857" w14:textId="5CF720D0" w:rsidR="00A64337" w:rsidRPr="008373B7" w:rsidRDefault="00A64337" w:rsidP="003C5ECB">
      <w:pPr>
        <w:widowControl w:val="0"/>
        <w:tabs>
          <w:tab w:val="right" w:leader="underscore" w:pos="9071"/>
        </w:tabs>
        <w:rPr>
          <w:rFonts w:asciiTheme="majorHAnsi" w:hAnsiTheme="majorHAnsi" w:cstheme="majorHAnsi"/>
        </w:rPr>
      </w:pPr>
      <w:r w:rsidRPr="008373B7">
        <w:rPr>
          <w:rFonts w:asciiTheme="majorHAnsi" w:hAnsiTheme="majorHAnsi" w:cstheme="majorHAnsi"/>
        </w:rPr>
        <w:t xml:space="preserve">PRIDEDAMA. „Konfidencialumo pasižadėjimo neatskleisti informacijos, kuri taps žinoma vykdant sutartį, forma“, </w:t>
      </w:r>
      <w:r w:rsidR="008373B7">
        <w:rPr>
          <w:rFonts w:asciiTheme="majorHAnsi" w:hAnsiTheme="majorHAnsi" w:cstheme="majorHAnsi"/>
        </w:rPr>
        <w:t>2</w:t>
      </w:r>
      <w:r w:rsidRPr="008373B7">
        <w:rPr>
          <w:rFonts w:asciiTheme="majorHAnsi" w:hAnsiTheme="majorHAnsi" w:cstheme="majorHAnsi"/>
        </w:rPr>
        <w:t xml:space="preserve"> lapa</w:t>
      </w:r>
      <w:r w:rsidR="008373B7">
        <w:rPr>
          <w:rFonts w:asciiTheme="majorHAnsi" w:hAnsiTheme="majorHAnsi" w:cstheme="majorHAnsi"/>
        </w:rPr>
        <w:t>i</w:t>
      </w:r>
      <w:r w:rsidRPr="008373B7">
        <w:rPr>
          <w:rFonts w:asciiTheme="majorHAnsi" w:hAnsiTheme="majorHAnsi" w:cstheme="majorHAnsi"/>
        </w:rPr>
        <w:t xml:space="preserve">. </w:t>
      </w:r>
    </w:p>
    <w:p w14:paraId="65BD9EB3" w14:textId="77777777" w:rsidR="00A64337" w:rsidRPr="008373B7" w:rsidRDefault="00A64337" w:rsidP="00A64337">
      <w:pPr>
        <w:pStyle w:val="Sraopastraipa"/>
        <w:spacing w:before="60" w:after="60"/>
        <w:ind w:left="0" w:firstLine="709"/>
        <w:jc w:val="both"/>
        <w:rPr>
          <w:rFonts w:asciiTheme="majorHAnsi" w:hAnsiTheme="majorHAnsi" w:cstheme="majorHAnsi"/>
          <w:sz w:val="22"/>
          <w:szCs w:val="22"/>
        </w:rPr>
      </w:pPr>
    </w:p>
    <w:p w14:paraId="367E24DA" w14:textId="507F2BC2" w:rsidR="00D24783" w:rsidRDefault="00D24783" w:rsidP="00A64337">
      <w:pPr>
        <w:pStyle w:val="Sraopastraipa"/>
        <w:spacing w:before="60" w:after="60"/>
        <w:ind w:left="0" w:firstLine="709"/>
        <w:jc w:val="both"/>
        <w:rPr>
          <w:rFonts w:asciiTheme="majorHAnsi" w:hAnsiTheme="majorHAnsi" w:cstheme="majorHAnsi"/>
          <w:sz w:val="22"/>
          <w:szCs w:val="22"/>
        </w:rPr>
      </w:pPr>
    </w:p>
    <w:p w14:paraId="39BE8F36" w14:textId="5E88ED5F" w:rsidR="00D210FA" w:rsidRDefault="00D210FA" w:rsidP="00A64337">
      <w:pPr>
        <w:pStyle w:val="Sraopastraipa"/>
        <w:spacing w:before="60" w:after="60"/>
        <w:ind w:left="0" w:firstLine="709"/>
        <w:jc w:val="both"/>
        <w:rPr>
          <w:rFonts w:asciiTheme="majorHAnsi" w:hAnsiTheme="majorHAnsi" w:cstheme="majorHAnsi"/>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232"/>
        <w:gridCol w:w="2011"/>
        <w:gridCol w:w="237"/>
        <w:gridCol w:w="3047"/>
      </w:tblGrid>
      <w:tr w:rsidR="00D210FA" w:rsidRPr="006B17A0" w14:paraId="12013BA3" w14:textId="77777777" w:rsidTr="002227FF">
        <w:trPr>
          <w:trHeight w:val="158"/>
        </w:trPr>
        <w:tc>
          <w:tcPr>
            <w:tcW w:w="2090" w:type="pct"/>
            <w:tcBorders>
              <w:top w:val="nil"/>
              <w:left w:val="nil"/>
              <w:bottom w:val="single" w:sz="4" w:space="0" w:color="auto"/>
              <w:right w:val="nil"/>
            </w:tcBorders>
          </w:tcPr>
          <w:p w14:paraId="1F0086BA" w14:textId="77777777" w:rsidR="00D210FA" w:rsidRPr="001345BF" w:rsidRDefault="00D210FA" w:rsidP="002227FF">
            <w:pPr>
              <w:pStyle w:val="Pagrindinistekstas1"/>
              <w:ind w:right="140" w:firstLine="0"/>
              <w:jc w:val="center"/>
              <w:rPr>
                <w:rFonts w:asciiTheme="minorHAnsi" w:hAnsiTheme="minorHAnsi" w:cstheme="minorHAnsi"/>
                <w:color w:val="000000" w:themeColor="text1"/>
                <w:position w:val="6"/>
                <w:sz w:val="22"/>
                <w:szCs w:val="22"/>
                <w:lang w:val="lt-LT"/>
              </w:rPr>
            </w:pPr>
            <w:r>
              <w:rPr>
                <w:rFonts w:asciiTheme="minorHAnsi" w:hAnsiTheme="minorHAnsi" w:cstheme="minorHAnsi"/>
                <w:color w:val="000000" w:themeColor="text1"/>
                <w:position w:val="6"/>
                <w:sz w:val="22"/>
                <w:szCs w:val="22"/>
                <w:lang w:val="lt-LT"/>
              </w:rPr>
              <w:t>Generalinis direktorius</w:t>
            </w:r>
          </w:p>
        </w:tc>
        <w:tc>
          <w:tcPr>
            <w:tcW w:w="122" w:type="pct"/>
            <w:tcBorders>
              <w:top w:val="nil"/>
              <w:left w:val="nil"/>
              <w:bottom w:val="nil"/>
              <w:right w:val="nil"/>
            </w:tcBorders>
          </w:tcPr>
          <w:p w14:paraId="723D6203" w14:textId="77777777" w:rsidR="00D210FA" w:rsidRPr="006B17A0" w:rsidRDefault="00D210FA" w:rsidP="002227FF">
            <w:pPr>
              <w:pStyle w:val="Pagrindinistekstas1"/>
              <w:ind w:right="140" w:firstLine="0"/>
              <w:rPr>
                <w:rFonts w:asciiTheme="minorHAnsi" w:hAnsiTheme="minorHAnsi" w:cstheme="minorHAnsi"/>
                <w:color w:val="000000" w:themeColor="text1"/>
                <w:sz w:val="22"/>
                <w:szCs w:val="22"/>
                <w:lang w:val="lt-LT"/>
              </w:rPr>
            </w:pPr>
          </w:p>
        </w:tc>
        <w:tc>
          <w:tcPr>
            <w:tcW w:w="1059" w:type="pct"/>
            <w:tcBorders>
              <w:top w:val="nil"/>
              <w:left w:val="nil"/>
              <w:bottom w:val="single" w:sz="4" w:space="0" w:color="auto"/>
              <w:right w:val="nil"/>
            </w:tcBorders>
          </w:tcPr>
          <w:p w14:paraId="37E60221" w14:textId="77777777" w:rsidR="00D210FA" w:rsidRPr="001345BF" w:rsidRDefault="00D210FA" w:rsidP="002227FF">
            <w:pPr>
              <w:pStyle w:val="Pagrindinistekstas1"/>
              <w:ind w:right="140" w:firstLine="0"/>
              <w:jc w:val="center"/>
              <w:rPr>
                <w:rFonts w:asciiTheme="minorHAnsi" w:hAnsiTheme="minorHAnsi" w:cstheme="minorHAnsi"/>
                <w:color w:val="000000" w:themeColor="text1"/>
                <w:position w:val="6"/>
                <w:sz w:val="22"/>
                <w:szCs w:val="22"/>
                <w:lang w:val="lt-LT"/>
              </w:rPr>
            </w:pPr>
          </w:p>
        </w:tc>
        <w:tc>
          <w:tcPr>
            <w:tcW w:w="125" w:type="pct"/>
            <w:tcBorders>
              <w:top w:val="nil"/>
              <w:left w:val="nil"/>
              <w:bottom w:val="nil"/>
              <w:right w:val="nil"/>
            </w:tcBorders>
          </w:tcPr>
          <w:p w14:paraId="0DEC7B57" w14:textId="77777777" w:rsidR="00D210FA" w:rsidRPr="006B17A0" w:rsidRDefault="00D210FA" w:rsidP="002227FF">
            <w:pPr>
              <w:pStyle w:val="Pagrindinistekstas1"/>
              <w:ind w:right="140" w:firstLine="0"/>
              <w:rPr>
                <w:rFonts w:asciiTheme="minorHAnsi" w:hAnsiTheme="minorHAnsi" w:cstheme="minorHAnsi"/>
                <w:color w:val="000000" w:themeColor="text1"/>
                <w:sz w:val="22"/>
                <w:szCs w:val="22"/>
                <w:lang w:val="lt-LT"/>
              </w:rPr>
            </w:pPr>
          </w:p>
        </w:tc>
        <w:tc>
          <w:tcPr>
            <w:tcW w:w="1605" w:type="pct"/>
            <w:tcBorders>
              <w:top w:val="nil"/>
              <w:left w:val="nil"/>
              <w:bottom w:val="single" w:sz="4" w:space="0" w:color="auto"/>
              <w:right w:val="nil"/>
            </w:tcBorders>
          </w:tcPr>
          <w:p w14:paraId="444479CB" w14:textId="77777777" w:rsidR="00D210FA" w:rsidRPr="001345BF" w:rsidRDefault="00D210FA" w:rsidP="002227FF">
            <w:pPr>
              <w:pStyle w:val="Pagrindinistekstas1"/>
              <w:tabs>
                <w:tab w:val="left" w:pos="3969"/>
              </w:tabs>
              <w:ind w:right="140" w:firstLine="0"/>
              <w:jc w:val="center"/>
              <w:rPr>
                <w:rFonts w:asciiTheme="minorHAnsi" w:hAnsiTheme="minorHAnsi" w:cstheme="minorHAnsi"/>
                <w:color w:val="000000" w:themeColor="text1"/>
                <w:position w:val="6"/>
                <w:sz w:val="22"/>
                <w:szCs w:val="22"/>
                <w:lang w:val="lt-LT"/>
              </w:rPr>
            </w:pPr>
            <w:r>
              <w:rPr>
                <w:rFonts w:asciiTheme="minorHAnsi" w:hAnsiTheme="minorHAnsi" w:cstheme="minorHAnsi"/>
                <w:color w:val="000000" w:themeColor="text1"/>
                <w:position w:val="6"/>
                <w:sz w:val="22"/>
                <w:szCs w:val="22"/>
                <w:lang w:val="lt-LT"/>
              </w:rPr>
              <w:t>Albertas Šermokas</w:t>
            </w:r>
          </w:p>
        </w:tc>
      </w:tr>
      <w:tr w:rsidR="00D210FA" w:rsidRPr="002A4BE3" w14:paraId="20F9BAA3" w14:textId="77777777" w:rsidTr="002227FF">
        <w:trPr>
          <w:trHeight w:val="158"/>
        </w:trPr>
        <w:tc>
          <w:tcPr>
            <w:tcW w:w="2090" w:type="pct"/>
            <w:tcBorders>
              <w:top w:val="single" w:sz="4" w:space="0" w:color="auto"/>
              <w:left w:val="nil"/>
              <w:bottom w:val="nil"/>
              <w:right w:val="nil"/>
            </w:tcBorders>
          </w:tcPr>
          <w:p w14:paraId="54599C5A" w14:textId="77777777" w:rsidR="00D210FA" w:rsidRPr="002A4BE3" w:rsidRDefault="00D210FA" w:rsidP="002227FF">
            <w:pPr>
              <w:pStyle w:val="Pagrindinistekstas1"/>
              <w:ind w:right="-92" w:firstLine="0"/>
              <w:jc w:val="center"/>
              <w:rPr>
                <w:rFonts w:asciiTheme="minorHAnsi" w:hAnsiTheme="minorHAnsi" w:cstheme="minorHAnsi"/>
                <w:color w:val="000000" w:themeColor="text1"/>
                <w:sz w:val="16"/>
                <w:szCs w:val="16"/>
                <w:lang w:val="lt-LT"/>
              </w:rPr>
            </w:pPr>
            <w:r w:rsidRPr="002A4BE3">
              <w:rPr>
                <w:rFonts w:asciiTheme="minorHAnsi" w:hAnsiTheme="minorHAnsi" w:cstheme="minorHAnsi"/>
                <w:color w:val="000000" w:themeColor="text1"/>
                <w:position w:val="6"/>
                <w:sz w:val="16"/>
                <w:szCs w:val="16"/>
                <w:lang w:val="lt-LT"/>
              </w:rPr>
              <w:t>(Tiekėjo arba jo įgalioto asmens pareigų pavadinimas)</w:t>
            </w:r>
          </w:p>
        </w:tc>
        <w:tc>
          <w:tcPr>
            <w:tcW w:w="122" w:type="pct"/>
            <w:tcBorders>
              <w:top w:val="nil"/>
              <w:left w:val="nil"/>
              <w:bottom w:val="nil"/>
              <w:right w:val="nil"/>
            </w:tcBorders>
          </w:tcPr>
          <w:p w14:paraId="0CD0151F" w14:textId="77777777" w:rsidR="00D210FA" w:rsidRPr="002A4BE3" w:rsidRDefault="00D210FA" w:rsidP="002227FF">
            <w:pPr>
              <w:pStyle w:val="Pagrindinistekstas1"/>
              <w:ind w:right="140" w:firstLine="0"/>
              <w:rPr>
                <w:rFonts w:asciiTheme="minorHAnsi" w:hAnsiTheme="minorHAnsi" w:cstheme="minorHAnsi"/>
                <w:color w:val="000000" w:themeColor="text1"/>
                <w:sz w:val="16"/>
                <w:szCs w:val="16"/>
                <w:lang w:val="lt-LT"/>
              </w:rPr>
            </w:pPr>
          </w:p>
        </w:tc>
        <w:tc>
          <w:tcPr>
            <w:tcW w:w="1059" w:type="pct"/>
            <w:tcBorders>
              <w:top w:val="single" w:sz="4" w:space="0" w:color="auto"/>
              <w:left w:val="nil"/>
              <w:bottom w:val="nil"/>
              <w:right w:val="nil"/>
            </w:tcBorders>
          </w:tcPr>
          <w:p w14:paraId="25C6F35F" w14:textId="77777777" w:rsidR="00D210FA" w:rsidRPr="002A4BE3" w:rsidRDefault="00D210FA" w:rsidP="002227FF">
            <w:pPr>
              <w:pStyle w:val="Pagrindinistekstas1"/>
              <w:ind w:right="140" w:firstLine="0"/>
              <w:jc w:val="center"/>
              <w:rPr>
                <w:rFonts w:asciiTheme="minorHAnsi" w:hAnsiTheme="minorHAnsi" w:cstheme="minorHAnsi"/>
                <w:color w:val="000000" w:themeColor="text1"/>
                <w:sz w:val="16"/>
                <w:szCs w:val="16"/>
                <w:lang w:val="lt-LT"/>
              </w:rPr>
            </w:pPr>
            <w:r w:rsidRPr="002A4BE3">
              <w:rPr>
                <w:rFonts w:asciiTheme="minorHAnsi" w:hAnsiTheme="minorHAnsi" w:cstheme="minorHAnsi"/>
                <w:color w:val="000000" w:themeColor="text1"/>
                <w:position w:val="6"/>
                <w:sz w:val="16"/>
                <w:szCs w:val="16"/>
                <w:lang w:val="lt-LT"/>
              </w:rPr>
              <w:t>(Parašas)</w:t>
            </w:r>
          </w:p>
        </w:tc>
        <w:tc>
          <w:tcPr>
            <w:tcW w:w="125" w:type="pct"/>
            <w:tcBorders>
              <w:top w:val="nil"/>
              <w:left w:val="nil"/>
              <w:bottom w:val="nil"/>
              <w:right w:val="nil"/>
            </w:tcBorders>
          </w:tcPr>
          <w:p w14:paraId="5C734453" w14:textId="77777777" w:rsidR="00D210FA" w:rsidRPr="002A4BE3" w:rsidRDefault="00D210FA" w:rsidP="002227FF">
            <w:pPr>
              <w:pStyle w:val="Pagrindinistekstas1"/>
              <w:ind w:right="140" w:firstLine="0"/>
              <w:rPr>
                <w:rFonts w:asciiTheme="minorHAnsi" w:hAnsiTheme="minorHAnsi" w:cstheme="minorHAnsi"/>
                <w:color w:val="000000" w:themeColor="text1"/>
                <w:sz w:val="16"/>
                <w:szCs w:val="16"/>
                <w:lang w:val="lt-LT"/>
              </w:rPr>
            </w:pPr>
          </w:p>
        </w:tc>
        <w:tc>
          <w:tcPr>
            <w:tcW w:w="1605" w:type="pct"/>
            <w:tcBorders>
              <w:top w:val="single" w:sz="4" w:space="0" w:color="auto"/>
              <w:left w:val="nil"/>
              <w:bottom w:val="nil"/>
              <w:right w:val="nil"/>
            </w:tcBorders>
          </w:tcPr>
          <w:p w14:paraId="209C230F" w14:textId="5FF40088" w:rsidR="00D210FA" w:rsidRPr="002A4BE3" w:rsidRDefault="00D210FA" w:rsidP="00D210FA">
            <w:pPr>
              <w:pStyle w:val="Pagrindinistekstas1"/>
              <w:tabs>
                <w:tab w:val="left" w:pos="3969"/>
              </w:tabs>
              <w:ind w:right="140" w:firstLine="0"/>
              <w:jc w:val="center"/>
              <w:rPr>
                <w:rFonts w:asciiTheme="minorHAnsi" w:hAnsiTheme="minorHAnsi" w:cstheme="minorHAnsi"/>
                <w:color w:val="000000" w:themeColor="text1"/>
                <w:sz w:val="16"/>
                <w:szCs w:val="16"/>
                <w:lang w:val="lt-LT"/>
              </w:rPr>
            </w:pPr>
            <w:r w:rsidRPr="002A4BE3">
              <w:rPr>
                <w:rFonts w:asciiTheme="minorHAnsi" w:hAnsiTheme="minorHAnsi" w:cstheme="minorHAnsi"/>
                <w:color w:val="000000" w:themeColor="text1"/>
                <w:position w:val="6"/>
                <w:sz w:val="16"/>
                <w:szCs w:val="16"/>
                <w:lang w:val="lt-LT"/>
              </w:rPr>
              <w:t>(Vardas, pavardė)</w:t>
            </w:r>
          </w:p>
        </w:tc>
      </w:tr>
    </w:tbl>
    <w:p w14:paraId="46073EC9" w14:textId="77777777" w:rsidR="00D210FA" w:rsidRPr="008373B7" w:rsidRDefault="00D210FA" w:rsidP="00A64337">
      <w:pPr>
        <w:pStyle w:val="Sraopastraipa"/>
        <w:spacing w:before="60" w:after="60"/>
        <w:ind w:left="0" w:firstLine="709"/>
        <w:jc w:val="both"/>
        <w:rPr>
          <w:rFonts w:asciiTheme="majorHAnsi" w:hAnsiTheme="majorHAnsi" w:cstheme="majorHAnsi"/>
          <w:sz w:val="22"/>
          <w:szCs w:val="22"/>
        </w:rPr>
      </w:pPr>
    </w:p>
    <w:p w14:paraId="20588149" w14:textId="77777777" w:rsidR="00A64337" w:rsidRPr="008373B7" w:rsidRDefault="00A64337" w:rsidP="00A64337">
      <w:pPr>
        <w:pStyle w:val="Sraopastraipa"/>
        <w:spacing w:before="60" w:after="60"/>
        <w:ind w:left="0" w:firstLine="709"/>
        <w:jc w:val="both"/>
        <w:rPr>
          <w:rFonts w:asciiTheme="majorHAnsi" w:hAnsiTheme="majorHAnsi" w:cstheme="majorHAnsi"/>
          <w:sz w:val="22"/>
          <w:szCs w:val="22"/>
        </w:rPr>
      </w:pPr>
    </w:p>
    <w:p w14:paraId="0A28B854" w14:textId="77777777" w:rsidR="00A64337" w:rsidRPr="008373B7" w:rsidRDefault="00A64337" w:rsidP="00A64337">
      <w:pPr>
        <w:pStyle w:val="Sraopastraipa"/>
        <w:spacing w:before="60" w:after="60"/>
        <w:ind w:left="0" w:firstLine="709"/>
        <w:jc w:val="both"/>
        <w:rPr>
          <w:rFonts w:asciiTheme="majorHAnsi" w:hAnsiTheme="majorHAnsi" w:cstheme="majorHAnsi"/>
          <w:sz w:val="22"/>
          <w:szCs w:val="22"/>
        </w:rPr>
      </w:pPr>
    </w:p>
    <w:p w14:paraId="573416AD" w14:textId="77777777" w:rsidR="00A64337" w:rsidRPr="008373B7" w:rsidRDefault="00A64337" w:rsidP="00A64337">
      <w:pPr>
        <w:pStyle w:val="Sraopastraipa"/>
        <w:spacing w:before="60" w:after="60"/>
        <w:ind w:left="0" w:firstLine="709"/>
        <w:jc w:val="both"/>
        <w:rPr>
          <w:rFonts w:asciiTheme="majorHAnsi" w:hAnsiTheme="majorHAnsi" w:cstheme="majorHAnsi"/>
          <w:sz w:val="22"/>
          <w:szCs w:val="22"/>
        </w:rPr>
      </w:pPr>
    </w:p>
    <w:p w14:paraId="0456D27A" w14:textId="77777777" w:rsidR="00A64337" w:rsidRDefault="00A64337" w:rsidP="00A64337">
      <w:pPr>
        <w:pStyle w:val="Sraopastraipa"/>
        <w:spacing w:before="60" w:after="60"/>
        <w:ind w:left="0" w:firstLine="709"/>
        <w:jc w:val="both"/>
        <w:rPr>
          <w:rFonts w:asciiTheme="majorHAnsi" w:hAnsiTheme="majorHAnsi" w:cstheme="majorHAnsi"/>
          <w:sz w:val="22"/>
          <w:szCs w:val="22"/>
        </w:rPr>
      </w:pPr>
    </w:p>
    <w:p w14:paraId="11D54DD1" w14:textId="77777777" w:rsidR="008373B7" w:rsidRDefault="008373B7" w:rsidP="00A64337">
      <w:pPr>
        <w:pStyle w:val="Sraopastraipa"/>
        <w:spacing w:before="60" w:after="60"/>
        <w:ind w:left="0" w:firstLine="709"/>
        <w:jc w:val="both"/>
        <w:rPr>
          <w:rFonts w:asciiTheme="majorHAnsi" w:hAnsiTheme="majorHAnsi" w:cstheme="majorHAnsi"/>
          <w:sz w:val="22"/>
          <w:szCs w:val="22"/>
        </w:rPr>
      </w:pPr>
    </w:p>
    <w:p w14:paraId="3F1706F2" w14:textId="77777777" w:rsidR="008373B7" w:rsidRDefault="008373B7" w:rsidP="00A64337">
      <w:pPr>
        <w:pStyle w:val="Sraopastraipa"/>
        <w:spacing w:before="60" w:after="60"/>
        <w:ind w:left="0" w:firstLine="709"/>
        <w:jc w:val="both"/>
        <w:rPr>
          <w:rFonts w:asciiTheme="majorHAnsi" w:hAnsiTheme="majorHAnsi" w:cstheme="majorHAnsi"/>
          <w:sz w:val="22"/>
          <w:szCs w:val="22"/>
        </w:rPr>
      </w:pPr>
    </w:p>
    <w:p w14:paraId="71723858" w14:textId="77777777" w:rsidR="008373B7" w:rsidRDefault="008373B7" w:rsidP="00A64337">
      <w:pPr>
        <w:pStyle w:val="Sraopastraipa"/>
        <w:spacing w:before="60" w:after="60"/>
        <w:ind w:left="0" w:firstLine="709"/>
        <w:jc w:val="both"/>
        <w:rPr>
          <w:rFonts w:asciiTheme="majorHAnsi" w:hAnsiTheme="majorHAnsi" w:cstheme="majorHAnsi"/>
          <w:sz w:val="22"/>
          <w:szCs w:val="22"/>
        </w:rPr>
      </w:pPr>
    </w:p>
    <w:p w14:paraId="45E87E48" w14:textId="77777777" w:rsidR="008373B7" w:rsidRDefault="008373B7" w:rsidP="00A64337">
      <w:pPr>
        <w:pStyle w:val="Sraopastraipa"/>
        <w:spacing w:before="60" w:after="60"/>
        <w:ind w:left="0" w:firstLine="709"/>
        <w:jc w:val="both"/>
        <w:rPr>
          <w:rFonts w:asciiTheme="majorHAnsi" w:hAnsiTheme="majorHAnsi" w:cstheme="majorHAnsi"/>
          <w:sz w:val="22"/>
          <w:szCs w:val="22"/>
        </w:rPr>
      </w:pPr>
    </w:p>
    <w:p w14:paraId="4D2C3F7E" w14:textId="32B680DE" w:rsidR="00D210FA" w:rsidRDefault="00D210FA">
      <w:pPr>
        <w:spacing w:after="160" w:line="259" w:lineRule="auto"/>
        <w:rPr>
          <w:rFonts w:asciiTheme="majorHAnsi" w:eastAsia="Times New Roman" w:hAnsiTheme="majorHAnsi" w:cstheme="majorHAnsi"/>
        </w:rPr>
      </w:pPr>
      <w:r>
        <w:rPr>
          <w:rFonts w:asciiTheme="majorHAnsi" w:hAnsiTheme="majorHAnsi" w:cstheme="majorHAnsi"/>
        </w:rPr>
        <w:br w:type="page"/>
      </w:r>
    </w:p>
    <w:p w14:paraId="1E7A96B3" w14:textId="77777777" w:rsidR="00A64337" w:rsidRPr="008373B7" w:rsidRDefault="00A64337" w:rsidP="00A64337">
      <w:pPr>
        <w:pStyle w:val="Sraopastraipa"/>
        <w:spacing w:before="60" w:after="60"/>
        <w:ind w:left="0" w:firstLine="709"/>
        <w:jc w:val="both"/>
        <w:rPr>
          <w:rFonts w:asciiTheme="majorHAnsi" w:hAnsiTheme="majorHAnsi" w:cstheme="majorHAnsi"/>
          <w:sz w:val="22"/>
          <w:szCs w:val="22"/>
        </w:rPr>
      </w:pPr>
    </w:p>
    <w:p w14:paraId="358CB192" w14:textId="77777777" w:rsidR="00A64337" w:rsidRPr="008373B7" w:rsidRDefault="00A64337" w:rsidP="00A64337">
      <w:pPr>
        <w:pStyle w:val="Sraopastraipa"/>
        <w:spacing w:before="60" w:after="60"/>
        <w:ind w:left="0" w:firstLine="709"/>
        <w:jc w:val="both"/>
        <w:rPr>
          <w:rFonts w:asciiTheme="majorHAnsi" w:hAnsiTheme="majorHAnsi" w:cstheme="majorHAnsi"/>
          <w:sz w:val="22"/>
          <w:szCs w:val="22"/>
        </w:rPr>
      </w:pPr>
    </w:p>
    <w:p w14:paraId="2EAA842F" w14:textId="77777777" w:rsidR="000F544F" w:rsidRDefault="000F544F" w:rsidP="00A64337">
      <w:pPr>
        <w:pStyle w:val="Sraopastraipa"/>
        <w:spacing w:before="60" w:after="60"/>
        <w:ind w:left="0" w:firstLine="709"/>
        <w:jc w:val="both"/>
        <w:rPr>
          <w:rFonts w:asciiTheme="majorHAnsi" w:hAnsiTheme="majorHAnsi" w:cstheme="majorHAnsi"/>
          <w:sz w:val="22"/>
          <w:szCs w:val="22"/>
        </w:rPr>
      </w:pPr>
    </w:p>
    <w:p w14:paraId="77E2E65C" w14:textId="1C513501" w:rsidR="008373B7" w:rsidRPr="008373B7" w:rsidRDefault="003C5ECB" w:rsidP="008373B7">
      <w:pPr>
        <w:widowControl w:val="0"/>
        <w:suppressAutoHyphens/>
        <w:contextualSpacing/>
        <w:jc w:val="right"/>
        <w:rPr>
          <w:rFonts w:asciiTheme="majorHAnsi" w:hAnsiTheme="majorHAnsi" w:cstheme="majorHAnsi"/>
          <w:color w:val="000000"/>
          <w:lang w:eastAsia="lt-LT"/>
        </w:rPr>
      </w:pPr>
      <w:r>
        <w:rPr>
          <w:rFonts w:asciiTheme="majorHAnsi" w:hAnsiTheme="majorHAnsi" w:cstheme="majorHAnsi"/>
          <w:color w:val="000000"/>
          <w:lang w:eastAsia="lt-LT"/>
        </w:rPr>
        <w:t xml:space="preserve">1 </w:t>
      </w:r>
      <w:r w:rsidR="008373B7" w:rsidRPr="008373B7">
        <w:rPr>
          <w:rFonts w:asciiTheme="majorHAnsi" w:hAnsiTheme="majorHAnsi" w:cstheme="majorHAnsi"/>
          <w:color w:val="000000"/>
          <w:lang w:eastAsia="lt-LT"/>
        </w:rPr>
        <w:t>priedas</w:t>
      </w:r>
    </w:p>
    <w:p w14:paraId="56AC51A1" w14:textId="77777777" w:rsidR="008373B7" w:rsidRPr="008373B7" w:rsidRDefault="008373B7" w:rsidP="00A64337">
      <w:pPr>
        <w:widowControl w:val="0"/>
        <w:suppressAutoHyphens/>
        <w:contextualSpacing/>
        <w:jc w:val="center"/>
        <w:rPr>
          <w:rFonts w:asciiTheme="majorHAnsi" w:hAnsiTheme="majorHAnsi" w:cstheme="majorHAnsi"/>
          <w:color w:val="000000"/>
          <w:lang w:val="en-GB" w:eastAsia="lt-LT"/>
        </w:rPr>
      </w:pPr>
    </w:p>
    <w:p w14:paraId="2BC47138" w14:textId="77777777" w:rsidR="00A64337" w:rsidRPr="008373B7" w:rsidRDefault="00A64337" w:rsidP="00A64337">
      <w:pPr>
        <w:widowControl w:val="0"/>
        <w:suppressAutoHyphens/>
        <w:contextualSpacing/>
        <w:jc w:val="center"/>
        <w:rPr>
          <w:rFonts w:asciiTheme="majorHAnsi" w:hAnsiTheme="majorHAnsi" w:cstheme="majorHAnsi"/>
          <w:b/>
          <w:bCs/>
        </w:rPr>
      </w:pPr>
      <w:r w:rsidRPr="008373B7">
        <w:rPr>
          <w:rFonts w:asciiTheme="majorHAnsi" w:hAnsiTheme="majorHAnsi" w:cstheme="majorHAnsi"/>
          <w:color w:val="000000"/>
          <w:lang w:val="en-GB" w:eastAsia="lt-LT"/>
        </w:rPr>
        <w:t>(</w:t>
      </w:r>
      <w:r w:rsidRPr="008373B7">
        <w:rPr>
          <w:rFonts w:asciiTheme="majorHAnsi" w:hAnsiTheme="majorHAnsi" w:cstheme="majorHAnsi"/>
          <w:b/>
          <w:color w:val="000000"/>
          <w:lang w:eastAsia="lt-LT"/>
        </w:rPr>
        <w:t xml:space="preserve">Konfidencialumo pasižadėjimo </w:t>
      </w:r>
      <w:r w:rsidRPr="008373B7">
        <w:rPr>
          <w:rFonts w:asciiTheme="majorHAnsi" w:hAnsiTheme="majorHAnsi" w:cstheme="majorHAnsi"/>
          <w:b/>
          <w:bCs/>
        </w:rPr>
        <w:t>neatskleisti informacijos, kuri taps žinoma</w:t>
      </w:r>
    </w:p>
    <w:p w14:paraId="2A38421E" w14:textId="77777777" w:rsidR="00A64337" w:rsidRPr="008373B7" w:rsidRDefault="00A64337" w:rsidP="00A64337">
      <w:pPr>
        <w:widowControl w:val="0"/>
        <w:suppressAutoHyphens/>
        <w:contextualSpacing/>
        <w:jc w:val="center"/>
        <w:rPr>
          <w:rFonts w:asciiTheme="majorHAnsi" w:hAnsiTheme="majorHAnsi" w:cstheme="majorHAnsi"/>
          <w:color w:val="000000"/>
          <w:lang w:eastAsia="lt-LT"/>
        </w:rPr>
      </w:pPr>
      <w:r w:rsidRPr="008373B7">
        <w:rPr>
          <w:rFonts w:asciiTheme="majorHAnsi" w:hAnsiTheme="majorHAnsi" w:cstheme="majorHAnsi"/>
          <w:b/>
          <w:bCs/>
        </w:rPr>
        <w:t>vykdant sutartį, forma)</w:t>
      </w:r>
    </w:p>
    <w:p w14:paraId="4B4D4B65" w14:textId="77777777" w:rsidR="00A64337" w:rsidRPr="008373B7" w:rsidRDefault="00A64337" w:rsidP="00A64337">
      <w:pPr>
        <w:widowControl w:val="0"/>
        <w:suppressAutoHyphens/>
        <w:contextualSpacing/>
        <w:jc w:val="center"/>
        <w:rPr>
          <w:rFonts w:asciiTheme="majorHAnsi" w:hAnsiTheme="majorHAnsi" w:cstheme="majorHAnsi"/>
          <w:color w:val="000000"/>
          <w:lang w:val="en-GB" w:eastAsia="lt-LT"/>
        </w:rPr>
      </w:pPr>
    </w:p>
    <w:p w14:paraId="6F523B01" w14:textId="77777777" w:rsidR="00A64337" w:rsidRPr="008373B7" w:rsidRDefault="00A64337" w:rsidP="00A64337">
      <w:pPr>
        <w:widowControl w:val="0"/>
        <w:suppressAutoHyphens/>
        <w:contextualSpacing/>
        <w:jc w:val="center"/>
        <w:rPr>
          <w:rFonts w:asciiTheme="majorHAnsi" w:hAnsiTheme="majorHAnsi" w:cstheme="majorHAnsi"/>
          <w:b/>
          <w:color w:val="000000"/>
          <w:lang w:val="en-GB" w:eastAsia="lt-LT"/>
        </w:rPr>
      </w:pPr>
      <w:r w:rsidRPr="008373B7">
        <w:rPr>
          <w:rFonts w:asciiTheme="majorHAnsi" w:hAnsiTheme="majorHAnsi" w:cstheme="majorHAnsi"/>
          <w:b/>
          <w:color w:val="000000"/>
          <w:lang w:val="en-GB" w:eastAsia="lt-LT"/>
        </w:rPr>
        <w:t>KONFIDENCIALUMO PASIŽADĖJIMAS</w:t>
      </w:r>
    </w:p>
    <w:p w14:paraId="40AE82FC" w14:textId="77777777" w:rsidR="00A64337" w:rsidRDefault="00A64337" w:rsidP="00A64337">
      <w:pPr>
        <w:widowControl w:val="0"/>
        <w:suppressAutoHyphens/>
        <w:contextualSpacing/>
        <w:jc w:val="center"/>
        <w:rPr>
          <w:rFonts w:asciiTheme="majorHAnsi" w:hAnsiTheme="majorHAnsi" w:cstheme="majorHAnsi"/>
          <w:b/>
          <w:bCs/>
          <w:lang w:val="en-GB"/>
        </w:rPr>
      </w:pPr>
      <w:r w:rsidRPr="008373B7">
        <w:rPr>
          <w:rFonts w:asciiTheme="majorHAnsi" w:hAnsiTheme="majorHAnsi" w:cstheme="majorHAnsi"/>
          <w:b/>
          <w:bCs/>
          <w:lang w:val="en-GB"/>
        </w:rPr>
        <w:t xml:space="preserve">NEATSKLEISTI INFORMACIJOS, KURI TAPS ŽINOMA VYKDANT SUTARTĮ </w:t>
      </w:r>
    </w:p>
    <w:p w14:paraId="47935FD1" w14:textId="77777777" w:rsidR="00A21E94" w:rsidRPr="008373B7" w:rsidRDefault="00A21E94" w:rsidP="00A64337">
      <w:pPr>
        <w:widowControl w:val="0"/>
        <w:suppressAutoHyphens/>
        <w:contextualSpacing/>
        <w:jc w:val="center"/>
        <w:rPr>
          <w:rFonts w:asciiTheme="majorHAnsi" w:hAnsiTheme="majorHAnsi" w:cstheme="majorHAnsi"/>
          <w:b/>
          <w:color w:val="000000"/>
          <w:lang w:val="en-GB" w:eastAsia="lt-LT"/>
        </w:rPr>
      </w:pPr>
    </w:p>
    <w:p w14:paraId="01E3CD80" w14:textId="77777777" w:rsidR="00A64337" w:rsidRPr="008373B7" w:rsidRDefault="00A64337" w:rsidP="00A64337">
      <w:pPr>
        <w:widowControl w:val="0"/>
        <w:suppressAutoHyphens/>
        <w:contextualSpacing/>
        <w:jc w:val="center"/>
        <w:rPr>
          <w:rFonts w:asciiTheme="majorHAnsi" w:hAnsiTheme="majorHAnsi" w:cstheme="majorHAnsi"/>
          <w:color w:val="000000"/>
          <w:lang w:eastAsia="lt-LT"/>
        </w:rPr>
      </w:pPr>
      <w:r w:rsidRPr="008373B7">
        <w:rPr>
          <w:rFonts w:asciiTheme="majorHAnsi" w:hAnsiTheme="majorHAnsi" w:cstheme="majorHAnsi"/>
          <w:color w:val="000000"/>
          <w:lang w:eastAsia="lt-LT"/>
        </w:rPr>
        <w:t>________________________</w:t>
      </w:r>
    </w:p>
    <w:p w14:paraId="1B4F53B6" w14:textId="77777777" w:rsidR="00A64337" w:rsidRPr="008373B7" w:rsidRDefault="00A64337" w:rsidP="00A64337">
      <w:pPr>
        <w:widowControl w:val="0"/>
        <w:suppressAutoHyphens/>
        <w:contextualSpacing/>
        <w:jc w:val="center"/>
        <w:rPr>
          <w:rFonts w:asciiTheme="majorHAnsi" w:hAnsiTheme="majorHAnsi" w:cstheme="majorHAnsi"/>
          <w:color w:val="000000"/>
          <w:lang w:eastAsia="lt-LT"/>
        </w:rPr>
      </w:pPr>
      <w:r w:rsidRPr="008373B7">
        <w:rPr>
          <w:rFonts w:asciiTheme="majorHAnsi" w:hAnsiTheme="majorHAnsi" w:cstheme="majorHAnsi"/>
          <w:color w:val="000000"/>
          <w:lang w:eastAsia="lt-LT"/>
        </w:rPr>
        <w:t>(data)</w:t>
      </w:r>
    </w:p>
    <w:p w14:paraId="4D4B270A" w14:textId="77777777" w:rsidR="00A64337" w:rsidRPr="008373B7" w:rsidRDefault="00A64337" w:rsidP="00A64337">
      <w:pPr>
        <w:widowControl w:val="0"/>
        <w:suppressAutoHyphens/>
        <w:contextualSpacing/>
        <w:jc w:val="center"/>
        <w:rPr>
          <w:rFonts w:asciiTheme="majorHAnsi" w:hAnsiTheme="majorHAnsi" w:cstheme="majorHAnsi"/>
          <w:color w:val="000000"/>
          <w:lang w:eastAsia="lt-LT"/>
        </w:rPr>
      </w:pPr>
      <w:r w:rsidRPr="008373B7">
        <w:rPr>
          <w:rFonts w:asciiTheme="majorHAnsi" w:hAnsiTheme="majorHAnsi" w:cstheme="majorHAnsi"/>
          <w:color w:val="000000"/>
          <w:lang w:eastAsia="lt-LT"/>
        </w:rPr>
        <w:t>________________________</w:t>
      </w:r>
    </w:p>
    <w:p w14:paraId="5563671C" w14:textId="664B20D5" w:rsidR="00A64337" w:rsidRPr="008373B7" w:rsidRDefault="00A64337" w:rsidP="000F544F">
      <w:pPr>
        <w:widowControl w:val="0"/>
        <w:suppressAutoHyphens/>
        <w:contextualSpacing/>
        <w:jc w:val="center"/>
        <w:rPr>
          <w:rFonts w:asciiTheme="majorHAnsi" w:hAnsiTheme="majorHAnsi" w:cstheme="majorHAnsi"/>
          <w:color w:val="000000"/>
          <w:lang w:eastAsia="lt-LT"/>
        </w:rPr>
      </w:pPr>
      <w:r w:rsidRPr="008373B7">
        <w:rPr>
          <w:rFonts w:asciiTheme="majorHAnsi" w:hAnsiTheme="majorHAnsi" w:cstheme="majorHAnsi"/>
          <w:color w:val="000000"/>
          <w:lang w:eastAsia="lt-LT"/>
        </w:rPr>
        <w:t>(vieta)</w:t>
      </w:r>
    </w:p>
    <w:p w14:paraId="61778C70" w14:textId="77777777" w:rsidR="00A64337" w:rsidRDefault="00A64337" w:rsidP="00A64337">
      <w:pPr>
        <w:widowControl w:val="0"/>
        <w:suppressAutoHyphens/>
        <w:jc w:val="both"/>
        <w:rPr>
          <w:rFonts w:asciiTheme="majorHAnsi" w:hAnsiTheme="majorHAnsi" w:cstheme="majorHAnsi"/>
          <w:color w:val="000000"/>
          <w:lang w:eastAsia="lt-LT"/>
        </w:rPr>
      </w:pPr>
    </w:p>
    <w:p w14:paraId="7BCFBF2C" w14:textId="77777777" w:rsidR="00A21E94" w:rsidRPr="008373B7" w:rsidRDefault="00A21E94" w:rsidP="00A64337">
      <w:pPr>
        <w:widowControl w:val="0"/>
        <w:suppressAutoHyphens/>
        <w:jc w:val="both"/>
        <w:rPr>
          <w:rFonts w:asciiTheme="majorHAnsi" w:hAnsiTheme="majorHAnsi" w:cstheme="majorHAnsi"/>
          <w:color w:val="000000"/>
          <w:lang w:eastAsia="lt-LT"/>
        </w:rPr>
      </w:pPr>
    </w:p>
    <w:p w14:paraId="42539AC6" w14:textId="77777777" w:rsidR="00A64337" w:rsidRPr="008373B7" w:rsidRDefault="00A64337" w:rsidP="00A64337">
      <w:pPr>
        <w:widowControl w:val="0"/>
        <w:suppressAutoHyphens/>
        <w:ind w:firstLine="709"/>
        <w:jc w:val="both"/>
        <w:rPr>
          <w:rFonts w:asciiTheme="majorHAnsi" w:hAnsiTheme="majorHAnsi" w:cstheme="majorHAnsi"/>
          <w:color w:val="000000"/>
          <w:lang w:eastAsia="lt-LT"/>
        </w:rPr>
      </w:pPr>
      <w:r w:rsidRPr="008373B7">
        <w:rPr>
          <w:rFonts w:asciiTheme="majorHAnsi" w:hAnsiTheme="majorHAnsi" w:cstheme="majorHAnsi"/>
          <w:color w:val="000000"/>
          <w:lang w:eastAsia="lt-LT"/>
        </w:rPr>
        <w:t>Aš, _______________________________________________________________, eidamas (-a)</w:t>
      </w:r>
    </w:p>
    <w:p w14:paraId="1C6581F6" w14:textId="77777777" w:rsidR="00A64337" w:rsidRPr="008373B7" w:rsidRDefault="00A64337" w:rsidP="00A64337">
      <w:pPr>
        <w:widowControl w:val="0"/>
        <w:suppressAutoHyphens/>
        <w:jc w:val="center"/>
        <w:rPr>
          <w:rFonts w:asciiTheme="majorHAnsi" w:hAnsiTheme="majorHAnsi" w:cstheme="majorHAnsi"/>
          <w:color w:val="000000"/>
          <w:lang w:eastAsia="lt-LT"/>
        </w:rPr>
      </w:pPr>
      <w:r w:rsidRPr="008373B7">
        <w:rPr>
          <w:rFonts w:asciiTheme="majorHAnsi" w:hAnsiTheme="majorHAnsi" w:cstheme="majorHAnsi"/>
          <w:color w:val="000000"/>
          <w:lang w:eastAsia="lt-LT"/>
        </w:rPr>
        <w:t>(vardas, pavardė)</w:t>
      </w:r>
    </w:p>
    <w:p w14:paraId="7D3780A6" w14:textId="77777777" w:rsidR="00A64337" w:rsidRPr="008373B7" w:rsidRDefault="00A64337" w:rsidP="00A64337">
      <w:pPr>
        <w:widowControl w:val="0"/>
        <w:suppressAutoHyphens/>
        <w:jc w:val="both"/>
        <w:rPr>
          <w:rFonts w:asciiTheme="majorHAnsi" w:hAnsiTheme="majorHAnsi" w:cstheme="majorHAnsi"/>
          <w:color w:val="000000"/>
          <w:lang w:eastAsia="lt-LT"/>
        </w:rPr>
      </w:pPr>
      <w:r w:rsidRPr="008373B7">
        <w:rPr>
          <w:rFonts w:asciiTheme="majorHAnsi" w:hAnsiTheme="majorHAnsi" w:cstheme="majorHAnsi"/>
          <w:color w:val="000000"/>
          <w:lang w:eastAsia="lt-LT"/>
        </w:rPr>
        <w:t>___________________________________________________________________________________</w:t>
      </w:r>
    </w:p>
    <w:p w14:paraId="554F48AE" w14:textId="77777777" w:rsidR="00A64337" w:rsidRPr="008373B7" w:rsidRDefault="00A64337" w:rsidP="00A64337">
      <w:pPr>
        <w:widowControl w:val="0"/>
        <w:suppressAutoHyphens/>
        <w:jc w:val="center"/>
        <w:rPr>
          <w:rFonts w:asciiTheme="majorHAnsi" w:hAnsiTheme="majorHAnsi" w:cstheme="majorHAnsi"/>
          <w:color w:val="000000"/>
          <w:lang w:eastAsia="lt-LT"/>
        </w:rPr>
      </w:pPr>
      <w:r w:rsidRPr="008373B7">
        <w:rPr>
          <w:rFonts w:asciiTheme="majorHAnsi" w:hAnsiTheme="majorHAnsi" w:cstheme="majorHAnsi"/>
          <w:color w:val="000000"/>
          <w:lang w:eastAsia="lt-LT"/>
        </w:rPr>
        <w:t>(juridinio asmens pavadinimas)</w:t>
      </w:r>
    </w:p>
    <w:p w14:paraId="5DA41619" w14:textId="77777777" w:rsidR="00A64337" w:rsidRPr="008373B7" w:rsidRDefault="00A64337" w:rsidP="00A64337">
      <w:pPr>
        <w:widowControl w:val="0"/>
        <w:suppressAutoHyphens/>
        <w:jc w:val="both"/>
        <w:rPr>
          <w:rFonts w:asciiTheme="majorHAnsi" w:hAnsiTheme="majorHAnsi" w:cstheme="majorHAnsi"/>
          <w:color w:val="000000"/>
          <w:lang w:eastAsia="lt-LT"/>
        </w:rPr>
      </w:pPr>
      <w:r w:rsidRPr="008373B7">
        <w:rPr>
          <w:rFonts w:asciiTheme="majorHAnsi" w:hAnsiTheme="majorHAnsi" w:cstheme="majorHAnsi"/>
          <w:color w:val="000000"/>
          <w:lang w:eastAsia="lt-LT"/>
        </w:rPr>
        <w:t xml:space="preserve">___________________________________________________________________________ pareigas, </w:t>
      </w:r>
    </w:p>
    <w:p w14:paraId="7AF0A395" w14:textId="77777777" w:rsidR="00A64337" w:rsidRPr="008373B7" w:rsidRDefault="00A64337" w:rsidP="00A64337">
      <w:pPr>
        <w:widowControl w:val="0"/>
        <w:suppressAutoHyphens/>
        <w:jc w:val="center"/>
        <w:rPr>
          <w:rFonts w:asciiTheme="majorHAnsi" w:hAnsiTheme="majorHAnsi" w:cstheme="majorHAnsi"/>
          <w:color w:val="000000"/>
          <w:lang w:eastAsia="lt-LT"/>
        </w:rPr>
      </w:pPr>
      <w:r w:rsidRPr="008373B7">
        <w:rPr>
          <w:rFonts w:asciiTheme="majorHAnsi" w:hAnsiTheme="majorHAnsi" w:cstheme="majorHAnsi"/>
          <w:color w:val="000000"/>
          <w:lang w:eastAsia="lt-LT"/>
        </w:rPr>
        <w:t>(pareigų pavadinimas)</w:t>
      </w:r>
    </w:p>
    <w:p w14:paraId="7CC0778C" w14:textId="77777777" w:rsidR="00A64337" w:rsidRPr="008373B7" w:rsidRDefault="00A64337" w:rsidP="00A64337">
      <w:pPr>
        <w:widowControl w:val="0"/>
        <w:suppressAutoHyphens/>
        <w:jc w:val="both"/>
        <w:rPr>
          <w:rFonts w:asciiTheme="majorHAnsi" w:hAnsiTheme="majorHAnsi" w:cstheme="majorHAnsi"/>
          <w:color w:val="000000"/>
          <w:lang w:eastAsia="lt-LT"/>
        </w:rPr>
      </w:pPr>
      <w:r w:rsidRPr="008373B7">
        <w:rPr>
          <w:rFonts w:asciiTheme="majorHAnsi" w:hAnsiTheme="majorHAnsi" w:cstheme="majorHAnsi"/>
          <w:color w:val="000000"/>
          <w:lang w:eastAsia="lt-LT"/>
        </w:rPr>
        <w:t>ir dirbdamas (-a) pagal sutartį ___________________________________________________________</w:t>
      </w:r>
    </w:p>
    <w:p w14:paraId="7EB72FC4" w14:textId="77777777" w:rsidR="00A64337" w:rsidRPr="008373B7" w:rsidRDefault="00A64337" w:rsidP="00A64337">
      <w:pPr>
        <w:widowControl w:val="0"/>
        <w:suppressAutoHyphens/>
        <w:jc w:val="center"/>
        <w:rPr>
          <w:rFonts w:asciiTheme="majorHAnsi" w:hAnsiTheme="majorHAnsi" w:cstheme="majorHAnsi"/>
          <w:color w:val="000000"/>
          <w:lang w:eastAsia="lt-LT"/>
        </w:rPr>
      </w:pPr>
      <w:r w:rsidRPr="008373B7">
        <w:rPr>
          <w:rFonts w:asciiTheme="majorHAnsi" w:hAnsiTheme="majorHAnsi" w:cstheme="majorHAnsi"/>
          <w:color w:val="000000"/>
          <w:lang w:eastAsia="lt-LT"/>
        </w:rPr>
        <w:t>(sutarties pavadinimas, data, numeris)</w:t>
      </w:r>
    </w:p>
    <w:p w14:paraId="54B0606C" w14:textId="77777777" w:rsidR="00A64337" w:rsidRPr="008373B7" w:rsidRDefault="00A64337" w:rsidP="00A64337">
      <w:pPr>
        <w:widowControl w:val="0"/>
        <w:suppressAutoHyphens/>
        <w:jc w:val="both"/>
        <w:rPr>
          <w:rFonts w:asciiTheme="majorHAnsi" w:hAnsiTheme="majorHAnsi" w:cstheme="majorHAnsi"/>
          <w:color w:val="000000"/>
          <w:lang w:eastAsia="lt-LT"/>
        </w:rPr>
      </w:pPr>
      <w:r w:rsidRPr="008373B7">
        <w:rPr>
          <w:rFonts w:asciiTheme="majorHAnsi" w:hAnsiTheme="majorHAnsi" w:cstheme="majorHAnsi"/>
          <w:color w:val="000000"/>
          <w:lang w:eastAsia="lt-LT"/>
        </w:rPr>
        <w:t xml:space="preserve">__________________________________________________________________________________, </w:t>
      </w:r>
    </w:p>
    <w:p w14:paraId="0D6FF092" w14:textId="77777777" w:rsidR="00A64337" w:rsidRPr="008373B7" w:rsidRDefault="00A64337" w:rsidP="00A64337">
      <w:pPr>
        <w:widowControl w:val="0"/>
        <w:suppressAutoHyphens/>
        <w:jc w:val="both"/>
        <w:rPr>
          <w:rFonts w:asciiTheme="majorHAnsi" w:hAnsiTheme="majorHAnsi" w:cstheme="majorHAnsi"/>
          <w:color w:val="000000"/>
          <w:lang w:eastAsia="lt-LT"/>
        </w:rPr>
      </w:pPr>
      <w:r w:rsidRPr="008373B7">
        <w:rPr>
          <w:rFonts w:asciiTheme="majorHAnsi" w:hAnsiTheme="majorHAnsi" w:cstheme="majorHAnsi"/>
          <w:color w:val="000000"/>
          <w:lang w:eastAsia="lt-LT"/>
        </w:rPr>
        <w:t xml:space="preserve">sudarytą tarp Informatikos ir ryšių departamento prie Lietuvos Respublikos vidaus reikalų ministerijos ir </w:t>
      </w:r>
    </w:p>
    <w:p w14:paraId="1A6CC2A5" w14:textId="77777777" w:rsidR="00A64337" w:rsidRPr="008373B7" w:rsidRDefault="00A64337" w:rsidP="00A64337">
      <w:pPr>
        <w:widowControl w:val="0"/>
        <w:suppressAutoHyphens/>
        <w:jc w:val="both"/>
        <w:rPr>
          <w:rFonts w:asciiTheme="majorHAnsi" w:hAnsiTheme="majorHAnsi" w:cstheme="majorHAnsi"/>
          <w:color w:val="000000"/>
          <w:lang w:eastAsia="lt-LT"/>
        </w:rPr>
      </w:pPr>
      <w:r w:rsidRPr="008373B7">
        <w:rPr>
          <w:rFonts w:asciiTheme="majorHAnsi" w:hAnsiTheme="majorHAnsi" w:cstheme="majorHAnsi"/>
          <w:color w:val="000000"/>
          <w:lang w:eastAsia="lt-LT"/>
        </w:rPr>
        <w:t>__________________________________________________________________________________,</w:t>
      </w:r>
    </w:p>
    <w:p w14:paraId="5973F0DB" w14:textId="77777777" w:rsidR="00A64337" w:rsidRPr="008373B7" w:rsidRDefault="00A64337" w:rsidP="00A64337">
      <w:pPr>
        <w:widowControl w:val="0"/>
        <w:suppressAutoHyphens/>
        <w:jc w:val="center"/>
        <w:rPr>
          <w:rFonts w:asciiTheme="majorHAnsi" w:hAnsiTheme="majorHAnsi" w:cstheme="majorHAnsi"/>
          <w:color w:val="000000"/>
          <w:lang w:eastAsia="lt-LT"/>
        </w:rPr>
      </w:pPr>
      <w:r w:rsidRPr="008373B7">
        <w:rPr>
          <w:rFonts w:asciiTheme="majorHAnsi" w:hAnsiTheme="majorHAnsi" w:cstheme="majorHAnsi"/>
          <w:color w:val="000000"/>
          <w:lang w:eastAsia="lt-LT"/>
        </w:rPr>
        <w:t>(sutarties šalies pavadinimas)</w:t>
      </w:r>
    </w:p>
    <w:p w14:paraId="4FEBF53F" w14:textId="77777777" w:rsidR="00A64337" w:rsidRDefault="00A64337" w:rsidP="00A64337">
      <w:pPr>
        <w:widowControl w:val="0"/>
        <w:suppressAutoHyphens/>
        <w:jc w:val="both"/>
        <w:rPr>
          <w:rFonts w:asciiTheme="majorHAnsi" w:hAnsiTheme="majorHAnsi" w:cstheme="majorHAnsi"/>
          <w:color w:val="000000"/>
          <w:lang w:eastAsia="lt-LT"/>
        </w:rPr>
      </w:pPr>
      <w:r w:rsidRPr="008373B7">
        <w:rPr>
          <w:rFonts w:asciiTheme="majorHAnsi" w:hAnsiTheme="majorHAnsi" w:cstheme="majorHAnsi"/>
          <w:color w:val="000000"/>
          <w:lang w:eastAsia="lt-LT"/>
        </w:rPr>
        <w:t xml:space="preserve">(toliau – Sutartis), </w:t>
      </w:r>
    </w:p>
    <w:p w14:paraId="6BE5EA8D" w14:textId="77777777" w:rsidR="00A21E94" w:rsidRPr="008373B7" w:rsidRDefault="00A21E94" w:rsidP="00A64337">
      <w:pPr>
        <w:widowControl w:val="0"/>
        <w:suppressAutoHyphens/>
        <w:jc w:val="both"/>
        <w:rPr>
          <w:rFonts w:asciiTheme="majorHAnsi" w:hAnsiTheme="majorHAnsi" w:cstheme="majorHAnsi"/>
          <w:color w:val="000000"/>
          <w:lang w:eastAsia="lt-LT"/>
        </w:rPr>
      </w:pPr>
    </w:p>
    <w:p w14:paraId="2A2C5D1C" w14:textId="77777777" w:rsidR="00A64337" w:rsidRPr="008373B7" w:rsidRDefault="00A64337" w:rsidP="00A64337">
      <w:pPr>
        <w:widowControl w:val="0"/>
        <w:suppressAutoHyphens/>
        <w:ind w:firstLine="709"/>
        <w:jc w:val="both"/>
        <w:rPr>
          <w:rFonts w:asciiTheme="majorHAnsi" w:hAnsiTheme="majorHAnsi" w:cstheme="majorHAnsi"/>
          <w:b/>
          <w:color w:val="000000"/>
          <w:lang w:eastAsia="lt-LT"/>
        </w:rPr>
      </w:pPr>
      <w:r w:rsidRPr="008373B7">
        <w:rPr>
          <w:rFonts w:asciiTheme="majorHAnsi" w:hAnsiTheme="majorHAnsi" w:cstheme="majorHAnsi"/>
          <w:b/>
          <w:color w:val="000000"/>
          <w:lang w:eastAsia="lt-LT"/>
        </w:rPr>
        <w:t xml:space="preserve">1. Pasižadu: </w:t>
      </w:r>
    </w:p>
    <w:p w14:paraId="02FCD23E" w14:textId="77777777" w:rsidR="00A64337" w:rsidRPr="008373B7" w:rsidRDefault="00A64337" w:rsidP="00A64337">
      <w:pPr>
        <w:widowControl w:val="0"/>
        <w:suppressAutoHyphens/>
        <w:ind w:firstLine="709"/>
        <w:jc w:val="both"/>
        <w:rPr>
          <w:rFonts w:asciiTheme="majorHAnsi" w:hAnsiTheme="majorHAnsi" w:cstheme="majorHAnsi"/>
          <w:color w:val="000000"/>
          <w:lang w:eastAsia="lt-LT"/>
        </w:rPr>
      </w:pPr>
      <w:r w:rsidRPr="008373B7">
        <w:rPr>
          <w:rFonts w:asciiTheme="majorHAnsi" w:hAnsiTheme="majorHAnsi" w:cstheme="majorHAnsi"/>
          <w:color w:val="000000"/>
          <w:lang w:eastAsia="lt-LT"/>
        </w:rPr>
        <w:t>1.1. nuo Sutarties pasirašymo momento saugoti ir tik Sutarties vykdymo tikslais naudoti visą su Sutartimi bei jos vykdymu susijusią informaciją, kuri man taps žinoma, taip pat dokumentus, kurie man bus perduoti ar prieinami;</w:t>
      </w:r>
    </w:p>
    <w:p w14:paraId="381A4A8C" w14:textId="77777777" w:rsidR="00A64337" w:rsidRPr="008373B7" w:rsidRDefault="00A64337" w:rsidP="00A64337">
      <w:pPr>
        <w:widowControl w:val="0"/>
        <w:suppressAutoHyphens/>
        <w:ind w:firstLine="709"/>
        <w:jc w:val="both"/>
        <w:rPr>
          <w:rFonts w:asciiTheme="majorHAnsi" w:hAnsiTheme="majorHAnsi" w:cstheme="majorHAnsi"/>
          <w:color w:val="000000"/>
          <w:lang w:eastAsia="lt-LT"/>
        </w:rPr>
      </w:pPr>
      <w:r w:rsidRPr="008373B7">
        <w:rPr>
          <w:rFonts w:asciiTheme="majorHAnsi" w:hAnsiTheme="majorHAnsi" w:cstheme="majorHAnsi"/>
          <w:color w:val="000000"/>
          <w:lang w:eastAsia="lt-LT"/>
        </w:rPr>
        <w:t>1.2. užtikrinti iš Informatikos ir ryšių departamento prie Lietuvos Respublikos vidaus reikalų ministerijos gautų informacijos ir dokumentų</w:t>
      </w:r>
      <w:r w:rsidRPr="008373B7">
        <w:rPr>
          <w:rFonts w:asciiTheme="majorHAnsi" w:hAnsiTheme="majorHAnsi" w:cstheme="majorHAnsi"/>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8373B7">
        <w:rPr>
          <w:rFonts w:asciiTheme="majorHAnsi" w:hAnsiTheme="majorHAnsi" w:cstheme="majorHAnsi"/>
          <w:color w:val="000000"/>
          <w:lang w:eastAsia="lt-LT"/>
        </w:rPr>
        <w:t>;</w:t>
      </w:r>
    </w:p>
    <w:p w14:paraId="63AAB546" w14:textId="77777777" w:rsidR="00A64337" w:rsidRPr="008373B7" w:rsidRDefault="00A64337" w:rsidP="00A64337">
      <w:pPr>
        <w:widowControl w:val="0"/>
        <w:suppressAutoHyphens/>
        <w:ind w:firstLine="709"/>
        <w:jc w:val="both"/>
        <w:rPr>
          <w:rFonts w:asciiTheme="majorHAnsi" w:hAnsiTheme="majorHAnsi" w:cstheme="majorHAnsi"/>
          <w:color w:val="000000"/>
          <w:lang w:eastAsia="lt-LT"/>
        </w:rPr>
      </w:pPr>
      <w:r w:rsidRPr="008373B7">
        <w:rPr>
          <w:rFonts w:asciiTheme="majorHAnsi" w:hAnsiTheme="majorHAnsi" w:cstheme="majorHAnsi"/>
          <w:color w:val="000000"/>
          <w:lang w:eastAsia="lt-LT"/>
        </w:rPr>
        <w:t xml:space="preserve">1.3. visus man patikėtus dokumentus ir informaciją saugoti tokiu būdu, kad tretieji asmenys neturėtų galimybės su jais susipažinti ar pasinaudoti; </w:t>
      </w:r>
    </w:p>
    <w:p w14:paraId="26F93C29" w14:textId="77777777" w:rsidR="00A64337" w:rsidRPr="008373B7" w:rsidRDefault="00A64337" w:rsidP="00A64337">
      <w:pPr>
        <w:widowControl w:val="0"/>
        <w:suppressAutoHyphens/>
        <w:ind w:firstLine="709"/>
        <w:jc w:val="both"/>
        <w:rPr>
          <w:rFonts w:asciiTheme="majorHAnsi" w:hAnsiTheme="majorHAnsi" w:cstheme="majorHAnsi"/>
          <w:color w:val="000000"/>
          <w:lang w:eastAsia="lt-LT"/>
        </w:rPr>
      </w:pPr>
      <w:r w:rsidRPr="008373B7">
        <w:rPr>
          <w:rFonts w:asciiTheme="majorHAnsi" w:hAnsiTheme="majorHAnsi" w:cstheme="majorHAnsi"/>
          <w:color w:val="000000"/>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4285C2CB" w14:textId="77777777" w:rsidR="00A64337" w:rsidRPr="008373B7" w:rsidRDefault="00A64337" w:rsidP="00A64337">
      <w:pPr>
        <w:widowControl w:val="0"/>
        <w:suppressAutoHyphens/>
        <w:ind w:firstLine="709"/>
        <w:jc w:val="both"/>
        <w:rPr>
          <w:rFonts w:asciiTheme="majorHAnsi" w:hAnsiTheme="majorHAnsi" w:cstheme="majorHAnsi"/>
          <w:color w:val="000000"/>
          <w:lang w:eastAsia="lt-LT"/>
        </w:rPr>
      </w:pPr>
      <w:r w:rsidRPr="008373B7">
        <w:rPr>
          <w:rFonts w:asciiTheme="majorHAnsi" w:hAnsiTheme="majorHAnsi" w:cstheme="majorHAnsi"/>
          <w:color w:val="000000"/>
          <w:lang w:eastAsia="lt-LT"/>
        </w:rPr>
        <w:t>1.5. laikytis konfidencialumo įsipareigojimų, nurodytų 1.1–1.4 papunkčiuose, Sutarties vykdymo metu ir Sutarčiai pasibaigus, ją nutraukus, taip pat pasikeitus ar nutrūkus mano darbo santykiams.</w:t>
      </w:r>
    </w:p>
    <w:p w14:paraId="208EADAE" w14:textId="77777777" w:rsidR="00A64337" w:rsidRPr="008373B7" w:rsidRDefault="00A64337" w:rsidP="00A64337">
      <w:pPr>
        <w:widowControl w:val="0"/>
        <w:suppressAutoHyphens/>
        <w:ind w:firstLine="709"/>
        <w:jc w:val="both"/>
        <w:rPr>
          <w:rFonts w:asciiTheme="majorHAnsi" w:hAnsiTheme="majorHAnsi" w:cstheme="majorHAnsi"/>
          <w:b/>
          <w:color w:val="000000"/>
          <w:lang w:eastAsia="lt-LT"/>
        </w:rPr>
      </w:pPr>
      <w:r w:rsidRPr="008373B7">
        <w:rPr>
          <w:rFonts w:asciiTheme="majorHAnsi" w:hAnsiTheme="majorHAnsi" w:cstheme="majorHAnsi"/>
          <w:b/>
          <w:color w:val="000000"/>
          <w:lang w:eastAsia="lt-LT"/>
        </w:rPr>
        <w:t xml:space="preserve">2. Suprantu, </w:t>
      </w:r>
      <w:r w:rsidRPr="008373B7">
        <w:rPr>
          <w:rFonts w:asciiTheme="majorHAnsi" w:hAnsiTheme="majorHAnsi" w:cstheme="majorHAnsi"/>
          <w:color w:val="000000"/>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1CA9AE13" w14:textId="77777777" w:rsidR="00A64337" w:rsidRPr="008373B7" w:rsidRDefault="00A64337" w:rsidP="00A64337">
      <w:pPr>
        <w:widowControl w:val="0"/>
        <w:suppressAutoHyphens/>
        <w:ind w:firstLine="709"/>
        <w:jc w:val="both"/>
        <w:rPr>
          <w:rFonts w:asciiTheme="majorHAnsi" w:hAnsiTheme="majorHAnsi" w:cstheme="majorHAnsi"/>
          <w:b/>
          <w:color w:val="000000"/>
          <w:lang w:eastAsia="lt-LT"/>
        </w:rPr>
      </w:pPr>
      <w:r w:rsidRPr="008373B7">
        <w:rPr>
          <w:rFonts w:asciiTheme="majorHAnsi" w:hAnsiTheme="majorHAnsi" w:cstheme="majorHAnsi"/>
          <w:b/>
          <w:color w:val="000000"/>
          <w:lang w:eastAsia="lt-LT"/>
        </w:rPr>
        <w:t>3. Esu įspėtas (-a), kad:</w:t>
      </w:r>
    </w:p>
    <w:p w14:paraId="3487DBC8" w14:textId="77777777" w:rsidR="00A64337" w:rsidRPr="008373B7" w:rsidRDefault="00A64337" w:rsidP="00A64337">
      <w:pPr>
        <w:widowControl w:val="0"/>
        <w:suppressAutoHyphens/>
        <w:ind w:firstLine="709"/>
        <w:jc w:val="both"/>
        <w:rPr>
          <w:rFonts w:asciiTheme="majorHAnsi" w:hAnsiTheme="majorHAnsi" w:cstheme="majorHAnsi"/>
          <w:color w:val="000000"/>
          <w:lang w:eastAsia="lt-LT"/>
        </w:rPr>
      </w:pPr>
      <w:r w:rsidRPr="008373B7">
        <w:rPr>
          <w:rFonts w:asciiTheme="majorHAnsi" w:hAnsiTheme="majorHAnsi" w:cstheme="majorHAnsi"/>
          <w:color w:val="000000"/>
          <w:lang w:eastAsia="lt-LT"/>
        </w:rPr>
        <w:t>3.1. šis pasižadėjimas galios neterminuotą laiką;</w:t>
      </w:r>
    </w:p>
    <w:p w14:paraId="5B074911" w14:textId="77777777" w:rsidR="00A64337" w:rsidRPr="008373B7" w:rsidRDefault="00A64337" w:rsidP="00A64337">
      <w:pPr>
        <w:widowControl w:val="0"/>
        <w:suppressAutoHyphens/>
        <w:ind w:firstLine="709"/>
        <w:jc w:val="both"/>
        <w:rPr>
          <w:rFonts w:asciiTheme="majorHAnsi" w:hAnsiTheme="majorHAnsi" w:cstheme="majorHAnsi"/>
          <w:color w:val="000000"/>
          <w:lang w:eastAsia="lt-LT"/>
        </w:rPr>
      </w:pPr>
      <w:r w:rsidRPr="008373B7">
        <w:rPr>
          <w:rFonts w:asciiTheme="majorHAnsi" w:hAnsiTheme="majorHAnsi" w:cstheme="majorHAnsi"/>
          <w:color w:val="000000"/>
          <w:lang w:eastAsia="lt-LT"/>
        </w:rPr>
        <w:t xml:space="preserve">3.2. su Sutartimi ir jos vykdymu susijusią informaciją, kuri man taps žinoma, bei dokumentus galėsiu </w:t>
      </w:r>
      <w:r w:rsidRPr="008373B7">
        <w:rPr>
          <w:rFonts w:asciiTheme="majorHAnsi" w:hAnsiTheme="majorHAnsi" w:cstheme="majorHAnsi"/>
          <w:color w:val="000000"/>
          <w:lang w:eastAsia="lt-LT"/>
        </w:rPr>
        <w:lastRenderedPageBreak/>
        <w:t>atskleisti tik Lietuvos Respublikos įstatymų nustatytais atvejais;</w:t>
      </w:r>
    </w:p>
    <w:p w14:paraId="418B00F8" w14:textId="77777777" w:rsidR="00A64337" w:rsidRDefault="00A64337" w:rsidP="00A64337">
      <w:pPr>
        <w:ind w:firstLine="709"/>
        <w:jc w:val="both"/>
        <w:rPr>
          <w:rFonts w:asciiTheme="majorHAnsi" w:hAnsiTheme="majorHAnsi" w:cstheme="majorHAnsi"/>
          <w:color w:val="000000"/>
          <w:lang w:eastAsia="lt-LT"/>
        </w:rPr>
      </w:pPr>
      <w:r w:rsidRPr="008373B7">
        <w:rPr>
          <w:rFonts w:asciiTheme="majorHAnsi" w:hAnsiTheme="majorHAnsi" w:cstheme="majorHAnsi"/>
          <w:color w:val="000000"/>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5022BE17" w14:textId="1C75A309" w:rsidR="00A64337" w:rsidRPr="008373B7" w:rsidRDefault="00A64337" w:rsidP="00A64337">
      <w:pPr>
        <w:jc w:val="both"/>
        <w:rPr>
          <w:rFonts w:asciiTheme="majorHAnsi" w:hAnsiTheme="majorHAnsi" w:cstheme="majorHAnsi"/>
        </w:rPr>
      </w:pPr>
      <w:r w:rsidRPr="008373B7">
        <w:rPr>
          <w:rFonts w:asciiTheme="majorHAnsi" w:hAnsiTheme="majorHAnsi" w:cstheme="majorHAnsi"/>
        </w:rPr>
        <w:t>__________________________</w:t>
      </w:r>
      <w:r w:rsidRPr="008373B7">
        <w:rPr>
          <w:rFonts w:asciiTheme="majorHAnsi" w:hAnsiTheme="majorHAnsi" w:cstheme="majorHAnsi"/>
        </w:rPr>
        <w:tab/>
      </w:r>
      <w:r w:rsidRPr="008373B7">
        <w:rPr>
          <w:rFonts w:asciiTheme="majorHAnsi" w:hAnsiTheme="majorHAnsi" w:cstheme="majorHAnsi"/>
        </w:rPr>
        <w:tab/>
        <w:t>_______________________________________</w:t>
      </w:r>
    </w:p>
    <w:p w14:paraId="47E94BF3" w14:textId="79D65BE1" w:rsidR="00A55AE1" w:rsidRPr="008373B7" w:rsidRDefault="00A64337" w:rsidP="000F544F">
      <w:pPr>
        <w:ind w:firstLine="1296"/>
        <w:jc w:val="both"/>
        <w:rPr>
          <w:rFonts w:asciiTheme="majorHAnsi" w:hAnsiTheme="majorHAnsi" w:cstheme="majorHAnsi"/>
        </w:rPr>
      </w:pPr>
      <w:r w:rsidRPr="008373B7">
        <w:rPr>
          <w:rFonts w:asciiTheme="majorHAnsi" w:hAnsiTheme="majorHAnsi" w:cstheme="majorHAnsi"/>
        </w:rPr>
        <w:t>(parašas)</w:t>
      </w:r>
      <w:r w:rsidRPr="008373B7">
        <w:rPr>
          <w:rFonts w:asciiTheme="majorHAnsi" w:hAnsiTheme="majorHAnsi" w:cstheme="majorHAnsi"/>
        </w:rPr>
        <w:tab/>
      </w:r>
      <w:r w:rsidRPr="008373B7">
        <w:rPr>
          <w:rFonts w:asciiTheme="majorHAnsi" w:hAnsiTheme="majorHAnsi" w:cstheme="majorHAnsi"/>
        </w:rPr>
        <w:tab/>
      </w:r>
      <w:r w:rsidRPr="008373B7">
        <w:rPr>
          <w:rFonts w:asciiTheme="majorHAnsi" w:hAnsiTheme="majorHAnsi" w:cstheme="majorHAnsi"/>
        </w:rPr>
        <w:tab/>
      </w:r>
      <w:r w:rsidRPr="008373B7">
        <w:rPr>
          <w:rFonts w:asciiTheme="majorHAnsi" w:hAnsiTheme="majorHAnsi" w:cstheme="majorHAnsi"/>
        </w:rPr>
        <w:tab/>
        <w:t>(vardas, pavardė)</w:t>
      </w:r>
    </w:p>
    <w:p w14:paraId="5C138344" w14:textId="77777777" w:rsidR="00A55AE1" w:rsidRPr="008373B7" w:rsidRDefault="00A55AE1" w:rsidP="00F05AED">
      <w:pPr>
        <w:widowControl w:val="0"/>
        <w:tabs>
          <w:tab w:val="right" w:leader="underscore" w:pos="9071"/>
        </w:tabs>
        <w:jc w:val="right"/>
        <w:rPr>
          <w:rFonts w:asciiTheme="majorHAnsi" w:hAnsiTheme="majorHAnsi" w:cstheme="majorHAnsi"/>
        </w:rPr>
      </w:pPr>
    </w:p>
    <w:p w14:paraId="739FA74F" w14:textId="77777777" w:rsidR="00A55AE1" w:rsidRPr="008373B7" w:rsidRDefault="00A55AE1" w:rsidP="00F05AED">
      <w:pPr>
        <w:widowControl w:val="0"/>
        <w:tabs>
          <w:tab w:val="right" w:leader="underscore" w:pos="9071"/>
        </w:tabs>
        <w:jc w:val="right"/>
        <w:rPr>
          <w:rFonts w:asciiTheme="majorHAnsi" w:hAnsiTheme="majorHAnsi" w:cstheme="majorHAnsi"/>
        </w:rPr>
      </w:pPr>
    </w:p>
    <w:p w14:paraId="4EE27936" w14:textId="77777777" w:rsidR="00A55AE1" w:rsidRPr="008373B7" w:rsidRDefault="00A55AE1" w:rsidP="00F05AED">
      <w:pPr>
        <w:widowControl w:val="0"/>
        <w:tabs>
          <w:tab w:val="right" w:leader="underscore" w:pos="9071"/>
        </w:tabs>
        <w:jc w:val="right"/>
        <w:rPr>
          <w:rFonts w:asciiTheme="majorHAnsi" w:hAnsiTheme="majorHAnsi" w:cstheme="majorHAnsi"/>
        </w:rPr>
      </w:pPr>
    </w:p>
    <w:p w14:paraId="6150DBAA" w14:textId="77777777" w:rsidR="00A55AE1" w:rsidRPr="008373B7" w:rsidRDefault="00A55AE1" w:rsidP="00F05AED">
      <w:pPr>
        <w:widowControl w:val="0"/>
        <w:tabs>
          <w:tab w:val="right" w:leader="underscore" w:pos="9071"/>
        </w:tabs>
        <w:jc w:val="right"/>
        <w:rPr>
          <w:rFonts w:asciiTheme="majorHAnsi" w:hAnsiTheme="majorHAnsi" w:cstheme="majorHAnsi"/>
        </w:rPr>
      </w:pPr>
    </w:p>
    <w:p w14:paraId="7607FACC" w14:textId="77777777" w:rsidR="00A55AE1" w:rsidRPr="008373B7" w:rsidRDefault="00A55AE1" w:rsidP="00F05AED">
      <w:pPr>
        <w:widowControl w:val="0"/>
        <w:tabs>
          <w:tab w:val="right" w:leader="underscore" w:pos="9071"/>
        </w:tabs>
        <w:jc w:val="right"/>
        <w:rPr>
          <w:rFonts w:asciiTheme="majorHAnsi" w:hAnsiTheme="majorHAnsi" w:cstheme="majorHAnsi"/>
        </w:rPr>
      </w:pPr>
    </w:p>
    <w:sectPr w:rsidR="00A55AE1" w:rsidRPr="008373B7" w:rsidSect="000F544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98B9F" w14:textId="77777777" w:rsidR="001C2F8C" w:rsidRDefault="001C2F8C" w:rsidP="00EB06C1">
      <w:r>
        <w:separator/>
      </w:r>
    </w:p>
  </w:endnote>
  <w:endnote w:type="continuationSeparator" w:id="0">
    <w:p w14:paraId="4B6190BF" w14:textId="77777777" w:rsidR="001C2F8C" w:rsidRDefault="001C2F8C" w:rsidP="00EB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Verdana-Bold">
    <w:altName w:val="Arial"/>
    <w:charset w:val="00"/>
    <w:family w:val="swiss"/>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DC5F4" w14:textId="77777777" w:rsidR="001C2F8C" w:rsidRDefault="001C2F8C" w:rsidP="00EB06C1">
      <w:r>
        <w:separator/>
      </w:r>
    </w:p>
  </w:footnote>
  <w:footnote w:type="continuationSeparator" w:id="0">
    <w:p w14:paraId="75817BD3" w14:textId="77777777" w:rsidR="001C2F8C" w:rsidRDefault="001C2F8C" w:rsidP="00EB0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4F80548"/>
    <w:multiLevelType w:val="multilevel"/>
    <w:tmpl w:val="9F0C0D6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05B96"/>
    <w:multiLevelType w:val="hybridMultilevel"/>
    <w:tmpl w:val="CFC2D4AE"/>
    <w:lvl w:ilvl="0" w:tplc="ABA42CE6">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CD4F52"/>
    <w:multiLevelType w:val="multilevel"/>
    <w:tmpl w:val="03426404"/>
    <w:lvl w:ilvl="0">
      <w:start w:val="1"/>
      <w:numFmt w:val="decimal"/>
      <w:lvlText w:val="%1."/>
      <w:lvlJc w:val="left"/>
      <w:pPr>
        <w:ind w:left="2935" w:hanging="360"/>
      </w:pPr>
      <w:rPr>
        <w:rFonts w:hint="default"/>
        <w:b w:val="0"/>
        <w:i w:val="0"/>
      </w:rPr>
    </w:lvl>
    <w:lvl w:ilvl="1">
      <w:start w:val="1"/>
      <w:numFmt w:val="decimal"/>
      <w:isLgl/>
      <w:lvlText w:val="%1.%2."/>
      <w:lvlJc w:val="left"/>
      <w:pPr>
        <w:ind w:left="3077" w:hanging="360"/>
      </w:pPr>
      <w:rPr>
        <w:rFonts w:ascii="Times New Roman" w:hAnsi="Times New Roman" w:cs="Times New Roman" w:hint="default"/>
        <w:i w:val="0"/>
        <w:sz w:val="24"/>
        <w:szCs w:val="24"/>
      </w:rPr>
    </w:lvl>
    <w:lvl w:ilvl="2">
      <w:start w:val="1"/>
      <w:numFmt w:val="decimal"/>
      <w:isLgl/>
      <w:lvlText w:val="%1.%2.%3."/>
      <w:lvlJc w:val="left"/>
      <w:pPr>
        <w:ind w:left="3153" w:hanging="720"/>
      </w:pPr>
      <w:rPr>
        <w:rFonts w:hint="default"/>
        <w:sz w:val="24"/>
      </w:rPr>
    </w:lvl>
    <w:lvl w:ilvl="3">
      <w:start w:val="1"/>
      <w:numFmt w:val="decimal"/>
      <w:isLgl/>
      <w:lvlText w:val="%1.%2.%3.%4."/>
      <w:lvlJc w:val="left"/>
      <w:pPr>
        <w:ind w:left="280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524" w:hanging="1440"/>
      </w:pPr>
      <w:rPr>
        <w:rFonts w:hint="default"/>
      </w:rPr>
    </w:lvl>
    <w:lvl w:ilvl="7">
      <w:start w:val="1"/>
      <w:numFmt w:val="decimal"/>
      <w:isLgl/>
      <w:lvlText w:val="%1.%2.%3.%4.%5.%6.%7.%8."/>
      <w:lvlJc w:val="left"/>
      <w:pPr>
        <w:ind w:left="3524" w:hanging="1440"/>
      </w:pPr>
      <w:rPr>
        <w:rFonts w:hint="default"/>
      </w:rPr>
    </w:lvl>
    <w:lvl w:ilvl="8">
      <w:start w:val="1"/>
      <w:numFmt w:val="decimal"/>
      <w:isLgl/>
      <w:lvlText w:val="%1.%2.%3.%4.%5.%6.%7.%8.%9."/>
      <w:lvlJc w:val="left"/>
      <w:pPr>
        <w:ind w:left="3884" w:hanging="1800"/>
      </w:pPr>
      <w:rPr>
        <w:rFonts w:hint="default"/>
      </w:rPr>
    </w:lvl>
  </w:abstractNum>
  <w:abstractNum w:abstractNumId="5" w15:restartNumberingAfterBreak="0">
    <w:nsid w:val="4CB5718B"/>
    <w:multiLevelType w:val="hybridMultilevel"/>
    <w:tmpl w:val="E8465EB0"/>
    <w:lvl w:ilvl="0" w:tplc="20FA9E7A">
      <w:start w:val="1"/>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D8D5F69"/>
    <w:multiLevelType w:val="hybridMultilevel"/>
    <w:tmpl w:val="AB86D1F6"/>
    <w:lvl w:ilvl="0" w:tplc="45F8943E">
      <w:start w:val="4"/>
      <w:numFmt w:val="decimal"/>
      <w:lvlText w:val="%1."/>
      <w:lvlJc w:val="left"/>
      <w:pPr>
        <w:ind w:left="1080" w:hanging="360"/>
      </w:pPr>
      <w:rPr>
        <w:rFonts w:eastAsia="Times New Roman"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5"/>
  </w:num>
  <w:num w:numId="5">
    <w:abstractNumId w:val="2"/>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E59"/>
    <w:rsid w:val="000A68BF"/>
    <w:rsid w:val="000F544F"/>
    <w:rsid w:val="00121507"/>
    <w:rsid w:val="001321A7"/>
    <w:rsid w:val="001934A7"/>
    <w:rsid w:val="00196F71"/>
    <w:rsid w:val="001C2F8C"/>
    <w:rsid w:val="001F7BA0"/>
    <w:rsid w:val="00214865"/>
    <w:rsid w:val="00215773"/>
    <w:rsid w:val="00241EAB"/>
    <w:rsid w:val="00311B38"/>
    <w:rsid w:val="003151C6"/>
    <w:rsid w:val="003214CB"/>
    <w:rsid w:val="0032405B"/>
    <w:rsid w:val="00336BD2"/>
    <w:rsid w:val="003C5ECB"/>
    <w:rsid w:val="00423918"/>
    <w:rsid w:val="00492330"/>
    <w:rsid w:val="004A69B5"/>
    <w:rsid w:val="00573D9C"/>
    <w:rsid w:val="00591AC1"/>
    <w:rsid w:val="005F02D2"/>
    <w:rsid w:val="00607EB6"/>
    <w:rsid w:val="0062780B"/>
    <w:rsid w:val="006452B3"/>
    <w:rsid w:val="006B17A0"/>
    <w:rsid w:val="00794499"/>
    <w:rsid w:val="007B55D4"/>
    <w:rsid w:val="007C4D0F"/>
    <w:rsid w:val="00826433"/>
    <w:rsid w:val="008373B7"/>
    <w:rsid w:val="00872AC1"/>
    <w:rsid w:val="008F73D0"/>
    <w:rsid w:val="00945D4A"/>
    <w:rsid w:val="009A3E25"/>
    <w:rsid w:val="009A56A0"/>
    <w:rsid w:val="009B47FF"/>
    <w:rsid w:val="00A21E94"/>
    <w:rsid w:val="00A33218"/>
    <w:rsid w:val="00A4125D"/>
    <w:rsid w:val="00A55AE1"/>
    <w:rsid w:val="00A64337"/>
    <w:rsid w:val="00A81B5A"/>
    <w:rsid w:val="00A9590D"/>
    <w:rsid w:val="00AA150C"/>
    <w:rsid w:val="00AB42C5"/>
    <w:rsid w:val="00AC201B"/>
    <w:rsid w:val="00AD5C0F"/>
    <w:rsid w:val="00B46A6F"/>
    <w:rsid w:val="00B70B7B"/>
    <w:rsid w:val="00C36E59"/>
    <w:rsid w:val="00C632DF"/>
    <w:rsid w:val="00CC4545"/>
    <w:rsid w:val="00D210FA"/>
    <w:rsid w:val="00D24783"/>
    <w:rsid w:val="00D84AE3"/>
    <w:rsid w:val="00DB7F77"/>
    <w:rsid w:val="00DE264A"/>
    <w:rsid w:val="00E167A3"/>
    <w:rsid w:val="00E24F8F"/>
    <w:rsid w:val="00E31C17"/>
    <w:rsid w:val="00E455DA"/>
    <w:rsid w:val="00E83524"/>
    <w:rsid w:val="00EB06C1"/>
    <w:rsid w:val="00EB2D25"/>
    <w:rsid w:val="00ED274B"/>
    <w:rsid w:val="00EF0178"/>
    <w:rsid w:val="00F05AED"/>
    <w:rsid w:val="00F2541E"/>
    <w:rsid w:val="00FC1D5A"/>
    <w:rsid w:val="00FF7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99D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6E59"/>
    <w:pPr>
      <w:spacing w:after="0" w:line="240" w:lineRule="auto"/>
    </w:pPr>
    <w:rPr>
      <w:rFonts w:ascii="Calibri" w:hAnsi="Calibri" w:cs="Times New Roman"/>
    </w:rPr>
  </w:style>
  <w:style w:type="paragraph" w:styleId="Antrat1">
    <w:name w:val="heading 1"/>
    <w:basedOn w:val="prastasis"/>
    <w:next w:val="prastasis"/>
    <w:link w:val="Antrat1Diagrama"/>
    <w:qFormat/>
    <w:rsid w:val="00F05AED"/>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B46A6F"/>
    <w:pPr>
      <w:ind w:left="720"/>
      <w:contextualSpacing/>
    </w:pPr>
    <w:rPr>
      <w:rFonts w:ascii="Times New Roman" w:eastAsia="Times New Roman" w:hAnsi="Times New Roman"/>
      <w:sz w:val="24"/>
      <w:szCs w:val="24"/>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B46A6F"/>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B46A6F"/>
  </w:style>
  <w:style w:type="character" w:styleId="Emfaz">
    <w:name w:val="Emphasis"/>
    <w:uiPriority w:val="20"/>
    <w:qFormat/>
    <w:rsid w:val="00B46A6F"/>
    <w:rPr>
      <w:rFonts w:cs="Times New Roman"/>
      <w:i/>
    </w:rPr>
  </w:style>
  <w:style w:type="paragraph" w:styleId="Betarp">
    <w:name w:val="No Spacing"/>
    <w:uiPriority w:val="1"/>
    <w:qFormat/>
    <w:rsid w:val="00FC1D5A"/>
    <w:pPr>
      <w:spacing w:after="0" w:line="240" w:lineRule="auto"/>
    </w:pPr>
  </w:style>
  <w:style w:type="table" w:styleId="Lentelstinklelis">
    <w:name w:val="Table Grid"/>
    <w:basedOn w:val="prastojilentel"/>
    <w:uiPriority w:val="39"/>
    <w:rsid w:val="00F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591AC1"/>
    <w:pPr>
      <w:spacing w:before="100" w:beforeAutospacing="1" w:after="100" w:afterAutospacing="1"/>
    </w:pPr>
    <w:rPr>
      <w:rFonts w:ascii="Arial" w:eastAsia="Times New Roman" w:hAnsi="Arial" w:cs="Arial"/>
      <w:sz w:val="24"/>
      <w:szCs w:val="24"/>
      <w:lang w:val="en-US"/>
    </w:rPr>
  </w:style>
  <w:style w:type="paragraph" w:customStyle="1" w:styleId="prastasis1">
    <w:name w:val="Įprastasis1"/>
    <w:rsid w:val="00591AC1"/>
    <w:pPr>
      <w:widowControl w:val="0"/>
      <w:suppressAutoHyphens/>
      <w:autoSpaceDE w:val="0"/>
      <w:autoSpaceDN w:val="0"/>
      <w:spacing w:after="0" w:line="240" w:lineRule="auto"/>
    </w:pPr>
    <w:rPr>
      <w:rFonts w:ascii="Arial" w:eastAsia="Times New Roman" w:hAnsi="Arial" w:cs="Arial"/>
      <w:sz w:val="20"/>
      <w:szCs w:val="20"/>
      <w:lang w:val="en-US"/>
    </w:rPr>
  </w:style>
  <w:style w:type="table" w:customStyle="1" w:styleId="TableNormal1">
    <w:name w:val="Table Normal1"/>
    <w:uiPriority w:val="99"/>
    <w:semiHidden/>
    <w:rsid w:val="00591AC1"/>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paragraph" w:customStyle="1" w:styleId="Pagrindinistekstas1">
    <w:name w:val="Pagrindinis tekstas1"/>
    <w:uiPriority w:val="99"/>
    <w:rsid w:val="00E31C17"/>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character" w:customStyle="1" w:styleId="Antrat1Diagrama">
    <w:name w:val="Antraštė 1 Diagrama"/>
    <w:basedOn w:val="Numatytasispastraiposriftas"/>
    <w:link w:val="Antrat1"/>
    <w:rsid w:val="00F05AED"/>
    <w:rPr>
      <w:rFonts w:asciiTheme="majorHAnsi" w:eastAsiaTheme="majorEastAsia" w:hAnsiTheme="majorHAnsi" w:cstheme="majorBidi"/>
      <w:b/>
      <w:bCs/>
      <w:caps/>
      <w:spacing w:val="4"/>
      <w:sz w:val="28"/>
      <w:szCs w:val="28"/>
      <w:lang w:val="en-US"/>
    </w:r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F05AED"/>
    <w:rPr>
      <w:sz w:val="24"/>
      <w:szCs w:val="24"/>
      <w:lang w:val="en-US" w:bidi="en-US"/>
    </w:rPr>
  </w:style>
  <w:style w:type="character" w:styleId="Komentaronuoroda">
    <w:name w:val="annotation reference"/>
    <w:basedOn w:val="Numatytasispastraiposriftas"/>
    <w:uiPriority w:val="99"/>
    <w:semiHidden/>
    <w:unhideWhenUsed/>
    <w:rsid w:val="009B47FF"/>
    <w:rPr>
      <w:sz w:val="16"/>
      <w:szCs w:val="16"/>
    </w:rPr>
  </w:style>
  <w:style w:type="paragraph" w:styleId="Komentarotekstas">
    <w:name w:val="annotation text"/>
    <w:basedOn w:val="prastasis"/>
    <w:link w:val="KomentarotekstasDiagrama"/>
    <w:uiPriority w:val="99"/>
    <w:semiHidden/>
    <w:unhideWhenUsed/>
    <w:rsid w:val="009B47FF"/>
    <w:rPr>
      <w:sz w:val="20"/>
      <w:szCs w:val="20"/>
    </w:rPr>
  </w:style>
  <w:style w:type="character" w:customStyle="1" w:styleId="KomentarotekstasDiagrama">
    <w:name w:val="Komentaro tekstas Diagrama"/>
    <w:basedOn w:val="Numatytasispastraiposriftas"/>
    <w:link w:val="Komentarotekstas"/>
    <w:uiPriority w:val="99"/>
    <w:semiHidden/>
    <w:rsid w:val="009B47FF"/>
    <w:rPr>
      <w:rFonts w:ascii="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9B47FF"/>
    <w:rPr>
      <w:b/>
      <w:bCs/>
    </w:rPr>
  </w:style>
  <w:style w:type="character" w:customStyle="1" w:styleId="KomentarotemaDiagrama">
    <w:name w:val="Komentaro tema Diagrama"/>
    <w:basedOn w:val="KomentarotekstasDiagrama"/>
    <w:link w:val="Komentarotema"/>
    <w:uiPriority w:val="99"/>
    <w:semiHidden/>
    <w:rsid w:val="009B47FF"/>
    <w:rPr>
      <w:rFonts w:ascii="Calibri" w:hAnsi="Calibri" w:cs="Times New Roman"/>
      <w:b/>
      <w:bCs/>
      <w:sz w:val="20"/>
      <w:szCs w:val="20"/>
    </w:rPr>
  </w:style>
  <w:style w:type="paragraph" w:styleId="Debesliotekstas">
    <w:name w:val="Balloon Text"/>
    <w:basedOn w:val="prastasis"/>
    <w:link w:val="DebesliotekstasDiagrama"/>
    <w:uiPriority w:val="99"/>
    <w:semiHidden/>
    <w:unhideWhenUsed/>
    <w:rsid w:val="009B47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47FF"/>
    <w:rPr>
      <w:rFonts w:ascii="Segoe UI" w:hAnsi="Segoe UI" w:cs="Segoe UI"/>
      <w:sz w:val="18"/>
      <w:szCs w:val="18"/>
    </w:rPr>
  </w:style>
  <w:style w:type="paragraph" w:styleId="Pataisymai">
    <w:name w:val="Revision"/>
    <w:hidden/>
    <w:uiPriority w:val="99"/>
    <w:semiHidden/>
    <w:rsid w:val="00DB7F77"/>
    <w:pPr>
      <w:spacing w:after="0" w:line="240" w:lineRule="auto"/>
    </w:pPr>
    <w:rPr>
      <w:rFonts w:ascii="Calibri" w:hAnsi="Calibri" w:cs="Times New Roman"/>
    </w:rPr>
  </w:style>
  <w:style w:type="paragraph" w:styleId="Antrats">
    <w:name w:val="header"/>
    <w:basedOn w:val="prastasis"/>
    <w:link w:val="AntratsDiagrama"/>
    <w:uiPriority w:val="99"/>
    <w:unhideWhenUsed/>
    <w:rsid w:val="00EB06C1"/>
    <w:pPr>
      <w:tabs>
        <w:tab w:val="center" w:pos="4513"/>
        <w:tab w:val="right" w:pos="9026"/>
      </w:tabs>
    </w:pPr>
  </w:style>
  <w:style w:type="character" w:customStyle="1" w:styleId="AntratsDiagrama">
    <w:name w:val="Antraštės Diagrama"/>
    <w:basedOn w:val="Numatytasispastraiposriftas"/>
    <w:link w:val="Antrats"/>
    <w:uiPriority w:val="99"/>
    <w:rsid w:val="00EB06C1"/>
    <w:rPr>
      <w:rFonts w:ascii="Calibri" w:hAnsi="Calibri" w:cs="Times New Roman"/>
    </w:rPr>
  </w:style>
  <w:style w:type="paragraph" w:styleId="Porat">
    <w:name w:val="footer"/>
    <w:basedOn w:val="prastasis"/>
    <w:link w:val="PoratDiagrama"/>
    <w:uiPriority w:val="99"/>
    <w:unhideWhenUsed/>
    <w:rsid w:val="00EB06C1"/>
    <w:pPr>
      <w:tabs>
        <w:tab w:val="center" w:pos="4513"/>
        <w:tab w:val="right" w:pos="9026"/>
      </w:tabs>
    </w:pPr>
  </w:style>
  <w:style w:type="character" w:customStyle="1" w:styleId="PoratDiagrama">
    <w:name w:val="Poraštė Diagrama"/>
    <w:basedOn w:val="Numatytasispastraiposriftas"/>
    <w:link w:val="Porat"/>
    <w:uiPriority w:val="99"/>
    <w:rsid w:val="00EB06C1"/>
    <w:rPr>
      <w:rFonts w:ascii="Calibri" w:hAnsi="Calibri" w:cs="Times New Roman"/>
    </w:rPr>
  </w:style>
  <w:style w:type="character" w:styleId="Hipersaitas">
    <w:name w:val="Hyperlink"/>
    <w:basedOn w:val="Numatytasispastraiposriftas"/>
    <w:uiPriority w:val="99"/>
    <w:unhideWhenUsed/>
    <w:rsid w:val="002148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asseco.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uozas.ceglys@asseco.lt" TargetMode="External"/><Relationship Id="rId4" Type="http://schemas.openxmlformats.org/officeDocument/2006/relationships/webSettings" Target="webSettings.xml"/><Relationship Id="rId9" Type="http://schemas.openxmlformats.org/officeDocument/2006/relationships/hyperlink" Target="mailto:info@asseco.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15121</Words>
  <Characters>8620</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2022-12-16T11:26:00Z</dcterms:created>
  <dcterms:modified xsi:type="dcterms:W3CDTF">2022-12-16T11:26:00Z</dcterms:modified>
</cp:coreProperties>
</file>