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08EE" w:rsidRDefault="0000000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bookmarkStart w:id="0" w:name="_heading=h.gjdgxs" w:colFirst="0" w:colLast="0"/>
      <w:bookmarkEnd w:id="0"/>
      <w:r>
        <w:rPr>
          <w:rFonts w:ascii="Times New Roman" w:eastAsia="Times New Roman" w:hAnsi="Times New Roman" w:cs="Times New Roman"/>
          <w:color w:val="000000"/>
          <w:sz w:val="20"/>
          <w:szCs w:val="20"/>
        </w:rPr>
        <w:t xml:space="preserve">Diagnostikos reagentų su analizatorių nuoma (panauda) pirkimo atviro konkurso (tarptautinis pirkimas) sąlygų </w:t>
      </w:r>
    </w:p>
    <w:p w:rsidR="007C08EE" w:rsidRDefault="0000000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Priedas Nr. 3</w:t>
      </w:r>
    </w:p>
    <w:p w:rsidR="007C08EE" w:rsidRDefault="007C08E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p w:rsidR="007C08EE" w:rsidRDefault="007C08E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p w:rsidR="007C08EE" w:rsidRDefault="00000000">
      <w:pPr>
        <w:ind w:left="0" w:hanging="2"/>
        <w:jc w:val="center"/>
      </w:pPr>
      <w:r>
        <w:rPr>
          <w:rFonts w:ascii="Times New Roman" w:eastAsia="Times New Roman" w:hAnsi="Times New Roman" w:cs="Times New Roman"/>
          <w:b/>
          <w:sz w:val="24"/>
          <w:szCs w:val="24"/>
        </w:rPr>
        <w:t>ANALIZATORIŲ TECHNINĖ SPECIFIKACIJA</w:t>
      </w:r>
    </w:p>
    <w:p w:rsidR="007C08EE" w:rsidRDefault="007C08EE">
      <w:pPr>
        <w:ind w:left="0" w:hanging="2"/>
        <w:jc w:val="center"/>
        <w:rPr>
          <w:rFonts w:ascii="Times New Roman" w:eastAsia="Times New Roman" w:hAnsi="Times New Roman" w:cs="Times New Roman"/>
          <w:sz w:val="24"/>
          <w:szCs w:val="24"/>
        </w:rPr>
      </w:pPr>
    </w:p>
    <w:p w:rsidR="007C08EE" w:rsidRDefault="00000000">
      <w:pPr>
        <w:ind w:left="0" w:hanging="2"/>
        <w:jc w:val="center"/>
      </w:pPr>
      <w:r>
        <w:rPr>
          <w:rFonts w:ascii="Times New Roman" w:eastAsia="Times New Roman" w:hAnsi="Times New Roman" w:cs="Times New Roman"/>
          <w:b/>
          <w:sz w:val="24"/>
          <w:szCs w:val="24"/>
        </w:rPr>
        <w:t>1. PIRKIMO DALIS – AUTOMATINĖS INTEGRUOTOS SISTEMOS, SUDARYTOS IŠ BIOCHEMINIO IR IMUNOLOGINIO ANALIZATORIŲ (1 VNT.) IR BIOCHEMINIO ANALIZATORIAUS (1 VNT.) NUOMA (PANAUDA) IR REAGENTAI BEI PAPILDOMOS PRIEMONĖS DARBUI SU JAIS</w:t>
      </w:r>
    </w:p>
    <w:p w:rsidR="007C08EE" w:rsidRDefault="007C08EE">
      <w:pPr>
        <w:ind w:left="0" w:hanging="2"/>
        <w:jc w:val="center"/>
        <w:rPr>
          <w:rFonts w:ascii="Times New Roman" w:eastAsia="Times New Roman" w:hAnsi="Times New Roman" w:cs="Times New Roman"/>
          <w:sz w:val="24"/>
          <w:szCs w:val="24"/>
        </w:rPr>
      </w:pPr>
    </w:p>
    <w:p w:rsidR="007C08EE" w:rsidRDefault="00000000">
      <w:pPr>
        <w:ind w:left="0" w:hanging="2"/>
        <w:jc w:val="center"/>
      </w:pPr>
      <w:r>
        <w:rPr>
          <w:rFonts w:ascii="Times New Roman" w:eastAsia="Times New Roman" w:hAnsi="Times New Roman" w:cs="Times New Roman"/>
          <w:b/>
          <w:sz w:val="24"/>
          <w:szCs w:val="24"/>
        </w:rPr>
        <w:t xml:space="preserve">1.1. Automatinės integruotos </w:t>
      </w:r>
      <w:r>
        <w:rPr>
          <w:rFonts w:ascii="Times New Roman" w:eastAsia="Times New Roman" w:hAnsi="Times New Roman" w:cs="Times New Roman"/>
          <w:b/>
          <w:color w:val="000000"/>
          <w:sz w:val="24"/>
          <w:szCs w:val="24"/>
        </w:rPr>
        <w:t xml:space="preserve">sistemos, sudarytos iš biocheminio ir imunologinio analizatorių </w:t>
      </w:r>
    </w:p>
    <w:p w:rsidR="007C08EE" w:rsidRDefault="00000000">
      <w:pPr>
        <w:ind w:left="0" w:hanging="2"/>
        <w:jc w:val="center"/>
      </w:pPr>
      <w:r>
        <w:rPr>
          <w:rFonts w:ascii="Times New Roman" w:eastAsia="Times New Roman" w:hAnsi="Times New Roman" w:cs="Times New Roman"/>
          <w:b/>
          <w:sz w:val="24"/>
          <w:szCs w:val="24"/>
        </w:rPr>
        <w:t xml:space="preserve"> nuomai (panaudai) techninė specifikacija – 1 vnt.</w:t>
      </w:r>
    </w:p>
    <w:p w:rsidR="007C08EE" w:rsidRDefault="00000000">
      <w:pPr>
        <w:ind w:left="0" w:hanging="2"/>
        <w:jc w:val="center"/>
      </w:pPr>
      <w:r>
        <w:rPr>
          <w:rFonts w:ascii="Times New Roman" w:eastAsia="Times New Roman" w:hAnsi="Times New Roman" w:cs="Times New Roman"/>
          <w:color w:val="000000"/>
          <w:sz w:val="24"/>
          <w:szCs w:val="24"/>
        </w:rPr>
        <w:t>Pristatoma į VšĮ Vilniaus miesto klinikinę ligoninę (Antakalnio g. 57, 10207 Vilnius).</w:t>
      </w:r>
    </w:p>
    <w:p w:rsidR="007C08EE" w:rsidRDefault="007C08EE">
      <w:pPr>
        <w:ind w:left="0" w:hanging="2"/>
        <w:rPr>
          <w:rFonts w:ascii="Times New Roman" w:eastAsia="Times New Roman" w:hAnsi="Times New Roman" w:cs="Times New Roman"/>
          <w:sz w:val="24"/>
          <w:szCs w:val="24"/>
          <w:u w:val="single"/>
        </w:rPr>
      </w:pPr>
    </w:p>
    <w:p w:rsidR="007C08EE" w:rsidRDefault="00000000">
      <w:pPr>
        <w:ind w:left="0" w:hanging="2"/>
      </w:pPr>
      <w:r>
        <w:rPr>
          <w:rFonts w:ascii="Times New Roman" w:eastAsia="Times New Roman" w:hAnsi="Times New Roman" w:cs="Times New Roman"/>
        </w:rPr>
        <w:t xml:space="preserve">Teikėjas privalo pasiūlyti vieną automatinę integruotą sistemą atliekančią visus tyrimų techninės specifikacijos projekte išvardintus tyrimus </w:t>
      </w:r>
    </w:p>
    <w:tbl>
      <w:tblPr>
        <w:tblStyle w:val="a"/>
        <w:tblW w:w="14780" w:type="dxa"/>
        <w:tblLayout w:type="fixed"/>
        <w:tblLook w:val="0000" w:firstRow="0" w:lastRow="0" w:firstColumn="0" w:lastColumn="0" w:noHBand="0" w:noVBand="0"/>
      </w:tblPr>
      <w:tblGrid>
        <w:gridCol w:w="748"/>
        <w:gridCol w:w="2966"/>
        <w:gridCol w:w="11"/>
        <w:gridCol w:w="3646"/>
        <w:gridCol w:w="4536"/>
        <w:gridCol w:w="2873"/>
      </w:tblGrid>
      <w:tr w:rsidR="007C08EE">
        <w:tc>
          <w:tcPr>
            <w:tcW w:w="748"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b/>
                <w:color w:val="000000"/>
                <w:sz w:val="24"/>
                <w:szCs w:val="24"/>
              </w:rPr>
              <w:t xml:space="preserve">Eil. </w:t>
            </w:r>
          </w:p>
          <w:p w:rsidR="007C08EE" w:rsidRDefault="00000000">
            <w:pPr>
              <w:ind w:left="0" w:hanging="2"/>
              <w:jc w:val="center"/>
            </w:pPr>
            <w:r>
              <w:rPr>
                <w:rFonts w:ascii="Times New Roman" w:eastAsia="Times New Roman" w:hAnsi="Times New Roman" w:cs="Times New Roman"/>
                <w:b/>
                <w:color w:val="000000"/>
                <w:sz w:val="24"/>
                <w:szCs w:val="24"/>
              </w:rPr>
              <w:t>Nr.</w:t>
            </w:r>
          </w:p>
        </w:tc>
        <w:tc>
          <w:tcPr>
            <w:tcW w:w="2966"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b/>
                <w:color w:val="000000"/>
                <w:sz w:val="24"/>
                <w:szCs w:val="24"/>
              </w:rPr>
              <w:t>Pavadinimas / techniniai parametrai</w:t>
            </w:r>
          </w:p>
        </w:tc>
        <w:tc>
          <w:tcPr>
            <w:tcW w:w="3657" w:type="dxa"/>
            <w:gridSpan w:val="2"/>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b/>
                <w:color w:val="000000"/>
                <w:sz w:val="24"/>
                <w:szCs w:val="24"/>
              </w:rPr>
              <w:t>Reikalaujami techniniai parametrai</w:t>
            </w:r>
          </w:p>
        </w:tc>
        <w:tc>
          <w:tcPr>
            <w:tcW w:w="4536"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b/>
                <w:sz w:val="24"/>
                <w:szCs w:val="24"/>
              </w:rPr>
              <w:t>Siūlomi techniniai parametrai</w:t>
            </w:r>
          </w:p>
        </w:tc>
        <w:tc>
          <w:tcPr>
            <w:tcW w:w="2873"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jc w:val="center"/>
            </w:pPr>
            <w:r>
              <w:rPr>
                <w:rFonts w:ascii="Times New Roman" w:eastAsia="Times New Roman" w:hAnsi="Times New Roman" w:cs="Times New Roman"/>
                <w:b/>
                <w:sz w:val="24"/>
                <w:szCs w:val="24"/>
              </w:rPr>
              <w:t xml:space="preserve">Reikalavimų atitikimas </w:t>
            </w:r>
          </w:p>
          <w:p w:rsidR="007C08EE" w:rsidRDefault="00000000">
            <w:pPr>
              <w:ind w:left="0" w:hanging="2"/>
              <w:jc w:val="center"/>
            </w:pPr>
            <w:r>
              <w:rPr>
                <w:rFonts w:ascii="Times New Roman" w:eastAsia="Times New Roman" w:hAnsi="Times New Roman" w:cs="Times New Roman"/>
                <w:b/>
                <w:sz w:val="24"/>
                <w:szCs w:val="24"/>
              </w:rPr>
              <w:t>(būtina nurodyti tikslią nuorodą analizatoriaus dokumentacijoje) (dokumentacijoje tiksliai pažymimas techninis parametras)</w:t>
            </w:r>
          </w:p>
        </w:tc>
      </w:tr>
      <w:tr w:rsidR="007C08EE">
        <w:tc>
          <w:tcPr>
            <w:tcW w:w="748"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rPr>
              <w:t>1.</w:t>
            </w:r>
          </w:p>
        </w:tc>
        <w:tc>
          <w:tcPr>
            <w:tcW w:w="2966"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 xml:space="preserve">Analizatorius – 1 vnt. </w:t>
            </w:r>
          </w:p>
        </w:tc>
        <w:tc>
          <w:tcPr>
            <w:tcW w:w="3657" w:type="dxa"/>
            <w:gridSpan w:val="2"/>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Pavadinimas, tipas/modelis, gamintojas</w:t>
            </w:r>
          </w:p>
        </w:tc>
        <w:tc>
          <w:tcPr>
            <w:tcW w:w="4536"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Cobas pro (ISE/c503/e801); Roche; Šveicarija.</w:t>
            </w:r>
          </w:p>
        </w:tc>
        <w:tc>
          <w:tcPr>
            <w:tcW w:w="2873"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Žr. cobas pro vartotojo vadovas LT; 75 psl.; #1.</w:t>
            </w:r>
          </w:p>
        </w:tc>
      </w:tr>
      <w:tr w:rsidR="007C08EE">
        <w:tc>
          <w:tcPr>
            <w:tcW w:w="748"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rPr>
              <w:t>2.</w:t>
            </w:r>
          </w:p>
        </w:tc>
        <w:tc>
          <w:tcPr>
            <w:tcW w:w="2966"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Analizatoriaus paskirtis</w:t>
            </w:r>
          </w:p>
        </w:tc>
        <w:tc>
          <w:tcPr>
            <w:tcW w:w="3657" w:type="dxa"/>
            <w:gridSpan w:val="2"/>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Pilnai automatinė imunologinių ir biocheminių tyrimų integruota sistema/analizatorius.</w:t>
            </w:r>
            <w:r>
              <w:rPr>
                <w:rFonts w:ascii="Times New Roman" w:eastAsia="Times New Roman" w:hAnsi="Times New Roman" w:cs="Times New Roman"/>
                <w:color w:val="000000"/>
              </w:rPr>
              <w:t xml:space="preserve"> Integruota sistema turi būti autonominis analitinis vienetas, turintis vieną įrenginį/ zoną visiems pacientų mėginiams, kalibratoriams ir kontrolėms įdėti/išimti, bei valdomas iš vieno valdymo centro</w:t>
            </w:r>
          </w:p>
        </w:tc>
        <w:tc>
          <w:tcPr>
            <w:tcW w:w="4536"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Siūloma cobas pro (ISE/c503/e801) sistema yra pilnai automatinė imunologinių ir biocheminių tyrimų integruota sistema/analizatorius.</w:t>
            </w:r>
            <w:r>
              <w:rPr>
                <w:rFonts w:ascii="Times New Roman" w:eastAsia="Times New Roman" w:hAnsi="Times New Roman" w:cs="Times New Roman"/>
                <w:color w:val="000000"/>
              </w:rPr>
              <w:t xml:space="preserve"> Integruota sistema yra autonominis analitinis vienetas, turintis vieną įrenginį/ zoną visiems pacientų mėginiams, kalibratoriams ir kontrolėms įdėti/išimti, bei valdomas iš vieno valdymo centro.</w:t>
            </w:r>
          </w:p>
        </w:tc>
        <w:tc>
          <w:tcPr>
            <w:tcW w:w="2873"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Žr. cobas pro vartotojo vadovas LT; 75; 107; 109 psl.; #2.</w:t>
            </w:r>
          </w:p>
        </w:tc>
      </w:tr>
      <w:tr w:rsidR="007C08EE">
        <w:tc>
          <w:tcPr>
            <w:tcW w:w="748"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rPr>
              <w:lastRenderedPageBreak/>
              <w:t>3.</w:t>
            </w:r>
          </w:p>
        </w:tc>
        <w:tc>
          <w:tcPr>
            <w:tcW w:w="2966"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Programinė įranga</w:t>
            </w:r>
          </w:p>
        </w:tc>
        <w:tc>
          <w:tcPr>
            <w:tcW w:w="3657" w:type="dxa"/>
            <w:gridSpan w:val="2"/>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Su duomenų, procesų ir kokybės kontrolės valdymu</w:t>
            </w:r>
          </w:p>
        </w:tc>
        <w:tc>
          <w:tcPr>
            <w:tcW w:w="4536"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Siūloma cobas infinity programinė įranga</w:t>
            </w:r>
            <w:r>
              <w:rPr>
                <w:rFonts w:ascii="Times New Roman" w:eastAsia="Times New Roman" w:hAnsi="Times New Roman" w:cs="Times New Roman"/>
                <w:color w:val="000000"/>
              </w:rPr>
              <w:t xml:space="preserve"> su duomenų, procesų ir kokybės kontrolės valdymo funkcijomis.</w:t>
            </w:r>
          </w:p>
        </w:tc>
        <w:tc>
          <w:tcPr>
            <w:tcW w:w="2873"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Žr. cobas infinity vartotojo vadovas LT.</w:t>
            </w:r>
          </w:p>
        </w:tc>
      </w:tr>
      <w:tr w:rsidR="007C08EE">
        <w:tc>
          <w:tcPr>
            <w:tcW w:w="748"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rPr>
              <w:t>4.</w:t>
            </w:r>
          </w:p>
        </w:tc>
        <w:tc>
          <w:tcPr>
            <w:tcW w:w="2966"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Analizatoriaus jungtys</w:t>
            </w:r>
          </w:p>
        </w:tc>
        <w:tc>
          <w:tcPr>
            <w:tcW w:w="3657" w:type="dxa"/>
            <w:gridSpan w:val="2"/>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Būtina, kad analizatorius jungtųsi į informacinį laboratorijos tinklą, duomenų siuntimas į centrinę duomenų bazę</w:t>
            </w:r>
          </w:p>
        </w:tc>
        <w:tc>
          <w:tcPr>
            <w:tcW w:w="4536"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 xml:space="preserve">cobas pro analizatorius jungiasi į informacinį laboratorijos tinklą, yra duomenų siuntimas į centrinę duomenų bazę. </w:t>
            </w:r>
          </w:p>
        </w:tc>
        <w:tc>
          <w:tcPr>
            <w:tcW w:w="2873"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Žr. cobas pro host interface manual.</w:t>
            </w:r>
          </w:p>
        </w:tc>
      </w:tr>
      <w:tr w:rsidR="007C08EE">
        <w:tc>
          <w:tcPr>
            <w:tcW w:w="748"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rPr>
              <w:t>5.</w:t>
            </w:r>
          </w:p>
        </w:tc>
        <w:tc>
          <w:tcPr>
            <w:tcW w:w="2966"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Dvikryptė komunikacija</w:t>
            </w:r>
          </w:p>
        </w:tc>
        <w:tc>
          <w:tcPr>
            <w:tcW w:w="3657" w:type="dxa"/>
            <w:gridSpan w:val="2"/>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Analizatorius privalo turėti dvikryptę komunikaciją standartiniu protokolu (ASTM arba HL7) su ligoninėje įdiegta informacine sistema, su laboratorijoje įdiegta informacine sistema cobas IT Middleware</w:t>
            </w:r>
          </w:p>
        </w:tc>
        <w:tc>
          <w:tcPr>
            <w:tcW w:w="4536"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Analizatorius turi dvikryptę komunikaciją standartiniu protokolu (ASTM arba HL7) su ligoninėje įdiegta informacine sistema, su laboratorijoje įdiegta informacine sistema cobas IT Middleware.</w:t>
            </w:r>
          </w:p>
        </w:tc>
        <w:tc>
          <w:tcPr>
            <w:tcW w:w="2873"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rPr>
                <w:rFonts w:ascii="Times New Roman" w:eastAsia="Times New Roman" w:hAnsi="Times New Roman" w:cs="Times New Roman"/>
              </w:rPr>
            </w:pPr>
            <w:r>
              <w:rPr>
                <w:rFonts w:ascii="Times New Roman" w:eastAsia="Times New Roman" w:hAnsi="Times New Roman" w:cs="Times New Roman"/>
              </w:rPr>
              <w:t>Žr. cobas pro host interface manual.</w:t>
            </w:r>
          </w:p>
        </w:tc>
      </w:tr>
      <w:tr w:rsidR="007C08EE">
        <w:tc>
          <w:tcPr>
            <w:tcW w:w="748"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rPr>
              <w:t>6.</w:t>
            </w:r>
          </w:p>
        </w:tc>
        <w:tc>
          <w:tcPr>
            <w:tcW w:w="2966"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Atitikimas direktyvoms</w:t>
            </w:r>
          </w:p>
        </w:tc>
        <w:tc>
          <w:tcPr>
            <w:tcW w:w="3657" w:type="dxa"/>
            <w:gridSpan w:val="2"/>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Atitiktis in-vitro medicinos diagnostikos prietaisų direktyvai 98/79/EC</w:t>
            </w:r>
          </w:p>
        </w:tc>
        <w:tc>
          <w:tcPr>
            <w:tcW w:w="4536"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cobas pro analizatorius atitinka in-vitro medicinos diagnostikos prietaisų direktyvą 98/79/EC.</w:t>
            </w:r>
          </w:p>
        </w:tc>
        <w:tc>
          <w:tcPr>
            <w:tcW w:w="2873"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Žr. cobas pro vartotojo vadovas LT; 6 psl.; #6.</w:t>
            </w:r>
          </w:p>
        </w:tc>
      </w:tr>
      <w:tr w:rsidR="007C08EE">
        <w:tc>
          <w:tcPr>
            <w:tcW w:w="748"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rPr>
              <w:t>7.</w:t>
            </w:r>
          </w:p>
        </w:tc>
        <w:tc>
          <w:tcPr>
            <w:tcW w:w="2966"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Reikalavimai tyrimų atlikimui</w:t>
            </w:r>
          </w:p>
        </w:tc>
        <w:tc>
          <w:tcPr>
            <w:tcW w:w="3657" w:type="dxa"/>
            <w:gridSpan w:val="2"/>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 xml:space="preserve">Automatinėje imunologinių ir biocheminių tyrimų integruotoje sistemoje/analizatoriuje turi būti atliekami klinikinės chemijos, </w:t>
            </w:r>
            <w:r>
              <w:rPr>
                <w:rFonts w:ascii="Times New Roman" w:eastAsia="Times New Roman" w:hAnsi="Times New Roman" w:cs="Times New Roman"/>
                <w:color w:val="000000"/>
              </w:rPr>
              <w:t>įskaitant elektrolitų,</w:t>
            </w:r>
            <w:r>
              <w:rPr>
                <w:rFonts w:ascii="Times New Roman" w:eastAsia="Times New Roman" w:hAnsi="Times New Roman" w:cs="Times New Roman"/>
              </w:rPr>
              <w:t xml:space="preserve"> ir imunochemijos tyrimai vienu metu. Turi būti galimybė iš vieno mėgintuvėlio nepertraukiamai atlikti klinikinės chemijos ir imunochemijos tyrimus</w:t>
            </w:r>
          </w:p>
        </w:tc>
        <w:tc>
          <w:tcPr>
            <w:tcW w:w="4536"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 xml:space="preserve">Automatinėje imunologinių ir biocheminių tyrimų integruotoje sistemoje/analizatoriuje cobas pro yra atliekami klinikinės chemijos, </w:t>
            </w:r>
            <w:r>
              <w:rPr>
                <w:rFonts w:ascii="Times New Roman" w:eastAsia="Times New Roman" w:hAnsi="Times New Roman" w:cs="Times New Roman"/>
                <w:color w:val="000000"/>
              </w:rPr>
              <w:t>įskaitant elektrolitų,</w:t>
            </w:r>
            <w:r>
              <w:rPr>
                <w:rFonts w:ascii="Times New Roman" w:eastAsia="Times New Roman" w:hAnsi="Times New Roman" w:cs="Times New Roman"/>
              </w:rPr>
              <w:t xml:space="preserve"> ir imunochemijos tyrimai vienu metu. Yra galimybė iš vieno mėgintuvėlio nepertraukiamai atlikti klinikinės chemijos ir imunochemijos tyrimus.</w:t>
            </w:r>
          </w:p>
        </w:tc>
        <w:tc>
          <w:tcPr>
            <w:tcW w:w="2873"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Žr. cobas pro vartotojo vadovas LT; 75; 121 psl.; #7.</w:t>
            </w:r>
          </w:p>
        </w:tc>
      </w:tr>
      <w:tr w:rsidR="007C08EE">
        <w:tc>
          <w:tcPr>
            <w:tcW w:w="748"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rPr>
              <w:t>8.</w:t>
            </w:r>
          </w:p>
        </w:tc>
        <w:tc>
          <w:tcPr>
            <w:tcW w:w="2966"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Reagentai</w:t>
            </w:r>
          </w:p>
        </w:tc>
        <w:tc>
          <w:tcPr>
            <w:tcW w:w="3657" w:type="dxa"/>
            <w:gridSpan w:val="2"/>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Reagentai paruošti naudojimui, išpilstyti į talpyklas</w:t>
            </w:r>
          </w:p>
        </w:tc>
        <w:tc>
          <w:tcPr>
            <w:tcW w:w="4536"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 xml:space="preserve">Reagentai paruošti naudojimui, išpilstyti į talpyklas. </w:t>
            </w:r>
          </w:p>
        </w:tc>
        <w:tc>
          <w:tcPr>
            <w:tcW w:w="2873"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Žr. cobas pro vartotojo vadovas LT; 256;  260 psl.; #8.</w:t>
            </w:r>
          </w:p>
        </w:tc>
      </w:tr>
      <w:tr w:rsidR="007C08EE">
        <w:tc>
          <w:tcPr>
            <w:tcW w:w="748"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rPr>
              <w:t>9.</w:t>
            </w:r>
          </w:p>
        </w:tc>
        <w:tc>
          <w:tcPr>
            <w:tcW w:w="2966"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Reagentų pozicijos analizatoriuje</w:t>
            </w:r>
          </w:p>
        </w:tc>
        <w:tc>
          <w:tcPr>
            <w:tcW w:w="3657" w:type="dxa"/>
            <w:gridSpan w:val="2"/>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color w:val="000000"/>
              </w:rPr>
              <w:t>Ne mažiau 45 imunologinių metodų reagentų pozicijų analizatoriuje ir ne mažiau 60 biocheminių metodų reagentų pozicijų analizatoriuje su temperatūros palaikymo (šaldymo) sistema</w:t>
            </w:r>
          </w:p>
        </w:tc>
        <w:tc>
          <w:tcPr>
            <w:tcW w:w="4536"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color w:val="000000"/>
              </w:rPr>
              <w:t>48 imunologinių metodų reagentų pozicijos analizatoriuje ir 60 biocheminių metodų reagentų pozicijos analizatoriuje su temperatūros palaikymo (šaldymo) sistema.</w:t>
            </w:r>
          </w:p>
        </w:tc>
        <w:tc>
          <w:tcPr>
            <w:tcW w:w="2873"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Žr. cobas pro vartotojo vadovas LT; 256; 260 psl.; #9.</w:t>
            </w:r>
          </w:p>
        </w:tc>
      </w:tr>
      <w:tr w:rsidR="007C08EE">
        <w:tc>
          <w:tcPr>
            <w:tcW w:w="748"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rPr>
              <w:lastRenderedPageBreak/>
              <w:t>10.</w:t>
            </w:r>
          </w:p>
        </w:tc>
        <w:tc>
          <w:tcPr>
            <w:tcW w:w="2966"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Reikalavimai mėginių apdorojimui</w:t>
            </w:r>
          </w:p>
        </w:tc>
        <w:tc>
          <w:tcPr>
            <w:tcW w:w="3657" w:type="dxa"/>
            <w:gridSpan w:val="2"/>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 xml:space="preserve">Galima tirti kraują, serumą, plazmą, šlapimą pirminiuose ir antriniuose mėgintuvėliuose </w:t>
            </w:r>
          </w:p>
        </w:tc>
        <w:tc>
          <w:tcPr>
            <w:tcW w:w="4536"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 xml:space="preserve">Galima tirti kraują, serumą, plazmą, šlapimą pirminiuose ir antriniuose mėgintuvėliuose. </w:t>
            </w:r>
          </w:p>
        </w:tc>
        <w:tc>
          <w:tcPr>
            <w:tcW w:w="2873"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Žr. cobas pro vartotojo vadovas LT; 86; 254; 257; 260 psl.; #10.</w:t>
            </w:r>
          </w:p>
        </w:tc>
      </w:tr>
      <w:tr w:rsidR="007C08EE">
        <w:tc>
          <w:tcPr>
            <w:tcW w:w="748"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rPr>
              <w:t>11.</w:t>
            </w:r>
          </w:p>
        </w:tc>
        <w:tc>
          <w:tcPr>
            <w:tcW w:w="2966"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Skubių tyrimų atlikimo galimybė</w:t>
            </w:r>
          </w:p>
        </w:tc>
        <w:tc>
          <w:tcPr>
            <w:tcW w:w="3657" w:type="dxa"/>
            <w:gridSpan w:val="2"/>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Skubių tyrimų galimybė ir tyrimo atlikimo pirmenybė nestabdant pradėtų procesų</w:t>
            </w:r>
          </w:p>
        </w:tc>
        <w:tc>
          <w:tcPr>
            <w:tcW w:w="4536"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 xml:space="preserve">Skubių tyrimų galimybė ir tyrimo atlikimo pirmenybė nestabdant pradėtų procesų. </w:t>
            </w:r>
          </w:p>
        </w:tc>
        <w:tc>
          <w:tcPr>
            <w:tcW w:w="2873"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Žr. cobas pro vartotojo vadovas LT; 330 psl.; #11.</w:t>
            </w:r>
          </w:p>
        </w:tc>
      </w:tr>
      <w:tr w:rsidR="007C08EE">
        <w:trPr>
          <w:trHeight w:val="1265"/>
        </w:trPr>
        <w:tc>
          <w:tcPr>
            <w:tcW w:w="748"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rPr>
              <w:t>12.</w:t>
            </w:r>
          </w:p>
        </w:tc>
        <w:tc>
          <w:tcPr>
            <w:tcW w:w="2966"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Našumas</w:t>
            </w:r>
          </w:p>
        </w:tc>
        <w:tc>
          <w:tcPr>
            <w:tcW w:w="3657" w:type="dxa"/>
            <w:gridSpan w:val="2"/>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color w:val="000000"/>
              </w:rPr>
              <w:t>Ne mažiau kaip 200 imunologinių tyrimų per valandą</w:t>
            </w:r>
          </w:p>
          <w:p w:rsidR="007C08EE" w:rsidRDefault="00000000">
            <w:pPr>
              <w:ind w:left="0" w:hanging="2"/>
              <w:jc w:val="both"/>
            </w:pPr>
            <w:r>
              <w:rPr>
                <w:rFonts w:ascii="Times New Roman" w:eastAsia="Times New Roman" w:hAnsi="Times New Roman" w:cs="Times New Roman"/>
                <w:color w:val="000000"/>
              </w:rPr>
              <w:t>Ne mažiau kaip 1300 biocheminių (įskaitant K, Na, Cl) tyrimų per valandą</w:t>
            </w:r>
          </w:p>
        </w:tc>
        <w:tc>
          <w:tcPr>
            <w:tcW w:w="4536"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color w:val="000000"/>
              </w:rPr>
              <w:t>300 imunologinių tyrimų per valandą.</w:t>
            </w:r>
          </w:p>
          <w:p w:rsidR="007C08EE" w:rsidRDefault="00000000">
            <w:pPr>
              <w:ind w:left="0" w:hanging="2"/>
              <w:rPr>
                <w:color w:val="FF0000"/>
              </w:rPr>
            </w:pPr>
            <w:r>
              <w:rPr>
                <w:rFonts w:ascii="Times New Roman" w:eastAsia="Times New Roman" w:hAnsi="Times New Roman" w:cs="Times New Roman"/>
                <w:color w:val="000000"/>
              </w:rPr>
              <w:t>1900 biocheminių (įskaitant K, Na, Cl) tyrimų per valandą.</w:t>
            </w:r>
          </w:p>
        </w:tc>
        <w:tc>
          <w:tcPr>
            <w:tcW w:w="2873"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rPr>
                <w:color w:val="FF0000"/>
              </w:rPr>
            </w:pPr>
            <w:r>
              <w:rPr>
                <w:rFonts w:ascii="Times New Roman" w:eastAsia="Times New Roman" w:hAnsi="Times New Roman" w:cs="Times New Roman"/>
              </w:rPr>
              <w:t>Žr. cobas pro vartotojo vadovas LT; 76 psl.; #12.</w:t>
            </w:r>
          </w:p>
        </w:tc>
      </w:tr>
      <w:tr w:rsidR="007C08EE">
        <w:trPr>
          <w:trHeight w:val="514"/>
        </w:trPr>
        <w:tc>
          <w:tcPr>
            <w:tcW w:w="748" w:type="dxa"/>
            <w:tcBorders>
              <w:top w:val="single" w:sz="4" w:space="0" w:color="000000"/>
              <w:left w:val="single" w:sz="4" w:space="0" w:color="000000"/>
              <w:bottom w:val="single" w:sz="4" w:space="0" w:color="000000"/>
            </w:tcBorders>
            <w:vAlign w:val="center"/>
          </w:tcPr>
          <w:p w:rsidR="007C08EE" w:rsidRDefault="00000000">
            <w:pPr>
              <w:ind w:left="0" w:hanging="2"/>
              <w:jc w:val="center"/>
            </w:pPr>
            <w:r>
              <w:rPr>
                <w:rFonts w:ascii="Times New Roman" w:eastAsia="Times New Roman" w:hAnsi="Times New Roman" w:cs="Times New Roman"/>
              </w:rPr>
              <w:t>13</w:t>
            </w:r>
            <w:r>
              <w:t>.</w:t>
            </w:r>
          </w:p>
        </w:tc>
        <w:tc>
          <w:tcPr>
            <w:tcW w:w="2977" w:type="dxa"/>
            <w:gridSpan w:val="2"/>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color w:val="000000"/>
              </w:rPr>
              <w:t>Turi būti nuolatinis reagentų kiekio, pagalbinių tirpalų ir atliekų kiekio sistemoje sekimas. Operatorius turi gauti atitinkamą informaciją/įspėjimą apie besibaigiančius reagentus ir tirpalus.</w:t>
            </w:r>
          </w:p>
        </w:tc>
        <w:tc>
          <w:tcPr>
            <w:tcW w:w="3646"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Būtina</w:t>
            </w:r>
          </w:p>
        </w:tc>
        <w:tc>
          <w:tcPr>
            <w:tcW w:w="4536"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color w:val="000000"/>
              </w:rPr>
              <w:t>Analizatoriuje yra nuolatinis reagentų kiekio, pagalbinių tirpalų ir atliekų kiekio sistemoje sekimas. Operatorius gauna atitinkamą informaciją/įspėjimą apie besibaigiančius reagentus ir tirpalus.</w:t>
            </w:r>
          </w:p>
        </w:tc>
        <w:tc>
          <w:tcPr>
            <w:tcW w:w="2873"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 xml:space="preserve">Žr. cobas pro vartotojo vadovas LT; 185; 268; 756 psl.; #13. </w:t>
            </w:r>
          </w:p>
        </w:tc>
      </w:tr>
      <w:tr w:rsidR="007C08EE">
        <w:trPr>
          <w:trHeight w:val="514"/>
        </w:trPr>
        <w:tc>
          <w:tcPr>
            <w:tcW w:w="748" w:type="dxa"/>
            <w:tcBorders>
              <w:top w:val="single" w:sz="4" w:space="0" w:color="000000"/>
              <w:left w:val="single" w:sz="4" w:space="0" w:color="000000"/>
              <w:bottom w:val="single" w:sz="4" w:space="0" w:color="000000"/>
            </w:tcBorders>
            <w:vAlign w:val="center"/>
          </w:tcPr>
          <w:p w:rsidR="007C08EE" w:rsidRDefault="00000000">
            <w:pPr>
              <w:ind w:left="0" w:hanging="2"/>
              <w:jc w:val="center"/>
            </w:pPr>
            <w:r>
              <w:rPr>
                <w:rFonts w:ascii="Times New Roman" w:eastAsia="Times New Roman" w:hAnsi="Times New Roman" w:cs="Times New Roman"/>
              </w:rPr>
              <w:t>14.</w:t>
            </w:r>
          </w:p>
        </w:tc>
        <w:tc>
          <w:tcPr>
            <w:tcW w:w="2977" w:type="dxa"/>
            <w:gridSpan w:val="2"/>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Galimybė tirti HbA1c iš kraujo (EDTA), be pagalbinio paruošimo</w:t>
            </w:r>
          </w:p>
        </w:tc>
        <w:tc>
          <w:tcPr>
            <w:tcW w:w="3646"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Būtina</w:t>
            </w:r>
          </w:p>
        </w:tc>
        <w:tc>
          <w:tcPr>
            <w:tcW w:w="4536"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Galima tirti HbA1c iš kraujo (EDTA), be pagalbinio paruošimo.</w:t>
            </w:r>
          </w:p>
        </w:tc>
        <w:tc>
          <w:tcPr>
            <w:tcW w:w="2873"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Žr. HbA1c metodinis lapas; 1 psl.; #14.</w:t>
            </w:r>
          </w:p>
        </w:tc>
      </w:tr>
      <w:tr w:rsidR="007C08EE">
        <w:trPr>
          <w:trHeight w:val="514"/>
        </w:trPr>
        <w:tc>
          <w:tcPr>
            <w:tcW w:w="748" w:type="dxa"/>
            <w:tcBorders>
              <w:top w:val="single" w:sz="4" w:space="0" w:color="000000"/>
              <w:left w:val="single" w:sz="4" w:space="0" w:color="000000"/>
              <w:bottom w:val="single" w:sz="4" w:space="0" w:color="000000"/>
            </w:tcBorders>
            <w:vAlign w:val="center"/>
          </w:tcPr>
          <w:p w:rsidR="007C08EE" w:rsidRDefault="00000000">
            <w:pPr>
              <w:ind w:left="0" w:hanging="2"/>
              <w:jc w:val="center"/>
            </w:pPr>
            <w:r>
              <w:rPr>
                <w:rFonts w:ascii="Times New Roman" w:eastAsia="Times New Roman" w:hAnsi="Times New Roman" w:cs="Times New Roman"/>
              </w:rPr>
              <w:t>15.</w:t>
            </w:r>
          </w:p>
        </w:tc>
        <w:tc>
          <w:tcPr>
            <w:tcW w:w="2977" w:type="dxa"/>
            <w:gridSpan w:val="2"/>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Mėginio kiekis iš kurio galima atlikti tyrimą</w:t>
            </w:r>
          </w:p>
        </w:tc>
        <w:tc>
          <w:tcPr>
            <w:tcW w:w="3646"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Ne daugiau kaip 200 µl</w:t>
            </w:r>
          </w:p>
        </w:tc>
        <w:tc>
          <w:tcPr>
            <w:tcW w:w="4536"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Mėginio kiekis naudojamas tyrimo atlikimui 1 – 60 µl.</w:t>
            </w:r>
          </w:p>
        </w:tc>
        <w:tc>
          <w:tcPr>
            <w:tcW w:w="2873"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Žr. cobas pro vartotojo vadovas LT; 254; 257; 260 psl.; #15.</w:t>
            </w:r>
          </w:p>
        </w:tc>
      </w:tr>
      <w:tr w:rsidR="007C08EE">
        <w:trPr>
          <w:trHeight w:val="514"/>
        </w:trPr>
        <w:tc>
          <w:tcPr>
            <w:tcW w:w="748" w:type="dxa"/>
            <w:tcBorders>
              <w:left w:val="single" w:sz="4" w:space="0" w:color="000000"/>
              <w:bottom w:val="single" w:sz="4" w:space="0" w:color="000000"/>
            </w:tcBorders>
            <w:vAlign w:val="center"/>
          </w:tcPr>
          <w:p w:rsidR="007C08EE" w:rsidRDefault="00000000">
            <w:pPr>
              <w:ind w:left="0" w:hanging="2"/>
              <w:jc w:val="center"/>
            </w:pPr>
            <w:r>
              <w:rPr>
                <w:rFonts w:ascii="Times New Roman" w:eastAsia="Times New Roman" w:hAnsi="Times New Roman" w:cs="Times New Roman"/>
              </w:rPr>
              <w:t>16.</w:t>
            </w:r>
          </w:p>
        </w:tc>
        <w:tc>
          <w:tcPr>
            <w:tcW w:w="2977" w:type="dxa"/>
            <w:gridSpan w:val="2"/>
            <w:tcBorders>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Kalio, natrio, chloro tyrimų kalibracijos stabilumas</w:t>
            </w:r>
          </w:p>
        </w:tc>
        <w:tc>
          <w:tcPr>
            <w:tcW w:w="3646" w:type="dxa"/>
            <w:tcBorders>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24 valandos ir daugiau</w:t>
            </w:r>
          </w:p>
        </w:tc>
        <w:tc>
          <w:tcPr>
            <w:tcW w:w="4536" w:type="dxa"/>
            <w:tcBorders>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Kalio, natrio, chloro tyrimų kalibracijos stabilumas 24 valandos.</w:t>
            </w:r>
          </w:p>
        </w:tc>
        <w:tc>
          <w:tcPr>
            <w:tcW w:w="2873" w:type="dxa"/>
            <w:tcBorders>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Žr. Na, K, Cl metodinis lapas; 3 psl.; #16.</w:t>
            </w:r>
          </w:p>
        </w:tc>
      </w:tr>
      <w:tr w:rsidR="007C08EE">
        <w:trPr>
          <w:trHeight w:val="514"/>
        </w:trPr>
        <w:tc>
          <w:tcPr>
            <w:tcW w:w="748" w:type="dxa"/>
            <w:tcBorders>
              <w:top w:val="single" w:sz="4" w:space="0" w:color="000000"/>
              <w:left w:val="single" w:sz="4" w:space="0" w:color="000000"/>
              <w:bottom w:val="single" w:sz="4" w:space="0" w:color="000000"/>
            </w:tcBorders>
            <w:vAlign w:val="center"/>
          </w:tcPr>
          <w:p w:rsidR="007C08EE" w:rsidRDefault="00000000">
            <w:pPr>
              <w:ind w:left="0" w:hanging="2"/>
              <w:jc w:val="center"/>
            </w:pPr>
            <w:r>
              <w:rPr>
                <w:rFonts w:ascii="Times New Roman" w:eastAsia="Times New Roman" w:hAnsi="Times New Roman" w:cs="Times New Roman"/>
              </w:rPr>
              <w:t>17.</w:t>
            </w:r>
          </w:p>
        </w:tc>
        <w:tc>
          <w:tcPr>
            <w:tcW w:w="2977" w:type="dxa"/>
            <w:gridSpan w:val="2"/>
            <w:tcBorders>
              <w:top w:val="single" w:sz="4" w:space="0" w:color="000000"/>
              <w:left w:val="single" w:sz="4" w:space="0" w:color="000000"/>
              <w:bottom w:val="single" w:sz="4" w:space="0" w:color="000000"/>
            </w:tcBorders>
          </w:tcPr>
          <w:p w:rsidR="007C08EE" w:rsidRDefault="00000000">
            <w:pPr>
              <w:ind w:left="0" w:right="-817" w:hanging="2"/>
            </w:pPr>
            <w:r>
              <w:rPr>
                <w:rFonts w:ascii="Times New Roman" w:eastAsia="Times New Roman" w:hAnsi="Times New Roman" w:cs="Times New Roman"/>
                <w:color w:val="000000"/>
              </w:rPr>
              <w:t>Turi būti krešulio, burbulų,</w:t>
            </w:r>
          </w:p>
          <w:p w:rsidR="007C08EE" w:rsidRDefault="00000000">
            <w:pPr>
              <w:ind w:left="0" w:right="-817" w:hanging="2"/>
            </w:pPr>
            <w:r>
              <w:rPr>
                <w:rFonts w:ascii="Times New Roman" w:eastAsia="Times New Roman" w:hAnsi="Times New Roman" w:cs="Times New Roman"/>
                <w:color w:val="000000"/>
              </w:rPr>
              <w:t>nepakankamo mėginio tūrio</w:t>
            </w:r>
          </w:p>
          <w:p w:rsidR="007C08EE" w:rsidRDefault="00000000">
            <w:pPr>
              <w:ind w:left="0" w:right="-817" w:hanging="2"/>
            </w:pPr>
            <w:r>
              <w:rPr>
                <w:rFonts w:ascii="Times New Roman" w:eastAsia="Times New Roman" w:hAnsi="Times New Roman" w:cs="Times New Roman"/>
                <w:color w:val="000000"/>
              </w:rPr>
              <w:t>aptikimo sistema</w:t>
            </w:r>
          </w:p>
          <w:p w:rsidR="007C08EE" w:rsidRDefault="00000000">
            <w:pPr>
              <w:ind w:left="0" w:right="-817" w:hanging="2"/>
            </w:pPr>
            <w:r>
              <w:rPr>
                <w:rFonts w:ascii="Times New Roman" w:eastAsia="Times New Roman" w:hAnsi="Times New Roman" w:cs="Times New Roman"/>
                <w:color w:val="000000"/>
              </w:rPr>
              <w:t>ir turi būti mėginio hemolizės,</w:t>
            </w:r>
          </w:p>
          <w:p w:rsidR="007C08EE" w:rsidRDefault="00000000">
            <w:pPr>
              <w:ind w:left="0" w:right="-817" w:hanging="2"/>
            </w:pPr>
            <w:r>
              <w:rPr>
                <w:rFonts w:ascii="Times New Roman" w:eastAsia="Times New Roman" w:hAnsi="Times New Roman" w:cs="Times New Roman"/>
                <w:color w:val="000000"/>
              </w:rPr>
              <w:t>ikterijos ir lipemijos</w:t>
            </w:r>
          </w:p>
          <w:p w:rsidR="007C08EE" w:rsidRDefault="00000000">
            <w:pPr>
              <w:ind w:left="0" w:right="-817"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pusiau kiekybinio įvertinimo </w:t>
            </w:r>
          </w:p>
          <w:p w:rsidR="007C08EE" w:rsidRDefault="00000000">
            <w:pPr>
              <w:ind w:left="0" w:right="-817" w:hanging="2"/>
            </w:pPr>
            <w:r>
              <w:rPr>
                <w:rFonts w:ascii="Times New Roman" w:eastAsia="Times New Roman" w:hAnsi="Times New Roman" w:cs="Times New Roman"/>
                <w:color w:val="000000"/>
              </w:rPr>
              <w:t>galimybė</w:t>
            </w:r>
          </w:p>
          <w:p w:rsidR="007C08EE" w:rsidRDefault="00000000">
            <w:pPr>
              <w:ind w:left="0" w:right="-817" w:hanging="2"/>
            </w:pPr>
            <w:r>
              <w:rPr>
                <w:rFonts w:ascii="Times New Roman" w:eastAsia="Times New Roman" w:hAnsi="Times New Roman" w:cs="Times New Roman"/>
                <w:color w:val="000000"/>
              </w:rPr>
              <w:t>fotometriniams tyrimams.</w:t>
            </w:r>
          </w:p>
        </w:tc>
        <w:tc>
          <w:tcPr>
            <w:tcW w:w="3646"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Būtina</w:t>
            </w:r>
          </w:p>
        </w:tc>
        <w:tc>
          <w:tcPr>
            <w:tcW w:w="4536" w:type="dxa"/>
            <w:tcBorders>
              <w:top w:val="single" w:sz="4" w:space="0" w:color="000000"/>
              <w:left w:val="single" w:sz="4" w:space="0" w:color="000000"/>
              <w:bottom w:val="single" w:sz="4" w:space="0" w:color="000000"/>
            </w:tcBorders>
          </w:tcPr>
          <w:p w:rsidR="007C08EE" w:rsidRDefault="00000000">
            <w:pPr>
              <w:ind w:left="0" w:right="-817"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Analizatoriuje yra krešulio, burbulų, </w:t>
            </w:r>
          </w:p>
          <w:p w:rsidR="007C08EE" w:rsidRDefault="00000000">
            <w:pPr>
              <w:ind w:left="0" w:right="-817"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nepakankamo mėginio tūrio aptikimo sistema </w:t>
            </w:r>
          </w:p>
          <w:p w:rsidR="007C08EE" w:rsidRDefault="00000000">
            <w:pPr>
              <w:ind w:left="0" w:right="-817"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ir yra mėginio hemolizės, </w:t>
            </w:r>
          </w:p>
          <w:p w:rsidR="007C08EE" w:rsidRDefault="00000000">
            <w:pPr>
              <w:ind w:left="0" w:right="-817" w:hanging="2"/>
              <w:rPr>
                <w:rFonts w:ascii="Times New Roman" w:eastAsia="Times New Roman" w:hAnsi="Times New Roman" w:cs="Times New Roman"/>
                <w:color w:val="000000"/>
              </w:rPr>
            </w:pPr>
            <w:r>
              <w:rPr>
                <w:rFonts w:ascii="Times New Roman" w:eastAsia="Times New Roman" w:hAnsi="Times New Roman" w:cs="Times New Roman"/>
                <w:color w:val="000000"/>
              </w:rPr>
              <w:t>ikterijos ir lipemijos pusiau kiekybinio įvertinimo</w:t>
            </w:r>
          </w:p>
          <w:p w:rsidR="007C08EE" w:rsidRDefault="00000000">
            <w:pPr>
              <w:ind w:left="0" w:right="-817" w:hanging="2"/>
              <w:rPr>
                <w:rFonts w:ascii="Times New Roman" w:eastAsia="Times New Roman" w:hAnsi="Times New Roman" w:cs="Times New Roman"/>
                <w:color w:val="000000"/>
              </w:rPr>
            </w:pPr>
            <w:r>
              <w:rPr>
                <w:rFonts w:ascii="Times New Roman" w:eastAsia="Times New Roman" w:hAnsi="Times New Roman" w:cs="Times New Roman"/>
                <w:color w:val="000000"/>
              </w:rPr>
              <w:t>galimybė fotometriniams tyrimams.</w:t>
            </w:r>
          </w:p>
        </w:tc>
        <w:tc>
          <w:tcPr>
            <w:tcW w:w="2873"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rPr>
                <w:rFonts w:ascii="Times New Roman" w:eastAsia="Times New Roman" w:hAnsi="Times New Roman" w:cs="Times New Roman"/>
              </w:rPr>
            </w:pPr>
            <w:r>
              <w:rPr>
                <w:rFonts w:ascii="Times New Roman" w:eastAsia="Times New Roman" w:hAnsi="Times New Roman" w:cs="Times New Roman"/>
              </w:rPr>
              <w:t>Žr. cobas pro vartotojo vadovas LT; 254; 257; 260; 396 psl.; #17.</w:t>
            </w:r>
          </w:p>
          <w:p w:rsidR="007C08EE" w:rsidRDefault="00000000">
            <w:pPr>
              <w:ind w:left="0" w:hanging="2"/>
            </w:pPr>
            <w:r>
              <w:rPr>
                <w:rFonts w:ascii="Times New Roman" w:eastAsia="Times New Roman" w:hAnsi="Times New Roman" w:cs="Times New Roman"/>
              </w:rPr>
              <w:t>Žr. cobas pro serum index metodinis lapas; 1 psl.; #17.</w:t>
            </w:r>
          </w:p>
        </w:tc>
      </w:tr>
      <w:tr w:rsidR="007C08EE">
        <w:trPr>
          <w:trHeight w:val="514"/>
        </w:trPr>
        <w:tc>
          <w:tcPr>
            <w:tcW w:w="748" w:type="dxa"/>
            <w:tcBorders>
              <w:top w:val="single" w:sz="4" w:space="0" w:color="000000"/>
              <w:left w:val="single" w:sz="4" w:space="0" w:color="000000"/>
              <w:bottom w:val="single" w:sz="4" w:space="0" w:color="000000"/>
            </w:tcBorders>
            <w:vAlign w:val="center"/>
          </w:tcPr>
          <w:p w:rsidR="007C08EE" w:rsidRDefault="00000000">
            <w:pPr>
              <w:ind w:left="0" w:hanging="2"/>
              <w:jc w:val="center"/>
            </w:pPr>
            <w:r>
              <w:rPr>
                <w:rFonts w:ascii="Times New Roman" w:eastAsia="Times New Roman" w:hAnsi="Times New Roman" w:cs="Times New Roman"/>
              </w:rPr>
              <w:lastRenderedPageBreak/>
              <w:t>18.</w:t>
            </w:r>
          </w:p>
        </w:tc>
        <w:tc>
          <w:tcPr>
            <w:tcW w:w="2977" w:type="dxa"/>
            <w:gridSpan w:val="2"/>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color w:val="000000"/>
              </w:rPr>
              <w:t>Turi būti mėginių automatinio praskiedimo, automatinio tyrimo pakartojimo galimybė.</w:t>
            </w:r>
          </w:p>
        </w:tc>
        <w:tc>
          <w:tcPr>
            <w:tcW w:w="3646"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color w:val="000000"/>
              </w:rPr>
              <w:t>Būtina</w:t>
            </w:r>
          </w:p>
        </w:tc>
        <w:tc>
          <w:tcPr>
            <w:tcW w:w="4536"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color w:val="000000"/>
              </w:rPr>
              <w:t>Analizatoriuje yra mėginių automatinio praskiedimo, automatinio tyrimo pakartojimo galimybė.</w:t>
            </w:r>
          </w:p>
        </w:tc>
        <w:tc>
          <w:tcPr>
            <w:tcW w:w="2873"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Žr. cobas pro vartotojo vadovas LT; 394; 399; 403 psl.; #18.</w:t>
            </w:r>
          </w:p>
        </w:tc>
      </w:tr>
      <w:tr w:rsidR="007C08EE">
        <w:tc>
          <w:tcPr>
            <w:tcW w:w="748"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rPr>
              <w:t>19.</w:t>
            </w:r>
          </w:p>
        </w:tc>
        <w:tc>
          <w:tcPr>
            <w:tcW w:w="2966"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Mėginių brūkšninių kodų skaitymas</w:t>
            </w:r>
          </w:p>
          <w:p w:rsidR="007C08EE" w:rsidRDefault="00000000">
            <w:pPr>
              <w:ind w:left="0" w:hanging="2"/>
              <w:jc w:val="both"/>
            </w:pPr>
            <w:r>
              <w:rPr>
                <w:rFonts w:ascii="Times New Roman" w:eastAsia="Times New Roman" w:hAnsi="Times New Roman" w:cs="Times New Roman"/>
              </w:rPr>
              <w:t>Integruotas vidinis mėginių brūkšninių kodų skaitymas</w:t>
            </w:r>
          </w:p>
        </w:tc>
        <w:tc>
          <w:tcPr>
            <w:tcW w:w="3657" w:type="dxa"/>
            <w:gridSpan w:val="2"/>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color w:val="000000"/>
              </w:rPr>
              <w:t>Būtina</w:t>
            </w:r>
          </w:p>
        </w:tc>
        <w:tc>
          <w:tcPr>
            <w:tcW w:w="4536"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Mėginių brūkšninių kodų skaitymas.</w:t>
            </w:r>
            <w:r>
              <w:t xml:space="preserve"> </w:t>
            </w:r>
            <w:r>
              <w:rPr>
                <w:rFonts w:ascii="Times New Roman" w:eastAsia="Times New Roman" w:hAnsi="Times New Roman" w:cs="Times New Roman"/>
              </w:rPr>
              <w:t>Integruotas vidinis mėginių brūkšninių kodų skaitymas.</w:t>
            </w:r>
          </w:p>
        </w:tc>
        <w:tc>
          <w:tcPr>
            <w:tcW w:w="2873"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Žr. cobas pro vartotojo vadovas LT; 111 psl.; #19.</w:t>
            </w:r>
            <w:r>
              <w:t xml:space="preserve"> </w:t>
            </w:r>
          </w:p>
        </w:tc>
      </w:tr>
      <w:tr w:rsidR="007C08EE">
        <w:tc>
          <w:tcPr>
            <w:tcW w:w="748"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rPr>
              <w:t>20.</w:t>
            </w:r>
          </w:p>
        </w:tc>
        <w:tc>
          <w:tcPr>
            <w:tcW w:w="2966"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Brūkšninių kodų tipai</w:t>
            </w:r>
          </w:p>
        </w:tc>
        <w:tc>
          <w:tcPr>
            <w:tcW w:w="3657" w:type="dxa"/>
            <w:gridSpan w:val="2"/>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Analizatorius privalo turėti galimybę nuskaityti brūkšninių kodų tipus naudojamus ligoninėje – code 39 arba 128c</w:t>
            </w:r>
          </w:p>
        </w:tc>
        <w:tc>
          <w:tcPr>
            <w:tcW w:w="4536"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 xml:space="preserve">Analizatorius nuskaityto brūkšninių kodų tipus – code 39 arba 128c. </w:t>
            </w:r>
          </w:p>
        </w:tc>
        <w:tc>
          <w:tcPr>
            <w:tcW w:w="2873"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Žr. cobas pro vartotojo vadovas LT; 101 psl.; #20.</w:t>
            </w:r>
          </w:p>
        </w:tc>
      </w:tr>
      <w:tr w:rsidR="007C08EE">
        <w:tc>
          <w:tcPr>
            <w:tcW w:w="748"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rPr>
              <w:t>21.</w:t>
            </w:r>
          </w:p>
        </w:tc>
        <w:tc>
          <w:tcPr>
            <w:tcW w:w="2966"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Vartotojo instrukcija anglų ir lietuvių kalbomis</w:t>
            </w:r>
          </w:p>
        </w:tc>
        <w:tc>
          <w:tcPr>
            <w:tcW w:w="3657" w:type="dxa"/>
            <w:gridSpan w:val="2"/>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Pateikiama su prietaisu</w:t>
            </w:r>
          </w:p>
        </w:tc>
        <w:tc>
          <w:tcPr>
            <w:tcW w:w="4536"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Vartotojo instrukcija anglų ir lietuvių kalbomis.</w:t>
            </w:r>
          </w:p>
        </w:tc>
        <w:tc>
          <w:tcPr>
            <w:tcW w:w="2873"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rPr>
                <w:rFonts w:ascii="Times New Roman" w:eastAsia="Times New Roman" w:hAnsi="Times New Roman" w:cs="Times New Roman"/>
              </w:rPr>
            </w:pPr>
            <w:r>
              <w:rPr>
                <w:rFonts w:ascii="Times New Roman" w:eastAsia="Times New Roman" w:hAnsi="Times New Roman" w:cs="Times New Roman"/>
              </w:rPr>
              <w:t xml:space="preserve">Žr. cobas pro vartotojo vadovas LT. </w:t>
            </w:r>
          </w:p>
          <w:p w:rsidR="007C08EE" w:rsidRDefault="00000000">
            <w:pPr>
              <w:ind w:left="0" w:hanging="2"/>
            </w:pPr>
            <w:r>
              <w:rPr>
                <w:rFonts w:ascii="Times New Roman" w:eastAsia="Times New Roman" w:hAnsi="Times New Roman" w:cs="Times New Roman"/>
              </w:rPr>
              <w:t>Žr. cobas pro vartotojo vadovas EN.</w:t>
            </w:r>
          </w:p>
        </w:tc>
      </w:tr>
    </w:tbl>
    <w:p w:rsidR="007C08EE" w:rsidRDefault="007C08EE">
      <w:pPr>
        <w:ind w:left="0" w:hanging="2"/>
        <w:jc w:val="center"/>
        <w:rPr>
          <w:rFonts w:ascii="Times New Roman" w:eastAsia="Times New Roman" w:hAnsi="Times New Roman" w:cs="Times New Roman"/>
          <w:sz w:val="24"/>
          <w:szCs w:val="24"/>
        </w:rPr>
      </w:pPr>
    </w:p>
    <w:p w:rsidR="007C08EE" w:rsidRDefault="007C08EE">
      <w:pPr>
        <w:ind w:left="0" w:hanging="2"/>
        <w:jc w:val="both"/>
        <w:rPr>
          <w:rFonts w:ascii="Times New Roman" w:eastAsia="Times New Roman" w:hAnsi="Times New Roman" w:cs="Times New Roman"/>
          <w:sz w:val="24"/>
          <w:szCs w:val="24"/>
        </w:rPr>
      </w:pPr>
    </w:p>
    <w:p w:rsidR="007C08EE" w:rsidRDefault="00000000">
      <w:pPr>
        <w:ind w:left="0" w:hanging="2"/>
        <w:jc w:val="center"/>
      </w:pPr>
      <w:r>
        <w:rPr>
          <w:rFonts w:ascii="Times New Roman" w:eastAsia="Times New Roman" w:hAnsi="Times New Roman" w:cs="Times New Roman"/>
          <w:b/>
          <w:sz w:val="24"/>
          <w:szCs w:val="24"/>
        </w:rPr>
        <w:t>1.2. Biocheminio analizatoriaus nuomai (panaudai) techninė specifikacija – 1 vnt.</w:t>
      </w:r>
    </w:p>
    <w:p w:rsidR="007C08EE" w:rsidRDefault="00000000">
      <w:pPr>
        <w:ind w:left="0" w:hanging="2"/>
        <w:jc w:val="center"/>
      </w:pPr>
      <w:r>
        <w:rPr>
          <w:rFonts w:ascii="Times New Roman" w:eastAsia="Times New Roman" w:hAnsi="Times New Roman" w:cs="Times New Roman"/>
          <w:color w:val="000000"/>
          <w:sz w:val="24"/>
          <w:szCs w:val="24"/>
        </w:rPr>
        <w:t>Pristatoma į VšĮ Vilniaus miesto klinikinę ligoninę (Antakalnio g. 124, 10200 Vilnius).</w:t>
      </w:r>
    </w:p>
    <w:p w:rsidR="007C08EE" w:rsidRDefault="007C08EE">
      <w:pPr>
        <w:ind w:left="0" w:hanging="2"/>
        <w:jc w:val="center"/>
        <w:rPr>
          <w:rFonts w:ascii="Times New Roman" w:eastAsia="Times New Roman" w:hAnsi="Times New Roman" w:cs="Times New Roman"/>
          <w:color w:val="000000"/>
          <w:sz w:val="24"/>
          <w:szCs w:val="24"/>
        </w:rPr>
      </w:pPr>
    </w:p>
    <w:p w:rsidR="007C08EE" w:rsidRDefault="00000000">
      <w:pPr>
        <w:ind w:left="0" w:hanging="2"/>
        <w:jc w:val="center"/>
      </w:pPr>
      <w:r>
        <w:rPr>
          <w:rFonts w:ascii="Times New Roman" w:eastAsia="Times New Roman" w:hAnsi="Times New Roman" w:cs="Times New Roman"/>
          <w:color w:val="000000"/>
          <w:sz w:val="24"/>
          <w:szCs w:val="24"/>
        </w:rPr>
        <w:t>Teikėjas privalo pasiūlyti vieną biocheminį analizatorių atliekantį visus tyrimų techninės specifikacijos projekte išvardintus tyrimus</w:t>
      </w:r>
    </w:p>
    <w:tbl>
      <w:tblPr>
        <w:tblStyle w:val="a0"/>
        <w:tblW w:w="14786" w:type="dxa"/>
        <w:tblInd w:w="-108" w:type="dxa"/>
        <w:tblLayout w:type="fixed"/>
        <w:tblLook w:val="0000" w:firstRow="0" w:lastRow="0" w:firstColumn="0" w:lastColumn="0" w:noHBand="0" w:noVBand="0"/>
      </w:tblPr>
      <w:tblGrid>
        <w:gridCol w:w="571"/>
        <w:gridCol w:w="3797"/>
        <w:gridCol w:w="3649"/>
        <w:gridCol w:w="3424"/>
        <w:gridCol w:w="3345"/>
      </w:tblGrid>
      <w:tr w:rsidR="007C08EE">
        <w:tc>
          <w:tcPr>
            <w:tcW w:w="571"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b/>
                <w:color w:val="000000"/>
                <w:sz w:val="24"/>
                <w:szCs w:val="24"/>
              </w:rPr>
              <w:t xml:space="preserve">Eil. </w:t>
            </w:r>
          </w:p>
          <w:p w:rsidR="007C08EE" w:rsidRDefault="00000000">
            <w:pPr>
              <w:ind w:left="0" w:hanging="2"/>
              <w:jc w:val="center"/>
            </w:pPr>
            <w:r>
              <w:rPr>
                <w:rFonts w:ascii="Times New Roman" w:eastAsia="Times New Roman" w:hAnsi="Times New Roman" w:cs="Times New Roman"/>
                <w:b/>
                <w:color w:val="000000"/>
                <w:sz w:val="24"/>
                <w:szCs w:val="24"/>
              </w:rPr>
              <w:t>Nr.</w:t>
            </w:r>
          </w:p>
        </w:tc>
        <w:tc>
          <w:tcPr>
            <w:tcW w:w="3797"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b/>
                <w:color w:val="000000"/>
                <w:sz w:val="24"/>
                <w:szCs w:val="24"/>
              </w:rPr>
              <w:t>Pavadinimas / techniniai parametrai</w:t>
            </w:r>
          </w:p>
        </w:tc>
        <w:tc>
          <w:tcPr>
            <w:tcW w:w="3649"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b/>
                <w:color w:val="000000"/>
                <w:sz w:val="24"/>
                <w:szCs w:val="24"/>
              </w:rPr>
              <w:t>Reikalaujami techniniai parametrai</w:t>
            </w:r>
          </w:p>
        </w:tc>
        <w:tc>
          <w:tcPr>
            <w:tcW w:w="3424"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b/>
                <w:sz w:val="24"/>
                <w:szCs w:val="24"/>
              </w:rPr>
              <w:t>Siūlomi techniniai parametrai</w:t>
            </w:r>
          </w:p>
        </w:tc>
        <w:tc>
          <w:tcPr>
            <w:tcW w:w="3345"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jc w:val="center"/>
            </w:pPr>
            <w:r>
              <w:rPr>
                <w:rFonts w:ascii="Times New Roman" w:eastAsia="Times New Roman" w:hAnsi="Times New Roman" w:cs="Times New Roman"/>
                <w:b/>
                <w:sz w:val="24"/>
                <w:szCs w:val="24"/>
              </w:rPr>
              <w:t xml:space="preserve">Reikalavimų atitikimas </w:t>
            </w:r>
          </w:p>
          <w:p w:rsidR="007C08EE" w:rsidRDefault="00000000">
            <w:pPr>
              <w:ind w:left="0" w:hanging="2"/>
              <w:jc w:val="center"/>
            </w:pPr>
            <w:r>
              <w:rPr>
                <w:rFonts w:ascii="Times New Roman" w:eastAsia="Times New Roman" w:hAnsi="Times New Roman" w:cs="Times New Roman"/>
                <w:b/>
                <w:sz w:val="24"/>
                <w:szCs w:val="24"/>
              </w:rPr>
              <w:t>(būtina nurodyti tikslią nuorodą analizatoriaus dokumentacijoje) (dokumentacijoje tiksliai pažymimas techninis parametras)</w:t>
            </w:r>
          </w:p>
        </w:tc>
      </w:tr>
      <w:tr w:rsidR="007C08EE">
        <w:tc>
          <w:tcPr>
            <w:tcW w:w="571"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rPr>
              <w:t>1.</w:t>
            </w:r>
          </w:p>
        </w:tc>
        <w:tc>
          <w:tcPr>
            <w:tcW w:w="3797"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 xml:space="preserve">Analizatorius – 1 vnt. </w:t>
            </w:r>
          </w:p>
        </w:tc>
        <w:tc>
          <w:tcPr>
            <w:tcW w:w="3649" w:type="dxa"/>
            <w:tcBorders>
              <w:top w:val="single" w:sz="4" w:space="0" w:color="000000"/>
              <w:left w:val="single" w:sz="4" w:space="0" w:color="000000"/>
              <w:bottom w:val="single" w:sz="4" w:space="0" w:color="000000"/>
            </w:tcBorders>
          </w:tcPr>
          <w:p w:rsidR="007C08EE" w:rsidRDefault="00000000">
            <w:pPr>
              <w:ind w:left="0" w:hanging="2"/>
              <w:rPr>
                <w:rFonts w:ascii="Times New Roman" w:eastAsia="Times New Roman" w:hAnsi="Times New Roman" w:cs="Times New Roman"/>
              </w:rPr>
            </w:pPr>
            <w:r>
              <w:rPr>
                <w:rFonts w:ascii="Times New Roman" w:eastAsia="Times New Roman" w:hAnsi="Times New Roman" w:cs="Times New Roman"/>
              </w:rPr>
              <w:t>Pavadinimas, tipas/modelis,</w:t>
            </w:r>
          </w:p>
          <w:p w:rsidR="007C08EE" w:rsidRDefault="00000000">
            <w:pPr>
              <w:ind w:left="0" w:hanging="2"/>
            </w:pPr>
            <w:r>
              <w:rPr>
                <w:rFonts w:ascii="Times New Roman" w:eastAsia="Times New Roman" w:hAnsi="Times New Roman" w:cs="Times New Roman"/>
              </w:rPr>
              <w:t>gamintojas</w:t>
            </w:r>
          </w:p>
        </w:tc>
        <w:tc>
          <w:tcPr>
            <w:tcW w:w="3424"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Cobas pure c303; Roche; Šveicarija.</w:t>
            </w:r>
          </w:p>
        </w:tc>
        <w:tc>
          <w:tcPr>
            <w:tcW w:w="3345"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Žr. cobas pure vartotojo vadovas LT; 77 psl.; #1.</w:t>
            </w:r>
          </w:p>
        </w:tc>
      </w:tr>
      <w:tr w:rsidR="007C08EE">
        <w:tc>
          <w:tcPr>
            <w:tcW w:w="571"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rPr>
              <w:t>2.</w:t>
            </w:r>
          </w:p>
        </w:tc>
        <w:tc>
          <w:tcPr>
            <w:tcW w:w="3797"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Analizatoriaus paskirtis</w:t>
            </w:r>
          </w:p>
        </w:tc>
        <w:tc>
          <w:tcPr>
            <w:tcW w:w="3649" w:type="dxa"/>
            <w:tcBorders>
              <w:top w:val="single" w:sz="4" w:space="0" w:color="000000"/>
              <w:left w:val="single" w:sz="4" w:space="0" w:color="000000"/>
              <w:bottom w:val="single" w:sz="4" w:space="0" w:color="000000"/>
            </w:tcBorders>
          </w:tcPr>
          <w:p w:rsidR="007C08EE" w:rsidRDefault="00000000">
            <w:pPr>
              <w:ind w:left="0" w:hanging="2"/>
              <w:rPr>
                <w:color w:val="000000"/>
              </w:rPr>
            </w:pPr>
            <w:r>
              <w:rPr>
                <w:rFonts w:ascii="Times New Roman" w:eastAsia="Times New Roman" w:hAnsi="Times New Roman" w:cs="Times New Roman"/>
                <w:color w:val="000000"/>
              </w:rPr>
              <w:t>Automatinis biocheminis analizatorius su tarpine laboratorinių duomenų ir procesų valdymo įranga.</w:t>
            </w:r>
          </w:p>
        </w:tc>
        <w:tc>
          <w:tcPr>
            <w:tcW w:w="3424" w:type="dxa"/>
            <w:tcBorders>
              <w:top w:val="single" w:sz="4" w:space="0" w:color="000000"/>
              <w:left w:val="single" w:sz="4" w:space="0" w:color="000000"/>
              <w:bottom w:val="single" w:sz="4" w:space="0" w:color="000000"/>
            </w:tcBorders>
          </w:tcPr>
          <w:p w:rsidR="007C08EE" w:rsidRDefault="00000000">
            <w:pPr>
              <w:ind w:left="0" w:hanging="2"/>
              <w:rPr>
                <w:color w:val="000000"/>
              </w:rPr>
            </w:pPr>
            <w:r>
              <w:rPr>
                <w:rFonts w:ascii="Times New Roman" w:eastAsia="Times New Roman" w:hAnsi="Times New Roman" w:cs="Times New Roman"/>
                <w:color w:val="000000"/>
              </w:rPr>
              <w:t xml:space="preserve">Automatinis biocheminis cobas pure c303 analizatorius su tarpine cobas infinity laboratorinių </w:t>
            </w:r>
            <w:r>
              <w:rPr>
                <w:rFonts w:ascii="Times New Roman" w:eastAsia="Times New Roman" w:hAnsi="Times New Roman" w:cs="Times New Roman"/>
                <w:color w:val="000000"/>
              </w:rPr>
              <w:lastRenderedPageBreak/>
              <w:t>duomenų ir procesų valdymo įranga.</w:t>
            </w:r>
          </w:p>
        </w:tc>
        <w:tc>
          <w:tcPr>
            <w:tcW w:w="3345"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rPr>
                <w:rFonts w:ascii="Times New Roman" w:eastAsia="Times New Roman" w:hAnsi="Times New Roman" w:cs="Times New Roman"/>
              </w:rPr>
            </w:pPr>
            <w:r>
              <w:rPr>
                <w:rFonts w:ascii="Times New Roman" w:eastAsia="Times New Roman" w:hAnsi="Times New Roman" w:cs="Times New Roman"/>
              </w:rPr>
              <w:lastRenderedPageBreak/>
              <w:t>Žr. cobas pure vartotojo vadovas LT; 77 psl.; #2.</w:t>
            </w:r>
          </w:p>
          <w:p w:rsidR="007C08EE" w:rsidRDefault="00000000">
            <w:pPr>
              <w:ind w:left="0" w:hanging="2"/>
              <w:rPr>
                <w:rFonts w:ascii="Times New Roman" w:eastAsia="Times New Roman" w:hAnsi="Times New Roman" w:cs="Times New Roman"/>
              </w:rPr>
            </w:pPr>
            <w:r>
              <w:rPr>
                <w:rFonts w:ascii="Times New Roman" w:eastAsia="Times New Roman" w:hAnsi="Times New Roman" w:cs="Times New Roman"/>
              </w:rPr>
              <w:t>Žr. cobas pure host interface manual.</w:t>
            </w:r>
          </w:p>
          <w:p w:rsidR="007C08EE" w:rsidRDefault="00000000">
            <w:pPr>
              <w:ind w:left="0" w:hanging="2"/>
            </w:pPr>
            <w:r>
              <w:rPr>
                <w:rFonts w:ascii="Times New Roman" w:eastAsia="Times New Roman" w:hAnsi="Times New Roman" w:cs="Times New Roman"/>
              </w:rPr>
              <w:lastRenderedPageBreak/>
              <w:t>Žr. cobas infinity vartotojo vadovas LT.</w:t>
            </w:r>
          </w:p>
        </w:tc>
      </w:tr>
      <w:tr w:rsidR="007C08EE">
        <w:tc>
          <w:tcPr>
            <w:tcW w:w="571"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rPr>
              <w:lastRenderedPageBreak/>
              <w:t>3.</w:t>
            </w:r>
          </w:p>
        </w:tc>
        <w:tc>
          <w:tcPr>
            <w:tcW w:w="3797"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Programinė įranga</w:t>
            </w:r>
          </w:p>
        </w:tc>
        <w:tc>
          <w:tcPr>
            <w:tcW w:w="3649"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color w:val="000000"/>
              </w:rPr>
              <w:t>Su duomenų, procesų ir kokybės kontrolės valdymo funkcijomis</w:t>
            </w:r>
          </w:p>
        </w:tc>
        <w:tc>
          <w:tcPr>
            <w:tcW w:w="3424"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cobas infinity programinė įranga</w:t>
            </w:r>
            <w:r>
              <w:rPr>
                <w:rFonts w:ascii="Times New Roman" w:eastAsia="Times New Roman" w:hAnsi="Times New Roman" w:cs="Times New Roman"/>
                <w:color w:val="000000"/>
              </w:rPr>
              <w:t xml:space="preserve"> su duomenų, procesų ir kokybės kontrolės valdymo funkcijomis.</w:t>
            </w:r>
          </w:p>
        </w:tc>
        <w:tc>
          <w:tcPr>
            <w:tcW w:w="3345"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Žr. cobas infinity vartotojo vadovas LT.</w:t>
            </w:r>
          </w:p>
        </w:tc>
      </w:tr>
      <w:tr w:rsidR="007C08EE">
        <w:tc>
          <w:tcPr>
            <w:tcW w:w="571"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rPr>
              <w:t>4.</w:t>
            </w:r>
          </w:p>
        </w:tc>
        <w:tc>
          <w:tcPr>
            <w:tcW w:w="3797"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Analizatoriaus jungtys</w:t>
            </w:r>
          </w:p>
        </w:tc>
        <w:tc>
          <w:tcPr>
            <w:tcW w:w="3649"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Būtina, kad analizatorius jungtųsi į informacinį laboratorijos tinklą, duomenų siuntimas į centrinę duomenų bazę</w:t>
            </w:r>
          </w:p>
        </w:tc>
        <w:tc>
          <w:tcPr>
            <w:tcW w:w="3424"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Analizatorius jungiasi į informacinį laboratorijos tinklą, galimas duomenų siuntimas į centrinę duomenų bazę.</w:t>
            </w:r>
          </w:p>
        </w:tc>
        <w:tc>
          <w:tcPr>
            <w:tcW w:w="3345"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Žr. cobas pure host interface manual.</w:t>
            </w:r>
          </w:p>
        </w:tc>
      </w:tr>
      <w:tr w:rsidR="007C08EE">
        <w:tc>
          <w:tcPr>
            <w:tcW w:w="571"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rPr>
              <w:t>5.</w:t>
            </w:r>
          </w:p>
        </w:tc>
        <w:tc>
          <w:tcPr>
            <w:tcW w:w="3797"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Dvikryptė komunikacija</w:t>
            </w:r>
          </w:p>
        </w:tc>
        <w:tc>
          <w:tcPr>
            <w:tcW w:w="3649"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Analizatorius privalo turėti dvikryptę komunikaciją standartiniu protokolu (ASTM arba HL7) su ligoninėje įdiegta informacine sistema, su laboratorijoje įdiegta informacine sistema cobas IT Middleware</w:t>
            </w:r>
          </w:p>
        </w:tc>
        <w:tc>
          <w:tcPr>
            <w:tcW w:w="3424"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Analizatorius turi dvikryptę komunikaciją standartiniu protokolu (ASTM arba HL7) su ligoninėje įdiegta informacine sistema, su laboratorijoje įdiegta informacine sistema cobas IT Middleware.</w:t>
            </w:r>
          </w:p>
        </w:tc>
        <w:tc>
          <w:tcPr>
            <w:tcW w:w="3345"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Žr. cobas pure host interface manual.</w:t>
            </w:r>
          </w:p>
        </w:tc>
      </w:tr>
      <w:tr w:rsidR="007C08EE">
        <w:tc>
          <w:tcPr>
            <w:tcW w:w="571"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rPr>
              <w:t>6.</w:t>
            </w:r>
          </w:p>
        </w:tc>
        <w:tc>
          <w:tcPr>
            <w:tcW w:w="3797"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Atitikimas direktyvoms</w:t>
            </w:r>
          </w:p>
        </w:tc>
        <w:tc>
          <w:tcPr>
            <w:tcW w:w="3649"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Atitiktis in-vitro medicinos diagnostikos prietaisų direktyvai 98/79/EC</w:t>
            </w:r>
          </w:p>
        </w:tc>
        <w:tc>
          <w:tcPr>
            <w:tcW w:w="3424"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cobas pure c303 analizatorius atitinka in-vitro medicinos diagnostikos prietaisų direktyvą 98/79/EC.</w:t>
            </w:r>
          </w:p>
        </w:tc>
        <w:tc>
          <w:tcPr>
            <w:tcW w:w="3345"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Žr. cobas pure vartotojo vadovas LT; 6 psl.; #6.</w:t>
            </w:r>
          </w:p>
        </w:tc>
      </w:tr>
      <w:tr w:rsidR="007C08EE">
        <w:tc>
          <w:tcPr>
            <w:tcW w:w="571"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rPr>
              <w:t>7.</w:t>
            </w:r>
          </w:p>
        </w:tc>
        <w:tc>
          <w:tcPr>
            <w:tcW w:w="3797"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Reagentai</w:t>
            </w:r>
          </w:p>
        </w:tc>
        <w:tc>
          <w:tcPr>
            <w:tcW w:w="3649"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color w:val="000000"/>
              </w:rPr>
              <w:t>Reagentai paruošti naudojimui, išpilstyti į talpyklas</w:t>
            </w:r>
          </w:p>
        </w:tc>
        <w:tc>
          <w:tcPr>
            <w:tcW w:w="3424"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color w:val="000000"/>
              </w:rPr>
              <w:t>Reagentai paruošti naudojimui, išpilstyti į talpyklas.</w:t>
            </w:r>
          </w:p>
        </w:tc>
        <w:tc>
          <w:tcPr>
            <w:tcW w:w="3345"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 xml:space="preserve">Žr. Cobas pure brošiūra LT; 15 psl; #7. </w:t>
            </w:r>
            <w:r>
              <w:rPr>
                <w:rFonts w:ascii="Times New Roman" w:eastAsia="Times New Roman" w:hAnsi="Times New Roman" w:cs="Times New Roman"/>
              </w:rPr>
              <w:tab/>
            </w:r>
          </w:p>
        </w:tc>
      </w:tr>
      <w:tr w:rsidR="007C08EE">
        <w:tc>
          <w:tcPr>
            <w:tcW w:w="571"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rPr>
              <w:t>8.</w:t>
            </w:r>
          </w:p>
        </w:tc>
        <w:tc>
          <w:tcPr>
            <w:tcW w:w="3797"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Reagentų pozicijos analizatoriuje</w:t>
            </w:r>
          </w:p>
        </w:tc>
        <w:tc>
          <w:tcPr>
            <w:tcW w:w="3649"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color w:val="000000"/>
              </w:rPr>
              <w:t>N</w:t>
            </w:r>
            <w:r>
              <w:rPr>
                <w:rFonts w:ascii="Times New Roman" w:eastAsia="Times New Roman" w:hAnsi="Times New Roman" w:cs="Times New Roman"/>
              </w:rPr>
              <w:t>e mažiau kaip 40 reagentų pozicijų analizatoriuje su temperatūros palaikymo (šaldymo) sistema</w:t>
            </w:r>
          </w:p>
        </w:tc>
        <w:tc>
          <w:tcPr>
            <w:tcW w:w="3424" w:type="dxa"/>
            <w:tcBorders>
              <w:top w:val="single" w:sz="4" w:space="0" w:color="000000"/>
              <w:left w:val="single" w:sz="4" w:space="0" w:color="000000"/>
              <w:bottom w:val="single" w:sz="4" w:space="0" w:color="000000"/>
            </w:tcBorders>
          </w:tcPr>
          <w:p w:rsidR="007C08EE" w:rsidRDefault="00000000">
            <w:pPr>
              <w:ind w:left="0" w:hanging="2"/>
              <w:rPr>
                <w:rFonts w:ascii="Times New Roman" w:eastAsia="Times New Roman" w:hAnsi="Times New Roman" w:cs="Times New Roman"/>
                <w:color w:val="FF0000"/>
                <w:highlight w:val="yellow"/>
              </w:rPr>
            </w:pPr>
            <w:r>
              <w:rPr>
                <w:rFonts w:ascii="Times New Roman" w:eastAsia="Times New Roman" w:hAnsi="Times New Roman" w:cs="Times New Roman"/>
              </w:rPr>
              <w:t xml:space="preserve">42 reagentų pozicijos analizatoriuje su temperatūros palaikymo (šaldymo) sistema. </w:t>
            </w:r>
          </w:p>
        </w:tc>
        <w:tc>
          <w:tcPr>
            <w:tcW w:w="3345"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rPr>
                <w:rFonts w:ascii="Times New Roman" w:eastAsia="Times New Roman" w:hAnsi="Times New Roman" w:cs="Times New Roman"/>
                <w:color w:val="FF0000"/>
                <w:highlight w:val="yellow"/>
              </w:rPr>
            </w:pPr>
            <w:r>
              <w:rPr>
                <w:rFonts w:ascii="Times New Roman" w:eastAsia="Times New Roman" w:hAnsi="Times New Roman" w:cs="Times New Roman"/>
              </w:rPr>
              <w:t>Žr. cobas pure vartotojo vadovas LT; 238 psl.; #8.</w:t>
            </w:r>
          </w:p>
        </w:tc>
      </w:tr>
      <w:tr w:rsidR="007C08EE">
        <w:tc>
          <w:tcPr>
            <w:tcW w:w="571"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rPr>
              <w:t>9.</w:t>
            </w:r>
          </w:p>
        </w:tc>
        <w:tc>
          <w:tcPr>
            <w:tcW w:w="3797"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Reikalavimai mėginių apdorojimui</w:t>
            </w:r>
          </w:p>
        </w:tc>
        <w:tc>
          <w:tcPr>
            <w:tcW w:w="3649"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 xml:space="preserve">Galima tirti kraują, serumą, plazmą, šlapimą pirminiuose ir antriniuose  mėgintuvėliuose </w:t>
            </w:r>
          </w:p>
        </w:tc>
        <w:tc>
          <w:tcPr>
            <w:tcW w:w="3424"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Galima tirti kraują, serumą, plazmą, šlapimą pirminiuose ir antriniuose  mėgintuvėliuose.</w:t>
            </w:r>
          </w:p>
        </w:tc>
        <w:tc>
          <w:tcPr>
            <w:tcW w:w="3345"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Žr. cobas pure vartotojo vadovas LT; 86; 239 psl.; #9.</w:t>
            </w:r>
          </w:p>
        </w:tc>
      </w:tr>
      <w:tr w:rsidR="007C08EE">
        <w:tc>
          <w:tcPr>
            <w:tcW w:w="571"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rPr>
              <w:t>10.</w:t>
            </w:r>
          </w:p>
        </w:tc>
        <w:tc>
          <w:tcPr>
            <w:tcW w:w="3797"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Skubių tyrimų atlikimo galimybė</w:t>
            </w:r>
          </w:p>
        </w:tc>
        <w:tc>
          <w:tcPr>
            <w:tcW w:w="3649"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Skubių tyrimų galimybė nestabdant pradėtų procesų</w:t>
            </w:r>
          </w:p>
        </w:tc>
        <w:tc>
          <w:tcPr>
            <w:tcW w:w="3424"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Analizatoriuje yra skubių tyrimų atlikimo galimybė nestabdant pradėtų procesų.</w:t>
            </w:r>
          </w:p>
        </w:tc>
        <w:tc>
          <w:tcPr>
            <w:tcW w:w="3345"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Žr. cobas pure vartotojo vadovas LT; 320 psl.; #10.</w:t>
            </w:r>
          </w:p>
        </w:tc>
      </w:tr>
      <w:tr w:rsidR="007C08EE">
        <w:trPr>
          <w:trHeight w:val="1265"/>
        </w:trPr>
        <w:tc>
          <w:tcPr>
            <w:tcW w:w="571"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rPr>
              <w:t>11.</w:t>
            </w:r>
          </w:p>
        </w:tc>
        <w:tc>
          <w:tcPr>
            <w:tcW w:w="3797"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Našumas</w:t>
            </w:r>
          </w:p>
        </w:tc>
        <w:tc>
          <w:tcPr>
            <w:tcW w:w="3649"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Ne mažiau kaip 700 biocheminių tyrimų per valandą (įskaitant elektrolitų tyrimus)</w:t>
            </w:r>
          </w:p>
        </w:tc>
        <w:tc>
          <w:tcPr>
            <w:tcW w:w="3424" w:type="dxa"/>
            <w:tcBorders>
              <w:top w:val="single" w:sz="4" w:space="0" w:color="000000"/>
              <w:left w:val="single" w:sz="4" w:space="0" w:color="000000"/>
              <w:bottom w:val="single" w:sz="4" w:space="0" w:color="000000"/>
            </w:tcBorders>
          </w:tcPr>
          <w:p w:rsidR="007C08EE" w:rsidRDefault="00000000">
            <w:pPr>
              <w:ind w:left="0" w:hanging="2"/>
              <w:rPr>
                <w:color w:val="FF0000"/>
              </w:rPr>
            </w:pPr>
            <w:r>
              <w:rPr>
                <w:rFonts w:ascii="Times New Roman" w:eastAsia="Times New Roman" w:hAnsi="Times New Roman" w:cs="Times New Roman"/>
              </w:rPr>
              <w:t>750 biocheminių tyrimų per valandą (įskaitant elektrolitų tyrimus).</w:t>
            </w:r>
          </w:p>
        </w:tc>
        <w:tc>
          <w:tcPr>
            <w:tcW w:w="3345"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rPr>
                <w:color w:val="FF0000"/>
              </w:rPr>
            </w:pPr>
            <w:r>
              <w:rPr>
                <w:rFonts w:ascii="Times New Roman" w:eastAsia="Times New Roman" w:hAnsi="Times New Roman" w:cs="Times New Roman"/>
              </w:rPr>
              <w:t>Žr. cobas pure vartotojo vadovas LT; 240 psl.; #11.</w:t>
            </w:r>
          </w:p>
        </w:tc>
      </w:tr>
      <w:tr w:rsidR="007C08EE">
        <w:trPr>
          <w:trHeight w:val="514"/>
        </w:trPr>
        <w:tc>
          <w:tcPr>
            <w:tcW w:w="571" w:type="dxa"/>
            <w:tcBorders>
              <w:top w:val="single" w:sz="4" w:space="0" w:color="000000"/>
              <w:left w:val="single" w:sz="4" w:space="0" w:color="000000"/>
              <w:bottom w:val="single" w:sz="4" w:space="0" w:color="000000"/>
            </w:tcBorders>
            <w:vAlign w:val="center"/>
          </w:tcPr>
          <w:p w:rsidR="007C08EE" w:rsidRDefault="00000000">
            <w:pPr>
              <w:ind w:left="0" w:hanging="2"/>
              <w:jc w:val="center"/>
            </w:pPr>
            <w:r>
              <w:rPr>
                <w:rFonts w:ascii="Times New Roman" w:eastAsia="Times New Roman" w:hAnsi="Times New Roman" w:cs="Times New Roman"/>
              </w:rPr>
              <w:lastRenderedPageBreak/>
              <w:t>12</w:t>
            </w:r>
            <w:r>
              <w:t>.</w:t>
            </w:r>
          </w:p>
        </w:tc>
        <w:tc>
          <w:tcPr>
            <w:tcW w:w="3797"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color w:val="000000"/>
              </w:rPr>
              <w:t>Turi būti nuolatinis reagentų kiekio, pagalbinių tirpalų ir atliekų kiekio sistemoje sekimas. Operatorius turi gauti atitinkamą informaciją/įspėjimą apie besibaigiančius reagentus ir tirpalus.</w:t>
            </w:r>
          </w:p>
        </w:tc>
        <w:tc>
          <w:tcPr>
            <w:tcW w:w="3649"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Būtina</w:t>
            </w:r>
          </w:p>
        </w:tc>
        <w:tc>
          <w:tcPr>
            <w:tcW w:w="3424"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color w:val="000000"/>
              </w:rPr>
              <w:t>Analizatoriuje yra nuolatinis reagentų kiekio, pagalbinių tirpalų ir atliekų kiekio sistemoje sekimas. Operatorius gauna atitinkamą informaciją/įspėjimą apie besibaigiančius reagentus ir tirpalus.</w:t>
            </w:r>
          </w:p>
        </w:tc>
        <w:tc>
          <w:tcPr>
            <w:tcW w:w="3345"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rPr>
                <w:color w:val="FF0000"/>
              </w:rPr>
            </w:pPr>
            <w:r>
              <w:rPr>
                <w:rFonts w:ascii="Times New Roman" w:eastAsia="Times New Roman" w:hAnsi="Times New Roman" w:cs="Times New Roman"/>
              </w:rPr>
              <w:t>Žr. cobas pure vartotojo vadovas LT; 164; 165; 174 psl.; #12.</w:t>
            </w:r>
          </w:p>
        </w:tc>
      </w:tr>
      <w:tr w:rsidR="007C08EE">
        <w:trPr>
          <w:trHeight w:val="514"/>
        </w:trPr>
        <w:tc>
          <w:tcPr>
            <w:tcW w:w="571" w:type="dxa"/>
            <w:tcBorders>
              <w:top w:val="single" w:sz="4" w:space="0" w:color="000000"/>
              <w:left w:val="single" w:sz="4" w:space="0" w:color="000000"/>
              <w:bottom w:val="single" w:sz="4" w:space="0" w:color="000000"/>
            </w:tcBorders>
            <w:vAlign w:val="center"/>
          </w:tcPr>
          <w:p w:rsidR="007C08EE" w:rsidRDefault="00000000">
            <w:pPr>
              <w:ind w:left="0" w:hanging="2"/>
              <w:jc w:val="center"/>
            </w:pPr>
            <w:r>
              <w:rPr>
                <w:rFonts w:ascii="Times New Roman" w:eastAsia="Times New Roman" w:hAnsi="Times New Roman" w:cs="Times New Roman"/>
              </w:rPr>
              <w:t>13.</w:t>
            </w:r>
          </w:p>
          <w:p w:rsidR="007C08EE" w:rsidRDefault="007C08EE">
            <w:pPr>
              <w:ind w:left="0" w:hanging="2"/>
              <w:jc w:val="both"/>
            </w:pPr>
          </w:p>
        </w:tc>
        <w:tc>
          <w:tcPr>
            <w:tcW w:w="3797"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Galimybė tirti HbA1c iš kraujo (EDTA), be pagalbinio paruošimo</w:t>
            </w:r>
          </w:p>
        </w:tc>
        <w:tc>
          <w:tcPr>
            <w:tcW w:w="3649"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Būtina</w:t>
            </w:r>
          </w:p>
        </w:tc>
        <w:tc>
          <w:tcPr>
            <w:tcW w:w="3424"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Galima tirti HbA1c iš kraujo (EDTA), be pagalbinio paruošimo.</w:t>
            </w:r>
          </w:p>
        </w:tc>
        <w:tc>
          <w:tcPr>
            <w:tcW w:w="3345"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Žr. HbA1c metodinis lapas; 1 psl.; #13.</w:t>
            </w:r>
            <w:r>
              <w:t xml:space="preserve"> </w:t>
            </w:r>
          </w:p>
        </w:tc>
      </w:tr>
      <w:tr w:rsidR="007C08EE">
        <w:trPr>
          <w:trHeight w:val="514"/>
        </w:trPr>
        <w:tc>
          <w:tcPr>
            <w:tcW w:w="571" w:type="dxa"/>
            <w:tcBorders>
              <w:top w:val="single" w:sz="4" w:space="0" w:color="000000"/>
              <w:left w:val="single" w:sz="4" w:space="0" w:color="000000"/>
              <w:bottom w:val="single" w:sz="4" w:space="0" w:color="000000"/>
            </w:tcBorders>
            <w:vAlign w:val="center"/>
          </w:tcPr>
          <w:p w:rsidR="007C08EE" w:rsidRDefault="00000000">
            <w:pPr>
              <w:ind w:left="0" w:hanging="2"/>
              <w:jc w:val="center"/>
            </w:pPr>
            <w:r>
              <w:rPr>
                <w:rFonts w:ascii="Times New Roman" w:eastAsia="Times New Roman" w:hAnsi="Times New Roman" w:cs="Times New Roman"/>
              </w:rPr>
              <w:t>14.</w:t>
            </w:r>
          </w:p>
        </w:tc>
        <w:tc>
          <w:tcPr>
            <w:tcW w:w="3797"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Mėginio kiekis naudojamas tyrimo atlikimui</w:t>
            </w:r>
          </w:p>
        </w:tc>
        <w:tc>
          <w:tcPr>
            <w:tcW w:w="3649"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Ne daugiau kaip 200 µl</w:t>
            </w:r>
          </w:p>
        </w:tc>
        <w:tc>
          <w:tcPr>
            <w:tcW w:w="3424"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 xml:space="preserve">Mėginio kiekis naudojamas tyrimo atlikimui 1 – 25 µl. </w:t>
            </w:r>
          </w:p>
        </w:tc>
        <w:tc>
          <w:tcPr>
            <w:tcW w:w="3345"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Žr. cobas pure vartotojo vadovas LT; 237; 239 psl.; #14.</w:t>
            </w:r>
          </w:p>
        </w:tc>
      </w:tr>
      <w:tr w:rsidR="007C08EE">
        <w:trPr>
          <w:trHeight w:val="514"/>
        </w:trPr>
        <w:tc>
          <w:tcPr>
            <w:tcW w:w="571" w:type="dxa"/>
            <w:tcBorders>
              <w:left w:val="single" w:sz="4" w:space="0" w:color="000000"/>
              <w:bottom w:val="single" w:sz="4" w:space="0" w:color="000000"/>
            </w:tcBorders>
            <w:vAlign w:val="center"/>
          </w:tcPr>
          <w:p w:rsidR="007C08EE" w:rsidRDefault="00000000">
            <w:pPr>
              <w:ind w:left="0" w:hanging="2"/>
              <w:jc w:val="center"/>
            </w:pPr>
            <w:r>
              <w:rPr>
                <w:rFonts w:ascii="Times New Roman" w:eastAsia="Times New Roman" w:hAnsi="Times New Roman" w:cs="Times New Roman"/>
              </w:rPr>
              <w:t>15.</w:t>
            </w:r>
          </w:p>
        </w:tc>
        <w:tc>
          <w:tcPr>
            <w:tcW w:w="3797" w:type="dxa"/>
            <w:tcBorders>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Kalio, natrio, chloro tyrimų kalibracijos stabilumas</w:t>
            </w:r>
          </w:p>
        </w:tc>
        <w:tc>
          <w:tcPr>
            <w:tcW w:w="3649" w:type="dxa"/>
            <w:tcBorders>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24 valandos ir daugiau</w:t>
            </w:r>
          </w:p>
        </w:tc>
        <w:tc>
          <w:tcPr>
            <w:tcW w:w="3424" w:type="dxa"/>
            <w:tcBorders>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Kalio, natrio, chloro tyrimų kalibracijos stabilumas 24 valandos.</w:t>
            </w:r>
          </w:p>
        </w:tc>
        <w:tc>
          <w:tcPr>
            <w:tcW w:w="3345" w:type="dxa"/>
            <w:tcBorders>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Žr. Na, K, Cl metodinis lapas; 3 psl.; #15.</w:t>
            </w:r>
          </w:p>
        </w:tc>
      </w:tr>
      <w:tr w:rsidR="007C08EE">
        <w:trPr>
          <w:trHeight w:val="514"/>
        </w:trPr>
        <w:tc>
          <w:tcPr>
            <w:tcW w:w="571" w:type="dxa"/>
            <w:tcBorders>
              <w:top w:val="single" w:sz="4" w:space="0" w:color="000000"/>
              <w:left w:val="single" w:sz="4" w:space="0" w:color="000000"/>
              <w:bottom w:val="single" w:sz="4" w:space="0" w:color="000000"/>
            </w:tcBorders>
            <w:vAlign w:val="center"/>
          </w:tcPr>
          <w:p w:rsidR="007C08EE" w:rsidRDefault="00000000">
            <w:pPr>
              <w:ind w:left="0" w:hanging="2"/>
              <w:jc w:val="center"/>
            </w:pPr>
            <w:r>
              <w:rPr>
                <w:rFonts w:ascii="Times New Roman" w:eastAsia="Times New Roman" w:hAnsi="Times New Roman" w:cs="Times New Roman"/>
              </w:rPr>
              <w:t>16.</w:t>
            </w:r>
          </w:p>
        </w:tc>
        <w:tc>
          <w:tcPr>
            <w:tcW w:w="3797" w:type="dxa"/>
            <w:tcBorders>
              <w:top w:val="single" w:sz="4" w:space="0" w:color="000000"/>
              <w:left w:val="single" w:sz="4" w:space="0" w:color="000000"/>
              <w:bottom w:val="single" w:sz="4" w:space="0" w:color="000000"/>
            </w:tcBorders>
          </w:tcPr>
          <w:p w:rsidR="007C08EE" w:rsidRDefault="00000000">
            <w:pPr>
              <w:ind w:left="0" w:right="-817" w:hanging="2"/>
            </w:pPr>
            <w:r>
              <w:rPr>
                <w:rFonts w:ascii="Times New Roman" w:eastAsia="Times New Roman" w:hAnsi="Times New Roman" w:cs="Times New Roman"/>
                <w:color w:val="000000"/>
              </w:rPr>
              <w:t>Turi būti krešulio, burbulų,</w:t>
            </w:r>
          </w:p>
          <w:p w:rsidR="007C08EE" w:rsidRDefault="00000000">
            <w:pPr>
              <w:ind w:left="0" w:right="-817" w:hanging="2"/>
            </w:pPr>
            <w:r>
              <w:rPr>
                <w:rFonts w:ascii="Times New Roman" w:eastAsia="Times New Roman" w:hAnsi="Times New Roman" w:cs="Times New Roman"/>
                <w:color w:val="000000"/>
              </w:rPr>
              <w:t xml:space="preserve"> nepakankamo mėginio tūrio </w:t>
            </w:r>
          </w:p>
          <w:p w:rsidR="007C08EE" w:rsidRDefault="00000000">
            <w:pPr>
              <w:ind w:left="0" w:right="-817" w:hanging="2"/>
            </w:pPr>
            <w:r>
              <w:rPr>
                <w:rFonts w:ascii="Times New Roman" w:eastAsia="Times New Roman" w:hAnsi="Times New Roman" w:cs="Times New Roman"/>
                <w:color w:val="000000"/>
              </w:rPr>
              <w:t>aptikimo sistema</w:t>
            </w:r>
          </w:p>
          <w:p w:rsidR="007C08EE" w:rsidRDefault="00000000">
            <w:pPr>
              <w:ind w:left="0" w:right="-817" w:hanging="2"/>
            </w:pPr>
            <w:r>
              <w:rPr>
                <w:rFonts w:ascii="Times New Roman" w:eastAsia="Times New Roman" w:hAnsi="Times New Roman" w:cs="Times New Roman"/>
                <w:color w:val="000000"/>
              </w:rPr>
              <w:t xml:space="preserve"> ir turi būti mėginio hemolizės,</w:t>
            </w:r>
          </w:p>
          <w:p w:rsidR="007C08EE" w:rsidRDefault="00000000">
            <w:pPr>
              <w:ind w:left="0" w:right="-817" w:hanging="2"/>
            </w:pPr>
            <w:r>
              <w:rPr>
                <w:rFonts w:ascii="Times New Roman" w:eastAsia="Times New Roman" w:hAnsi="Times New Roman" w:cs="Times New Roman"/>
                <w:color w:val="000000"/>
              </w:rPr>
              <w:t xml:space="preserve"> ikterijos ir lipemijos</w:t>
            </w:r>
          </w:p>
          <w:p w:rsidR="007C08EE" w:rsidRDefault="00000000">
            <w:pPr>
              <w:ind w:left="0" w:right="-817" w:hanging="2"/>
            </w:pPr>
            <w:r>
              <w:rPr>
                <w:rFonts w:ascii="Times New Roman" w:eastAsia="Times New Roman" w:hAnsi="Times New Roman" w:cs="Times New Roman"/>
                <w:color w:val="000000"/>
              </w:rPr>
              <w:t xml:space="preserve"> kokybinio ir pusiau kiekybinio įvertinimo galimybė</w:t>
            </w:r>
          </w:p>
          <w:p w:rsidR="007C08EE" w:rsidRDefault="00000000">
            <w:pPr>
              <w:ind w:left="0" w:right="-817" w:hanging="2"/>
            </w:pPr>
            <w:r>
              <w:rPr>
                <w:rFonts w:ascii="Times New Roman" w:eastAsia="Times New Roman" w:hAnsi="Times New Roman" w:cs="Times New Roman"/>
                <w:color w:val="000000"/>
              </w:rPr>
              <w:t xml:space="preserve"> fotometriniams tyrimams.</w:t>
            </w:r>
          </w:p>
        </w:tc>
        <w:tc>
          <w:tcPr>
            <w:tcW w:w="3649"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Būtina</w:t>
            </w:r>
          </w:p>
        </w:tc>
        <w:tc>
          <w:tcPr>
            <w:tcW w:w="3424" w:type="dxa"/>
            <w:tcBorders>
              <w:top w:val="single" w:sz="4" w:space="0" w:color="000000"/>
              <w:left w:val="single" w:sz="4" w:space="0" w:color="000000"/>
              <w:bottom w:val="single" w:sz="4" w:space="0" w:color="000000"/>
            </w:tcBorders>
          </w:tcPr>
          <w:p w:rsidR="007C08EE" w:rsidRDefault="00000000">
            <w:pPr>
              <w:ind w:left="0" w:right="-817"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Analizatoriuje yra krešulio, burbulų, nepakankamo mėginio tūrio aptikimo sistema ir yra mėginio hemolizės, </w:t>
            </w:r>
          </w:p>
          <w:p w:rsidR="007C08EE" w:rsidRDefault="00000000">
            <w:pPr>
              <w:ind w:left="0" w:right="-817"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ikterijos ir lipemijos kokybinio </w:t>
            </w:r>
          </w:p>
          <w:p w:rsidR="007C08EE" w:rsidRDefault="00000000">
            <w:pPr>
              <w:ind w:left="0" w:right="-817" w:hanging="2"/>
              <w:rPr>
                <w:rFonts w:ascii="Times New Roman" w:eastAsia="Times New Roman" w:hAnsi="Times New Roman" w:cs="Times New Roman"/>
                <w:color w:val="000000"/>
              </w:rPr>
            </w:pPr>
            <w:r>
              <w:rPr>
                <w:rFonts w:ascii="Times New Roman" w:eastAsia="Times New Roman" w:hAnsi="Times New Roman" w:cs="Times New Roman"/>
                <w:color w:val="000000"/>
              </w:rPr>
              <w:t>ir pusiau kiekybinio įvertinimo</w:t>
            </w:r>
          </w:p>
          <w:p w:rsidR="007C08EE" w:rsidRDefault="00000000">
            <w:pPr>
              <w:ind w:left="0" w:right="-817" w:hanging="2"/>
              <w:rPr>
                <w:rFonts w:ascii="Times New Roman" w:eastAsia="Times New Roman" w:hAnsi="Times New Roman" w:cs="Times New Roman"/>
                <w:color w:val="000000"/>
              </w:rPr>
            </w:pPr>
            <w:r>
              <w:rPr>
                <w:rFonts w:ascii="Times New Roman" w:eastAsia="Times New Roman" w:hAnsi="Times New Roman" w:cs="Times New Roman"/>
                <w:color w:val="000000"/>
              </w:rPr>
              <w:t>galimybė fotometriniams tyrimams.</w:t>
            </w:r>
          </w:p>
        </w:tc>
        <w:tc>
          <w:tcPr>
            <w:tcW w:w="3345"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rPr>
                <w:rFonts w:ascii="Times New Roman" w:eastAsia="Times New Roman" w:hAnsi="Times New Roman" w:cs="Times New Roman"/>
              </w:rPr>
            </w:pPr>
            <w:r>
              <w:rPr>
                <w:rFonts w:ascii="Times New Roman" w:eastAsia="Times New Roman" w:hAnsi="Times New Roman" w:cs="Times New Roman"/>
              </w:rPr>
              <w:t>Žr. cobas pure vartotojo vadovas LT; 237; 239; 409 psl.; #16.</w:t>
            </w:r>
          </w:p>
          <w:p w:rsidR="007C08EE" w:rsidRDefault="00000000">
            <w:pPr>
              <w:ind w:left="0" w:hanging="2"/>
              <w:rPr>
                <w:rFonts w:ascii="Times New Roman" w:eastAsia="Times New Roman" w:hAnsi="Times New Roman" w:cs="Times New Roman"/>
              </w:rPr>
            </w:pPr>
            <w:r>
              <w:rPr>
                <w:rFonts w:ascii="Times New Roman" w:eastAsia="Times New Roman" w:hAnsi="Times New Roman" w:cs="Times New Roman"/>
              </w:rPr>
              <w:t>Žr. cobas pure serum index metodinis lapas; 1 psl.; #16.</w:t>
            </w:r>
          </w:p>
        </w:tc>
      </w:tr>
      <w:tr w:rsidR="007C08EE">
        <w:trPr>
          <w:trHeight w:val="514"/>
        </w:trPr>
        <w:tc>
          <w:tcPr>
            <w:tcW w:w="571" w:type="dxa"/>
            <w:tcBorders>
              <w:top w:val="single" w:sz="4" w:space="0" w:color="000000"/>
              <w:left w:val="single" w:sz="4" w:space="0" w:color="000000"/>
              <w:bottom w:val="single" w:sz="4" w:space="0" w:color="000000"/>
            </w:tcBorders>
            <w:vAlign w:val="center"/>
          </w:tcPr>
          <w:p w:rsidR="007C08EE" w:rsidRDefault="00000000">
            <w:pPr>
              <w:ind w:left="0" w:hanging="2"/>
              <w:jc w:val="center"/>
            </w:pPr>
            <w:r>
              <w:rPr>
                <w:rFonts w:ascii="Times New Roman" w:eastAsia="Times New Roman" w:hAnsi="Times New Roman" w:cs="Times New Roman"/>
              </w:rPr>
              <w:t>17.</w:t>
            </w:r>
          </w:p>
        </w:tc>
        <w:tc>
          <w:tcPr>
            <w:tcW w:w="3797"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color w:val="000000"/>
              </w:rPr>
              <w:t>Turi būti mėginių automatinio praskiedimo, automatinio tyrimo pakartojimo galimybė.</w:t>
            </w:r>
          </w:p>
        </w:tc>
        <w:tc>
          <w:tcPr>
            <w:tcW w:w="3649"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color w:val="000000"/>
              </w:rPr>
              <w:t>Būtina</w:t>
            </w:r>
          </w:p>
        </w:tc>
        <w:tc>
          <w:tcPr>
            <w:tcW w:w="3424"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color w:val="000000"/>
              </w:rPr>
              <w:t>Analizatoriuje yra mėginių automatinio praskiedimo, automatinio tyrimo pakartojimo galimybė.</w:t>
            </w:r>
          </w:p>
        </w:tc>
        <w:tc>
          <w:tcPr>
            <w:tcW w:w="3345"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Žr. cobas pure vartotojo vadovas LT; 406; 412 psl.; #17.</w:t>
            </w:r>
          </w:p>
        </w:tc>
      </w:tr>
      <w:tr w:rsidR="007C08EE">
        <w:tc>
          <w:tcPr>
            <w:tcW w:w="571"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rPr>
              <w:t>18.</w:t>
            </w:r>
          </w:p>
        </w:tc>
        <w:tc>
          <w:tcPr>
            <w:tcW w:w="3797"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Mėginių brūkšninių kodų skaitymas.</w:t>
            </w:r>
          </w:p>
          <w:p w:rsidR="007C08EE" w:rsidRDefault="00000000">
            <w:pPr>
              <w:ind w:left="0" w:hanging="2"/>
              <w:jc w:val="both"/>
            </w:pPr>
            <w:r>
              <w:rPr>
                <w:rFonts w:ascii="Times New Roman" w:eastAsia="Times New Roman" w:hAnsi="Times New Roman" w:cs="Times New Roman"/>
              </w:rPr>
              <w:t>Integruotas vidinis mėginių brūkšninių kodų skaitymas.</w:t>
            </w:r>
          </w:p>
        </w:tc>
        <w:tc>
          <w:tcPr>
            <w:tcW w:w="3649"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color w:val="000000"/>
              </w:rPr>
              <w:t>Būtina</w:t>
            </w:r>
          </w:p>
        </w:tc>
        <w:tc>
          <w:tcPr>
            <w:tcW w:w="3424"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Mėginių brūkšninių kodų skaitymas.</w:t>
            </w:r>
            <w:r>
              <w:t xml:space="preserve"> </w:t>
            </w:r>
            <w:r>
              <w:rPr>
                <w:rFonts w:ascii="Times New Roman" w:eastAsia="Times New Roman" w:hAnsi="Times New Roman" w:cs="Times New Roman"/>
              </w:rPr>
              <w:t>Integruotas vidinis mėginių brūkšninių kodų skaitymas.</w:t>
            </w:r>
          </w:p>
        </w:tc>
        <w:tc>
          <w:tcPr>
            <w:tcW w:w="3345"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Žr. cobas pure vartotojo vadovas LT; 149 psl.; #18.</w:t>
            </w:r>
          </w:p>
        </w:tc>
      </w:tr>
      <w:tr w:rsidR="007C08EE">
        <w:tc>
          <w:tcPr>
            <w:tcW w:w="571"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rPr>
              <w:t>19.</w:t>
            </w:r>
          </w:p>
        </w:tc>
        <w:tc>
          <w:tcPr>
            <w:tcW w:w="3797"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Brūkšninių kodų tipai</w:t>
            </w:r>
          </w:p>
        </w:tc>
        <w:tc>
          <w:tcPr>
            <w:tcW w:w="3649"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Analizatorius privalo turėti galimybę nuskaityti brūkšninių kodų tipus naudojamus ligoninėje – code 39 arba 128c</w:t>
            </w:r>
          </w:p>
        </w:tc>
        <w:tc>
          <w:tcPr>
            <w:tcW w:w="3424"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Analizatorius nuskaityto brūkšninių kodų tipus – code 39 arba 128c</w:t>
            </w:r>
          </w:p>
        </w:tc>
        <w:tc>
          <w:tcPr>
            <w:tcW w:w="3345"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pPr>
            <w:r>
              <w:rPr>
                <w:rFonts w:ascii="Times New Roman" w:eastAsia="Times New Roman" w:hAnsi="Times New Roman" w:cs="Times New Roman"/>
              </w:rPr>
              <w:t>Žr. cobas pure vartotojo vadovas LT; 99 psl.; #19.</w:t>
            </w:r>
          </w:p>
        </w:tc>
      </w:tr>
      <w:tr w:rsidR="007C08EE">
        <w:tc>
          <w:tcPr>
            <w:tcW w:w="571" w:type="dxa"/>
            <w:tcBorders>
              <w:top w:val="single" w:sz="4" w:space="0" w:color="000000"/>
              <w:left w:val="single" w:sz="4" w:space="0" w:color="000000"/>
              <w:bottom w:val="single" w:sz="4" w:space="0" w:color="000000"/>
            </w:tcBorders>
          </w:tcPr>
          <w:p w:rsidR="007C08EE" w:rsidRDefault="00000000">
            <w:pPr>
              <w:ind w:left="0" w:hanging="2"/>
              <w:jc w:val="center"/>
            </w:pPr>
            <w:r>
              <w:rPr>
                <w:rFonts w:ascii="Times New Roman" w:eastAsia="Times New Roman" w:hAnsi="Times New Roman" w:cs="Times New Roman"/>
              </w:rPr>
              <w:t>20.</w:t>
            </w:r>
          </w:p>
        </w:tc>
        <w:tc>
          <w:tcPr>
            <w:tcW w:w="3797"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Vartotojo instrukcija anglų ir lietuvių kalbomis</w:t>
            </w:r>
          </w:p>
        </w:tc>
        <w:tc>
          <w:tcPr>
            <w:tcW w:w="3649" w:type="dxa"/>
            <w:tcBorders>
              <w:top w:val="single" w:sz="4" w:space="0" w:color="000000"/>
              <w:left w:val="single" w:sz="4" w:space="0" w:color="000000"/>
              <w:bottom w:val="single" w:sz="4" w:space="0" w:color="000000"/>
            </w:tcBorders>
          </w:tcPr>
          <w:p w:rsidR="007C08EE" w:rsidRDefault="00000000">
            <w:pPr>
              <w:ind w:left="0" w:hanging="2"/>
              <w:jc w:val="both"/>
            </w:pPr>
            <w:r>
              <w:rPr>
                <w:rFonts w:ascii="Times New Roman" w:eastAsia="Times New Roman" w:hAnsi="Times New Roman" w:cs="Times New Roman"/>
              </w:rPr>
              <w:t>Pateikiama su prietaisu</w:t>
            </w:r>
          </w:p>
        </w:tc>
        <w:tc>
          <w:tcPr>
            <w:tcW w:w="3424" w:type="dxa"/>
            <w:tcBorders>
              <w:top w:val="single" w:sz="4" w:space="0" w:color="000000"/>
              <w:left w:val="single" w:sz="4" w:space="0" w:color="000000"/>
              <w:bottom w:val="single" w:sz="4" w:space="0" w:color="000000"/>
            </w:tcBorders>
          </w:tcPr>
          <w:p w:rsidR="007C08EE" w:rsidRDefault="00000000">
            <w:pPr>
              <w:ind w:left="0" w:hanging="2"/>
            </w:pPr>
            <w:r>
              <w:rPr>
                <w:rFonts w:ascii="Times New Roman" w:eastAsia="Times New Roman" w:hAnsi="Times New Roman" w:cs="Times New Roman"/>
              </w:rPr>
              <w:t>Vartotojo instrukcija anglų ir lietuvių kalbomis.</w:t>
            </w:r>
          </w:p>
        </w:tc>
        <w:tc>
          <w:tcPr>
            <w:tcW w:w="3345" w:type="dxa"/>
            <w:tcBorders>
              <w:top w:val="single" w:sz="4" w:space="0" w:color="000000"/>
              <w:left w:val="single" w:sz="4" w:space="0" w:color="000000"/>
              <w:bottom w:val="single" w:sz="4" w:space="0" w:color="000000"/>
              <w:right w:val="single" w:sz="4" w:space="0" w:color="000000"/>
            </w:tcBorders>
          </w:tcPr>
          <w:p w:rsidR="007C08EE" w:rsidRDefault="00000000">
            <w:pPr>
              <w:ind w:left="0" w:hanging="2"/>
              <w:rPr>
                <w:rFonts w:ascii="Times New Roman" w:eastAsia="Times New Roman" w:hAnsi="Times New Roman" w:cs="Times New Roman"/>
              </w:rPr>
            </w:pPr>
            <w:r>
              <w:rPr>
                <w:rFonts w:ascii="Times New Roman" w:eastAsia="Times New Roman" w:hAnsi="Times New Roman" w:cs="Times New Roman"/>
              </w:rPr>
              <w:t>Žr. cobas pure vartotojo vadovas LT.</w:t>
            </w:r>
          </w:p>
          <w:p w:rsidR="007C08EE" w:rsidRDefault="00000000">
            <w:pPr>
              <w:ind w:left="0" w:hanging="2"/>
            </w:pPr>
            <w:r>
              <w:rPr>
                <w:rFonts w:ascii="Times New Roman" w:eastAsia="Times New Roman" w:hAnsi="Times New Roman" w:cs="Times New Roman"/>
              </w:rPr>
              <w:lastRenderedPageBreak/>
              <w:t>Žr. cobas pure vartotojo vadovas EN.</w:t>
            </w:r>
          </w:p>
        </w:tc>
      </w:tr>
    </w:tbl>
    <w:p w:rsidR="007C08EE" w:rsidRDefault="007C08EE">
      <w:pPr>
        <w:ind w:left="0" w:hanging="2"/>
        <w:jc w:val="both"/>
        <w:rPr>
          <w:rFonts w:ascii="Times New Roman" w:eastAsia="Times New Roman" w:hAnsi="Times New Roman" w:cs="Times New Roman"/>
        </w:rPr>
      </w:pPr>
    </w:p>
    <w:p w:rsidR="007C08EE" w:rsidRDefault="00000000">
      <w:pPr>
        <w:ind w:left="0" w:hanging="2"/>
        <w:jc w:val="both"/>
      </w:pPr>
      <w:r>
        <w:rPr>
          <w:rFonts w:ascii="Times New Roman" w:eastAsia="Times New Roman" w:hAnsi="Times New Roman" w:cs="Times New Roman"/>
          <w:color w:val="000000"/>
        </w:rPr>
        <w:t>-Įranga turi būti sertifikuota naudojimui Europos Sąjungoje, pažymėta CE žyme.</w:t>
      </w:r>
    </w:p>
    <w:p w:rsidR="007C08EE" w:rsidRDefault="00000000">
      <w:pPr>
        <w:ind w:left="0" w:hanging="2"/>
        <w:jc w:val="both"/>
      </w:pPr>
      <w:r>
        <w:rPr>
          <w:rFonts w:ascii="Times New Roman" w:eastAsia="Times New Roman" w:hAnsi="Times New Roman" w:cs="Times New Roman"/>
          <w:color w:val="000000"/>
        </w:rPr>
        <w:t>-1.1. ir 1.2.pirkimo dalims siūloma įranga turi būti ne senesnė kaip vieneri metai.</w:t>
      </w:r>
    </w:p>
    <w:p w:rsidR="007C08EE" w:rsidRDefault="0000000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-Tiekėjas turi instaliuoti įrangą ir paruošti darbui bei kompetentingas specialistas, turintis kompetenciją įrodantį dokumentą, apmoko personalą naudotis įranga. Specialistas turi pateikti dokumentą (pažymėjimą/sertifikatą), patvirtinantį, kad mokymus atliekantis asmuo yra įrangos gamintojo tinkamai apmokytas ir/ar įgaliotas mokyti įrangos naudotojus.</w:t>
      </w:r>
    </w:p>
    <w:p w:rsidR="007C08EE" w:rsidRDefault="00000000">
      <w:pPr>
        <w:ind w:left="0" w:hanging="2"/>
        <w:jc w:val="both"/>
      </w:pPr>
      <w:r>
        <w:rPr>
          <w:rFonts w:ascii="Times New Roman" w:eastAsia="Times New Roman" w:hAnsi="Times New Roman" w:cs="Times New Roman"/>
        </w:rPr>
        <w:t>-Tyrimų pavadinimai nurodyti tyrimų techninės specifikacijos projekte.</w:t>
      </w:r>
    </w:p>
    <w:p w:rsidR="007C08EE" w:rsidRDefault="00000000">
      <w:pPr>
        <w:ind w:left="0" w:hanging="2"/>
        <w:jc w:val="both"/>
      </w:pPr>
      <w:r>
        <w:rPr>
          <w:rFonts w:ascii="Times New Roman" w:eastAsia="Times New Roman" w:hAnsi="Times New Roman" w:cs="Times New Roman"/>
        </w:rPr>
        <w:t>-Tikslus reagentų ir kitų priemonių kiekis apskaičiuojamas tyrimų skaičiui nurodytam tyrimų specifikacijoje.</w:t>
      </w:r>
    </w:p>
    <w:p w:rsidR="007C08EE" w:rsidRDefault="00000000">
      <w:pPr>
        <w:ind w:left="0" w:hanging="2"/>
        <w:jc w:val="both"/>
      </w:pPr>
      <w:r>
        <w:rPr>
          <w:rFonts w:ascii="Times New Roman" w:eastAsia="Times New Roman" w:hAnsi="Times New Roman" w:cs="Times New Roman"/>
        </w:rPr>
        <w:t>-Tyrimo priemones reikalingas tiksliniam tyrimui atlikti tiekėjai privalo nurodyti patys, užpildydami specifikacijoje pateiktas lenteles, nebūtinai vadovaujantis tuo kas dalinai nurodyta specifikacijoje, tačiau būtina nurodyti visą spektrą priemonių užtikrinančių kokybišką tyrimo atlikimą.</w:t>
      </w:r>
    </w:p>
    <w:p w:rsidR="007C08EE" w:rsidRDefault="00000000">
      <w:pPr>
        <w:ind w:left="0" w:hanging="2"/>
      </w:pPr>
      <w:r>
        <w:rPr>
          <w:rFonts w:ascii="Times New Roman" w:eastAsia="Times New Roman" w:hAnsi="Times New Roman" w:cs="Times New Roman"/>
          <w:b/>
        </w:rPr>
        <w:t>-Automatinė integruota sistema ir biocheminis analizatorius turi būti to paties gamintojo, bei ant abiejų analizatorių dubliuojamiems tyrimams, neįskaitant elektrolitų tyrimų, naudoti tuos pačius biocheminiams tyrimams skirtus reagentus, kontrolines ir kalibracines medžiagas.</w:t>
      </w:r>
    </w:p>
    <w:p w:rsidR="007C08EE" w:rsidRDefault="00000000">
      <w:pPr>
        <w:ind w:left="0" w:hanging="2"/>
      </w:pPr>
      <w:r>
        <w:rPr>
          <w:rFonts w:ascii="Times New Roman" w:eastAsia="Times New Roman" w:hAnsi="Times New Roman" w:cs="Times New Roman"/>
        </w:rPr>
        <w:t>-Vertinamas tik pilnas pasiūlymas, pilnai atitinkantis kokybinius ir techninius reikalavimus. Pirkimo dalis perkama iš vieno tiekėjo.</w:t>
      </w:r>
    </w:p>
    <w:p w:rsidR="007C08EE" w:rsidRDefault="007C08EE">
      <w:pPr>
        <w:ind w:left="0" w:hanging="2"/>
        <w:jc w:val="both"/>
        <w:rPr>
          <w:rFonts w:ascii="Times New Roman" w:eastAsia="Times New Roman" w:hAnsi="Times New Roman" w:cs="Times New Roman"/>
          <w:color w:val="000000"/>
        </w:rPr>
      </w:pPr>
    </w:p>
    <w:p w:rsidR="007C08EE" w:rsidRDefault="007C08EE">
      <w:pPr>
        <w:ind w:left="0" w:hanging="2"/>
        <w:rPr>
          <w:rFonts w:ascii="Times New Roman" w:eastAsia="Times New Roman" w:hAnsi="Times New Roman" w:cs="Times New Roman"/>
          <w:color w:val="000000"/>
          <w:sz w:val="24"/>
          <w:szCs w:val="24"/>
        </w:rPr>
      </w:pPr>
    </w:p>
    <w:p w:rsidR="007C08EE" w:rsidRDefault="007C08EE">
      <w:pPr>
        <w:ind w:left="0" w:hanging="2"/>
        <w:jc w:val="right"/>
        <w:rPr>
          <w:rFonts w:ascii="Times New Roman" w:eastAsia="Times New Roman" w:hAnsi="Times New Roman" w:cs="Times New Roman"/>
          <w:color w:val="000000"/>
          <w:sz w:val="24"/>
          <w:szCs w:val="24"/>
        </w:rPr>
      </w:pPr>
    </w:p>
    <w:p w:rsidR="007C08EE" w:rsidRDefault="007C08EE">
      <w:pPr>
        <w:ind w:left="0" w:hanging="2"/>
        <w:jc w:val="center"/>
      </w:pPr>
    </w:p>
    <w:sectPr w:rsidR="007C08EE">
      <w:footerReference w:type="default" r:id="rId8"/>
      <w:pgSz w:w="16838" w:h="11906" w:orient="landscape"/>
      <w:pgMar w:top="1701"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7946" w:rsidRDefault="00A47946">
      <w:pPr>
        <w:spacing w:line="240" w:lineRule="auto"/>
        <w:ind w:left="0" w:hanging="2"/>
      </w:pPr>
      <w:r>
        <w:separator/>
      </w:r>
    </w:p>
  </w:endnote>
  <w:endnote w:type="continuationSeparator" w:id="0">
    <w:p w:rsidR="00A47946" w:rsidRDefault="00A4794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0000000000000000000"/>
    <w:charset w:val="00"/>
    <w:family w:val="roman"/>
    <w:notTrueType/>
    <w:pitch w:val="default"/>
  </w:font>
  <w:font w:name="TimesLT">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8EE" w:rsidRDefault="00000000">
    <w:pPr>
      <w:pBdr>
        <w:top w:val="nil"/>
        <w:left w:val="nil"/>
        <w:bottom w:val="nil"/>
        <w:right w:val="nil"/>
        <w:between w:val="nil"/>
      </w:pBdr>
      <w:tabs>
        <w:tab w:val="center" w:pos="4819"/>
        <w:tab w:val="right" w:pos="9638"/>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E5748D">
      <w:rPr>
        <w:noProof/>
        <w:color w:val="000000"/>
      </w:rPr>
      <w:t>1</w:t>
    </w:r>
    <w:r>
      <w:rPr>
        <w:color w:val="000000"/>
      </w:rPr>
      <w:fldChar w:fldCharType="end"/>
    </w:r>
  </w:p>
  <w:p w:rsidR="007C08EE" w:rsidRDefault="007C08EE">
    <w:pPr>
      <w:pBdr>
        <w:top w:val="nil"/>
        <w:left w:val="nil"/>
        <w:bottom w:val="nil"/>
        <w:right w:val="nil"/>
        <w:between w:val="nil"/>
      </w:pBdr>
      <w:tabs>
        <w:tab w:val="center" w:pos="4819"/>
        <w:tab w:val="right" w:pos="9638"/>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7946" w:rsidRDefault="00A47946">
      <w:pPr>
        <w:spacing w:line="240" w:lineRule="auto"/>
        <w:ind w:left="0" w:hanging="2"/>
      </w:pPr>
      <w:r>
        <w:separator/>
      </w:r>
    </w:p>
  </w:footnote>
  <w:footnote w:type="continuationSeparator" w:id="0">
    <w:p w:rsidR="00A47946" w:rsidRDefault="00A47946">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A0597"/>
    <w:multiLevelType w:val="multilevel"/>
    <w:tmpl w:val="3E406714"/>
    <w:lvl w:ilvl="0">
      <w:start w:val="1"/>
      <w:numFmt w:val="decimal"/>
      <w:pStyle w:val="Antrat1"/>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48651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8EE"/>
    <w:rsid w:val="007C08EE"/>
    <w:rsid w:val="00A47946"/>
    <w:rsid w:val="00E574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BFAB9A-791F-4B68-8C77-5B2F87D4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1" w:lineRule="atLeast"/>
      <w:ind w:leftChars="-1" w:left="-1" w:hangingChars="1" w:hanging="1"/>
      <w:textDirection w:val="btLr"/>
      <w:textAlignment w:val="top"/>
      <w:outlineLvl w:val="0"/>
    </w:pPr>
    <w:rPr>
      <w:position w:val="-1"/>
      <w:lang w:val="en-US" w:eastAsia="zh-CN"/>
    </w:rPr>
  </w:style>
  <w:style w:type="paragraph" w:styleId="Antrat1">
    <w:name w:val="heading 1"/>
    <w:basedOn w:val="prastasis"/>
    <w:next w:val="prastasis"/>
    <w:uiPriority w:val="9"/>
    <w:qFormat/>
    <w:pPr>
      <w:keepNext/>
      <w:numPr>
        <w:numId w:val="1"/>
      </w:numPr>
      <w:ind w:left="-1" w:hanging="1"/>
      <w:jc w:val="center"/>
    </w:pPr>
    <w:rPr>
      <w:b/>
      <w:bCs/>
    </w:rPr>
  </w:style>
  <w:style w:type="paragraph" w:styleId="Antrat2">
    <w:name w:val="heading 2"/>
    <w:basedOn w:val="prastasis"/>
    <w:next w:val="prastasis"/>
    <w:uiPriority w:val="9"/>
    <w:semiHidden/>
    <w:unhideWhenUsed/>
    <w:qFormat/>
    <w:pPr>
      <w:keepNext/>
      <w:numPr>
        <w:ilvl w:val="1"/>
        <w:numId w:val="1"/>
      </w:numPr>
      <w:ind w:left="-1" w:hanging="1"/>
      <w:outlineLvl w:val="1"/>
    </w:pPr>
    <w:rPr>
      <w:b/>
      <w:bCs/>
    </w:rPr>
  </w:style>
  <w:style w:type="paragraph" w:styleId="Antrat3">
    <w:name w:val="heading 3"/>
    <w:basedOn w:val="Heading"/>
    <w:next w:val="Pagrindinistekstas"/>
    <w:uiPriority w:val="9"/>
    <w:semiHidden/>
    <w:unhideWhenUsed/>
    <w:qFormat/>
    <w:pPr>
      <w:numPr>
        <w:ilvl w:val="2"/>
        <w:numId w:val="1"/>
      </w:numPr>
      <w:spacing w:before="140"/>
      <w:ind w:left="-1" w:hanging="1"/>
      <w:outlineLvl w:val="2"/>
    </w:pPr>
    <w:rPr>
      <w:b/>
      <w:bCs/>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next w:val="Table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Symbol" w:hAnsi="Symbol" w:cs="OpenSymbol"/>
      <w:w w:val="100"/>
      <w:position w:val="-1"/>
      <w:sz w:val="24"/>
      <w:szCs w:val="24"/>
      <w:effect w:val="none"/>
      <w:shd w:val="clear" w:color="auto" w:fill="auto"/>
      <w:vertAlign w:val="baseline"/>
      <w:cs w:val="0"/>
      <w:em w:val="none"/>
      <w:lang w:val="lt-LT"/>
    </w:rPr>
  </w:style>
  <w:style w:type="character" w:customStyle="1" w:styleId="WW8Num3z0">
    <w:name w:val="WW8Num3z0"/>
    <w:rPr>
      <w:rFonts w:ascii="Symbol" w:hAnsi="Symbol" w:cs="Times New Roman"/>
      <w:w w:val="100"/>
      <w:position w:val="-1"/>
      <w:sz w:val="24"/>
      <w:szCs w:val="24"/>
      <w:effect w:val="none"/>
      <w:vertAlign w:val="baseline"/>
      <w:cs w:val="0"/>
      <w:em w:val="none"/>
      <w:lang w:val="lt-LT"/>
    </w:rPr>
  </w:style>
  <w:style w:type="character" w:customStyle="1" w:styleId="WW8Num4z0">
    <w:name w:val="WW8Num4z0"/>
    <w:rPr>
      <w:rFonts w:ascii="Symbol" w:hAnsi="Symbol" w:cs="OpenSymbol"/>
      <w:w w:val="100"/>
      <w:position w:val="-1"/>
      <w:sz w:val="24"/>
      <w:szCs w:val="24"/>
      <w:effect w:val="none"/>
      <w:vertAlign w:val="baseline"/>
      <w:cs w:val="0"/>
      <w:em w:val="none"/>
      <w:lang w:val="lt-LT"/>
    </w:rPr>
  </w:style>
  <w:style w:type="character" w:customStyle="1" w:styleId="WW8Num5z0">
    <w:name w:val="WW8Num5z0"/>
    <w:rPr>
      <w:rFonts w:ascii="Symbol" w:hAnsi="Symbol" w:cs="Times New Roman"/>
      <w:w w:val="100"/>
      <w:position w:val="-1"/>
      <w:sz w:val="24"/>
      <w:szCs w:val="24"/>
      <w:effect w:val="none"/>
      <w:vertAlign w:val="baseline"/>
      <w:cs w:val="0"/>
      <w:em w:val="none"/>
      <w:lang w:val="lt-LT"/>
    </w:rPr>
  </w:style>
  <w:style w:type="character" w:customStyle="1" w:styleId="WW8Num6z0">
    <w:name w:val="WW8Num6z0"/>
    <w:rPr>
      <w:rFonts w:ascii="Symbol" w:hAnsi="Symbol" w:cs="OpenSymbol"/>
      <w:w w:val="100"/>
      <w:position w:val="-1"/>
      <w:sz w:val="24"/>
      <w:szCs w:val="24"/>
      <w:effect w:val="none"/>
      <w:vertAlign w:val="baseline"/>
      <w:cs w:val="0"/>
      <w:em w:val="none"/>
      <w:lang w:val="lt-LT"/>
    </w:rPr>
  </w:style>
  <w:style w:type="character" w:customStyle="1" w:styleId="Numatytasispastraiposriftas2">
    <w:name w:val="Numatytasis pastraipos šriftas2"/>
    <w:rPr>
      <w:w w:val="100"/>
      <w:position w:val="-1"/>
      <w:effect w:val="none"/>
      <w:vertAlign w:val="baseline"/>
      <w:cs w:val="0"/>
      <w:em w:val="none"/>
    </w:rPr>
  </w:style>
  <w:style w:type="character" w:customStyle="1" w:styleId="DefaultParagraphFont2">
    <w:name w:val="Default Paragraph Font2"/>
    <w:rPr>
      <w:w w:val="100"/>
      <w:position w:val="-1"/>
      <w:effect w:val="none"/>
      <w:vertAlign w:val="baseline"/>
      <w:cs w:val="0"/>
      <w:em w:val="none"/>
    </w:rPr>
  </w:style>
  <w:style w:type="character" w:customStyle="1" w:styleId="Numatytasispastraiposriftas1">
    <w:name w:val="Numatytasis pastraipos šriftas1"/>
    <w:rPr>
      <w:w w:val="100"/>
      <w:position w:val="-1"/>
      <w:effect w:val="none"/>
      <w:vertAlign w:val="baseline"/>
      <w:cs w:val="0"/>
      <w:em w:val="none"/>
    </w:rPr>
  </w:style>
  <w:style w:type="character" w:customStyle="1" w:styleId="WW8Num7z0">
    <w:name w:val="WW8Num7z0"/>
    <w:rPr>
      <w:rFonts w:ascii="Times New Roman" w:hAnsi="Times New Roman" w:cs="Times New Roman" w:hint="default"/>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customStyle="1" w:styleId="WW8Num9z0">
    <w:name w:val="WW8Num9z0"/>
    <w:rPr>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DefaultParagraphFont1">
    <w:name w:val="WW-Default Paragraph Font1"/>
    <w:rPr>
      <w:w w:val="100"/>
      <w:position w:val="-1"/>
      <w:effect w:val="none"/>
      <w:vertAlign w:val="baseline"/>
      <w:cs w:val="0"/>
      <w:em w:val="none"/>
    </w:rPr>
  </w:style>
  <w:style w:type="character" w:customStyle="1" w:styleId="WW-DefaultParagraphFont11">
    <w:name w:val="WW-Default Paragraph Font11"/>
    <w:rPr>
      <w:w w:val="100"/>
      <w:position w:val="-1"/>
      <w:effect w:val="none"/>
      <w:vertAlign w:val="baseline"/>
      <w:cs w:val="0"/>
      <w:em w:val="none"/>
    </w:rPr>
  </w:style>
  <w:style w:type="character" w:customStyle="1" w:styleId="WW-DefaultParagraphFont111">
    <w:name w:val="WW-Default Paragraph Font111"/>
    <w:rPr>
      <w:w w:val="100"/>
      <w:position w:val="-1"/>
      <w:effect w:val="none"/>
      <w:vertAlign w:val="baseline"/>
      <w:cs w:val="0"/>
      <w:em w:val="none"/>
    </w:rPr>
  </w:style>
  <w:style w:type="character" w:customStyle="1" w:styleId="WW8Num7z1">
    <w:name w:val="WW8Num7z1"/>
    <w:rPr>
      <w:rFonts w:ascii="Courier New" w:hAnsi="Courier New" w:cs="Courier New" w:hint="default"/>
      <w:w w:val="100"/>
      <w:position w:val="-1"/>
      <w:effect w:val="none"/>
      <w:vertAlign w:val="baseline"/>
      <w:cs w:val="0"/>
      <w:em w:val="none"/>
    </w:rPr>
  </w:style>
  <w:style w:type="character" w:customStyle="1" w:styleId="WW8Num7z2">
    <w:name w:val="WW8Num7z2"/>
    <w:rPr>
      <w:rFonts w:ascii="Wingdings" w:hAnsi="Wingdings" w:cs="Wingdings" w:hint="default"/>
      <w:w w:val="100"/>
      <w:position w:val="-1"/>
      <w:effect w:val="none"/>
      <w:vertAlign w:val="baseline"/>
      <w:cs w:val="0"/>
      <w:em w:val="none"/>
    </w:rPr>
  </w:style>
  <w:style w:type="character" w:customStyle="1" w:styleId="WW8Num7z3">
    <w:name w:val="WW8Num7z3"/>
    <w:rPr>
      <w:rFonts w:ascii="Symbol" w:hAnsi="Symbol" w:cs="Symbol" w:hint="default"/>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DefaultParagraphFont1111">
    <w:name w:val="WW-Default Paragraph Font1111"/>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1">
    <w:name w:val="WW8Num5z1"/>
    <w:rPr>
      <w:rFonts w:ascii="Courier New" w:hAnsi="Courier New" w:cs="Courier New" w:hint="default"/>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WW8Num5z3">
    <w:name w:val="WW8Num5z3"/>
    <w:rPr>
      <w:rFonts w:ascii="Symbol" w:hAnsi="Symbol" w:cs="Symbol" w:hint="default"/>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10z0">
    <w:name w:val="WW8Num10z0"/>
    <w:rPr>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0">
    <w:name w:val="WW8Num13z0"/>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w w:val="100"/>
      <w:position w:val="-1"/>
      <w:effect w:val="none"/>
      <w:vertAlign w:val="baseline"/>
      <w:cs w:val="0"/>
      <w:em w:val="none"/>
    </w:rPr>
  </w:style>
  <w:style w:type="character" w:customStyle="1" w:styleId="WW8Num15z0">
    <w:name w:val="WW8Num15z0"/>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w w:val="100"/>
      <w:position w:val="-1"/>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DefaultParagraphFont1">
    <w:name w:val="Default Paragraph Font1"/>
    <w:rPr>
      <w:w w:val="100"/>
      <w:position w:val="-1"/>
      <w:effect w:val="none"/>
      <w:vertAlign w:val="baseline"/>
      <w:cs w:val="0"/>
      <w:em w:val="none"/>
    </w:rPr>
  </w:style>
  <w:style w:type="character" w:styleId="Hipersaitas">
    <w:name w:val="Hyperlink"/>
    <w:rPr>
      <w:color w:val="0000FF"/>
      <w:w w:val="100"/>
      <w:position w:val="-1"/>
      <w:u w:val="single"/>
      <w:effect w:val="none"/>
      <w:vertAlign w:val="baseline"/>
      <w:cs w:val="0"/>
      <w:em w:val="none"/>
    </w:rPr>
  </w:style>
  <w:style w:type="character" w:styleId="Puslapionumeris">
    <w:name w:val="page number"/>
    <w:basedOn w:val="DefaultParagraphFont1"/>
    <w:rPr>
      <w:w w:val="100"/>
      <w:position w:val="-1"/>
      <w:effect w:val="none"/>
      <w:vertAlign w:val="baseline"/>
      <w:cs w:val="0"/>
      <w:em w:val="none"/>
    </w:rPr>
  </w:style>
  <w:style w:type="character" w:customStyle="1" w:styleId="HeaderChar">
    <w:name w:val="Header Char"/>
    <w:rPr>
      <w:rFonts w:ascii="Arial" w:hAnsi="Arial" w:cs="Arial"/>
      <w:w w:val="100"/>
      <w:position w:val="-1"/>
      <w:sz w:val="22"/>
      <w:effect w:val="none"/>
      <w:vertAlign w:val="baseline"/>
      <w:cs w:val="0"/>
      <w:em w:val="none"/>
      <w:lang w:val="en-US" w:eastAsia="zh-CN"/>
    </w:rPr>
  </w:style>
  <w:style w:type="character" w:customStyle="1" w:styleId="Komentaronuoroda1">
    <w:name w:val="Komentaro nuoroda1"/>
    <w:rPr>
      <w:w w:val="100"/>
      <w:position w:val="-1"/>
      <w:sz w:val="16"/>
      <w:szCs w:val="16"/>
      <w:effect w:val="none"/>
      <w:vertAlign w:val="baseline"/>
      <w:cs w:val="0"/>
      <w:em w:val="none"/>
    </w:rPr>
  </w:style>
  <w:style w:type="character" w:customStyle="1" w:styleId="KomentarotekstasDiagrama">
    <w:name w:val="Komentaro tekstas Diagrama"/>
    <w:rPr>
      <w:rFonts w:ascii="Arial" w:hAnsi="Arial" w:cs="Arial"/>
      <w:w w:val="100"/>
      <w:position w:val="-1"/>
      <w:effect w:val="none"/>
      <w:vertAlign w:val="baseline"/>
      <w:cs w:val="0"/>
      <w:em w:val="none"/>
      <w:lang w:val="en-US" w:eastAsia="zh-CN"/>
    </w:rPr>
  </w:style>
  <w:style w:type="character" w:customStyle="1" w:styleId="KomentarotemaDiagrama">
    <w:name w:val="Komentaro tema Diagrama"/>
    <w:rPr>
      <w:rFonts w:ascii="Arial" w:hAnsi="Arial" w:cs="Arial"/>
      <w:b/>
      <w:bCs/>
      <w:w w:val="100"/>
      <w:position w:val="-1"/>
      <w:effect w:val="none"/>
      <w:vertAlign w:val="baseline"/>
      <w:cs w:val="0"/>
      <w:em w:val="none"/>
      <w:lang w:val="en-US" w:eastAsia="zh-CN"/>
    </w:rPr>
  </w:style>
  <w:style w:type="character" w:styleId="Eilutsnumeris">
    <w:name w:val="line number"/>
    <w:rPr>
      <w:w w:val="100"/>
      <w:position w:val="-1"/>
      <w:effect w:val="none"/>
      <w:vertAlign w:val="baseline"/>
      <w:cs w:val="0"/>
      <w:em w:val="none"/>
    </w:rPr>
  </w:style>
  <w:style w:type="paragraph" w:customStyle="1" w:styleId="Antrat40">
    <w:name w:val="Antraštė4"/>
    <w:basedOn w:val="prastasis"/>
    <w:next w:val="Pagrindinistekstas"/>
    <w:pPr>
      <w:suppressLineNumbers/>
      <w:spacing w:before="120" w:after="120"/>
    </w:pPr>
    <w:rPr>
      <w:rFonts w:cs="Lucida Sans"/>
      <w:i/>
      <w:iCs/>
      <w:sz w:val="24"/>
      <w:szCs w:val="24"/>
    </w:rPr>
  </w:style>
  <w:style w:type="paragraph" w:styleId="Pagrindinistekstas">
    <w:name w:val="Body Text"/>
    <w:pPr>
      <w:spacing w:line="1" w:lineRule="atLeast"/>
      <w:ind w:leftChars="-1" w:left="-1" w:hangingChars="1" w:firstLine="312"/>
      <w:jc w:val="both"/>
      <w:textDirection w:val="btLr"/>
      <w:textAlignment w:val="top"/>
      <w:outlineLvl w:val="0"/>
    </w:pPr>
    <w:rPr>
      <w:rFonts w:ascii="TimesLT" w:hAnsi="TimesLT" w:cs="TimesLT"/>
      <w:position w:val="-1"/>
      <w:lang w:val="en-US" w:eastAsia="zh-CN"/>
    </w:rPr>
  </w:style>
  <w:style w:type="paragraph" w:styleId="Sraas">
    <w:name w:val="List"/>
    <w:basedOn w:val="Pagrindinistekstas"/>
    <w:pPr>
      <w:spacing w:after="140" w:line="288" w:lineRule="auto"/>
      <w:ind w:hanging="1"/>
    </w:pPr>
    <w:rPr>
      <w:rFonts w:ascii="Arial" w:hAnsi="Arial" w:cs="Mangal"/>
    </w:rPr>
  </w:style>
  <w:style w:type="paragraph" w:styleId="Antrat">
    <w:name w:val="caption"/>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Heading">
    <w:name w:val="Heading"/>
    <w:basedOn w:val="prastasis"/>
    <w:next w:val="Pagrindinistekstas"/>
    <w:pPr>
      <w:keepNext/>
      <w:spacing w:before="240" w:after="120"/>
    </w:pPr>
    <w:rPr>
      <w:rFonts w:ascii="Liberation Sans" w:eastAsia="Microsoft YaHei" w:hAnsi="Liberation Sans" w:cs="Mangal"/>
      <w:sz w:val="28"/>
      <w:szCs w:val="28"/>
    </w:rPr>
  </w:style>
  <w:style w:type="paragraph" w:customStyle="1" w:styleId="Antrat30">
    <w:name w:val="Antraštė3"/>
    <w:basedOn w:val="prastasis"/>
    <w:next w:val="Pagrindinistekstas"/>
    <w:pPr>
      <w:suppressLineNumbers/>
      <w:spacing w:before="120" w:after="120"/>
    </w:pPr>
    <w:rPr>
      <w:rFonts w:cs="Mangal"/>
      <w:i/>
      <w:iCs/>
      <w:sz w:val="24"/>
      <w:szCs w:val="24"/>
    </w:rPr>
  </w:style>
  <w:style w:type="paragraph" w:customStyle="1" w:styleId="Caption1">
    <w:name w:val="Caption1"/>
    <w:basedOn w:val="prastasis"/>
    <w:pPr>
      <w:suppressLineNumbers/>
      <w:spacing w:before="120" w:after="120"/>
    </w:pPr>
    <w:rPr>
      <w:rFonts w:cs="Lucida Sans"/>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Liberation Sans" w:eastAsia="Microsoft YaHei" w:hAnsi="Liberation Sans" w:cs="Mangal"/>
      <w:sz w:val="28"/>
      <w:szCs w:val="28"/>
    </w:rPr>
  </w:style>
  <w:style w:type="paragraph" w:customStyle="1" w:styleId="WW-Caption">
    <w:name w:val="WW-Caption"/>
    <w:basedOn w:val="prastasis"/>
    <w:pPr>
      <w:suppressLineNumbers/>
      <w:spacing w:before="120" w:after="120"/>
    </w:pPr>
    <w:rPr>
      <w:rFonts w:cs="Mangal"/>
      <w:i/>
      <w:iCs/>
      <w:sz w:val="24"/>
      <w:szCs w:val="24"/>
    </w:rPr>
  </w:style>
  <w:style w:type="paragraph" w:customStyle="1" w:styleId="WW-Caption1">
    <w:name w:val="WW-Caption1"/>
    <w:basedOn w:val="prastasis"/>
    <w:pPr>
      <w:suppressLineNumbers/>
      <w:spacing w:before="120" w:after="120"/>
    </w:pPr>
    <w:rPr>
      <w:rFonts w:cs="Mangal"/>
      <w:i/>
      <w:iCs/>
      <w:sz w:val="24"/>
      <w:szCs w:val="24"/>
    </w:rPr>
  </w:style>
  <w:style w:type="paragraph" w:customStyle="1" w:styleId="WW-Caption11">
    <w:name w:val="WW-Caption11"/>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Liberation Sans" w:eastAsia="Microsoft YaHei" w:hAnsi="Liberation Sans" w:cs="Mangal"/>
      <w:sz w:val="28"/>
      <w:szCs w:val="28"/>
    </w:rPr>
  </w:style>
  <w:style w:type="paragraph" w:customStyle="1" w:styleId="WW-Caption111">
    <w:name w:val="WW-Caption111"/>
    <w:basedOn w:val="prastasis"/>
    <w:pPr>
      <w:suppressLineNumbers/>
      <w:spacing w:before="120" w:after="120"/>
    </w:pPr>
    <w:rPr>
      <w:rFonts w:cs="Mangal"/>
      <w:i/>
      <w:iCs/>
      <w:sz w:val="24"/>
      <w:szCs w:val="24"/>
    </w:rPr>
  </w:style>
  <w:style w:type="paragraph" w:customStyle="1" w:styleId="DocumentMap1">
    <w:name w:val="Document Map1"/>
    <w:basedOn w:val="prastasis"/>
    <w:pPr>
      <w:shd w:val="clear" w:color="auto" w:fill="000080"/>
    </w:pPr>
    <w:rPr>
      <w:rFonts w:ascii="Tahoma" w:hAnsi="Tahoma" w:cs="Tahoma"/>
      <w:sz w:val="20"/>
    </w:rPr>
  </w:style>
  <w:style w:type="paragraph" w:customStyle="1" w:styleId="BalloonText1">
    <w:name w:val="Balloon Text1"/>
    <w:basedOn w:val="prastasis"/>
    <w:rPr>
      <w:rFonts w:ascii="Tahoma" w:hAnsi="Tahoma" w:cs="Tahoma"/>
      <w:sz w:val="16"/>
      <w:szCs w:val="16"/>
    </w:rPr>
  </w:style>
  <w:style w:type="paragraph" w:customStyle="1" w:styleId="Puslapinantratirporat">
    <w:name w:val="Puslapinė antraštė ir poraštė"/>
    <w:basedOn w:val="prastasis"/>
    <w:pPr>
      <w:suppressLineNumbers/>
      <w:tabs>
        <w:tab w:val="center" w:pos="4819"/>
        <w:tab w:val="right" w:pos="9638"/>
      </w:tabs>
    </w:pPr>
  </w:style>
  <w:style w:type="paragraph" w:styleId="Porat">
    <w:name w:val="footer"/>
    <w:basedOn w:val="prastasis"/>
    <w:pPr>
      <w:tabs>
        <w:tab w:val="center" w:pos="4819"/>
        <w:tab w:val="right" w:pos="9638"/>
      </w:tabs>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pPr>
      <w:spacing w:after="160" w:line="240" w:lineRule="atLeast"/>
    </w:pPr>
    <w:rPr>
      <w:rFonts w:ascii="Verdana" w:hAnsi="Verdana" w:cs="Verdana"/>
      <w:sz w:val="20"/>
    </w:rPr>
  </w:style>
  <w:style w:type="paragraph" w:customStyle="1" w:styleId="Numatytasis">
    <w:name w:val="Numatytasis"/>
    <w:pPr>
      <w:spacing w:line="100" w:lineRule="atLeast"/>
      <w:ind w:leftChars="-1" w:left="-1" w:hangingChars="1" w:hanging="1"/>
      <w:textDirection w:val="btLr"/>
      <w:textAlignment w:val="baseline"/>
      <w:outlineLvl w:val="0"/>
    </w:pPr>
    <w:rPr>
      <w:color w:val="00000A"/>
      <w:position w:val="-1"/>
      <w:sz w:val="24"/>
      <w:szCs w:val="24"/>
      <w:lang w:eastAsia="zh-CN"/>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rastasis"/>
  </w:style>
  <w:style w:type="paragraph" w:customStyle="1" w:styleId="WW-Numatytasis">
    <w:name w:val="WW-Numatytasis"/>
    <w:pPr>
      <w:spacing w:line="100" w:lineRule="atLeast"/>
      <w:ind w:leftChars="-1" w:left="-1" w:hangingChars="1" w:hanging="1"/>
      <w:textDirection w:val="btLr"/>
      <w:textAlignment w:val="baseline"/>
      <w:outlineLvl w:val="0"/>
    </w:pPr>
    <w:rPr>
      <w:color w:val="00000A"/>
      <w:position w:val="-1"/>
      <w:sz w:val="24"/>
      <w:szCs w:val="24"/>
      <w:lang w:eastAsia="zh-CN"/>
    </w:rPr>
  </w:style>
  <w:style w:type="paragraph" w:customStyle="1" w:styleId="TableContents">
    <w:name w:val="Table Contents"/>
    <w:basedOn w:val="prastasis"/>
    <w:pPr>
      <w:suppressLineNumbers/>
    </w:pPr>
  </w:style>
  <w:style w:type="paragraph" w:customStyle="1" w:styleId="Standard">
    <w:name w:val="Standard"/>
    <w:pPr>
      <w:spacing w:after="200" w:line="276" w:lineRule="auto"/>
      <w:ind w:leftChars="-1" w:left="-1" w:hangingChars="1" w:hanging="1"/>
      <w:textDirection w:val="btLr"/>
      <w:textAlignment w:val="baseline"/>
      <w:outlineLvl w:val="0"/>
    </w:pPr>
    <w:rPr>
      <w:kern w:val="2"/>
      <w:position w:val="-1"/>
      <w:sz w:val="24"/>
      <w:szCs w:val="24"/>
      <w:lang w:eastAsia="zh-CN" w:bidi="hi-IN"/>
    </w:rPr>
  </w:style>
  <w:style w:type="paragraph" w:styleId="Antrats">
    <w:name w:val="header"/>
    <w:basedOn w:val="prastasis"/>
    <w:pPr>
      <w:tabs>
        <w:tab w:val="center" w:pos="4819"/>
        <w:tab w:val="right" w:pos="9638"/>
      </w:tab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customStyle="1" w:styleId="Quotations">
    <w:name w:val="Quotations"/>
    <w:basedOn w:val="prastasis"/>
    <w:pPr>
      <w:spacing w:after="283"/>
      <w:ind w:left="567" w:right="567" w:firstLine="0"/>
    </w:pPr>
  </w:style>
  <w:style w:type="paragraph" w:customStyle="1" w:styleId="Title1">
    <w:name w:val="Title1"/>
    <w:basedOn w:val="Heading"/>
    <w:next w:val="Pagrindinistekstas"/>
    <w:pPr>
      <w:jc w:val="center"/>
    </w:pPr>
    <w:rPr>
      <w:b/>
      <w:bCs/>
      <w:sz w:val="56"/>
      <w:szCs w:val="56"/>
    </w:rPr>
  </w:style>
  <w:style w:type="paragraph" w:styleId="Paantrat">
    <w:name w:val="Subtitle"/>
    <w:basedOn w:val="prastasis"/>
    <w:next w:val="prastasis"/>
    <w:uiPriority w:val="11"/>
    <w:qFormat/>
    <w:pPr>
      <w:keepNext/>
      <w:spacing w:before="60" w:after="120"/>
      <w:jc w:val="center"/>
    </w:pPr>
    <w:rPr>
      <w:rFonts w:ascii="Liberation Sans" w:eastAsia="Liberation Sans" w:hAnsi="Liberation Sans" w:cs="Liberation Sans"/>
      <w:sz w:val="36"/>
      <w:szCs w:val="36"/>
    </w:rPr>
  </w:style>
  <w:style w:type="paragraph" w:customStyle="1" w:styleId="Komentarotekstas1">
    <w:name w:val="Komentaro tekstas1"/>
    <w:basedOn w:val="prastasis"/>
    <w:rPr>
      <w:sz w:val="20"/>
    </w:rPr>
  </w:style>
  <w:style w:type="paragraph" w:customStyle="1" w:styleId="CommentSubject">
    <w:name w:val="Comment Subject"/>
    <w:basedOn w:val="Komentarotekstas1"/>
    <w:next w:val="Komentarotekstas1"/>
    <w:rPr>
      <w:b/>
      <w:bCs/>
    </w:rPr>
  </w:style>
  <w:style w:type="paragraph" w:styleId="Pataisymai">
    <w:name w:val="Revision"/>
    <w:pPr>
      <w:spacing w:line="1" w:lineRule="atLeast"/>
      <w:ind w:leftChars="-1" w:left="-1" w:hangingChars="1" w:hanging="1"/>
      <w:textDirection w:val="btLr"/>
      <w:textAlignment w:val="top"/>
      <w:outlineLvl w:val="0"/>
    </w:pPr>
    <w:rPr>
      <w:position w:val="-1"/>
      <w:lang w:val="en-US" w:eastAsia="zh-CN"/>
    </w:rPr>
  </w:style>
  <w:style w:type="character" w:customStyle="1" w:styleId="FooterChar">
    <w:name w:val="Footer Char"/>
    <w:rPr>
      <w:rFonts w:ascii="Arial" w:hAnsi="Arial" w:cs="Arial"/>
      <w:w w:val="100"/>
      <w:position w:val="-1"/>
      <w:sz w:val="22"/>
      <w:effect w:val="none"/>
      <w:vertAlign w:val="baseline"/>
      <w:cs w:val="0"/>
      <w:em w:val="none"/>
      <w:lang w:val="en-US" w:eastAsia="zh-CN"/>
    </w:rPr>
  </w:style>
  <w:style w:type="paragraph" w:customStyle="1" w:styleId="Body2">
    <w:name w:val="Body 2"/>
    <w:pPr>
      <w:pBdr>
        <w:top w:val="nil"/>
        <w:left w:val="nil"/>
        <w:bottom w:val="nil"/>
        <w:right w:val="nil"/>
        <w:between w:val="nil"/>
        <w:bar w:val="nil"/>
      </w:pBdr>
      <w:spacing w:after="40" w:line="1" w:lineRule="atLeast"/>
      <w:ind w:leftChars="-1" w:left="-1" w:hangingChars="1" w:hanging="1"/>
      <w:jc w:val="both"/>
      <w:textDirection w:val="btLr"/>
      <w:textAlignment w:val="top"/>
      <w:outlineLvl w:val="0"/>
    </w:pPr>
    <w:rPr>
      <w:color w:val="000000"/>
      <w:position w:val="-1"/>
      <w:bdr w:val="nil"/>
      <w:lang w:val="en-US"/>
    </w:rPr>
  </w:style>
  <w:style w:type="character" w:customStyle="1" w:styleId="CommentReference">
    <w:name w:val="Comment Reference"/>
    <w:qFormat/>
    <w:rPr>
      <w:w w:val="100"/>
      <w:position w:val="-1"/>
      <w:sz w:val="16"/>
      <w:szCs w:val="16"/>
      <w:effect w:val="none"/>
      <w:vertAlign w:val="baseline"/>
      <w:cs w:val="0"/>
      <w:em w:val="none"/>
    </w:rPr>
  </w:style>
  <w:style w:type="paragraph" w:customStyle="1" w:styleId="CommentText">
    <w:name w:val="Comment Text"/>
    <w:basedOn w:val="prastasis"/>
    <w:qFormat/>
    <w:rPr>
      <w:sz w:val="20"/>
    </w:rPr>
  </w:style>
  <w:style w:type="character" w:customStyle="1" w:styleId="CommentTextChar">
    <w:name w:val="Comment Text Char"/>
    <w:rPr>
      <w:rFonts w:ascii="Arial" w:hAnsi="Arial" w:cs="Arial"/>
      <w:w w:val="100"/>
      <w:position w:val="-1"/>
      <w:effect w:val="none"/>
      <w:vertAlign w:val="baseline"/>
      <w:cs w:val="0"/>
      <w:em w:val="none"/>
      <w:lang w:val="en-US" w:eastAsia="zh-CN"/>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X5RYBN1jevlLfiabAK6o+n6bPg==">AMUW2mW+nUVxCzz20G99v/AaAK3+Rth/XBWwdX2WhPUA2TOWskFAamivKxIDKpW70b5f3PvN5ee3IA9w9PgmRE3yoVRfCbiLzgkP7cEFLLHfMgpfESEDQts19dYAFluB9Mvun/XnCePN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9597</Words>
  <Characters>5471</Characters>
  <Application>Microsoft Office Word</Application>
  <DocSecurity>0</DocSecurity>
  <Lines>45</Lines>
  <Paragraphs>30</Paragraphs>
  <ScaleCrop>false</ScaleCrop>
  <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birute.p</dc:creator>
  <cp:lastModifiedBy>Viesieji2</cp:lastModifiedBy>
  <cp:revision>2</cp:revision>
  <dcterms:created xsi:type="dcterms:W3CDTF">2022-11-28T13:42:00Z</dcterms:created>
  <dcterms:modified xsi:type="dcterms:W3CDTF">2022-11-28T13:42:00Z</dcterms:modified>
</cp:coreProperties>
</file>