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EC56" w14:textId="77777777" w:rsidR="00DA4F19" w:rsidRDefault="00E16C72">
      <w:pPr>
        <w:pStyle w:val="Standard"/>
        <w:tabs>
          <w:tab w:val="left" w:pos="567"/>
          <w:tab w:val="right" w:leader="underscore" w:pos="8505"/>
        </w:tabs>
        <w:jc w:val="center"/>
        <w:rPr>
          <w:b/>
          <w:caps/>
          <w:sz w:val="22"/>
          <w:szCs w:val="22"/>
        </w:rPr>
      </w:pPr>
      <w:r>
        <w:rPr>
          <w:b/>
          <w:caps/>
          <w:sz w:val="22"/>
          <w:szCs w:val="22"/>
        </w:rPr>
        <w:t>SUSITARIMAS</w:t>
      </w:r>
    </w:p>
    <w:p w14:paraId="4EC5A104" w14:textId="2DCFD58F" w:rsidR="00DA4F19" w:rsidRDefault="00E16C72">
      <w:pPr>
        <w:pStyle w:val="Standard"/>
        <w:tabs>
          <w:tab w:val="left" w:pos="567"/>
        </w:tabs>
        <w:ind w:firstLine="567"/>
        <w:jc w:val="center"/>
        <w:rPr>
          <w:b/>
          <w:caps/>
          <w:sz w:val="22"/>
          <w:szCs w:val="22"/>
          <w:lang w:eastAsia="lt-LT"/>
        </w:rPr>
      </w:pPr>
      <w:r>
        <w:rPr>
          <w:b/>
          <w:caps/>
          <w:sz w:val="22"/>
          <w:szCs w:val="22"/>
        </w:rPr>
        <w:t xml:space="preserve">DĖL </w:t>
      </w:r>
      <w:r>
        <w:rPr>
          <w:b/>
          <w:caps/>
          <w:sz w:val="22"/>
          <w:szCs w:val="22"/>
          <w:lang w:eastAsia="lt-LT"/>
        </w:rPr>
        <w:t>2022 m. KOVO 30 D. „</w:t>
      </w:r>
      <w:r>
        <w:rPr>
          <w:b/>
          <w:color w:val="000000"/>
          <w:sz w:val="22"/>
          <w:szCs w:val="22"/>
        </w:rPr>
        <w:t xml:space="preserve">CPO195733 </w:t>
      </w:r>
      <w:r w:rsidR="00A07D44">
        <w:rPr>
          <w:b/>
          <w:color w:val="000000"/>
          <w:sz w:val="22"/>
          <w:szCs w:val="22"/>
        </w:rPr>
        <w:t xml:space="preserve">DĖL </w:t>
      </w:r>
      <w:r>
        <w:rPr>
          <w:b/>
          <w:color w:val="000000"/>
          <w:sz w:val="22"/>
          <w:szCs w:val="22"/>
        </w:rPr>
        <w:t>MOTORINIŲ TRANSPORTO PRIEMONIŲ DRAUDIMO</w:t>
      </w:r>
      <w:r>
        <w:rPr>
          <w:b/>
          <w:caps/>
          <w:sz w:val="22"/>
          <w:szCs w:val="22"/>
          <w:lang w:eastAsia="lt-LT"/>
        </w:rPr>
        <w:t xml:space="preserve">“ SUTARTIES  Nr. 5-ST2-67 </w:t>
      </w:r>
    </w:p>
    <w:p w14:paraId="0EBF0760" w14:textId="77777777" w:rsidR="00DA4F19" w:rsidRDefault="00E16C72">
      <w:pPr>
        <w:pStyle w:val="Standard"/>
        <w:tabs>
          <w:tab w:val="left" w:pos="567"/>
        </w:tabs>
        <w:ind w:firstLine="567"/>
        <w:jc w:val="center"/>
        <w:rPr>
          <w:b/>
          <w:caps/>
          <w:sz w:val="22"/>
          <w:szCs w:val="22"/>
          <w:lang w:eastAsia="lt-LT"/>
        </w:rPr>
      </w:pPr>
      <w:r>
        <w:rPr>
          <w:b/>
          <w:sz w:val="22"/>
          <w:szCs w:val="22"/>
        </w:rPr>
        <w:t>TERMINO PRATĘSIMO</w:t>
      </w:r>
    </w:p>
    <w:p w14:paraId="518A9716" w14:textId="77777777" w:rsidR="00DA4F19" w:rsidRDefault="00DA4F19">
      <w:pPr>
        <w:pStyle w:val="Standard"/>
        <w:tabs>
          <w:tab w:val="left" w:pos="567"/>
          <w:tab w:val="right" w:leader="underscore" w:pos="8505"/>
        </w:tabs>
        <w:jc w:val="center"/>
        <w:rPr>
          <w:sz w:val="22"/>
          <w:szCs w:val="22"/>
        </w:rPr>
      </w:pPr>
    </w:p>
    <w:p w14:paraId="4CD2FD16" w14:textId="77777777" w:rsidR="00DA4F19" w:rsidRDefault="00E16C72">
      <w:pPr>
        <w:pStyle w:val="Standard"/>
        <w:tabs>
          <w:tab w:val="left" w:pos="567"/>
          <w:tab w:val="right" w:leader="underscore" w:pos="8505"/>
        </w:tabs>
        <w:jc w:val="center"/>
        <w:rPr>
          <w:sz w:val="22"/>
          <w:szCs w:val="22"/>
        </w:rPr>
      </w:pPr>
      <w:r>
        <w:rPr>
          <w:sz w:val="22"/>
          <w:szCs w:val="22"/>
        </w:rPr>
        <w:t>2023 m. sausio  __  d. Nr. ___</w:t>
      </w:r>
    </w:p>
    <w:p w14:paraId="55440384" w14:textId="77777777" w:rsidR="00DA4F19" w:rsidRDefault="00DA4F19">
      <w:pPr>
        <w:widowControl/>
        <w:tabs>
          <w:tab w:val="left" w:pos="0"/>
        </w:tabs>
        <w:suppressAutoHyphens w:val="0"/>
        <w:jc w:val="both"/>
        <w:textAlignment w:val="auto"/>
        <w:rPr>
          <w:rFonts w:ascii="Times New Roman" w:hAnsi="Times New Roman" w:cs="Times New Roman"/>
          <w:sz w:val="22"/>
          <w:szCs w:val="22"/>
          <w:lang w:eastAsia="lt-LT"/>
        </w:rPr>
      </w:pPr>
    </w:p>
    <w:p w14:paraId="2D47C695" w14:textId="77777777" w:rsidR="00DA4F19" w:rsidRDefault="00E16C72">
      <w:pPr>
        <w:ind w:firstLine="601"/>
        <w:jc w:val="both"/>
      </w:pPr>
      <w:r>
        <w:rPr>
          <w:b/>
        </w:rPr>
        <w:t>Policijos departamentas prie Vidaus reikalų ministerijos (toliau – Užsakovas)</w:t>
      </w:r>
      <w:r>
        <w:t xml:space="preserve">, juridinio asmens kodas 188785847, kurio registruota buveinė yra Saltoniškių g. 19, LT-08105 Vilnius, Lietuva, duomenys apie įstaigą kaupiami ir saugomi Lietuvos Respublikos juridinių asmenų registre, atstovaujamas vyriausiojo patarėjo Romualdo Voišnio, veikiančio pagal Lietuvos policijos generalinio komisaro 2022 m. gruodžio 30 d. įsakymo Nr. 5-V-1262 „Dėl įgaliojimų suteikimo“ 1.4.3 p., ir </w:t>
      </w:r>
    </w:p>
    <w:p w14:paraId="3599FD9F" w14:textId="5D71FC00" w:rsidR="00DA4F19" w:rsidRDefault="00E16C72">
      <w:pPr>
        <w:ind w:firstLine="601"/>
        <w:jc w:val="both"/>
        <w:rPr>
          <w:rFonts w:ascii="Times New Roman" w:hAnsi="Times New Roman" w:cs="Times New Roman"/>
          <w:sz w:val="22"/>
          <w:szCs w:val="22"/>
        </w:rPr>
      </w:pPr>
      <w:r>
        <w:rPr>
          <w:rFonts w:ascii="Times New Roman" w:eastAsia="DejaVu Sans" w:hAnsi="Times New Roman" w:cs="Times New Roman"/>
          <w:b/>
          <w:kern w:val="0"/>
          <w:sz w:val="22"/>
          <w:szCs w:val="22"/>
          <w:lang w:bidi="ar-SA"/>
        </w:rPr>
        <w:t xml:space="preserve">Compensa Vienna Insurance Group, AD B </w:t>
      </w:r>
      <w:r>
        <w:rPr>
          <w:rFonts w:ascii="Times New Roman" w:eastAsia="DejaVu Sans" w:hAnsi="Times New Roman" w:cs="Times New Roman"/>
          <w:b/>
          <w:bCs/>
          <w:kern w:val="0"/>
          <w:sz w:val="22"/>
          <w:szCs w:val="22"/>
          <w:lang w:bidi="ar-SA"/>
        </w:rPr>
        <w:t>(toliau – Tiekėjas</w:t>
      </w:r>
      <w:r>
        <w:rPr>
          <w:rFonts w:ascii="Times New Roman" w:eastAsia="DejaVu Sans" w:hAnsi="Times New Roman" w:cs="Times New Roman"/>
          <w:bCs/>
          <w:kern w:val="0"/>
          <w:sz w:val="22"/>
          <w:szCs w:val="22"/>
          <w:lang w:bidi="ar-SA"/>
        </w:rPr>
        <w:t xml:space="preserve">), </w:t>
      </w:r>
      <w:r>
        <w:t xml:space="preserve">juridinio asmens kodas </w:t>
      </w:r>
      <w:r>
        <w:rPr>
          <w:rFonts w:ascii="Times New Roman" w:eastAsia="DejaVu Sans" w:hAnsi="Times New Roman" w:cs="Times New Roman"/>
          <w:kern w:val="0"/>
          <w:sz w:val="22"/>
          <w:szCs w:val="22"/>
          <w:lang w:bidi="ar-SA"/>
        </w:rPr>
        <w:t>304080146</w:t>
      </w:r>
      <w:r>
        <w:t xml:space="preserve">, kurio registruota buveinė yra </w:t>
      </w:r>
      <w:r>
        <w:rPr>
          <w:rFonts w:ascii="Times New Roman" w:eastAsia="DejaVu Sans" w:hAnsi="Times New Roman" w:cs="Times New Roman"/>
          <w:kern w:val="0"/>
          <w:sz w:val="22"/>
          <w:szCs w:val="22"/>
          <w:lang w:bidi="ar-SA"/>
        </w:rPr>
        <w:t>Ukmergės g. 280, 06115 Vilnius</w:t>
      </w:r>
      <w:r>
        <w:t>, Lietuva</w:t>
      </w:r>
      <w:r w:rsidR="00CD6C84">
        <w:t>,</w:t>
      </w:r>
      <w:r>
        <w:t xml:space="preserve"> atstovaujama </w:t>
      </w:r>
      <w:r>
        <w:rPr>
          <w:rFonts w:ascii="Times New Roman" w:eastAsia="DejaVu Sans" w:hAnsi="Times New Roman" w:cs="Times New Roman"/>
          <w:kern w:val="0"/>
          <w:sz w:val="22"/>
          <w:szCs w:val="22"/>
          <w:lang w:bidi="ar-SA"/>
        </w:rPr>
        <w:t xml:space="preserve">verslo klientų skyriaus </w:t>
      </w:r>
      <w:r w:rsidR="004F550A">
        <w:rPr>
          <w:rFonts w:ascii="Times New Roman" w:eastAsia="DejaVu Sans" w:hAnsi="Times New Roman" w:cs="Times New Roman"/>
          <w:kern w:val="0"/>
          <w:sz w:val="22"/>
          <w:szCs w:val="22"/>
          <w:lang w:bidi="ar-SA"/>
        </w:rPr>
        <w:t>vadybininkės</w:t>
      </w:r>
      <w:r>
        <w:rPr>
          <w:rFonts w:ascii="Times New Roman" w:eastAsia="DejaVu Sans" w:hAnsi="Times New Roman" w:cs="Times New Roman"/>
          <w:kern w:val="0"/>
          <w:sz w:val="22"/>
          <w:szCs w:val="22"/>
          <w:lang w:bidi="ar-SA"/>
        </w:rPr>
        <w:t xml:space="preserve"> </w:t>
      </w:r>
      <w:r w:rsidR="004F550A">
        <w:rPr>
          <w:rFonts w:ascii="Times New Roman" w:eastAsia="DejaVu Sans" w:hAnsi="Times New Roman" w:cs="Times New Roman"/>
          <w:kern w:val="0"/>
          <w:sz w:val="22"/>
          <w:szCs w:val="22"/>
          <w:lang w:bidi="ar-SA"/>
        </w:rPr>
        <w:t xml:space="preserve"> Polinos Čičinskienės</w:t>
      </w:r>
      <w:r>
        <w:rPr>
          <w:rFonts w:ascii="Times New Roman" w:eastAsia="DejaVu Sans" w:hAnsi="Times New Roman" w:cs="Times New Roman"/>
          <w:bCs/>
          <w:kern w:val="0"/>
          <w:sz w:val="22"/>
          <w:szCs w:val="22"/>
          <w:lang w:bidi="ar-SA"/>
        </w:rPr>
        <w:t>, veikiančios pagal įgaliojimą</w:t>
      </w:r>
      <w:r>
        <w:rPr>
          <w:rFonts w:ascii="Times New Roman" w:hAnsi="Times New Roman" w:cs="Times New Roman"/>
          <w:sz w:val="22"/>
          <w:szCs w:val="22"/>
        </w:rPr>
        <w:t xml:space="preserve">, </w:t>
      </w:r>
    </w:p>
    <w:p w14:paraId="6FA39F24" w14:textId="77777777" w:rsidR="00DA4F19" w:rsidRDefault="00E16C72" w:rsidP="00CD6C84">
      <w:pPr>
        <w:jc w:val="both"/>
        <w:rPr>
          <w:rFonts w:ascii="Times New Roman" w:hAnsi="Times New Roman" w:cs="Times New Roman"/>
          <w:sz w:val="22"/>
          <w:szCs w:val="22"/>
        </w:rPr>
      </w:pPr>
      <w:r>
        <w:rPr>
          <w:rFonts w:ascii="Times New Roman" w:hAnsi="Times New Roman" w:cs="Times New Roman"/>
          <w:sz w:val="22"/>
          <w:szCs w:val="22"/>
        </w:rPr>
        <w:t>toliau kartu vadinami „Šalimis“ arba atskirai „Šalimi“,</w:t>
      </w:r>
    </w:p>
    <w:p w14:paraId="731D14DF" w14:textId="0B8E199F" w:rsidR="00DA4F19" w:rsidRDefault="00E16C72">
      <w:pPr>
        <w:ind w:firstLine="601"/>
        <w:jc w:val="both"/>
        <w:rPr>
          <w:rFonts w:ascii="Times New Roman" w:hAnsi="Times New Roman" w:cs="Times New Roman"/>
          <w:sz w:val="22"/>
          <w:szCs w:val="22"/>
        </w:rPr>
      </w:pPr>
      <w:r>
        <w:t>Vadovaudamosi Šalių 2022 m. kovo 30 d. sudarytos sutarties „</w:t>
      </w:r>
      <w:r>
        <w:rPr>
          <w:rFonts w:ascii="Times New Roman" w:hAnsi="Times New Roman" w:cs="Times New Roman"/>
          <w:color w:val="000000"/>
          <w:sz w:val="22"/>
          <w:szCs w:val="22"/>
        </w:rPr>
        <w:t>CPO195733</w:t>
      </w:r>
      <w:r w:rsidR="00A07D44">
        <w:rPr>
          <w:rFonts w:ascii="Times New Roman" w:hAnsi="Times New Roman" w:cs="Times New Roman"/>
          <w:color w:val="000000"/>
          <w:sz w:val="22"/>
          <w:szCs w:val="22"/>
        </w:rPr>
        <w:t xml:space="preserve"> dėl</w:t>
      </w:r>
      <w:r>
        <w:rPr>
          <w:rFonts w:ascii="Times New Roman" w:hAnsi="Times New Roman" w:cs="Times New Roman"/>
          <w:color w:val="000000"/>
          <w:sz w:val="22"/>
          <w:szCs w:val="22"/>
        </w:rPr>
        <w:t xml:space="preserve"> </w:t>
      </w:r>
      <w:r w:rsidR="00B03F66">
        <w:rPr>
          <w:rFonts w:ascii="Times New Roman" w:hAnsi="Times New Roman" w:cs="Times New Roman"/>
          <w:color w:val="000000"/>
          <w:sz w:val="22"/>
          <w:szCs w:val="22"/>
        </w:rPr>
        <w:t>m</w:t>
      </w:r>
      <w:r w:rsidR="00B03F66">
        <w:rPr>
          <w:rFonts w:ascii="Times New Roman" w:hAnsi="Times New Roman" w:cs="Times New Roman"/>
          <w:color w:val="000000"/>
          <w:sz w:val="22"/>
          <w:szCs w:val="22"/>
        </w:rPr>
        <w:t xml:space="preserve">otorinių </w:t>
      </w:r>
      <w:r>
        <w:rPr>
          <w:rFonts w:ascii="Times New Roman" w:hAnsi="Times New Roman" w:cs="Times New Roman"/>
          <w:color w:val="000000"/>
          <w:sz w:val="22"/>
          <w:szCs w:val="22"/>
        </w:rPr>
        <w:t>transporto priemonių draudimo</w:t>
      </w:r>
      <w:r>
        <w:rPr>
          <w:rFonts w:ascii="Times New Roman" w:hAnsi="Times New Roman" w:cs="Times New Roman"/>
          <w:sz w:val="22"/>
          <w:szCs w:val="22"/>
          <w:lang w:eastAsia="lt-LT"/>
        </w:rPr>
        <w:t>“</w:t>
      </w:r>
      <w:r>
        <w:t xml:space="preserve"> (reg. Nr. </w:t>
      </w:r>
      <w:r>
        <w:rPr>
          <w:caps/>
          <w:sz w:val="22"/>
          <w:szCs w:val="22"/>
          <w:lang w:eastAsia="lt-LT"/>
        </w:rPr>
        <w:t>5-ST2-67</w:t>
      </w:r>
      <w:r>
        <w:t xml:space="preserve">) (toliau – Sutartis) 9.2 papunkčiu </w:t>
      </w:r>
      <w:bookmarkStart w:id="0" w:name="_GoBack"/>
      <w:bookmarkEnd w:id="0"/>
      <w:r>
        <w:t>bei atsižvelgdamos į tai, kad Užsakovas nėra nupirkęs paslaugų pagal Sutartį už pradinę Sutarties vertę, Šalys sudarė šį susitarimą (toliau – Susitarimas),</w:t>
      </w:r>
      <w:r w:rsidR="00CA5408">
        <w:t xml:space="preserve"> </w:t>
      </w:r>
      <w:r>
        <w:t>kuriuo susitarė:</w:t>
      </w:r>
      <w:r>
        <w:rPr>
          <w:rFonts w:ascii="Times New Roman" w:hAnsi="Times New Roman" w:cs="Times New Roman"/>
          <w:sz w:val="22"/>
          <w:szCs w:val="22"/>
        </w:rPr>
        <w:t xml:space="preserve"> </w:t>
      </w:r>
    </w:p>
    <w:p w14:paraId="3DB6A553" w14:textId="77777777" w:rsidR="00DA4F19" w:rsidRDefault="00E16C72">
      <w:pPr>
        <w:pStyle w:val="LO-Normal"/>
        <w:spacing w:after="0" w:line="240" w:lineRule="auto"/>
        <w:ind w:firstLine="731"/>
        <w:jc w:val="both"/>
        <w:rPr>
          <w:rFonts w:ascii="Times New Roman" w:hAnsi="Times New Roman"/>
          <w:sz w:val="24"/>
          <w:szCs w:val="24"/>
        </w:rPr>
      </w:pPr>
      <w:r>
        <w:rPr>
          <w:rFonts w:ascii="Times New Roman" w:hAnsi="Times New Roman"/>
          <w:sz w:val="24"/>
          <w:szCs w:val="24"/>
        </w:rPr>
        <w:t>1. Pratęsti Sutarties vykdymo terminą  nuo 2023-04-01 iki 2024-03-31.</w:t>
      </w:r>
    </w:p>
    <w:p w14:paraId="22F133CD" w14:textId="77777777" w:rsidR="00DA4F19" w:rsidRDefault="00E16C72">
      <w:pPr>
        <w:pStyle w:val="LO-Normal"/>
        <w:spacing w:after="0" w:line="240" w:lineRule="auto"/>
        <w:ind w:firstLine="731"/>
        <w:jc w:val="both"/>
        <w:rPr>
          <w:rFonts w:ascii="Times New Roman" w:hAnsi="Times New Roman"/>
          <w:sz w:val="24"/>
          <w:szCs w:val="24"/>
        </w:rPr>
      </w:pPr>
      <w:r>
        <w:rPr>
          <w:rFonts w:ascii="Times New Roman" w:hAnsi="Times New Roman"/>
          <w:sz w:val="24"/>
          <w:szCs w:val="24"/>
        </w:rPr>
        <w:t xml:space="preserve">2. Šis Susitarimas sudarytas lietuvių kalba, 2 (dviem) egzemplioriais, turinčiais vienodą teisinę galią – po vieną kiekvienai Šaliai. Elektroninio Susitarimo sudarymo atveju, Susitarimas sudarytas lietuvių kalba ir pasirašytas saugiais Šalių kvalifikuotais elektroniniais parašais. </w:t>
      </w:r>
    </w:p>
    <w:p w14:paraId="1A5D005D" w14:textId="77777777" w:rsidR="00DA4F19" w:rsidRDefault="00E16C72">
      <w:pPr>
        <w:pStyle w:val="LO-Normal"/>
        <w:spacing w:after="0" w:line="240" w:lineRule="auto"/>
        <w:ind w:firstLine="731"/>
        <w:jc w:val="both"/>
        <w:rPr>
          <w:rFonts w:ascii="Times New Roman" w:hAnsi="Times New Roman"/>
          <w:sz w:val="24"/>
          <w:szCs w:val="24"/>
        </w:rPr>
      </w:pPr>
      <w:r>
        <w:rPr>
          <w:rFonts w:ascii="Times New Roman" w:hAnsi="Times New Roman"/>
          <w:sz w:val="24"/>
          <w:szCs w:val="24"/>
        </w:rPr>
        <w:t>3. Šis susitarimas įsigalioja nuo jo pasirašymo dienos ir tampa neatskiriama Sutarties dalimi. Kitos Sutarties sąlygos, neaptartos šiame susitarime, lieka galioti nepakitusios.</w:t>
      </w:r>
    </w:p>
    <w:p w14:paraId="7CE3AECC" w14:textId="77777777" w:rsidR="00DA4F19" w:rsidRDefault="00E16C72">
      <w:pPr>
        <w:pStyle w:val="LO-Normal"/>
        <w:spacing w:after="0" w:line="240" w:lineRule="auto"/>
        <w:ind w:firstLine="731"/>
        <w:jc w:val="both"/>
        <w:rPr>
          <w:rFonts w:ascii="Times New Roman" w:hAnsi="Times New Roman"/>
          <w:sz w:val="24"/>
          <w:szCs w:val="24"/>
        </w:rPr>
      </w:pPr>
      <w:r>
        <w:rPr>
          <w:rFonts w:ascii="Times New Roman" w:hAnsi="Times New Roman"/>
          <w:sz w:val="24"/>
          <w:szCs w:val="24"/>
        </w:rPr>
        <w:t>4. Šalių rekvizitai ir atstovų parašai:</w:t>
      </w:r>
    </w:p>
    <w:p w14:paraId="45B5BF18" w14:textId="77777777" w:rsidR="00DA4F19" w:rsidRDefault="00DA4F19">
      <w:pPr>
        <w:pStyle w:val="Standard"/>
        <w:tabs>
          <w:tab w:val="left" w:pos="567"/>
        </w:tabs>
        <w:spacing w:before="240"/>
        <w:ind w:firstLine="1296"/>
        <w:jc w:val="both"/>
        <w:rPr>
          <w:sz w:val="22"/>
          <w:szCs w:val="22"/>
        </w:rPr>
      </w:pPr>
    </w:p>
    <w:p w14:paraId="6870E6A4" w14:textId="77777777" w:rsidR="00DA4F19" w:rsidRDefault="00DA4F19">
      <w:pPr>
        <w:pStyle w:val="Standard"/>
        <w:tabs>
          <w:tab w:val="left" w:pos="567"/>
        </w:tabs>
        <w:ind w:firstLine="1296"/>
        <w:jc w:val="both"/>
        <w:rPr>
          <w:sz w:val="22"/>
          <w:szCs w:val="22"/>
        </w:rPr>
      </w:pPr>
    </w:p>
    <w:tbl>
      <w:tblPr>
        <w:tblW w:w="10173" w:type="dxa"/>
        <w:tblInd w:w="-216" w:type="dxa"/>
        <w:tblLook w:val="0000" w:firstRow="0" w:lastRow="0" w:firstColumn="0" w:lastColumn="0" w:noHBand="0" w:noVBand="0"/>
      </w:tblPr>
      <w:tblGrid>
        <w:gridCol w:w="4786"/>
        <w:gridCol w:w="26"/>
        <w:gridCol w:w="5361"/>
      </w:tblGrid>
      <w:tr w:rsidR="00DA4F19" w14:paraId="27E3DF7E" w14:textId="77777777">
        <w:tc>
          <w:tcPr>
            <w:tcW w:w="4786" w:type="dxa"/>
            <w:shd w:val="clear" w:color="auto" w:fill="auto"/>
          </w:tcPr>
          <w:p w14:paraId="4E4D0322" w14:textId="77777777" w:rsidR="00DA4F19" w:rsidRDefault="00E16C72">
            <w:pPr>
              <w:pStyle w:val="Standard"/>
              <w:widowControl w:val="0"/>
              <w:tabs>
                <w:tab w:val="left" w:pos="567"/>
              </w:tabs>
              <w:jc w:val="both"/>
              <w:rPr>
                <w:rFonts w:eastAsia="Calibri"/>
                <w:b/>
                <w:sz w:val="22"/>
                <w:szCs w:val="22"/>
                <w:lang w:eastAsia="en-US"/>
              </w:rPr>
            </w:pPr>
            <w:r>
              <w:rPr>
                <w:rFonts w:eastAsia="Calibri"/>
                <w:b/>
                <w:sz w:val="22"/>
                <w:szCs w:val="22"/>
                <w:lang w:eastAsia="en-US"/>
              </w:rPr>
              <w:t>UŽSAKOVAS</w:t>
            </w:r>
          </w:p>
          <w:p w14:paraId="7B7E1C38" w14:textId="77777777" w:rsidR="00DA4F19" w:rsidRDefault="00DA4F19">
            <w:pPr>
              <w:pStyle w:val="Standard"/>
              <w:widowControl w:val="0"/>
              <w:tabs>
                <w:tab w:val="left" w:pos="567"/>
              </w:tabs>
              <w:jc w:val="both"/>
              <w:rPr>
                <w:rFonts w:eastAsia="Calibri"/>
                <w:b/>
                <w:sz w:val="22"/>
                <w:szCs w:val="22"/>
                <w:lang w:eastAsia="en-US"/>
              </w:rPr>
            </w:pPr>
          </w:p>
          <w:p w14:paraId="300D8DA0" w14:textId="77777777" w:rsidR="00DA4F19" w:rsidRDefault="00E16C72">
            <w:pPr>
              <w:pStyle w:val="Standard"/>
              <w:widowControl w:val="0"/>
              <w:rPr>
                <w:b/>
                <w:bCs/>
                <w:sz w:val="22"/>
                <w:szCs w:val="22"/>
              </w:rPr>
            </w:pPr>
            <w:r>
              <w:rPr>
                <w:b/>
                <w:bCs/>
                <w:sz w:val="22"/>
                <w:szCs w:val="22"/>
              </w:rPr>
              <w:t>Policijos departamentas prie LR Vidaus reikalų ministerijos</w:t>
            </w:r>
          </w:p>
          <w:p w14:paraId="12FF0194" w14:textId="77777777" w:rsidR="00DA4F19" w:rsidRDefault="00E16C72">
            <w:pPr>
              <w:pStyle w:val="Standard"/>
              <w:widowControl w:val="0"/>
              <w:rPr>
                <w:bCs/>
                <w:sz w:val="22"/>
                <w:szCs w:val="22"/>
              </w:rPr>
            </w:pPr>
            <w:r>
              <w:rPr>
                <w:bCs/>
                <w:sz w:val="22"/>
                <w:szCs w:val="22"/>
              </w:rPr>
              <w:t>Saltoniškių g. 19, LT-08105 Vilnius</w:t>
            </w:r>
          </w:p>
          <w:p w14:paraId="5BEC450F" w14:textId="77777777" w:rsidR="00DA4F19" w:rsidRDefault="00E16C72">
            <w:pPr>
              <w:pStyle w:val="Standard"/>
              <w:widowControl w:val="0"/>
              <w:rPr>
                <w:bCs/>
                <w:sz w:val="22"/>
                <w:szCs w:val="22"/>
              </w:rPr>
            </w:pPr>
            <w:r>
              <w:rPr>
                <w:bCs/>
                <w:sz w:val="22"/>
                <w:szCs w:val="22"/>
              </w:rPr>
              <w:t>Tel.: (8 5) 271 9731, faks.: (8 5) 271 9978</w:t>
            </w:r>
          </w:p>
          <w:p w14:paraId="1222366E" w14:textId="77777777" w:rsidR="00DA4F19" w:rsidRDefault="00E16C72">
            <w:pPr>
              <w:pStyle w:val="Standard"/>
              <w:widowControl w:val="0"/>
              <w:rPr>
                <w:bCs/>
                <w:sz w:val="22"/>
                <w:szCs w:val="22"/>
              </w:rPr>
            </w:pPr>
            <w:r>
              <w:rPr>
                <w:bCs/>
                <w:sz w:val="22"/>
                <w:szCs w:val="22"/>
              </w:rPr>
              <w:t>El. paštas: info@policija.lt</w:t>
            </w:r>
          </w:p>
          <w:p w14:paraId="458ED59B" w14:textId="77777777" w:rsidR="00DA4F19" w:rsidRDefault="00E16C72">
            <w:pPr>
              <w:pStyle w:val="Standard"/>
              <w:widowControl w:val="0"/>
              <w:rPr>
                <w:bCs/>
                <w:sz w:val="22"/>
                <w:szCs w:val="22"/>
              </w:rPr>
            </w:pPr>
            <w:r>
              <w:rPr>
                <w:bCs/>
                <w:sz w:val="22"/>
                <w:szCs w:val="22"/>
              </w:rPr>
              <w:t>Įstaigos kodas 188785847</w:t>
            </w:r>
          </w:p>
          <w:p w14:paraId="13A56544" w14:textId="77777777" w:rsidR="00DA4F19" w:rsidRDefault="00E16C72">
            <w:pPr>
              <w:pStyle w:val="Standard"/>
              <w:widowControl w:val="0"/>
              <w:rPr>
                <w:bCs/>
                <w:sz w:val="22"/>
                <w:szCs w:val="22"/>
              </w:rPr>
            </w:pPr>
            <w:r>
              <w:rPr>
                <w:bCs/>
                <w:sz w:val="22"/>
                <w:szCs w:val="22"/>
              </w:rPr>
              <w:t>PVM mokėtojo kodas LT 100005428413</w:t>
            </w:r>
          </w:p>
          <w:p w14:paraId="4B2A9FE5" w14:textId="77777777" w:rsidR="00DA4F19" w:rsidRDefault="00E16C72">
            <w:pPr>
              <w:pStyle w:val="Standard"/>
              <w:widowControl w:val="0"/>
              <w:rPr>
                <w:bCs/>
                <w:sz w:val="22"/>
                <w:szCs w:val="22"/>
              </w:rPr>
            </w:pPr>
            <w:r>
              <w:rPr>
                <w:bCs/>
                <w:sz w:val="22"/>
                <w:szCs w:val="22"/>
              </w:rPr>
              <w:t>A. s. Nr. LT81 7044 0600 0808 2135</w:t>
            </w:r>
          </w:p>
          <w:p w14:paraId="3D44E4E4" w14:textId="77777777" w:rsidR="00DA4F19" w:rsidRDefault="00E16C72">
            <w:pPr>
              <w:pStyle w:val="Standard"/>
              <w:widowControl w:val="0"/>
              <w:rPr>
                <w:bCs/>
                <w:sz w:val="22"/>
                <w:szCs w:val="22"/>
              </w:rPr>
            </w:pPr>
            <w:r>
              <w:rPr>
                <w:bCs/>
                <w:sz w:val="22"/>
                <w:szCs w:val="22"/>
              </w:rPr>
              <w:t>AB SEB bankas</w:t>
            </w:r>
          </w:p>
          <w:p w14:paraId="170DCA5C" w14:textId="77777777" w:rsidR="00DA4F19" w:rsidRDefault="00E16C72">
            <w:pPr>
              <w:pStyle w:val="Standard"/>
              <w:widowControl w:val="0"/>
              <w:tabs>
                <w:tab w:val="left" w:pos="567"/>
              </w:tabs>
              <w:jc w:val="both"/>
              <w:rPr>
                <w:rFonts w:eastAsia="Calibri"/>
                <w:sz w:val="22"/>
                <w:szCs w:val="22"/>
                <w:lang w:eastAsia="en-US"/>
              </w:rPr>
            </w:pPr>
            <w:r>
              <w:rPr>
                <w:rFonts w:eastAsia="Calibri"/>
                <w:sz w:val="22"/>
                <w:szCs w:val="22"/>
                <w:lang w:eastAsia="en-US"/>
              </w:rPr>
              <w:t>____________________________________</w:t>
            </w:r>
          </w:p>
        </w:tc>
        <w:tc>
          <w:tcPr>
            <w:tcW w:w="5386" w:type="dxa"/>
            <w:gridSpan w:val="2"/>
            <w:shd w:val="clear" w:color="auto" w:fill="auto"/>
            <w:tcMar>
              <w:left w:w="10" w:type="dxa"/>
              <w:right w:w="10" w:type="dxa"/>
            </w:tcMar>
          </w:tcPr>
          <w:p w14:paraId="0718E27F" w14:textId="77777777" w:rsidR="00DA4F19" w:rsidRDefault="00E16C72">
            <w:pPr>
              <w:pStyle w:val="Standard"/>
              <w:widowControl w:val="0"/>
              <w:tabs>
                <w:tab w:val="left" w:pos="567"/>
              </w:tabs>
              <w:rPr>
                <w:rFonts w:eastAsia="Calibri"/>
                <w:b/>
                <w:bCs/>
                <w:sz w:val="22"/>
                <w:szCs w:val="22"/>
                <w:lang w:eastAsia="en-US"/>
              </w:rPr>
            </w:pPr>
            <w:r>
              <w:rPr>
                <w:rFonts w:eastAsia="Calibri"/>
                <w:b/>
                <w:bCs/>
                <w:sz w:val="22"/>
                <w:szCs w:val="22"/>
                <w:lang w:eastAsia="en-US"/>
              </w:rPr>
              <w:t xml:space="preserve"> TIEKĖJAS</w:t>
            </w:r>
          </w:p>
          <w:p w14:paraId="60B5E904" w14:textId="77777777" w:rsidR="00DA4F19" w:rsidRDefault="00E16C72">
            <w:pPr>
              <w:pStyle w:val="Standard"/>
              <w:widowControl w:val="0"/>
              <w:tabs>
                <w:tab w:val="left" w:pos="567"/>
              </w:tabs>
              <w:jc w:val="both"/>
              <w:rPr>
                <w:sz w:val="22"/>
                <w:szCs w:val="22"/>
              </w:rPr>
            </w:pPr>
            <w:r>
              <w:rPr>
                <w:sz w:val="22"/>
                <w:szCs w:val="22"/>
              </w:rPr>
              <w:t xml:space="preserve"> </w:t>
            </w:r>
          </w:p>
          <w:p w14:paraId="3DB93836" w14:textId="4535929E" w:rsidR="00DA4F19" w:rsidRDefault="00E16C72">
            <w:pPr>
              <w:suppressAutoHyphens w:val="0"/>
              <w:textAlignment w:val="auto"/>
              <w:rPr>
                <w:rFonts w:ascii="Times New Roman" w:eastAsia="DejaVu Sans" w:hAnsi="Times New Roman" w:cs="Times New Roman"/>
                <w:b/>
                <w:kern w:val="0"/>
                <w:sz w:val="22"/>
                <w:szCs w:val="22"/>
                <w:lang w:bidi="ar-SA"/>
              </w:rPr>
            </w:pPr>
            <w:r>
              <w:rPr>
                <w:rFonts w:ascii="Times New Roman" w:eastAsia="DejaVu Sans" w:hAnsi="Times New Roman" w:cs="Times New Roman"/>
                <w:b/>
                <w:kern w:val="0"/>
                <w:sz w:val="22"/>
                <w:szCs w:val="22"/>
                <w:lang w:bidi="ar-SA"/>
              </w:rPr>
              <w:t xml:space="preserve">Compensa Vienna Insurance Group, ADB </w:t>
            </w:r>
          </w:p>
          <w:p w14:paraId="05AE4FD4" w14:textId="77777777" w:rsidR="00DA4F19" w:rsidRDefault="00DA4F19">
            <w:pPr>
              <w:suppressAutoHyphens w:val="0"/>
              <w:textAlignment w:val="auto"/>
              <w:rPr>
                <w:rFonts w:ascii="Times New Roman" w:eastAsia="DejaVu Sans" w:hAnsi="Times New Roman" w:cs="Times New Roman"/>
                <w:kern w:val="0"/>
                <w:sz w:val="22"/>
                <w:szCs w:val="22"/>
                <w:lang w:bidi="ar-SA"/>
              </w:rPr>
            </w:pPr>
          </w:p>
          <w:p w14:paraId="0B393430" w14:textId="77777777" w:rsidR="00DA4F19" w:rsidRDefault="00E16C72">
            <w:pPr>
              <w:suppressAutoHyphens w:val="0"/>
              <w:textAlignment w:val="auto"/>
              <w:rPr>
                <w:rFonts w:ascii="Times New Roman" w:eastAsia="DejaVu Sans" w:hAnsi="Times New Roman" w:cs="Times New Roman"/>
                <w:kern w:val="0"/>
                <w:sz w:val="22"/>
                <w:szCs w:val="22"/>
                <w:lang w:bidi="ar-SA"/>
              </w:rPr>
            </w:pPr>
            <w:r>
              <w:rPr>
                <w:rFonts w:ascii="Times New Roman" w:eastAsia="DejaVu Sans" w:hAnsi="Times New Roman" w:cs="Times New Roman"/>
                <w:kern w:val="0"/>
                <w:sz w:val="22"/>
                <w:szCs w:val="22"/>
                <w:lang w:bidi="ar-SA"/>
              </w:rPr>
              <w:t>Ukmergės g. 280, 06115 Vilnius, Vilniaus apskritis</w:t>
            </w:r>
          </w:p>
          <w:p w14:paraId="2C93C372" w14:textId="77777777" w:rsidR="00DA4F19" w:rsidRDefault="00E16C72">
            <w:pPr>
              <w:pStyle w:val="Standard"/>
              <w:widowControl w:val="0"/>
              <w:tabs>
                <w:tab w:val="left" w:pos="567"/>
              </w:tabs>
              <w:jc w:val="both"/>
              <w:rPr>
                <w:rFonts w:eastAsia="DejaVu Sans"/>
                <w:kern w:val="0"/>
                <w:sz w:val="22"/>
                <w:szCs w:val="22"/>
              </w:rPr>
            </w:pPr>
            <w:r>
              <w:rPr>
                <w:rFonts w:eastAsia="DejaVu Sans"/>
                <w:kern w:val="0"/>
                <w:sz w:val="22"/>
                <w:szCs w:val="22"/>
              </w:rPr>
              <w:t>Tel.: 19111</w:t>
            </w:r>
          </w:p>
          <w:p w14:paraId="3BBDB41F" w14:textId="3346846D" w:rsidR="00DA4F19" w:rsidRDefault="00E16C72">
            <w:pPr>
              <w:pStyle w:val="Standard"/>
              <w:widowControl w:val="0"/>
              <w:tabs>
                <w:tab w:val="left" w:pos="567"/>
              </w:tabs>
              <w:jc w:val="both"/>
              <w:rPr>
                <w:sz w:val="22"/>
                <w:szCs w:val="22"/>
              </w:rPr>
            </w:pPr>
            <w:r>
              <w:rPr>
                <w:bCs/>
                <w:sz w:val="22"/>
                <w:szCs w:val="22"/>
              </w:rPr>
              <w:t xml:space="preserve">El. paštas: </w:t>
            </w:r>
            <w:r w:rsidR="004F550A">
              <w:rPr>
                <w:bCs/>
                <w:sz w:val="22"/>
                <w:szCs w:val="22"/>
              </w:rPr>
              <w:t>polina.cicinskiene</w:t>
            </w:r>
            <w:r>
              <w:rPr>
                <w:bCs/>
                <w:sz w:val="22"/>
                <w:szCs w:val="22"/>
                <w:lang w:val="en-US"/>
              </w:rPr>
              <w:t>@</w:t>
            </w:r>
            <w:r>
              <w:rPr>
                <w:bCs/>
                <w:sz w:val="22"/>
                <w:szCs w:val="22"/>
              </w:rPr>
              <w:t>compensa.lt</w:t>
            </w:r>
          </w:p>
          <w:p w14:paraId="77B3DC94" w14:textId="77777777" w:rsidR="00DA4F19" w:rsidRDefault="00E16C72">
            <w:pPr>
              <w:suppressAutoHyphens w:val="0"/>
              <w:textAlignment w:val="auto"/>
              <w:rPr>
                <w:rFonts w:ascii="Times New Roman" w:eastAsia="DejaVu Sans" w:hAnsi="Times New Roman" w:cs="Times New Roman"/>
                <w:kern w:val="0"/>
                <w:sz w:val="22"/>
                <w:szCs w:val="22"/>
                <w:lang w:bidi="ar-SA"/>
              </w:rPr>
            </w:pPr>
            <w:r>
              <w:rPr>
                <w:bCs/>
                <w:sz w:val="22"/>
                <w:szCs w:val="22"/>
              </w:rPr>
              <w:t xml:space="preserve">Įstaigos kodas </w:t>
            </w:r>
            <w:r>
              <w:rPr>
                <w:rFonts w:ascii="Times New Roman" w:eastAsia="DejaVu Sans" w:hAnsi="Times New Roman" w:cs="Times New Roman"/>
                <w:kern w:val="0"/>
                <w:sz w:val="22"/>
                <w:szCs w:val="22"/>
                <w:lang w:bidi="ar-SA"/>
              </w:rPr>
              <w:t>304080146</w:t>
            </w:r>
          </w:p>
          <w:p w14:paraId="4A22195E" w14:textId="77777777" w:rsidR="00DA4F19" w:rsidRDefault="00E16C72">
            <w:pPr>
              <w:suppressAutoHyphens w:val="0"/>
              <w:textAlignment w:val="auto"/>
              <w:rPr>
                <w:rFonts w:ascii="Times New Roman" w:eastAsia="DejaVu Sans" w:hAnsi="Times New Roman" w:cs="Times New Roman"/>
                <w:kern w:val="0"/>
                <w:sz w:val="22"/>
                <w:szCs w:val="22"/>
                <w:lang w:bidi="ar-SA"/>
              </w:rPr>
            </w:pPr>
            <w:r>
              <w:rPr>
                <w:rFonts w:ascii="Times New Roman" w:eastAsia="DejaVu Sans" w:hAnsi="Times New Roman" w:cs="Times New Roman"/>
                <w:kern w:val="0"/>
                <w:sz w:val="22"/>
                <w:szCs w:val="22"/>
                <w:lang w:bidi="ar-SA"/>
              </w:rPr>
              <w:t>PVM kodas LT100009653718</w:t>
            </w:r>
          </w:p>
          <w:p w14:paraId="193411E1" w14:textId="77777777" w:rsidR="00DA4F19" w:rsidRDefault="00E16C72">
            <w:pPr>
              <w:suppressAutoHyphens w:val="0"/>
              <w:textAlignment w:val="auto"/>
              <w:rPr>
                <w:rFonts w:ascii="Times New Roman" w:eastAsia="DejaVu Sans" w:hAnsi="Times New Roman" w:cs="Times New Roman"/>
                <w:kern w:val="0"/>
                <w:sz w:val="22"/>
                <w:szCs w:val="22"/>
                <w:lang w:bidi="ar-SA"/>
              </w:rPr>
            </w:pPr>
            <w:r>
              <w:rPr>
                <w:rFonts w:ascii="Times New Roman" w:eastAsia="DejaVu Sans" w:hAnsi="Times New Roman" w:cs="Times New Roman"/>
                <w:kern w:val="0"/>
                <w:sz w:val="22"/>
                <w:szCs w:val="22"/>
                <w:lang w:bidi="ar-SA"/>
              </w:rPr>
              <w:t>A. s. Nr.: LT23 7044 0600 0124 7492</w:t>
            </w:r>
          </w:p>
          <w:p w14:paraId="7D9E9956" w14:textId="77777777" w:rsidR="00DA4F19" w:rsidRDefault="00E16C72">
            <w:pPr>
              <w:suppressAutoHyphens w:val="0"/>
              <w:textAlignment w:val="auto"/>
              <w:rPr>
                <w:rFonts w:ascii="Times New Roman" w:eastAsia="DejaVu Sans" w:hAnsi="Times New Roman" w:cs="Times New Roman"/>
                <w:kern w:val="0"/>
                <w:sz w:val="22"/>
                <w:szCs w:val="22"/>
                <w:lang w:bidi="ar-SA"/>
              </w:rPr>
            </w:pPr>
            <w:r>
              <w:rPr>
                <w:rFonts w:ascii="Times New Roman" w:eastAsia="DejaVu Sans" w:hAnsi="Times New Roman" w:cs="Times New Roman"/>
                <w:kern w:val="0"/>
                <w:sz w:val="22"/>
                <w:szCs w:val="22"/>
                <w:lang w:bidi="ar-SA"/>
              </w:rPr>
              <w:t>AB SEB bankas</w:t>
            </w:r>
          </w:p>
          <w:p w14:paraId="486D65B6" w14:textId="77777777" w:rsidR="00DA4F19" w:rsidRDefault="00E16C72">
            <w:pPr>
              <w:pStyle w:val="Standard"/>
              <w:widowControl w:val="0"/>
              <w:tabs>
                <w:tab w:val="left" w:pos="567"/>
              </w:tabs>
              <w:jc w:val="both"/>
              <w:rPr>
                <w:sz w:val="22"/>
                <w:szCs w:val="22"/>
              </w:rPr>
            </w:pPr>
            <w:r>
              <w:rPr>
                <w:sz w:val="22"/>
                <w:szCs w:val="22"/>
              </w:rPr>
              <w:t>_________________________________</w:t>
            </w:r>
          </w:p>
        </w:tc>
      </w:tr>
      <w:tr w:rsidR="00DA4F19" w14:paraId="20037190" w14:textId="77777777">
        <w:trPr>
          <w:trHeight w:val="78"/>
        </w:trPr>
        <w:tc>
          <w:tcPr>
            <w:tcW w:w="4812" w:type="dxa"/>
            <w:gridSpan w:val="2"/>
            <w:shd w:val="clear" w:color="auto" w:fill="auto"/>
          </w:tcPr>
          <w:p w14:paraId="6C01BF96" w14:textId="68248E3F" w:rsidR="00CA5408" w:rsidRDefault="00CA5408" w:rsidP="00CD6C84">
            <w:pPr>
              <w:pStyle w:val="Standard"/>
              <w:widowControl w:val="0"/>
              <w:tabs>
                <w:tab w:val="left" w:pos="567"/>
              </w:tabs>
              <w:rPr>
                <w:sz w:val="22"/>
                <w:szCs w:val="22"/>
              </w:rPr>
            </w:pPr>
            <w:r>
              <w:rPr>
                <w:sz w:val="22"/>
                <w:szCs w:val="22"/>
              </w:rPr>
              <w:t>Vyriausias</w:t>
            </w:r>
            <w:r w:rsidR="00CD6C84">
              <w:rPr>
                <w:sz w:val="22"/>
                <w:szCs w:val="22"/>
              </w:rPr>
              <w:t>is</w:t>
            </w:r>
            <w:r>
              <w:rPr>
                <w:sz w:val="22"/>
                <w:szCs w:val="22"/>
              </w:rPr>
              <w:t xml:space="preserve"> patarėjas </w:t>
            </w:r>
          </w:p>
          <w:p w14:paraId="1A1FBD07" w14:textId="77777777" w:rsidR="00DA4F19" w:rsidRDefault="00CA5408">
            <w:pPr>
              <w:pStyle w:val="Standard"/>
              <w:widowControl w:val="0"/>
              <w:tabs>
                <w:tab w:val="left" w:pos="567"/>
              </w:tabs>
              <w:spacing w:after="120"/>
              <w:rPr>
                <w:sz w:val="22"/>
                <w:szCs w:val="22"/>
              </w:rPr>
            </w:pPr>
            <w:r>
              <w:rPr>
                <w:sz w:val="22"/>
                <w:szCs w:val="22"/>
              </w:rPr>
              <w:t>Romualdas Voišnis</w:t>
            </w:r>
            <w:r w:rsidR="00E16C72">
              <w:rPr>
                <w:sz w:val="22"/>
                <w:szCs w:val="22"/>
              </w:rPr>
              <w:t xml:space="preserve"> </w:t>
            </w:r>
          </w:p>
        </w:tc>
        <w:tc>
          <w:tcPr>
            <w:tcW w:w="5360" w:type="dxa"/>
            <w:shd w:val="clear" w:color="auto" w:fill="auto"/>
            <w:tcMar>
              <w:left w:w="0" w:type="dxa"/>
              <w:right w:w="0" w:type="dxa"/>
            </w:tcMar>
          </w:tcPr>
          <w:p w14:paraId="4EA37FCC" w14:textId="77777777" w:rsidR="00DA4F19" w:rsidRDefault="00E16C72">
            <w:pPr>
              <w:snapToGrid w:val="0"/>
              <w:rPr>
                <w:rFonts w:ascii="Times New Roman" w:eastAsia="DejaVu Sans" w:hAnsi="Times New Roman" w:cs="Times New Roman"/>
                <w:kern w:val="0"/>
                <w:sz w:val="22"/>
                <w:szCs w:val="22"/>
                <w:lang w:bidi="ar-SA"/>
              </w:rPr>
            </w:pPr>
            <w:r>
              <w:rPr>
                <w:rFonts w:ascii="Times New Roman" w:eastAsia="DejaVu Sans" w:hAnsi="Times New Roman" w:cs="Times New Roman"/>
                <w:kern w:val="0"/>
                <w:sz w:val="22"/>
                <w:szCs w:val="22"/>
                <w:lang w:bidi="ar-SA"/>
              </w:rPr>
              <w:t>Verslo klientų skyriaus projektų vadovė</w:t>
            </w:r>
          </w:p>
          <w:p w14:paraId="716A8F2C" w14:textId="335318F3" w:rsidR="00DA4F19" w:rsidRDefault="004F550A">
            <w:pPr>
              <w:snapToGrid w:val="0"/>
              <w:rPr>
                <w:rFonts w:ascii="Times New Roman" w:hAnsi="Times New Roman" w:cs="Times New Roman"/>
                <w:sz w:val="22"/>
                <w:szCs w:val="22"/>
              </w:rPr>
            </w:pPr>
            <w:r>
              <w:rPr>
                <w:rFonts w:ascii="Times New Roman" w:eastAsia="DejaVu Sans" w:hAnsi="Times New Roman" w:cs="Times New Roman"/>
                <w:kern w:val="0"/>
                <w:sz w:val="22"/>
                <w:szCs w:val="22"/>
                <w:lang w:bidi="ar-SA"/>
              </w:rPr>
              <w:t>Polina Čičinskienė</w:t>
            </w:r>
          </w:p>
        </w:tc>
      </w:tr>
    </w:tbl>
    <w:p w14:paraId="3F286E6A" w14:textId="77777777" w:rsidR="00DA4F19" w:rsidRDefault="00E16C72">
      <w:pPr>
        <w:widowControl/>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0D20AED4" w14:textId="77777777" w:rsidR="00DA4F19" w:rsidRDefault="00DA4F19">
      <w:pPr>
        <w:widowControl/>
        <w:jc w:val="both"/>
        <w:rPr>
          <w:rFonts w:ascii="Times New Roman" w:hAnsi="Times New Roman" w:cs="Times New Roman"/>
          <w:sz w:val="22"/>
          <w:szCs w:val="22"/>
        </w:rPr>
      </w:pPr>
    </w:p>
    <w:p w14:paraId="39DFB815" w14:textId="77777777" w:rsidR="00DA4F19" w:rsidRDefault="00DA4F19">
      <w:pPr>
        <w:widowControl/>
        <w:jc w:val="both"/>
        <w:rPr>
          <w:rFonts w:ascii="Times New Roman" w:hAnsi="Times New Roman" w:cs="Times New Roman"/>
          <w:sz w:val="22"/>
          <w:szCs w:val="22"/>
        </w:rPr>
      </w:pPr>
    </w:p>
    <w:p w14:paraId="56A5D8E4" w14:textId="77777777" w:rsidR="00DA4F19" w:rsidRDefault="00DA4F19">
      <w:pPr>
        <w:widowControl/>
        <w:jc w:val="both"/>
        <w:rPr>
          <w:rFonts w:ascii="Times New Roman" w:hAnsi="Times New Roman" w:cs="Times New Roman"/>
          <w:sz w:val="22"/>
          <w:szCs w:val="22"/>
        </w:rPr>
      </w:pPr>
    </w:p>
    <w:p w14:paraId="337E85CF" w14:textId="77777777" w:rsidR="00DA4F19" w:rsidRDefault="00DA4F19">
      <w:pPr>
        <w:widowControl/>
        <w:jc w:val="both"/>
        <w:rPr>
          <w:sz w:val="22"/>
          <w:szCs w:val="22"/>
        </w:rPr>
      </w:pPr>
    </w:p>
    <w:sectPr w:rsidR="00DA4F19">
      <w:headerReference w:type="default" r:id="rId8"/>
      <w:footerReference w:type="default" r:id="rId9"/>
      <w:headerReference w:type="first" r:id="rId10"/>
      <w:footerReference w:type="first" r:id="rId11"/>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84E92" w14:textId="77777777" w:rsidR="00826A60" w:rsidRDefault="00826A60">
      <w:r>
        <w:separator/>
      </w:r>
    </w:p>
  </w:endnote>
  <w:endnote w:type="continuationSeparator" w:id="0">
    <w:p w14:paraId="2B1AD081" w14:textId="77777777" w:rsidR="00826A60" w:rsidRDefault="0082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LT, '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8CD4" w14:textId="77777777" w:rsidR="00DA4F19" w:rsidRDefault="00E16C72">
    <w:pPr>
      <w:pStyle w:val="Footer"/>
      <w:tabs>
        <w:tab w:val="left" w:pos="7140"/>
        <w:tab w:val="right" w:pos="9279"/>
      </w:tabs>
      <w:ind w:right="360"/>
      <w:rPr>
        <w:lang w:val="en-US" w:eastAsia="en-US"/>
      </w:rPr>
    </w:pPr>
    <w:r>
      <w:rPr>
        <w:noProof/>
        <w:lang w:val="en-US" w:eastAsia="en-US"/>
      </w:rPr>
      <mc:AlternateContent>
        <mc:Choice Requires="wps">
          <w:drawing>
            <wp:anchor distT="0" distB="0" distL="114935" distR="114935" simplePos="0" relativeHeight="2" behindDoc="1" locked="0" layoutInCell="1" allowOverlap="1" wp14:anchorId="73FF9A3E" wp14:editId="2FCD225A">
              <wp:simplePos x="0" y="0"/>
              <wp:positionH relativeFrom="margin">
                <wp:align>center</wp:align>
              </wp:positionH>
              <wp:positionV relativeFrom="paragraph">
                <wp:posOffset>635</wp:posOffset>
              </wp:positionV>
              <wp:extent cx="17780" cy="17653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7280" cy="176040"/>
                      </a:xfrm>
                      <a:prstGeom prst="rect">
                        <a:avLst/>
                      </a:prstGeom>
                      <a:noFill/>
                      <a:ln>
                        <a:noFill/>
                      </a:ln>
                    </wps:spPr>
                    <wps:style>
                      <a:lnRef idx="0">
                        <a:scrgbClr r="0" g="0" b="0"/>
                      </a:lnRef>
                      <a:fillRef idx="0">
                        <a:scrgbClr r="0" g="0" b="0"/>
                      </a:fillRef>
                      <a:effectRef idx="0">
                        <a:scrgbClr r="0" g="0" b="0"/>
                      </a:effectRef>
                      <a:fontRef idx="minor"/>
                    </wps:style>
                    <wps:txbx>
                      <w:txbxContent>
                        <w:p w14:paraId="6BABAAD6" w14:textId="77777777" w:rsidR="00DA4F19" w:rsidRDefault="00DA4F19">
                          <w:pPr>
                            <w:pStyle w:val="Footer"/>
                            <w:rPr>
                              <w:color w:val="000000"/>
                            </w:rPr>
                          </w:pPr>
                        </w:p>
                      </w:txbxContent>
                    </wps:txbx>
                    <wps:bodyPr lIns="720" tIns="720" rIns="720" bIns="720">
                      <a:noAutofit/>
                    </wps:bodyPr>
                  </wps:wsp>
                </a:graphicData>
              </a:graphic>
            </wp:anchor>
          </w:drawing>
        </mc:Choice>
        <mc:Fallback>
          <w:pict>
            <v:rect w14:anchorId="73FF9A3E" id="Frame1" o:spid="_x0000_s1026" style="position:absolute;margin-left:0;margin-top:.05pt;width:1.4pt;height:13.9pt;z-index:-503316478;visibility:visible;mso-wrap-style:square;mso-wrap-distance-left:9.05pt;mso-wrap-distance-top:0;mso-wrap-distance-right:9.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" filled="f" stroked="f">
              <v:textbox inset=".02mm,.02mm,.02mm,.02mm">
                <w:txbxContent>
                  <w:p w14:paraId="6BABAAD6" w14:textId="77777777" w:rsidR="00DA4F19" w:rsidRDefault="00DA4F19">
                    <w:pPr>
                      <w:pStyle w:val="Footer"/>
                      <w:rPr>
                        <w:color w:val="000000"/>
                      </w:rPr>
                    </w:pP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0D18" w14:textId="77777777" w:rsidR="00DA4F19" w:rsidRDefault="00DA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CECAA" w14:textId="77777777" w:rsidR="00826A60" w:rsidRDefault="00826A60">
      <w:r>
        <w:separator/>
      </w:r>
    </w:p>
  </w:footnote>
  <w:footnote w:type="continuationSeparator" w:id="0">
    <w:p w14:paraId="0351B2B8" w14:textId="77777777" w:rsidR="00826A60" w:rsidRDefault="0082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AF91" w14:textId="77777777" w:rsidR="00DA4F19" w:rsidRDefault="00DA4F1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E2D0" w14:textId="77777777" w:rsidR="00DA4F19" w:rsidRDefault="00DA4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D0B99"/>
    <w:multiLevelType w:val="multilevel"/>
    <w:tmpl w:val="5D260898"/>
    <w:lvl w:ilvl="0">
      <w:start w:val="1"/>
      <w:numFmt w:val="none"/>
      <w:suff w:val="nothing"/>
      <w:lvlText w:val=""/>
      <w:lvlJc w:val="left"/>
      <w:pPr>
        <w:ind w:left="0" w:firstLine="0"/>
      </w:pPr>
    </w:lvl>
    <w:lvl w:ilvl="1">
      <w:start w:val="1"/>
      <w:numFmt w:val="none"/>
      <w:pStyle w:val="Heading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19"/>
    <w:rsid w:val="000714FE"/>
    <w:rsid w:val="004F550A"/>
    <w:rsid w:val="006C6A55"/>
    <w:rsid w:val="00826A60"/>
    <w:rsid w:val="00A07D44"/>
    <w:rsid w:val="00B03F66"/>
    <w:rsid w:val="00CA5036"/>
    <w:rsid w:val="00CA5408"/>
    <w:rsid w:val="00CD6C84"/>
    <w:rsid w:val="00D775ED"/>
    <w:rsid w:val="00DA4F19"/>
    <w:rsid w:val="00E16C72"/>
    <w:rsid w:val="00E81B2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149"/>
  <w15:docId w15:val="{FDFD57B4-880B-4C09-AAEF-CE801650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FreeSans"/>
        <w:szCs w:val="24"/>
        <w:lang w:val="lt-L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extAlignment w:val="baseline"/>
    </w:pPr>
    <w:rPr>
      <w:rFonts w:ascii="Liberation Serif;Times New Roma" w:eastAsia="SimSun;宋体" w:hAnsi="Liberation Serif;Times New Roma" w:cs="Mangal"/>
      <w:kern w:val="2"/>
      <w:sz w:val="24"/>
    </w:rPr>
  </w:style>
  <w:style w:type="paragraph" w:styleId="Heading2">
    <w:name w:val="heading 2"/>
    <w:qFormat/>
    <w:pPr>
      <w:keepNext/>
      <w:widowControl w:val="0"/>
      <w:numPr>
        <w:ilvl w:val="1"/>
        <w:numId w:val="1"/>
      </w:numPr>
      <w:spacing w:before="240" w:after="60"/>
      <w:outlineLvl w:val="1"/>
    </w:pPr>
    <w:rPr>
      <w:rFonts w:ascii="Arial" w:eastAsia="Arial" w:hAnsi="Arial" w:cs="Arial"/>
      <w:b/>
      <w:bCs/>
      <w:i/>
      <w:iCs/>
      <w:sz w:val="28"/>
      <w:szCs w:val="28"/>
      <w:lang w:val="en-GB"/>
    </w:rPr>
  </w:style>
  <w:style w:type="paragraph" w:styleId="Heading5">
    <w:name w:val="heading 5"/>
    <w:qFormat/>
    <w:pPr>
      <w:widowControl w:val="0"/>
      <w:numPr>
        <w:ilvl w:val="4"/>
        <w:numId w:val="1"/>
      </w:numPr>
      <w:spacing w:before="240" w:after="60"/>
      <w:outlineLvl w:val="4"/>
    </w:pPr>
    <w:rPr>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2z1">
    <w:name w:val="WW8Num2z1"/>
    <w:qFormat/>
    <w:rPr>
      <w:rFonts w:cs="Times New Roman"/>
    </w:rPr>
  </w:style>
  <w:style w:type="character" w:customStyle="1" w:styleId="WW8Num4z0">
    <w:name w:val="WW8Num4z0"/>
    <w:qFormat/>
    <w:rPr>
      <w:rFonts w:cs="Times New Roman"/>
    </w:rPr>
  </w:style>
  <w:style w:type="character" w:customStyle="1" w:styleId="WW8Num5z0">
    <w:name w:val="WW8Num5z0"/>
    <w:qFormat/>
    <w:rPr>
      <w:rFonts w:cs="Times New Roman"/>
    </w:rPr>
  </w:style>
  <w:style w:type="character" w:customStyle="1" w:styleId="WW8Num6z0">
    <w:name w:val="WW8Num6z0"/>
    <w:qFormat/>
    <w:rPr>
      <w:rFonts w:cs="Times New Roman"/>
    </w:rPr>
  </w:style>
  <w:style w:type="character" w:customStyle="1" w:styleId="WW8Num7z0">
    <w:name w:val="WW8Num7z0"/>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rPr>
  </w:style>
  <w:style w:type="character" w:customStyle="1" w:styleId="WW8Num11z0">
    <w:name w:val="WW8Num11z0"/>
    <w:qFormat/>
    <w:rPr>
      <w:rFonts w:cs="Times New Roman"/>
    </w:rPr>
  </w:style>
  <w:style w:type="character" w:customStyle="1" w:styleId="WW8Num12z0">
    <w:name w:val="WW8Num12z0"/>
    <w:qFormat/>
    <w:rPr>
      <w:rFonts w:cs="Times New Roman"/>
    </w:rPr>
  </w:style>
  <w:style w:type="character" w:customStyle="1" w:styleId="WW8Num13z0">
    <w:name w:val="WW8Num13z0"/>
    <w:qFormat/>
    <w:rPr>
      <w:rFonts w:ascii="Symbol" w:eastAsia="Symbol" w:hAnsi="Symbol" w:cs="Symbol"/>
    </w:rPr>
  </w:style>
  <w:style w:type="character" w:customStyle="1" w:styleId="WW8Num13z1">
    <w:name w:val="WW8Num13z1"/>
    <w:qFormat/>
    <w:rPr>
      <w:rFonts w:ascii="Courier New" w:eastAsia="Courier New" w:hAnsi="Courier New" w:cs="Courier New"/>
    </w:rPr>
  </w:style>
  <w:style w:type="character" w:customStyle="1" w:styleId="WW8Num13z2">
    <w:name w:val="WW8Num13z2"/>
    <w:qFormat/>
    <w:rPr>
      <w:rFonts w:ascii="Wingdings" w:eastAsia="Wingdings" w:hAnsi="Wingdings" w:cs="Wingdings"/>
    </w:rPr>
  </w:style>
  <w:style w:type="character" w:customStyle="1" w:styleId="WW8Num14z0">
    <w:name w:val="WW8Num14z0"/>
    <w:qFormat/>
    <w:rPr>
      <w:rFonts w:cs="Times New Roman"/>
    </w:rPr>
  </w:style>
  <w:style w:type="character" w:customStyle="1" w:styleId="WW8Num14z1">
    <w:name w:val="WW8Num14z1"/>
    <w:qFormat/>
    <w:rPr>
      <w:rFonts w:ascii="Symbol" w:eastAsia="Symbol" w:hAnsi="Symbol" w:cs="Symbol"/>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cs="Times New Roman"/>
    </w:rPr>
  </w:style>
  <w:style w:type="character" w:customStyle="1" w:styleId="WW8Num16z1">
    <w:name w:val="WW8Num16z1"/>
    <w:qFormat/>
    <w:rPr>
      <w:rFonts w:ascii="Symbol" w:eastAsia="Symbol" w:hAnsi="Symbol" w:cs="Symbol"/>
    </w:rPr>
  </w:style>
  <w:style w:type="character" w:customStyle="1" w:styleId="WW8Num16z2">
    <w:name w:val="WW8Num16z2"/>
    <w:qFormat/>
    <w:rPr>
      <w:rFonts w:cs="Times New Roman"/>
    </w:rPr>
  </w:style>
  <w:style w:type="character" w:customStyle="1" w:styleId="WW8Num17z0">
    <w:name w:val="WW8Num17z0"/>
    <w:qFormat/>
  </w:style>
  <w:style w:type="character" w:customStyle="1" w:styleId="WW8Num18z0">
    <w:name w:val="WW8Num18z0"/>
    <w:qFormat/>
    <w:rPr>
      <w:rFonts w:cs="Times New Roman"/>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cs="Times New Roman"/>
    </w:rPr>
  </w:style>
  <w:style w:type="character" w:customStyle="1" w:styleId="WW8Num22z0">
    <w:name w:val="WW8Num22z0"/>
    <w:qFormat/>
    <w:rPr>
      <w:rFonts w:cs="Times New Roman"/>
    </w:rPr>
  </w:style>
  <w:style w:type="character" w:customStyle="1" w:styleId="WW8Num23z0">
    <w:name w:val="WW8Num23z0"/>
    <w:qFormat/>
    <w:rPr>
      <w:rFonts w:cs="Times New Roman"/>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6z0">
    <w:name w:val="WW8Num26z0"/>
    <w:qFormat/>
    <w:rPr>
      <w:rFonts w:cs="Times New Roman"/>
    </w:rPr>
  </w:style>
  <w:style w:type="character" w:customStyle="1" w:styleId="WW8Num27z0">
    <w:name w:val="WW8Num27z0"/>
    <w:qFormat/>
    <w:rPr>
      <w:rFonts w:cs="Times New Roman"/>
    </w:rPr>
  </w:style>
  <w:style w:type="character" w:customStyle="1" w:styleId="WW8Num28z0">
    <w:name w:val="WW8Num28z0"/>
    <w:qFormat/>
    <w:rPr>
      <w:rFonts w:cs="Times New Roman"/>
    </w:rPr>
  </w:style>
  <w:style w:type="character" w:customStyle="1" w:styleId="WW8Num29z0">
    <w:name w:val="WW8Num29z0"/>
    <w:qFormat/>
    <w:rPr>
      <w:rFonts w:cs="Times New Roman"/>
    </w:rPr>
  </w:style>
  <w:style w:type="character" w:styleId="PageNumber">
    <w:name w:val="page number"/>
    <w:basedOn w:val="DefaultParagraphFont"/>
    <w:qFormat/>
  </w:style>
  <w:style w:type="character" w:customStyle="1" w:styleId="HeaderChar">
    <w:name w:val="Header Char"/>
    <w:qFormat/>
    <w:rPr>
      <w:sz w:val="24"/>
      <w:lang w:val="lt-LT" w:bidi="ar-SA"/>
    </w:rPr>
  </w:style>
  <w:style w:type="character" w:customStyle="1" w:styleId="FooterChar">
    <w:name w:val="Footer Char"/>
    <w:qFormat/>
    <w:rPr>
      <w:sz w:val="24"/>
      <w:lang w:val="lt-LT" w:bidi="ar-SA"/>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alloonTextChar">
    <w:name w:val="Balloon Text Char"/>
    <w:qFormat/>
    <w:rPr>
      <w:rFonts w:ascii="Tahoma" w:eastAsia="Tahoma" w:hAnsi="Tahoma" w:cs="Tahoma"/>
      <w:sz w:val="16"/>
      <w:szCs w:val="16"/>
    </w:rPr>
  </w:style>
  <w:style w:type="character" w:customStyle="1" w:styleId="Hyperlink1">
    <w:name w:val="Hyperlink1"/>
    <w:qFormat/>
    <w:rPr>
      <w:color w:val="0000FF"/>
      <w:u w:val="single"/>
    </w:rPr>
  </w:style>
  <w:style w:type="character" w:styleId="Emphasis">
    <w:name w:val="Emphasis"/>
    <w:basedOn w:val="DefaultParagraphFont"/>
    <w:uiPriority w:val="20"/>
    <w:qFormat/>
    <w:rsid w:val="00ED0758"/>
    <w:rPr>
      <w:i/>
      <w:iCs/>
    </w:rPr>
  </w:style>
  <w:style w:type="character" w:customStyle="1" w:styleId="LineNumbering">
    <w:name w:val="Line Numbering"/>
  </w:style>
  <w:style w:type="paragraph" w:customStyle="1" w:styleId="Heading">
    <w:name w:val="Heading"/>
    <w:next w:val="BodyText"/>
    <w:qFormat/>
    <w:pPr>
      <w:keepNext/>
      <w:widowControl w:val="0"/>
      <w:spacing w:before="240" w:after="120"/>
    </w:pPr>
    <w:rPr>
      <w:rFonts w:ascii="Liberation Sans;Arial" w:eastAsia="Microsoft YaHei" w:hAnsi="Liberation Sans;Arial" w:cs="Mangal"/>
      <w:sz w:val="28"/>
      <w:szCs w:val="28"/>
    </w:rPr>
  </w:style>
  <w:style w:type="paragraph" w:styleId="BodyText">
    <w:name w:val="Body Text"/>
    <w:basedOn w:val="Normal"/>
    <w:pPr>
      <w:spacing w:after="140" w:line="288" w:lineRule="auto"/>
    </w:pPr>
  </w:style>
  <w:style w:type="paragraph" w:styleId="List">
    <w:name w:val="List"/>
    <w:pPr>
      <w:widowControl w:val="0"/>
    </w:pPr>
    <w:rPr>
      <w:rFonts w:cs="Mangal"/>
      <w:sz w:val="24"/>
    </w:rPr>
  </w:style>
  <w:style w:type="paragraph" w:styleId="Caption">
    <w:name w:val="caption"/>
    <w:qFormat/>
    <w:pPr>
      <w:widowControl w:val="0"/>
      <w:suppressLineNumbers/>
      <w:spacing w:before="120" w:after="120"/>
    </w:pPr>
    <w:rPr>
      <w:rFonts w:cs="Mangal"/>
      <w:i/>
      <w:iCs/>
      <w:sz w:val="24"/>
    </w:rPr>
  </w:style>
  <w:style w:type="paragraph" w:customStyle="1" w:styleId="Index">
    <w:name w:val="Index"/>
    <w:qFormat/>
    <w:pPr>
      <w:widowControl w:val="0"/>
      <w:suppressLineNumbers/>
    </w:pPr>
    <w:rPr>
      <w:rFonts w:cs="Mangal"/>
      <w:sz w:val="24"/>
    </w:rPr>
  </w:style>
  <w:style w:type="paragraph" w:customStyle="1" w:styleId="Standard">
    <w:name w:val="Standard"/>
    <w:qFormat/>
    <w:pPr>
      <w:textAlignment w:val="baseline"/>
    </w:pPr>
    <w:rPr>
      <w:rFonts w:eastAsia="Times New Roman" w:cs="Times New Roman"/>
      <w:kern w:val="2"/>
      <w:sz w:val="24"/>
      <w:szCs w:val="20"/>
      <w:lang w:bidi="ar-SA"/>
    </w:rPr>
  </w:style>
  <w:style w:type="paragraph" w:customStyle="1" w:styleId="Textbody">
    <w:name w:val="Text body"/>
    <w:basedOn w:val="Standard"/>
    <w:qFormat/>
    <w:pPr>
      <w:spacing w:line="360" w:lineRule="auto"/>
      <w:ind w:right="-142"/>
      <w:jc w:val="both"/>
    </w:pPr>
  </w:style>
  <w:style w:type="paragraph" w:customStyle="1" w:styleId="HeaderandFooter">
    <w:name w:val="Header and Footer"/>
    <w:basedOn w:val="Normal"/>
    <w:qFormat/>
  </w:style>
  <w:style w:type="paragraph" w:styleId="Header">
    <w:name w:val="header"/>
    <w:basedOn w:val="Standard"/>
    <w:pPr>
      <w:widowControl w:val="0"/>
      <w:spacing w:after="20"/>
      <w:jc w:val="both"/>
    </w:pPr>
  </w:style>
  <w:style w:type="paragraph" w:styleId="Footer">
    <w:name w:val="footer"/>
    <w:basedOn w:val="Standard"/>
  </w:style>
  <w:style w:type="paragraph" w:customStyle="1" w:styleId="MAZAS">
    <w:name w:val="MAZAS"/>
    <w:qFormat/>
    <w:pPr>
      <w:ind w:firstLine="312"/>
      <w:jc w:val="both"/>
      <w:textAlignment w:val="baseline"/>
    </w:pPr>
    <w:rPr>
      <w:rFonts w:ascii="TimesLT, 'Times New Roman'" w:eastAsia="Times New Roman" w:hAnsi="TimesLT, 'Times New Roman'" w:cs="TimesLT, 'Times New Roman'"/>
      <w:color w:val="000000"/>
      <w:kern w:val="2"/>
      <w:sz w:val="8"/>
      <w:szCs w:val="8"/>
      <w:lang w:val="en-US" w:bidi="ar-SA"/>
    </w:rPr>
  </w:style>
  <w:style w:type="paragraph" w:customStyle="1" w:styleId="Default">
    <w:name w:val="Default"/>
    <w:qFormat/>
    <w:pPr>
      <w:textAlignment w:val="baseline"/>
    </w:pPr>
    <w:rPr>
      <w:rFonts w:eastAsia="Times New Roman" w:cs="Times New Roman"/>
      <w:color w:val="000000"/>
      <w:kern w:val="2"/>
      <w:sz w:val="24"/>
      <w:lang w:val="en-US" w:bidi="ar-SA"/>
    </w:rPr>
  </w:style>
  <w:style w:type="paragraph" w:styleId="CommentText">
    <w:name w:val="annotation text"/>
    <w:basedOn w:val="Standard"/>
    <w:qFormat/>
    <w:rPr>
      <w:sz w:val="20"/>
    </w:rPr>
  </w:style>
  <w:style w:type="paragraph" w:styleId="CommentSubject">
    <w:name w:val="annotation subject"/>
    <w:basedOn w:val="CommentText"/>
    <w:qFormat/>
    <w:rPr>
      <w:b/>
      <w:bCs/>
    </w:rPr>
  </w:style>
  <w:style w:type="paragraph" w:styleId="BalloonText">
    <w:name w:val="Balloon Text"/>
    <w:basedOn w:val="Standard"/>
    <w:qFormat/>
    <w:rPr>
      <w:rFonts w:ascii="Tahoma" w:eastAsia="Tahoma" w:hAnsi="Tahoma" w:cs="Tahoma"/>
      <w:sz w:val="16"/>
      <w:szCs w:val="16"/>
    </w:rPr>
  </w:style>
  <w:style w:type="paragraph" w:styleId="BodyText2">
    <w:name w:val="Body Text 2"/>
    <w:basedOn w:val="Standard"/>
    <w:qFormat/>
    <w:pPr>
      <w:spacing w:after="120" w:line="480" w:lineRule="auto"/>
    </w:pPr>
  </w:style>
  <w:style w:type="paragraph" w:customStyle="1" w:styleId="Style1">
    <w:name w:val="Style1"/>
    <w:basedOn w:val="Heading5"/>
    <w:qFormat/>
    <w:pPr>
      <w:numPr>
        <w:ilvl w:val="0"/>
        <w:numId w:val="0"/>
      </w:numPr>
      <w:spacing w:after="240"/>
    </w:pPr>
    <w:rPr>
      <w:rFonts w:ascii="Arial" w:eastAsia="Arial" w:hAnsi="Arial" w:cs="Arial"/>
      <w:i w:val="0"/>
      <w:sz w:val="24"/>
      <w:lang w:val="lt-LT"/>
    </w:rPr>
  </w:style>
  <w:style w:type="paragraph" w:customStyle="1" w:styleId="StiliusAntrat2Tarpaitarpeilui15eiluts">
    <w:name w:val="Stilius Antraštė 2 + Tarpai tarp eilučių:  1.5 eilutės"/>
    <w:basedOn w:val="Heading2"/>
    <w:qFormat/>
    <w:pPr>
      <w:keepNext w:val="0"/>
      <w:numPr>
        <w:ilvl w:val="0"/>
        <w:numId w:val="0"/>
      </w:numPr>
      <w:spacing w:before="0" w:after="0"/>
      <w:jc w:val="both"/>
    </w:pPr>
    <w:rPr>
      <w:rFonts w:ascii="Times New Roman" w:eastAsia="Times New Roman" w:hAnsi="Times New Roman" w:cs="Times New Roman"/>
      <w:b w:val="0"/>
      <w:bCs w:val="0"/>
      <w:i w:val="0"/>
      <w:iCs w:val="0"/>
      <w:sz w:val="24"/>
      <w:szCs w:val="20"/>
      <w:lang w:val="lt-LT"/>
    </w:rPr>
  </w:style>
  <w:style w:type="paragraph" w:styleId="BlockText">
    <w:name w:val="Block Text"/>
    <w:basedOn w:val="Standard"/>
    <w:qFormat/>
    <w:pPr>
      <w:ind w:left="284" w:right="-57" w:hanging="284"/>
      <w:jc w:val="both"/>
    </w:pPr>
    <w:rPr>
      <w:sz w:val="22"/>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HeaderLeft">
    <w:name w:val="Header Left"/>
    <w:basedOn w:val="Standard"/>
    <w:qFormat/>
    <w:pPr>
      <w:suppressLineNumbers/>
    </w:pPr>
  </w:style>
  <w:style w:type="paragraph" w:customStyle="1" w:styleId="western">
    <w:name w:val="western"/>
    <w:basedOn w:val="Normal"/>
    <w:qFormat/>
    <w:rsid w:val="00D307FA"/>
    <w:pPr>
      <w:keepNext/>
      <w:widowControl/>
      <w:suppressAutoHyphens w:val="0"/>
      <w:spacing w:beforeAutospacing="1" w:after="142" w:line="288" w:lineRule="auto"/>
      <w:textAlignment w:val="auto"/>
    </w:pPr>
    <w:rPr>
      <w:rFonts w:ascii="Times New Roman" w:eastAsia="Times New Roman" w:hAnsi="Times New Roman" w:cs="Times New Roman"/>
      <w:kern w:val="0"/>
      <w:lang w:eastAsia="lt-LT" w:bidi="ar-SA"/>
    </w:rPr>
  </w:style>
  <w:style w:type="paragraph" w:customStyle="1" w:styleId="LO-Normal">
    <w:name w:val="LO-Normal"/>
    <w:qFormat/>
    <w:rsid w:val="00DA2F85"/>
    <w:pPr>
      <w:spacing w:after="160" w:line="252" w:lineRule="auto"/>
    </w:pPr>
    <w:rPr>
      <w:rFonts w:ascii="Calibri" w:eastAsia="Calibri" w:hAnsi="Calibri" w:cs="Times New Roman"/>
      <w:sz w:val="22"/>
      <w:szCs w:val="22"/>
      <w:lang w:eastAsia="en-U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Revision">
    <w:name w:val="Revision"/>
    <w:hidden/>
    <w:uiPriority w:val="99"/>
    <w:semiHidden/>
    <w:rsid w:val="004F550A"/>
    <w:pPr>
      <w:suppressAutoHyphens w:val="0"/>
    </w:pPr>
    <w:rPr>
      <w:rFonts w:ascii="Liberation Serif;Times New Roma" w:eastAsia="SimSun;宋体" w:hAnsi="Liberation Serif;Times New Roma" w:cs="Mangal"/>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DD76E-54D5-4A46-9A15-7BEF8D68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1663</Words>
  <Characters>949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Justina VILKAITIENĖ</cp:lastModifiedBy>
  <cp:revision>5</cp:revision>
  <dcterms:created xsi:type="dcterms:W3CDTF">2023-01-18T09:07:00Z</dcterms:created>
  <dcterms:modified xsi:type="dcterms:W3CDTF">2023-01-18T10:13:00Z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