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7F03150B"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F14072">
        <w:rPr>
          <w:rFonts w:ascii="Times New Roman" w:eastAsia="Times New Roman" w:hAnsi="Times New Roman" w:cs="Times New Roman"/>
          <w:b/>
          <w:bCs/>
          <w:color w:val="000000"/>
          <w:sz w:val="21"/>
          <w:szCs w:val="21"/>
          <w:lang w:eastAsia="ar-SA"/>
        </w:rPr>
        <w:t xml:space="preserve">MB </w:t>
      </w:r>
      <w:proofErr w:type="spellStart"/>
      <w:r w:rsidR="00F14072">
        <w:rPr>
          <w:rFonts w:ascii="Times New Roman" w:eastAsia="Times New Roman" w:hAnsi="Times New Roman" w:cs="Times New Roman"/>
          <w:b/>
          <w:bCs/>
          <w:color w:val="000000"/>
          <w:sz w:val="21"/>
          <w:szCs w:val="21"/>
          <w:lang w:eastAsia="ar-SA"/>
        </w:rPr>
        <w:t>JAMedica</w:t>
      </w:r>
      <w:proofErr w:type="spellEnd"/>
      <w:r w:rsidRPr="00145B37">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F14072">
        <w:rPr>
          <w:rFonts w:ascii="Times New Roman" w:eastAsia="Times New Roman" w:hAnsi="Times New Roman" w:cs="Times New Roman"/>
          <w:color w:val="000000"/>
          <w:sz w:val="21"/>
          <w:szCs w:val="21"/>
          <w:lang w:eastAsia="ar-SA"/>
        </w:rPr>
        <w:t>direktorės Astos Petkevičienės</w:t>
      </w:r>
      <w:r w:rsidRPr="00145B37">
        <w:rPr>
          <w:rFonts w:ascii="Times New Roman" w:eastAsia="Times New Roman" w:hAnsi="Times New Roman" w:cs="Times New Roman"/>
          <w:color w:val="000000"/>
          <w:sz w:val="21"/>
          <w:szCs w:val="21"/>
          <w:lang w:eastAsia="ar-SA"/>
        </w:rPr>
        <w:t>, veikiančio</w:t>
      </w:r>
      <w:r w:rsidR="00F14072">
        <w:rPr>
          <w:rFonts w:ascii="Times New Roman" w:eastAsia="Times New Roman" w:hAnsi="Times New Roman" w:cs="Times New Roman"/>
          <w:color w:val="000000"/>
          <w:sz w:val="21"/>
          <w:szCs w:val="21"/>
          <w:lang w:eastAsia="ar-SA"/>
        </w:rPr>
        <w:t>s</w:t>
      </w:r>
      <w:r w:rsidRPr="00145B37">
        <w:rPr>
          <w:rFonts w:ascii="Times New Roman" w:eastAsia="Times New Roman" w:hAnsi="Times New Roman" w:cs="Times New Roman"/>
          <w:color w:val="000000"/>
          <w:sz w:val="21"/>
          <w:szCs w:val="21"/>
          <w:lang w:eastAsia="ar-SA"/>
        </w:rPr>
        <w:t xml:space="preserve"> pagal </w:t>
      </w:r>
      <w:r w:rsidR="00F14072">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6CBDD909"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F14072">
        <w:rPr>
          <w:rFonts w:ascii="Times New Roman" w:eastAsia="Calibri" w:hAnsi="Times New Roman" w:cs="Times New Roman"/>
          <w:b/>
          <w:bCs/>
          <w:sz w:val="21"/>
          <w:szCs w:val="21"/>
          <w:lang w:eastAsia="zh-CN"/>
        </w:rPr>
        <w:t>2263,80</w:t>
      </w:r>
      <w:r w:rsidRPr="00145B37">
        <w:rPr>
          <w:rFonts w:ascii="Times New Roman" w:eastAsia="Calibri" w:hAnsi="Times New Roman" w:cs="Times New Roman"/>
          <w:b/>
          <w:bCs/>
          <w:sz w:val="21"/>
          <w:szCs w:val="21"/>
          <w:lang w:eastAsia="zh-CN"/>
        </w:rPr>
        <w:t xml:space="preserve"> Eur su PVM (</w:t>
      </w:r>
      <w:r w:rsidR="00F14072">
        <w:rPr>
          <w:rFonts w:ascii="Times New Roman" w:eastAsia="Calibri" w:hAnsi="Times New Roman" w:cs="Times New Roman"/>
          <w:b/>
          <w:bCs/>
          <w:sz w:val="21"/>
          <w:szCs w:val="21"/>
          <w:lang w:eastAsia="zh-CN"/>
        </w:rPr>
        <w:t xml:space="preserve">2156,00 </w:t>
      </w:r>
      <w:r w:rsidRPr="00145B37">
        <w:rPr>
          <w:rFonts w:ascii="Times New Roman" w:eastAsia="Calibri" w:hAnsi="Times New Roman" w:cs="Times New Roman"/>
          <w:b/>
          <w:bCs/>
          <w:sz w:val="21"/>
          <w:szCs w:val="21"/>
          <w:lang w:eastAsia="zh-CN"/>
        </w:rPr>
        <w:t>Eur be PVM).</w:t>
      </w:r>
    </w:p>
    <w:p w14:paraId="4CE41D59" w14:textId="69603544"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F14072">
        <w:rPr>
          <w:rFonts w:ascii="Times New Roman" w:eastAsia="Calibri" w:hAnsi="Times New Roman" w:cs="Times New Roman"/>
          <w:sz w:val="21"/>
          <w:szCs w:val="21"/>
          <w:lang w:eastAsia="zh-CN"/>
        </w:rPr>
        <w:t>2058,00</w:t>
      </w:r>
      <w:r w:rsidRPr="00145B37">
        <w:rPr>
          <w:rFonts w:ascii="Times New Roman" w:eastAsia="Calibri" w:hAnsi="Times New Roman" w:cs="Times New Roman"/>
          <w:sz w:val="21"/>
          <w:szCs w:val="21"/>
          <w:lang w:eastAsia="zh-CN"/>
        </w:rPr>
        <w:t xml:space="preserve"> Eur su PVM (</w:t>
      </w:r>
      <w:r w:rsidR="00F14072">
        <w:rPr>
          <w:rFonts w:ascii="Times New Roman" w:eastAsia="Calibri" w:hAnsi="Times New Roman" w:cs="Times New Roman"/>
          <w:sz w:val="21"/>
          <w:szCs w:val="21"/>
          <w:lang w:eastAsia="zh-CN"/>
        </w:rPr>
        <w:t xml:space="preserve">1960,00 </w:t>
      </w:r>
      <w:r w:rsidRPr="00145B37">
        <w:rPr>
          <w:rFonts w:ascii="Times New Roman" w:eastAsia="Calibri" w:hAnsi="Times New Roman" w:cs="Times New Roman"/>
          <w:sz w:val="21"/>
          <w:szCs w:val="21"/>
          <w:lang w:eastAsia="zh-CN"/>
        </w:rPr>
        <w:t>Eur be PVM).</w:t>
      </w:r>
    </w:p>
    <w:p w14:paraId="6646AF6E" w14:textId="4692D218"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F14072">
        <w:rPr>
          <w:rFonts w:ascii="Times New Roman" w:eastAsia="Calibri" w:hAnsi="Times New Roman" w:cs="Times New Roman"/>
          <w:sz w:val="21"/>
          <w:szCs w:val="21"/>
          <w:lang w:eastAsia="zh-CN"/>
        </w:rPr>
        <w:t>205,80</w:t>
      </w:r>
      <w:r w:rsidRPr="00145B37">
        <w:rPr>
          <w:rFonts w:ascii="Times New Roman" w:eastAsia="Calibri" w:hAnsi="Times New Roman" w:cs="Times New Roman"/>
          <w:sz w:val="21"/>
          <w:szCs w:val="21"/>
          <w:lang w:eastAsia="zh-CN"/>
        </w:rPr>
        <w:t xml:space="preserve"> Eur su PVM (</w:t>
      </w:r>
      <w:r w:rsidR="00F14072">
        <w:rPr>
          <w:rFonts w:ascii="Times New Roman" w:eastAsia="Calibri" w:hAnsi="Times New Roman" w:cs="Times New Roman"/>
          <w:sz w:val="21"/>
          <w:szCs w:val="21"/>
          <w:lang w:eastAsia="zh-CN"/>
        </w:rPr>
        <w:t xml:space="preserve">196,00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 xml:space="preserve">.,  </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5AB94C40" w14:textId="4D836FF8" w:rsidR="004101CC" w:rsidRPr="00145B37" w:rsidRDefault="004101CC" w:rsidP="00F14072">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color w:val="000000"/>
          <w:sz w:val="21"/>
          <w:szCs w:val="21"/>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F14072">
        <w:rPr>
          <w:rFonts w:ascii="Times New Roman" w:eastAsia="Times New Roman" w:hAnsi="Times New Roman" w:cs="Times New Roman"/>
          <w:bCs/>
          <w:color w:val="000000"/>
          <w:sz w:val="21"/>
          <w:szCs w:val="21"/>
          <w:bdr w:val="nil"/>
          <w:lang w:eastAsia="zh-CN"/>
        </w:rPr>
        <w:t xml:space="preserve">: direktorė Asta </w:t>
      </w:r>
      <w:proofErr w:type="spellStart"/>
      <w:r w:rsidR="00F14072">
        <w:rPr>
          <w:rFonts w:ascii="Times New Roman" w:eastAsia="Times New Roman" w:hAnsi="Times New Roman" w:cs="Times New Roman"/>
          <w:bCs/>
          <w:color w:val="000000"/>
          <w:sz w:val="21"/>
          <w:szCs w:val="21"/>
          <w:bdr w:val="nil"/>
          <w:lang w:eastAsia="zh-CN"/>
        </w:rPr>
        <w:t>Petkveičienė</w:t>
      </w:r>
      <w:proofErr w:type="spellEnd"/>
      <w:r w:rsidR="00F14072">
        <w:rPr>
          <w:rFonts w:ascii="Times New Roman" w:eastAsia="Times New Roman" w:hAnsi="Times New Roman" w:cs="Times New Roman"/>
          <w:bCs/>
          <w:color w:val="000000"/>
          <w:sz w:val="21"/>
          <w:szCs w:val="21"/>
          <w:bdr w:val="nil"/>
          <w:lang w:eastAsia="zh-CN"/>
        </w:rPr>
        <w:t xml:space="preserve">, tel.: 86 483 0305, el. p. </w:t>
      </w:r>
      <w:hyperlink r:id="rId9" w:history="1">
        <w:r w:rsidR="00F14072" w:rsidRPr="00FE6A5E">
          <w:rPr>
            <w:rStyle w:val="Hyperlink"/>
            <w:rFonts w:ascii="Times New Roman" w:eastAsia="Times New Roman" w:hAnsi="Times New Roman" w:cs="Times New Roman"/>
            <w:bCs/>
            <w:sz w:val="21"/>
            <w:szCs w:val="21"/>
            <w:bdr w:val="nil"/>
            <w:lang w:eastAsia="zh-CN"/>
          </w:rPr>
          <w:t>info@jamedica.com</w:t>
        </w:r>
      </w:hyperlink>
      <w:r w:rsidR="00F14072">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0068FC06"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14072">
        <w:rPr>
          <w:rFonts w:ascii="Times New Roman" w:eastAsia="Arial Unicode MS" w:hAnsi="Times New Roman" w:cs="Times New Roman"/>
          <w:sz w:val="21"/>
          <w:szCs w:val="21"/>
          <w:bdr w:val="nil"/>
        </w:rPr>
        <w:t xml:space="preserve">MB </w:t>
      </w:r>
      <w:proofErr w:type="spellStart"/>
      <w:r w:rsidR="00F14072">
        <w:rPr>
          <w:rFonts w:ascii="Times New Roman" w:eastAsia="Arial Unicode MS" w:hAnsi="Times New Roman" w:cs="Times New Roman"/>
          <w:sz w:val="21"/>
          <w:szCs w:val="21"/>
          <w:bdr w:val="nil"/>
        </w:rPr>
        <w:t>JAMedica</w:t>
      </w:r>
      <w:proofErr w:type="spellEnd"/>
    </w:p>
    <w:p w14:paraId="6C78BF15" w14:textId="740D940E"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F14072">
        <w:rPr>
          <w:rFonts w:ascii="Times New Roman" w:eastAsia="Arial Unicode MS" w:hAnsi="Times New Roman" w:cs="Times New Roman"/>
          <w:sz w:val="21"/>
          <w:szCs w:val="21"/>
          <w:bdr w:val="nil"/>
        </w:rPr>
        <w:tab/>
      </w:r>
      <w:r w:rsidR="00F14072">
        <w:rPr>
          <w:rFonts w:ascii="Times New Roman" w:eastAsia="Arial Unicode MS" w:hAnsi="Times New Roman" w:cs="Times New Roman"/>
          <w:sz w:val="21"/>
          <w:szCs w:val="21"/>
          <w:bdr w:val="nil"/>
        </w:rPr>
        <w:tab/>
        <w:t>Krėvos g. 10-27, LT-44237, Kaunas</w:t>
      </w:r>
    </w:p>
    <w:p w14:paraId="6F477652" w14:textId="251F198E"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14072">
        <w:rPr>
          <w:rFonts w:ascii="Times New Roman" w:eastAsia="Arial Unicode MS" w:hAnsi="Times New Roman" w:cs="Times New Roman"/>
          <w:sz w:val="21"/>
          <w:szCs w:val="21"/>
          <w:bdr w:val="nil"/>
        </w:rPr>
        <w:t>Įmonės kodas 305094394</w:t>
      </w:r>
    </w:p>
    <w:p w14:paraId="239324FF" w14:textId="0A879FF2"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14072">
        <w:rPr>
          <w:rFonts w:ascii="Times New Roman" w:eastAsia="Arial Unicode MS" w:hAnsi="Times New Roman" w:cs="Times New Roman"/>
          <w:sz w:val="21"/>
          <w:szCs w:val="21"/>
          <w:bdr w:val="nil"/>
        </w:rPr>
        <w:t>PVM kodas LT100013223319</w:t>
      </w:r>
    </w:p>
    <w:p w14:paraId="5EFF1231" w14:textId="55B25172"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14072">
        <w:rPr>
          <w:rFonts w:ascii="Times New Roman" w:eastAsia="Arial Unicode MS" w:hAnsi="Times New Roman" w:cs="Times New Roman"/>
          <w:sz w:val="21"/>
          <w:szCs w:val="21"/>
          <w:bdr w:val="nil"/>
        </w:rPr>
        <w:t>A/s LT65 7044 0600 0828 9809</w:t>
      </w:r>
    </w:p>
    <w:p w14:paraId="7A69CD8B" w14:textId="624DD2E4"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14072">
        <w:rPr>
          <w:rFonts w:ascii="Times New Roman" w:eastAsia="Arial Unicode MS" w:hAnsi="Times New Roman" w:cs="Times New Roman"/>
          <w:sz w:val="21"/>
          <w:szCs w:val="21"/>
          <w:bdr w:val="nil"/>
        </w:rPr>
        <w:t>AB SEB bankas, banko k. 70440</w:t>
      </w:r>
    </w:p>
    <w:p w14:paraId="47FF5557" w14:textId="00D53A13"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AD70DA">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14072">
        <w:rPr>
          <w:rFonts w:ascii="Times New Roman" w:eastAsia="Arial Unicode MS" w:hAnsi="Times New Roman" w:cs="Times New Roman"/>
          <w:sz w:val="21"/>
          <w:szCs w:val="21"/>
          <w:bdr w:val="nil"/>
        </w:rPr>
        <w:t>Tel.: +370 6 483 0305</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4A799B64"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F14072">
        <w:rPr>
          <w:rFonts w:ascii="Times New Roman" w:eastAsia="Arial Unicode MS" w:hAnsi="Times New Roman" w:cs="Times New Roman"/>
          <w:sz w:val="21"/>
          <w:szCs w:val="21"/>
        </w:rPr>
        <w:tab/>
      </w:r>
      <w:r w:rsidR="00F14072">
        <w:rPr>
          <w:rFonts w:ascii="Times New Roman" w:eastAsia="Arial Unicode MS" w:hAnsi="Times New Roman" w:cs="Times New Roman"/>
          <w:sz w:val="21"/>
          <w:szCs w:val="21"/>
        </w:rPr>
        <w:tab/>
        <w:t>Direktorė</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0DA9FE0A"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00F14072">
        <w:rPr>
          <w:rFonts w:ascii="Times New Roman" w:eastAsia="Arial Unicode MS" w:hAnsi="Times New Roman" w:cs="Times New Roman"/>
          <w:sz w:val="21"/>
          <w:szCs w:val="21"/>
        </w:rPr>
        <w:t>Asta Petkevičienė</w:t>
      </w:r>
      <w:r w:rsidRPr="00145B37">
        <w:rPr>
          <w:rFonts w:ascii="Times New Roman" w:eastAsia="Arial Unicode MS" w:hAnsi="Times New Roman" w:cs="Times New Roman"/>
          <w:sz w:val="21"/>
          <w:szCs w:val="21"/>
        </w:rPr>
        <w:tab/>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D212" w14:textId="77777777" w:rsidR="001D1536" w:rsidRDefault="001D1536">
      <w:pPr>
        <w:spacing w:after="0" w:line="240" w:lineRule="auto"/>
      </w:pPr>
      <w:r>
        <w:separator/>
      </w:r>
    </w:p>
  </w:endnote>
  <w:endnote w:type="continuationSeparator" w:id="0">
    <w:p w14:paraId="0A952BBE" w14:textId="77777777" w:rsidR="001D1536" w:rsidRDefault="001D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DF26" w14:textId="77777777" w:rsidR="001D1536" w:rsidRDefault="001D1536">
      <w:pPr>
        <w:spacing w:after="0" w:line="240" w:lineRule="auto"/>
      </w:pPr>
      <w:r>
        <w:separator/>
      </w:r>
    </w:p>
  </w:footnote>
  <w:footnote w:type="continuationSeparator" w:id="0">
    <w:p w14:paraId="71F07BEC" w14:textId="77777777" w:rsidR="001D1536" w:rsidRDefault="001D1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A06A9"/>
    <w:rsid w:val="00145B37"/>
    <w:rsid w:val="001D1536"/>
    <w:rsid w:val="0038224B"/>
    <w:rsid w:val="004101CC"/>
    <w:rsid w:val="00535351"/>
    <w:rsid w:val="00591905"/>
    <w:rsid w:val="006340A9"/>
    <w:rsid w:val="00AD70DA"/>
    <w:rsid w:val="00CC2B94"/>
    <w:rsid w:val="00F14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F14072"/>
    <w:rPr>
      <w:color w:val="0563C1" w:themeColor="hyperlink"/>
      <w:u w:val="single"/>
    </w:rPr>
  </w:style>
  <w:style w:type="character" w:styleId="UnresolvedMention">
    <w:name w:val="Unresolved Mention"/>
    <w:basedOn w:val="DefaultParagraphFont"/>
    <w:uiPriority w:val="99"/>
    <w:semiHidden/>
    <w:unhideWhenUsed/>
    <w:rsid w:val="00F14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jamedica.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C0FF6"/>
    <w:rsid w:val="0068496E"/>
    <w:rsid w:val="0070319B"/>
    <w:rsid w:val="00BB1C21"/>
    <w:rsid w:val="00DB14E1"/>
    <w:rsid w:val="00DD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19607</Words>
  <Characters>11177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7</cp:revision>
  <cp:lastPrinted>2023-01-04T13:56:00Z</cp:lastPrinted>
  <dcterms:created xsi:type="dcterms:W3CDTF">2022-12-30T07:35:00Z</dcterms:created>
  <dcterms:modified xsi:type="dcterms:W3CDTF">2023-01-04T13:57:00Z</dcterms:modified>
</cp:coreProperties>
</file>