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3DA3452F"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B86AD1" w:rsidRPr="00B86AD1">
        <w:rPr>
          <w:rFonts w:ascii="Times New Roman" w:eastAsia="Times New Roman" w:hAnsi="Times New Roman" w:cs="Times New Roman"/>
          <w:b/>
          <w:bCs/>
          <w:color w:val="000000"/>
          <w:sz w:val="21"/>
          <w:szCs w:val="21"/>
          <w:lang w:eastAsia="ar-SA"/>
        </w:rPr>
        <w:t>UAB “</w:t>
      </w:r>
      <w:proofErr w:type="spellStart"/>
      <w:r w:rsidR="00B86AD1" w:rsidRPr="00B86AD1">
        <w:rPr>
          <w:rFonts w:ascii="Times New Roman" w:eastAsia="Times New Roman" w:hAnsi="Times New Roman" w:cs="Times New Roman"/>
          <w:b/>
          <w:bCs/>
          <w:color w:val="000000"/>
          <w:sz w:val="21"/>
          <w:szCs w:val="21"/>
          <w:lang w:eastAsia="ar-SA"/>
        </w:rPr>
        <w:t>Sorimpeksas</w:t>
      </w:r>
      <w:proofErr w:type="spellEnd"/>
      <w:r w:rsidR="00B86AD1" w:rsidRPr="00B86AD1">
        <w:rPr>
          <w:rFonts w:ascii="Times New Roman" w:eastAsia="Times New Roman" w:hAnsi="Times New Roman" w:cs="Times New Roman"/>
          <w:b/>
          <w:bCs/>
          <w:color w:val="000000"/>
          <w:sz w:val="21"/>
          <w:szCs w:val="21"/>
          <w:lang w:eastAsia="ar-SA"/>
        </w:rPr>
        <w:t>”</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B86AD1">
        <w:rPr>
          <w:rFonts w:ascii="Times New Roman" w:eastAsia="Times New Roman" w:hAnsi="Times New Roman" w:cs="Times New Roman"/>
          <w:color w:val="000000"/>
          <w:sz w:val="21"/>
          <w:szCs w:val="21"/>
          <w:lang w:eastAsia="ar-SA"/>
        </w:rPr>
        <w:t xml:space="preserve">direktoriaus Ramūno </w:t>
      </w:r>
      <w:proofErr w:type="spellStart"/>
      <w:r w:rsidR="00B86AD1">
        <w:rPr>
          <w:rFonts w:ascii="Times New Roman" w:eastAsia="Times New Roman" w:hAnsi="Times New Roman" w:cs="Times New Roman"/>
          <w:color w:val="000000"/>
          <w:sz w:val="21"/>
          <w:szCs w:val="21"/>
          <w:lang w:eastAsia="ar-SA"/>
        </w:rPr>
        <w:t>Žalnerausko</w:t>
      </w:r>
      <w:proofErr w:type="spellEnd"/>
      <w:r w:rsidRPr="00145B37">
        <w:rPr>
          <w:rFonts w:ascii="Times New Roman" w:eastAsia="Times New Roman" w:hAnsi="Times New Roman" w:cs="Times New Roman"/>
          <w:color w:val="000000"/>
          <w:sz w:val="21"/>
          <w:szCs w:val="21"/>
          <w:lang w:eastAsia="ar-SA"/>
        </w:rPr>
        <w:t xml:space="preserve">, veikiančio pagal </w:t>
      </w:r>
      <w:r w:rsidR="00B86AD1">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5B4DCCB2"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B86AD1">
        <w:rPr>
          <w:rFonts w:ascii="Times New Roman" w:eastAsia="Calibri" w:hAnsi="Times New Roman" w:cs="Times New Roman"/>
          <w:b/>
          <w:bCs/>
          <w:sz w:val="21"/>
          <w:szCs w:val="21"/>
          <w:lang w:eastAsia="zh-CN"/>
        </w:rPr>
        <w:t>89883,49</w:t>
      </w:r>
      <w:r w:rsidRPr="00145B37">
        <w:rPr>
          <w:rFonts w:ascii="Times New Roman" w:eastAsia="Calibri" w:hAnsi="Times New Roman" w:cs="Times New Roman"/>
          <w:b/>
          <w:bCs/>
          <w:sz w:val="21"/>
          <w:szCs w:val="21"/>
          <w:lang w:eastAsia="zh-CN"/>
        </w:rPr>
        <w:t xml:space="preserve"> Eur su PVM (</w:t>
      </w:r>
      <w:r w:rsidR="00B86AD1">
        <w:rPr>
          <w:rFonts w:ascii="Times New Roman" w:eastAsia="Calibri" w:hAnsi="Times New Roman" w:cs="Times New Roman"/>
          <w:b/>
          <w:bCs/>
          <w:sz w:val="21"/>
          <w:szCs w:val="21"/>
          <w:lang w:eastAsia="zh-CN"/>
        </w:rPr>
        <w:t xml:space="preserve">85603,32 </w:t>
      </w:r>
      <w:r w:rsidRPr="00145B37">
        <w:rPr>
          <w:rFonts w:ascii="Times New Roman" w:eastAsia="Calibri" w:hAnsi="Times New Roman" w:cs="Times New Roman"/>
          <w:b/>
          <w:bCs/>
          <w:sz w:val="21"/>
          <w:szCs w:val="21"/>
          <w:lang w:eastAsia="zh-CN"/>
        </w:rPr>
        <w:t>Eur be PVM).</w:t>
      </w:r>
    </w:p>
    <w:p w14:paraId="4CE41D59" w14:textId="18E0C66B"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B86AD1">
        <w:rPr>
          <w:rFonts w:ascii="Times New Roman" w:eastAsia="Calibri" w:hAnsi="Times New Roman" w:cs="Times New Roman"/>
          <w:sz w:val="21"/>
          <w:szCs w:val="21"/>
          <w:lang w:eastAsia="zh-CN"/>
        </w:rPr>
        <w:t>81712,26</w:t>
      </w:r>
      <w:r w:rsidRPr="00145B37">
        <w:rPr>
          <w:rFonts w:ascii="Times New Roman" w:eastAsia="Calibri" w:hAnsi="Times New Roman" w:cs="Times New Roman"/>
          <w:sz w:val="21"/>
          <w:szCs w:val="21"/>
          <w:lang w:eastAsia="zh-CN"/>
        </w:rPr>
        <w:t xml:space="preserve"> Eur su PVM (</w:t>
      </w:r>
      <w:r w:rsidR="00B86AD1">
        <w:rPr>
          <w:rFonts w:ascii="Times New Roman" w:eastAsia="Calibri" w:hAnsi="Times New Roman" w:cs="Times New Roman"/>
          <w:sz w:val="21"/>
          <w:szCs w:val="21"/>
          <w:lang w:eastAsia="zh-CN"/>
        </w:rPr>
        <w:t xml:space="preserve">77821,20 </w:t>
      </w:r>
      <w:r w:rsidRPr="00145B37">
        <w:rPr>
          <w:rFonts w:ascii="Times New Roman" w:eastAsia="Calibri" w:hAnsi="Times New Roman" w:cs="Times New Roman"/>
          <w:sz w:val="21"/>
          <w:szCs w:val="21"/>
          <w:lang w:eastAsia="zh-CN"/>
        </w:rPr>
        <w:t>Eur be PVM).</w:t>
      </w:r>
    </w:p>
    <w:p w14:paraId="6646AF6E" w14:textId="017F25A4"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B86AD1">
        <w:rPr>
          <w:rFonts w:ascii="Times New Roman" w:eastAsia="Calibri" w:hAnsi="Times New Roman" w:cs="Times New Roman"/>
          <w:sz w:val="21"/>
          <w:szCs w:val="21"/>
          <w:lang w:eastAsia="zh-CN"/>
        </w:rPr>
        <w:t xml:space="preserve">7061,23 </w:t>
      </w:r>
      <w:r w:rsidRPr="00145B37">
        <w:rPr>
          <w:rFonts w:ascii="Times New Roman" w:eastAsia="Calibri" w:hAnsi="Times New Roman" w:cs="Times New Roman"/>
          <w:sz w:val="21"/>
          <w:szCs w:val="21"/>
          <w:lang w:eastAsia="zh-CN"/>
        </w:rPr>
        <w:t>Eur su PVM (</w:t>
      </w:r>
      <w:r w:rsidR="00B86AD1">
        <w:rPr>
          <w:rFonts w:ascii="Times New Roman" w:eastAsia="Calibri" w:hAnsi="Times New Roman" w:cs="Times New Roman"/>
          <w:sz w:val="21"/>
          <w:szCs w:val="21"/>
          <w:lang w:eastAsia="zh-CN"/>
        </w:rPr>
        <w:t xml:space="preserve">6724,98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262E31DC"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7959AD6F" w14:textId="77777777" w:rsidR="00B86AD1" w:rsidRPr="00B86AD1" w:rsidRDefault="004101CC" w:rsidP="00B86AD1">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bCs/>
          <w:color w:val="000000"/>
          <w:sz w:val="21"/>
          <w:szCs w:val="21"/>
          <w:bdr w:val="nil"/>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B86AD1">
        <w:rPr>
          <w:rFonts w:ascii="Times New Roman" w:eastAsia="Times New Roman" w:hAnsi="Times New Roman" w:cs="Times New Roman"/>
          <w:bCs/>
          <w:color w:val="000000"/>
          <w:sz w:val="21"/>
          <w:szCs w:val="21"/>
          <w:bdr w:val="nil"/>
          <w:lang w:eastAsia="zh-CN"/>
        </w:rPr>
        <w:t xml:space="preserve">: </w:t>
      </w:r>
      <w:r w:rsidR="00B86AD1" w:rsidRPr="00B86AD1">
        <w:rPr>
          <w:rFonts w:ascii="Times New Roman" w:eastAsia="Times New Roman" w:hAnsi="Times New Roman" w:cs="Times New Roman"/>
          <w:bCs/>
          <w:color w:val="000000"/>
          <w:sz w:val="21"/>
          <w:szCs w:val="21"/>
          <w:bdr w:val="nil"/>
          <w:lang w:eastAsia="zh-CN"/>
        </w:rPr>
        <w:t xml:space="preserve">Direktorius Ramūnas </w:t>
      </w:r>
      <w:proofErr w:type="spellStart"/>
      <w:r w:rsidR="00B86AD1" w:rsidRPr="00B86AD1">
        <w:rPr>
          <w:rFonts w:ascii="Times New Roman" w:eastAsia="Times New Roman" w:hAnsi="Times New Roman" w:cs="Times New Roman"/>
          <w:bCs/>
          <w:color w:val="000000"/>
          <w:sz w:val="21"/>
          <w:szCs w:val="21"/>
          <w:bdr w:val="nil"/>
          <w:lang w:eastAsia="zh-CN"/>
        </w:rPr>
        <w:t>Žalnerauskas</w:t>
      </w:r>
      <w:proofErr w:type="spellEnd"/>
      <w:r w:rsidR="00B86AD1" w:rsidRPr="00B86AD1">
        <w:rPr>
          <w:rFonts w:ascii="Times New Roman" w:eastAsia="Times New Roman" w:hAnsi="Times New Roman" w:cs="Times New Roman"/>
          <w:bCs/>
          <w:color w:val="000000"/>
          <w:sz w:val="21"/>
          <w:szCs w:val="21"/>
          <w:bdr w:val="nil"/>
          <w:lang w:eastAsia="zh-CN"/>
        </w:rPr>
        <w:t>:</w:t>
      </w:r>
    </w:p>
    <w:p w14:paraId="5AB94C40" w14:textId="65AFE1A7" w:rsidR="004101CC" w:rsidRPr="00145B37" w:rsidRDefault="00B86AD1" w:rsidP="00B86AD1">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hyperlink r:id="rId9" w:history="1">
        <w:r w:rsidRPr="007F6E48">
          <w:rPr>
            <w:rStyle w:val="Hyperlink"/>
            <w:rFonts w:ascii="Times New Roman" w:eastAsia="Times New Roman" w:hAnsi="Times New Roman" w:cs="Times New Roman"/>
            <w:bCs/>
            <w:sz w:val="21"/>
            <w:szCs w:val="21"/>
            <w:bdr w:val="nil"/>
            <w:lang w:eastAsia="zh-CN"/>
          </w:rPr>
          <w:t>info@sorimpeksas.com</w:t>
        </w:r>
      </w:hyperlink>
      <w:r>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3AE6C30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sidRPr="00B86AD1">
        <w:rPr>
          <w:rFonts w:ascii="Times New Roman" w:eastAsia="Arial Unicode MS" w:hAnsi="Times New Roman" w:cs="Times New Roman"/>
          <w:sz w:val="21"/>
          <w:szCs w:val="21"/>
          <w:bdr w:val="nil"/>
        </w:rPr>
        <w:t>UAB “</w:t>
      </w:r>
      <w:proofErr w:type="spellStart"/>
      <w:r w:rsidR="00B86AD1" w:rsidRPr="00B86AD1">
        <w:rPr>
          <w:rFonts w:ascii="Times New Roman" w:eastAsia="Arial Unicode MS" w:hAnsi="Times New Roman" w:cs="Times New Roman"/>
          <w:sz w:val="21"/>
          <w:szCs w:val="21"/>
          <w:bdr w:val="nil"/>
        </w:rPr>
        <w:t>Sorimpeksas</w:t>
      </w:r>
      <w:proofErr w:type="spellEnd"/>
      <w:r w:rsidR="00B86AD1" w:rsidRPr="00B86AD1">
        <w:rPr>
          <w:rFonts w:ascii="Times New Roman" w:eastAsia="Arial Unicode MS" w:hAnsi="Times New Roman" w:cs="Times New Roman"/>
          <w:sz w:val="21"/>
          <w:szCs w:val="21"/>
          <w:bdr w:val="nil"/>
        </w:rPr>
        <w:t>”</w:t>
      </w:r>
    </w:p>
    <w:p w14:paraId="6C78BF15" w14:textId="7E2BF2F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B86AD1">
        <w:rPr>
          <w:rFonts w:ascii="Times New Roman" w:eastAsia="Arial Unicode MS" w:hAnsi="Times New Roman" w:cs="Times New Roman"/>
          <w:sz w:val="21"/>
          <w:szCs w:val="21"/>
          <w:bdr w:val="nil"/>
        </w:rPr>
        <w:tab/>
      </w:r>
      <w:r w:rsidR="00B86AD1">
        <w:rPr>
          <w:rFonts w:ascii="Times New Roman" w:eastAsia="Arial Unicode MS" w:hAnsi="Times New Roman" w:cs="Times New Roman"/>
          <w:sz w:val="21"/>
          <w:szCs w:val="21"/>
          <w:bdr w:val="nil"/>
        </w:rPr>
        <w:tab/>
      </w:r>
      <w:r w:rsidR="00B86AD1" w:rsidRPr="00B86AD1">
        <w:rPr>
          <w:rFonts w:ascii="Times New Roman" w:eastAsia="Arial Unicode MS" w:hAnsi="Times New Roman" w:cs="Times New Roman"/>
          <w:sz w:val="21"/>
          <w:szCs w:val="21"/>
          <w:bdr w:val="nil"/>
        </w:rPr>
        <w:t>Šiaulių 16a, 44353, Kaunas</w:t>
      </w:r>
    </w:p>
    <w:p w14:paraId="6F477652" w14:textId="132F2A18"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Pr>
          <w:rFonts w:ascii="Times New Roman" w:eastAsia="Arial Unicode MS" w:hAnsi="Times New Roman" w:cs="Times New Roman"/>
          <w:sz w:val="21"/>
          <w:szCs w:val="21"/>
          <w:bdr w:val="nil"/>
        </w:rPr>
        <w:t xml:space="preserve">Įmonės kodas </w:t>
      </w:r>
      <w:r w:rsidR="00B86AD1" w:rsidRPr="00B86AD1">
        <w:rPr>
          <w:rFonts w:ascii="Times New Roman" w:eastAsia="Arial Unicode MS" w:hAnsi="Times New Roman" w:cs="Times New Roman"/>
          <w:sz w:val="21"/>
          <w:szCs w:val="21"/>
          <w:bdr w:val="nil"/>
        </w:rPr>
        <w:t>135733248</w:t>
      </w:r>
    </w:p>
    <w:p w14:paraId="239324FF" w14:textId="2EF5A34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Pr>
          <w:rFonts w:ascii="Times New Roman" w:eastAsia="Arial Unicode MS" w:hAnsi="Times New Roman" w:cs="Times New Roman"/>
          <w:sz w:val="21"/>
          <w:szCs w:val="21"/>
          <w:bdr w:val="nil"/>
        </w:rPr>
        <w:t xml:space="preserve">PVM kodas </w:t>
      </w:r>
      <w:r w:rsidR="00B86AD1" w:rsidRPr="00B86AD1">
        <w:rPr>
          <w:rFonts w:ascii="Times New Roman" w:eastAsia="Arial Unicode MS" w:hAnsi="Times New Roman" w:cs="Times New Roman"/>
          <w:sz w:val="21"/>
          <w:szCs w:val="21"/>
          <w:bdr w:val="nil"/>
        </w:rPr>
        <w:t>LT137332412</w:t>
      </w:r>
    </w:p>
    <w:p w14:paraId="5EFF1231" w14:textId="0290CC7A"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Pr>
          <w:rFonts w:ascii="Times New Roman" w:eastAsia="Arial Unicode MS" w:hAnsi="Times New Roman" w:cs="Times New Roman"/>
          <w:sz w:val="21"/>
          <w:szCs w:val="21"/>
          <w:bdr w:val="nil"/>
        </w:rPr>
        <w:t xml:space="preserve">A/s </w:t>
      </w:r>
      <w:r w:rsidR="00B86AD1" w:rsidRPr="00B86AD1">
        <w:rPr>
          <w:rFonts w:ascii="Times New Roman" w:eastAsia="Arial Unicode MS" w:hAnsi="Times New Roman" w:cs="Times New Roman"/>
          <w:sz w:val="21"/>
          <w:szCs w:val="21"/>
          <w:bdr w:val="nil"/>
        </w:rPr>
        <w:t>LT647300010002276949</w:t>
      </w:r>
    </w:p>
    <w:p w14:paraId="7A69CD8B" w14:textId="4D694F26"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sidRPr="00B86AD1">
        <w:rPr>
          <w:rFonts w:ascii="Times New Roman" w:eastAsia="Arial Unicode MS" w:hAnsi="Times New Roman" w:cs="Times New Roman"/>
          <w:sz w:val="21"/>
          <w:szCs w:val="21"/>
          <w:bdr w:val="nil"/>
        </w:rPr>
        <w:t>AB Swedbank, banko kodas 73000</w:t>
      </w:r>
    </w:p>
    <w:p w14:paraId="47FF5557" w14:textId="65C7344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B86AD1">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B86AD1">
        <w:rPr>
          <w:rFonts w:ascii="Times New Roman" w:eastAsia="Arial Unicode MS" w:hAnsi="Times New Roman" w:cs="Times New Roman"/>
          <w:sz w:val="21"/>
          <w:szCs w:val="21"/>
          <w:bdr w:val="nil"/>
        </w:rPr>
        <w:t xml:space="preserve">Tel.: </w:t>
      </w:r>
      <w:r w:rsidR="00B86AD1" w:rsidRPr="00B86AD1">
        <w:rPr>
          <w:rFonts w:ascii="Times New Roman" w:eastAsia="Arial Unicode MS" w:hAnsi="Times New Roman" w:cs="Times New Roman"/>
          <w:sz w:val="21"/>
          <w:szCs w:val="21"/>
          <w:bdr w:val="nil"/>
        </w:rPr>
        <w:t>8 - 37 361766</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59B81261"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B86AD1">
        <w:rPr>
          <w:rFonts w:ascii="Times New Roman" w:eastAsia="Arial Unicode MS" w:hAnsi="Times New Roman" w:cs="Times New Roman"/>
          <w:sz w:val="21"/>
          <w:szCs w:val="21"/>
        </w:rPr>
        <w:tab/>
      </w:r>
      <w:r w:rsidR="00B86AD1">
        <w:rPr>
          <w:rFonts w:ascii="Times New Roman" w:eastAsia="Arial Unicode MS" w:hAnsi="Times New Roman" w:cs="Times New Roman"/>
          <w:sz w:val="21"/>
          <w:szCs w:val="21"/>
        </w:rPr>
        <w:tab/>
        <w:t>Direktorius</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1E48F8E7"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B86AD1">
        <w:rPr>
          <w:rFonts w:ascii="Times New Roman" w:eastAsia="Arial Unicode MS" w:hAnsi="Times New Roman" w:cs="Times New Roman"/>
          <w:sz w:val="21"/>
          <w:szCs w:val="21"/>
        </w:rPr>
        <w:t xml:space="preserve">Ramūnas </w:t>
      </w:r>
      <w:proofErr w:type="spellStart"/>
      <w:r w:rsidR="00B86AD1">
        <w:rPr>
          <w:rFonts w:ascii="Times New Roman" w:eastAsia="Arial Unicode MS" w:hAnsi="Times New Roman" w:cs="Times New Roman"/>
          <w:sz w:val="21"/>
          <w:szCs w:val="21"/>
        </w:rPr>
        <w:t>Žalnerauskas</w:t>
      </w:r>
      <w:proofErr w:type="spellEnd"/>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ACA8" w14:textId="77777777" w:rsidR="00B96983" w:rsidRDefault="00B96983">
      <w:pPr>
        <w:spacing w:after="0" w:line="240" w:lineRule="auto"/>
      </w:pPr>
      <w:r>
        <w:separator/>
      </w:r>
    </w:p>
  </w:endnote>
  <w:endnote w:type="continuationSeparator" w:id="0">
    <w:p w14:paraId="7BB3323A" w14:textId="77777777" w:rsidR="00B96983" w:rsidRDefault="00B9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5275" w14:textId="77777777" w:rsidR="00B96983" w:rsidRDefault="00B96983">
      <w:pPr>
        <w:spacing w:after="0" w:line="240" w:lineRule="auto"/>
      </w:pPr>
      <w:r>
        <w:separator/>
      </w:r>
    </w:p>
  </w:footnote>
  <w:footnote w:type="continuationSeparator" w:id="0">
    <w:p w14:paraId="38FB58BE" w14:textId="77777777" w:rsidR="00B96983" w:rsidRDefault="00B9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38224B"/>
    <w:rsid w:val="004101CC"/>
    <w:rsid w:val="00535351"/>
    <w:rsid w:val="00591905"/>
    <w:rsid w:val="006340A9"/>
    <w:rsid w:val="00B86AD1"/>
    <w:rsid w:val="00B96983"/>
    <w:rsid w:val="00CC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B86AD1"/>
    <w:rPr>
      <w:color w:val="0563C1" w:themeColor="hyperlink"/>
      <w:u w:val="single"/>
    </w:rPr>
  </w:style>
  <w:style w:type="character" w:styleId="UnresolvedMention">
    <w:name w:val="Unresolved Mention"/>
    <w:basedOn w:val="DefaultParagraphFont"/>
    <w:uiPriority w:val="99"/>
    <w:semiHidden/>
    <w:unhideWhenUsed/>
    <w:rsid w:val="00B8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sorimpeksas.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9A631C"/>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19602</Words>
  <Characters>11174</Characters>
  <Application>Microsoft Office Word</Application>
  <DocSecurity>0</DocSecurity>
  <Lines>93</Lines>
  <Paragraphs>61</Paragraphs>
  <ScaleCrop>false</ScaleCrop>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2023-01-05T09:41:00Z</cp:lastPrinted>
  <dcterms:created xsi:type="dcterms:W3CDTF">2022-12-30T07:35:00Z</dcterms:created>
  <dcterms:modified xsi:type="dcterms:W3CDTF">2023-01-05T09:41:00Z</dcterms:modified>
</cp:coreProperties>
</file>