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33DF"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rPr>
        <w:t xml:space="preserve">Diagnostikos reagentų su analizatorių nuoma (panauda) pirkimo atviro konkurso (tarptautinis pirkimas) sąlygų </w:t>
      </w:r>
    </w:p>
    <w:p w:rsidR="000133DF"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Priedas Nr. 3</w:t>
      </w:r>
    </w:p>
    <w:p w:rsidR="000133DF" w:rsidRDefault="000133D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rsidR="000133DF" w:rsidRDefault="000133D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rsidR="000133DF" w:rsidRDefault="00000000">
      <w:pPr>
        <w:ind w:left="0" w:hanging="2"/>
        <w:jc w:val="center"/>
      </w:pPr>
      <w:r>
        <w:rPr>
          <w:rFonts w:ascii="Times New Roman" w:eastAsia="Times New Roman" w:hAnsi="Times New Roman" w:cs="Times New Roman"/>
          <w:b/>
          <w:sz w:val="24"/>
          <w:szCs w:val="24"/>
        </w:rPr>
        <w:t>ANALIZATORIŲ TECHNINĖ SPECIFIKACIJA</w:t>
      </w:r>
    </w:p>
    <w:p w:rsidR="000133DF" w:rsidRDefault="000133DF">
      <w:pPr>
        <w:ind w:left="0" w:hanging="2"/>
        <w:jc w:val="center"/>
        <w:rPr>
          <w:rFonts w:ascii="Times New Roman" w:eastAsia="Times New Roman" w:hAnsi="Times New Roman" w:cs="Times New Roman"/>
          <w:sz w:val="24"/>
          <w:szCs w:val="24"/>
        </w:rPr>
      </w:pPr>
    </w:p>
    <w:p w:rsidR="000133DF" w:rsidRDefault="000133DF">
      <w:pPr>
        <w:ind w:left="0" w:hanging="2"/>
        <w:rPr>
          <w:rFonts w:ascii="Times New Roman" w:eastAsia="Times New Roman" w:hAnsi="Times New Roman" w:cs="Times New Roman"/>
        </w:rPr>
      </w:pPr>
    </w:p>
    <w:p w:rsidR="000133DF" w:rsidRDefault="00000000">
      <w:pPr>
        <w:ind w:left="0" w:right="567" w:hanging="2"/>
        <w:jc w:val="center"/>
      </w:pPr>
      <w:r>
        <w:rPr>
          <w:rFonts w:ascii="Times New Roman" w:eastAsia="Times New Roman" w:hAnsi="Times New Roman" w:cs="Times New Roman"/>
          <w:b/>
          <w:sz w:val="24"/>
          <w:szCs w:val="24"/>
        </w:rPr>
        <w:t>4 PIRKIMO DALIS – AUTOMATINĖS ŠLAPIMO TYRIMŲ ANALIZATORIŲ SISTEMOS, SUDARYTOS IŠ 1 ANALIZATORIAUS ŠLAPIMO CHEMINEI ANALIZEI IR 1 ANALIZATORIAUS MIKROSKOPIJAI NUOMA (PANAUDA) (1 VNT.), AUTOMATINIO ŠLAPIMO TYRIMŲ ANALIZATORIAUS ŠLAPIMO CHEMINEI ANALIZEI NUOMA (PANAUDA) (1 VNT.) IR REAGENTAI BEI PAPILDOMOS PRIEMONĖS DARBUI SU JAIS</w:t>
      </w:r>
    </w:p>
    <w:p w:rsidR="000133DF" w:rsidRDefault="000133DF">
      <w:pPr>
        <w:ind w:left="0" w:hanging="2"/>
        <w:rPr>
          <w:rFonts w:ascii="Times New Roman" w:eastAsia="Times New Roman" w:hAnsi="Times New Roman" w:cs="Times New Roman"/>
        </w:rPr>
      </w:pPr>
    </w:p>
    <w:p w:rsidR="000133DF" w:rsidRDefault="000133DF">
      <w:pPr>
        <w:ind w:left="0" w:hanging="2"/>
        <w:jc w:val="center"/>
        <w:rPr>
          <w:rFonts w:ascii="Times New Roman" w:eastAsia="Times New Roman" w:hAnsi="Times New Roman" w:cs="Times New Roman"/>
          <w:sz w:val="24"/>
          <w:szCs w:val="24"/>
        </w:rPr>
      </w:pPr>
    </w:p>
    <w:p w:rsidR="000133DF" w:rsidRDefault="00000000">
      <w:pPr>
        <w:ind w:left="0" w:hanging="2"/>
        <w:jc w:val="center"/>
      </w:pPr>
      <w:r>
        <w:rPr>
          <w:rFonts w:ascii="Times New Roman" w:eastAsia="Times New Roman" w:hAnsi="Times New Roman" w:cs="Times New Roman"/>
          <w:b/>
          <w:color w:val="000000"/>
          <w:sz w:val="24"/>
          <w:szCs w:val="24"/>
        </w:rPr>
        <w:t>4.1. Automatinės šlapimo tyrimų analizatorių sistemos, sudarytos iš 1 analizatoriaus šlapimo cheminei analizei ir 1 analizatoriaus mikroskopijai, nuomai (panaudai)</w:t>
      </w:r>
      <w:r>
        <w:rPr>
          <w:rFonts w:ascii="Times New Roman" w:eastAsia="Times New Roman" w:hAnsi="Times New Roman" w:cs="Times New Roman"/>
          <w:b/>
          <w:sz w:val="24"/>
          <w:szCs w:val="24"/>
        </w:rPr>
        <w:t xml:space="preserve"> techninė specifikacija – 1 vnt.</w:t>
      </w:r>
    </w:p>
    <w:p w:rsidR="000133DF" w:rsidRDefault="00000000">
      <w:pPr>
        <w:ind w:left="0" w:hanging="2"/>
        <w:jc w:val="center"/>
      </w:pPr>
      <w:r>
        <w:rPr>
          <w:rFonts w:ascii="Times New Roman" w:eastAsia="Times New Roman" w:hAnsi="Times New Roman" w:cs="Times New Roman"/>
          <w:color w:val="000000"/>
          <w:sz w:val="24"/>
          <w:szCs w:val="24"/>
        </w:rPr>
        <w:t>Pristatoma į VšĮ Vilniaus miesto klinikinę ligoninę (Antakalnio g. 57, 10207 Vilnius).</w:t>
      </w:r>
    </w:p>
    <w:p w:rsidR="000133DF" w:rsidRDefault="000133DF">
      <w:pPr>
        <w:ind w:left="0" w:hanging="2"/>
        <w:jc w:val="center"/>
      </w:pPr>
    </w:p>
    <w:tbl>
      <w:tblPr>
        <w:tblStyle w:val="a"/>
        <w:tblW w:w="14651" w:type="dxa"/>
        <w:jc w:val="center"/>
        <w:tblLayout w:type="fixed"/>
        <w:tblLook w:val="0000" w:firstRow="0" w:lastRow="0" w:firstColumn="0" w:lastColumn="0" w:noHBand="0" w:noVBand="0"/>
      </w:tblPr>
      <w:tblGrid>
        <w:gridCol w:w="709"/>
        <w:gridCol w:w="2835"/>
        <w:gridCol w:w="4417"/>
        <w:gridCol w:w="3805"/>
        <w:gridCol w:w="2885"/>
      </w:tblGrid>
      <w:tr w:rsidR="000133DF">
        <w:trPr>
          <w:jc w:val="center"/>
        </w:trPr>
        <w:tc>
          <w:tcPr>
            <w:tcW w:w="709" w:type="dxa"/>
            <w:tcBorders>
              <w:top w:val="single" w:sz="4" w:space="0" w:color="000000"/>
              <w:left w:val="single" w:sz="4" w:space="0" w:color="000000"/>
              <w:bottom w:val="single" w:sz="4" w:space="0" w:color="000000"/>
            </w:tcBorders>
            <w:vAlign w:val="center"/>
          </w:tcPr>
          <w:p w:rsidR="000133DF" w:rsidRDefault="00000000">
            <w:pPr>
              <w:spacing w:after="200" w:line="276" w:lineRule="auto"/>
              <w:ind w:left="0" w:hanging="2"/>
              <w:jc w:val="center"/>
            </w:pPr>
            <w:r>
              <w:rPr>
                <w:rFonts w:ascii="Times New Roman" w:eastAsia="Times New Roman" w:hAnsi="Times New Roman" w:cs="Times New Roman"/>
                <w:b/>
                <w:sz w:val="24"/>
                <w:szCs w:val="24"/>
              </w:rPr>
              <w:t>Eil. Nr.</w:t>
            </w:r>
          </w:p>
        </w:tc>
        <w:tc>
          <w:tcPr>
            <w:tcW w:w="2835" w:type="dxa"/>
            <w:tcBorders>
              <w:top w:val="single" w:sz="4" w:space="0" w:color="000000"/>
              <w:left w:val="single" w:sz="4" w:space="0" w:color="000000"/>
              <w:bottom w:val="single" w:sz="4" w:space="0" w:color="000000"/>
            </w:tcBorders>
            <w:vAlign w:val="center"/>
          </w:tcPr>
          <w:p w:rsidR="000133DF" w:rsidRDefault="00000000">
            <w:pPr>
              <w:keepNext/>
              <w:keepLines/>
              <w:spacing w:before="480" w:after="200" w:line="276" w:lineRule="auto"/>
              <w:ind w:left="0" w:hanging="2"/>
              <w:jc w:val="center"/>
            </w:pPr>
            <w:r>
              <w:rPr>
                <w:rFonts w:ascii="Times New Roman" w:eastAsia="Times New Roman" w:hAnsi="Times New Roman" w:cs="Times New Roman"/>
                <w:b/>
                <w:color w:val="000000"/>
                <w:sz w:val="24"/>
                <w:szCs w:val="24"/>
              </w:rPr>
              <w:t>Pavadinimas/ techniniai parametrai</w:t>
            </w:r>
          </w:p>
        </w:tc>
        <w:tc>
          <w:tcPr>
            <w:tcW w:w="4417" w:type="dxa"/>
            <w:tcBorders>
              <w:top w:val="single" w:sz="4" w:space="0" w:color="000000"/>
              <w:left w:val="single" w:sz="4" w:space="0" w:color="000000"/>
              <w:bottom w:val="single" w:sz="4" w:space="0" w:color="000000"/>
            </w:tcBorders>
            <w:vAlign w:val="center"/>
          </w:tcPr>
          <w:p w:rsidR="000133DF" w:rsidRDefault="00000000">
            <w:pPr>
              <w:spacing w:after="200" w:line="276" w:lineRule="auto"/>
              <w:ind w:left="0" w:hanging="2"/>
              <w:jc w:val="center"/>
            </w:pPr>
            <w:r>
              <w:rPr>
                <w:rFonts w:ascii="Times New Roman" w:eastAsia="Times New Roman" w:hAnsi="Times New Roman" w:cs="Times New Roman"/>
                <w:b/>
                <w:color w:val="000000"/>
                <w:sz w:val="24"/>
                <w:szCs w:val="24"/>
              </w:rPr>
              <w:t>Reikalaujami techniniai parametrai</w:t>
            </w:r>
          </w:p>
        </w:tc>
        <w:tc>
          <w:tcPr>
            <w:tcW w:w="3805" w:type="dxa"/>
            <w:tcBorders>
              <w:top w:val="single" w:sz="4" w:space="0" w:color="000000"/>
              <w:left w:val="single" w:sz="4" w:space="0" w:color="000000"/>
              <w:bottom w:val="single" w:sz="4" w:space="0" w:color="000000"/>
            </w:tcBorders>
            <w:vAlign w:val="center"/>
          </w:tcPr>
          <w:p w:rsidR="000133DF" w:rsidRDefault="00000000">
            <w:pPr>
              <w:spacing w:after="200" w:line="276" w:lineRule="auto"/>
              <w:ind w:left="0" w:hanging="2"/>
              <w:jc w:val="center"/>
            </w:pPr>
            <w:r>
              <w:rPr>
                <w:rFonts w:ascii="Times New Roman" w:eastAsia="Times New Roman" w:hAnsi="Times New Roman" w:cs="Times New Roman"/>
                <w:b/>
                <w:sz w:val="24"/>
                <w:szCs w:val="24"/>
              </w:rPr>
              <w:t>Siūlomi techniniai parametrai</w:t>
            </w:r>
          </w:p>
        </w:tc>
        <w:tc>
          <w:tcPr>
            <w:tcW w:w="2885" w:type="dxa"/>
            <w:tcBorders>
              <w:top w:val="single" w:sz="4" w:space="0" w:color="000000"/>
              <w:left w:val="single" w:sz="4" w:space="0" w:color="000000"/>
              <w:bottom w:val="single" w:sz="4" w:space="0" w:color="000000"/>
              <w:right w:val="single" w:sz="4" w:space="0" w:color="000000"/>
            </w:tcBorders>
            <w:vAlign w:val="center"/>
          </w:tcPr>
          <w:p w:rsidR="000133DF" w:rsidRDefault="00000000">
            <w:pPr>
              <w:ind w:left="0" w:hanging="2"/>
              <w:jc w:val="center"/>
            </w:pPr>
            <w:r>
              <w:rPr>
                <w:rFonts w:ascii="Times New Roman" w:eastAsia="Times New Roman" w:hAnsi="Times New Roman" w:cs="Times New Roman"/>
                <w:b/>
                <w:sz w:val="24"/>
                <w:szCs w:val="24"/>
              </w:rPr>
              <w:t>Reikalavimų atitikimas</w:t>
            </w:r>
          </w:p>
          <w:p w:rsidR="000133DF" w:rsidRDefault="00000000">
            <w:pPr>
              <w:ind w:left="0" w:hanging="2"/>
              <w:jc w:val="center"/>
            </w:pPr>
            <w:r>
              <w:rPr>
                <w:rFonts w:ascii="Times New Roman" w:eastAsia="Times New Roman" w:hAnsi="Times New Roman" w:cs="Times New Roman"/>
                <w:b/>
                <w:sz w:val="24"/>
                <w:szCs w:val="24"/>
              </w:rPr>
              <w:t>(būtina nurodyti tikslią nuorodą analizatoriaus dokumentacijoje (dokumentacijoje tiksliai pažymimas techninis parametras)</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w:t>
            </w:r>
          </w:p>
        </w:tc>
        <w:tc>
          <w:tcPr>
            <w:tcW w:w="2835"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Analizatorius – 1 + 1 vnt.</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Pavadinimas (-ai), tipas/modelis, gamintojas</w:t>
            </w:r>
          </w:p>
        </w:tc>
        <w:tc>
          <w:tcPr>
            <w:tcW w:w="3805"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Cobas 6500, Roche </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Tiekėjo laisvos formos deklaracija.</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2.</w:t>
            </w:r>
          </w:p>
        </w:tc>
        <w:tc>
          <w:tcPr>
            <w:tcW w:w="2835"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Analizatoriaus paskirtis</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Automatinė šlapimo tyrimų sistema (juostelinio ištyrimo ir mikroskopinio ištyrimo sistema)</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Analizatoriaus paskirtis - Automatinė šlapimo tyrimų sistema (juostelinio ištyrimo ir mikroskopinio ištyrimo sistema).</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9/468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3.</w:t>
            </w:r>
          </w:p>
        </w:tc>
        <w:tc>
          <w:tcPr>
            <w:tcW w:w="2835"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Analizatoriaus apibūdinimas</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 xml:space="preserve">Automatinis šlapimo mikroskopijos modulis turi dirbti, kaip atskiras šlapimo mikroskopijos tyrimo analizatorius ir esant būtinybei, privalo turėti galimybę prijungti jį prie juostelinio </w:t>
            </w:r>
            <w:r>
              <w:rPr>
                <w:rFonts w:ascii="Times New Roman" w:eastAsia="Times New Roman" w:hAnsi="Times New Roman" w:cs="Times New Roman"/>
              </w:rPr>
              <w:lastRenderedPageBreak/>
              <w:t>cheminio modulio (nepriklausomas, atskiras mikroskopijos modulis) arba sujungtas į vientisą pilnai automatizuotą sistemą: (juostelinis cheminis modulis + mikroskopijos modulis)</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Automatinis šlapimo mikroskopijos modulis gali dirbti kaip atskiras šlapimo mikroskopijos tyrimo analizatorius ir ,esant būtinybei, yra prijungiamas prie </w:t>
            </w:r>
            <w:r>
              <w:rPr>
                <w:rFonts w:ascii="Times New Roman" w:eastAsia="Times New Roman" w:hAnsi="Times New Roman" w:cs="Times New Roman"/>
              </w:rPr>
              <w:lastRenderedPageBreak/>
              <w:t>juostelinio cheminio modulio (nepriklausomas, atskiras mikroskopijos modulis) arba sujungtas į vientisą pilnai automatizuotą sistemą: (juostelinis cheminis modulis + mikroskopijos modulis).</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lastRenderedPageBreak/>
              <w:t>Cobas 6500_Naudotojo vadovas. psl. 9/468, 59/468</w:t>
            </w:r>
          </w:p>
        </w:tc>
      </w:tr>
      <w:tr w:rsidR="000133DF">
        <w:trPr>
          <w:jc w:val="center"/>
        </w:trPr>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4.</w:t>
            </w:r>
          </w:p>
        </w:tc>
        <w:tc>
          <w:tcPr>
            <w:tcW w:w="2835"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Testo juostelių sistema</w:t>
            </w:r>
          </w:p>
        </w:tc>
        <w:tc>
          <w:tcPr>
            <w:tcW w:w="4417"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Automatinė juostelių paėmimo sistema, testo juostelių talpa kasetėje, apsaugotoje nuo aplinkos poveikio.</w:t>
            </w:r>
          </w:p>
          <w:p w:rsidR="000133DF" w:rsidRDefault="00000000">
            <w:pPr>
              <w:ind w:left="0" w:hanging="2"/>
              <w:jc w:val="both"/>
            </w:pPr>
            <w:r>
              <w:rPr>
                <w:rFonts w:ascii="Times New Roman" w:eastAsia="Times New Roman" w:hAnsi="Times New Roman" w:cs="Times New Roman"/>
              </w:rPr>
              <w:t>Panaudotų juostelių talpa.</w:t>
            </w:r>
          </w:p>
        </w:tc>
        <w:tc>
          <w:tcPr>
            <w:tcW w:w="3805"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Yra automatinė juostelių paėmimo sistema, testo juostelių talpa kasetėje, apsaugotoje nuo aplinkos poveikio. Taip pat yra panaudotų juostelių talpa.</w:t>
            </w:r>
          </w:p>
        </w:tc>
        <w:tc>
          <w:tcPr>
            <w:tcW w:w="2885"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108/468, 122/468 – 126/468</w:t>
            </w:r>
          </w:p>
        </w:tc>
      </w:tr>
      <w:tr w:rsidR="000133DF">
        <w:trPr>
          <w:jc w:val="center"/>
        </w:trPr>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5.</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Spausdintuvas</w:t>
            </w:r>
          </w:p>
        </w:tc>
        <w:tc>
          <w:tcPr>
            <w:tcW w:w="441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Išorinis arba vidinis spausdintuvas</w:t>
            </w:r>
          </w:p>
        </w:tc>
        <w:tc>
          <w:tcPr>
            <w:tcW w:w="3805"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Bus pateiktas išorinis spausdintuvas.</w:t>
            </w:r>
          </w:p>
        </w:tc>
        <w:tc>
          <w:tcPr>
            <w:tcW w:w="2885"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Tiekėjo laisvos formos deklaracija.</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6.</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Juostelinis ir mikroskopijos tyrimas atliekamas iš vieno mėgintuvėlio, be rankinio pernešimo</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Juostelinis ir mikroskopijos tyrimas yra atliekamas iš vieno mėgintuvėlio, be rankinio pernešimo.</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60/468 – 61/468</w:t>
            </w:r>
          </w:p>
        </w:tc>
      </w:tr>
      <w:tr w:rsidR="000133DF">
        <w:trPr>
          <w:jc w:val="center"/>
        </w:trPr>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7.</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analitės, mato vienetai</w:t>
            </w:r>
          </w:p>
        </w:tc>
        <w:tc>
          <w:tcPr>
            <w:tcW w:w="441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Matuojami ne mažiau nei šie parametrai:</w:t>
            </w:r>
          </w:p>
          <w:p w:rsidR="000133DF" w:rsidRDefault="00000000">
            <w:pPr>
              <w:ind w:left="0" w:hanging="2"/>
              <w:jc w:val="both"/>
            </w:pPr>
            <w:r>
              <w:rPr>
                <w:rFonts w:ascii="Times New Roman" w:eastAsia="Times New Roman" w:hAnsi="Times New Roman" w:cs="Times New Roman"/>
              </w:rPr>
              <w:t>1. Eritrocitai (RBC), b</w:t>
            </w:r>
            <w:r>
              <w:rPr>
                <w:rFonts w:ascii="Times New Roman" w:eastAsia="Times New Roman" w:hAnsi="Times New Roman" w:cs="Times New Roman"/>
                <w:color w:val="000000"/>
              </w:rPr>
              <w:t>alai ir skaičius/µl</w:t>
            </w:r>
            <w:r>
              <w:rPr>
                <w:rFonts w:ascii="Times New Roman" w:eastAsia="Times New Roman" w:hAnsi="Times New Roman" w:cs="Times New Roman"/>
              </w:rPr>
              <w:t xml:space="preserve"> (arba kraujas (BLD) b</w:t>
            </w:r>
            <w:r>
              <w:rPr>
                <w:rFonts w:ascii="Times New Roman" w:eastAsia="Times New Roman" w:hAnsi="Times New Roman" w:cs="Times New Roman"/>
                <w:color w:val="000000"/>
              </w:rPr>
              <w:t>alai ir mg/l);</w:t>
            </w:r>
          </w:p>
          <w:p w:rsidR="000133DF" w:rsidRDefault="00000000">
            <w:pPr>
              <w:ind w:left="0" w:hanging="2"/>
              <w:jc w:val="both"/>
            </w:pPr>
            <w:r>
              <w:rPr>
                <w:rFonts w:ascii="Times New Roman" w:eastAsia="Times New Roman" w:hAnsi="Times New Roman" w:cs="Times New Roman"/>
                <w:color w:val="000000"/>
              </w:rPr>
              <w:t>2. L</w:t>
            </w:r>
            <w:r>
              <w:rPr>
                <w:rFonts w:ascii="Times New Roman" w:eastAsia="Times New Roman" w:hAnsi="Times New Roman" w:cs="Times New Roman"/>
              </w:rPr>
              <w:t>eukocitai (WBC), b</w:t>
            </w:r>
            <w:r>
              <w:rPr>
                <w:rFonts w:ascii="Times New Roman" w:eastAsia="Times New Roman" w:hAnsi="Times New Roman" w:cs="Times New Roman"/>
                <w:color w:val="000000"/>
              </w:rPr>
              <w:t>alai ir skaičius/µl;</w:t>
            </w:r>
          </w:p>
          <w:p w:rsidR="000133DF" w:rsidRDefault="00000000">
            <w:pPr>
              <w:ind w:left="0" w:hanging="2"/>
              <w:jc w:val="both"/>
            </w:pPr>
            <w:r>
              <w:rPr>
                <w:rFonts w:ascii="Times New Roman" w:eastAsia="Times New Roman" w:hAnsi="Times New Roman" w:cs="Times New Roman"/>
              </w:rPr>
              <w:t>3. Baltymas, (PRO), b</w:t>
            </w:r>
            <w:r>
              <w:rPr>
                <w:rFonts w:ascii="Times New Roman" w:eastAsia="Times New Roman" w:hAnsi="Times New Roman" w:cs="Times New Roman"/>
                <w:color w:val="000000"/>
              </w:rPr>
              <w:t>alai ir g/l;</w:t>
            </w:r>
          </w:p>
          <w:p w:rsidR="000133DF" w:rsidRDefault="00000000">
            <w:pPr>
              <w:ind w:left="0" w:hanging="2"/>
              <w:jc w:val="both"/>
            </w:pPr>
            <w:r>
              <w:rPr>
                <w:rFonts w:ascii="Times New Roman" w:eastAsia="Times New Roman" w:hAnsi="Times New Roman" w:cs="Times New Roman"/>
              </w:rPr>
              <w:t>4. Gliukozė (GLU), b</w:t>
            </w:r>
            <w:r>
              <w:rPr>
                <w:rFonts w:ascii="Times New Roman" w:eastAsia="Times New Roman" w:hAnsi="Times New Roman" w:cs="Times New Roman"/>
                <w:color w:val="000000"/>
              </w:rPr>
              <w:t>alai ir mmol/l;</w:t>
            </w:r>
          </w:p>
          <w:p w:rsidR="000133DF" w:rsidRDefault="00000000">
            <w:pPr>
              <w:ind w:left="0" w:hanging="2"/>
              <w:jc w:val="both"/>
            </w:pPr>
            <w:r>
              <w:rPr>
                <w:rFonts w:ascii="Times New Roman" w:eastAsia="Times New Roman" w:hAnsi="Times New Roman" w:cs="Times New Roman"/>
              </w:rPr>
              <w:t>5. Nitritai (NIT), rasta/nerasta;</w:t>
            </w:r>
          </w:p>
          <w:p w:rsidR="000133DF" w:rsidRDefault="00000000">
            <w:pPr>
              <w:ind w:left="0" w:hanging="2"/>
              <w:jc w:val="both"/>
            </w:pPr>
            <w:r>
              <w:rPr>
                <w:rFonts w:ascii="Times New Roman" w:eastAsia="Times New Roman" w:hAnsi="Times New Roman" w:cs="Times New Roman"/>
              </w:rPr>
              <w:t>6. Ketonai (KET), b</w:t>
            </w:r>
            <w:r>
              <w:rPr>
                <w:rFonts w:ascii="Times New Roman" w:eastAsia="Times New Roman" w:hAnsi="Times New Roman" w:cs="Times New Roman"/>
                <w:color w:val="000000"/>
              </w:rPr>
              <w:t>alai ir mmol/l;</w:t>
            </w:r>
          </w:p>
          <w:p w:rsidR="000133DF" w:rsidRDefault="00000000">
            <w:pPr>
              <w:ind w:left="0" w:hanging="2"/>
              <w:jc w:val="both"/>
            </w:pPr>
            <w:r>
              <w:rPr>
                <w:rFonts w:ascii="Times New Roman" w:eastAsia="Times New Roman" w:hAnsi="Times New Roman" w:cs="Times New Roman"/>
              </w:rPr>
              <w:t>7. Bilirubinas (BIL), b</w:t>
            </w:r>
            <w:r>
              <w:rPr>
                <w:rFonts w:ascii="Times New Roman" w:eastAsia="Times New Roman" w:hAnsi="Times New Roman" w:cs="Times New Roman"/>
                <w:color w:val="000000"/>
              </w:rPr>
              <w:t>alai ir µmol/l;</w:t>
            </w:r>
          </w:p>
          <w:p w:rsidR="000133DF" w:rsidRDefault="00000000">
            <w:pPr>
              <w:ind w:left="0" w:hanging="2"/>
              <w:jc w:val="both"/>
            </w:pPr>
            <w:r>
              <w:rPr>
                <w:rFonts w:ascii="Times New Roman" w:eastAsia="Times New Roman" w:hAnsi="Times New Roman" w:cs="Times New Roman"/>
              </w:rPr>
              <w:t>8. Urobilinogenas (URO), b</w:t>
            </w:r>
            <w:r>
              <w:rPr>
                <w:rFonts w:ascii="Times New Roman" w:eastAsia="Times New Roman" w:hAnsi="Times New Roman" w:cs="Times New Roman"/>
                <w:color w:val="000000"/>
              </w:rPr>
              <w:t>alai ir µmol/l;</w:t>
            </w:r>
          </w:p>
          <w:p w:rsidR="000133DF" w:rsidRDefault="00000000">
            <w:pPr>
              <w:ind w:left="0" w:hanging="2"/>
              <w:jc w:val="both"/>
            </w:pPr>
            <w:r>
              <w:rPr>
                <w:rFonts w:ascii="Times New Roman" w:eastAsia="Times New Roman" w:hAnsi="Times New Roman" w:cs="Times New Roman"/>
              </w:rPr>
              <w:t>9. Santykinis tankis (SG), skaičius;</w:t>
            </w:r>
          </w:p>
          <w:p w:rsidR="000133DF" w:rsidRDefault="00000000">
            <w:pPr>
              <w:ind w:left="0" w:hanging="2"/>
              <w:jc w:val="both"/>
            </w:pPr>
            <w:r>
              <w:rPr>
                <w:rFonts w:ascii="Times New Roman" w:eastAsia="Times New Roman" w:hAnsi="Times New Roman" w:cs="Times New Roman"/>
              </w:rPr>
              <w:t>10. pH, skaičius.</w:t>
            </w:r>
          </w:p>
          <w:p w:rsidR="000133DF" w:rsidRDefault="000133DF">
            <w:pPr>
              <w:ind w:left="0" w:hanging="2"/>
              <w:jc w:val="both"/>
              <w:rPr>
                <w:rFonts w:ascii="Times New Roman" w:eastAsia="Times New Roman" w:hAnsi="Times New Roman" w:cs="Times New Roman"/>
              </w:rPr>
            </w:pPr>
          </w:p>
        </w:tc>
        <w:tc>
          <w:tcPr>
            <w:tcW w:w="3805"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Matuojami šie parametrai:                                                                  </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1. Santykinis tankis (SG), skaičius;</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2. pH, skaičius;</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3. Leukocitai (WBC), balai ir skaičius/µl;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4. Eritrocitai (RBC), balai ir skaičius/µl;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5. Baltymas (PRO), balai ir g/l;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6. Gliukozė (GLU), balai ir mmol/l;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7. Nitritai (NIT), teigiamas/neigiamas;</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8. Ketonai (KET), balai ir mmol/l;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9. Bilirubinas (BIL), balai ir µmol/l;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10. Urobilinogenas (URO), balai ir µmol/l.</w:t>
            </w:r>
          </w:p>
        </w:tc>
        <w:tc>
          <w:tcPr>
            <w:tcW w:w="2885"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131/468, 148/468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8.</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Idiegta automatinė atranka</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Šlapimo mikroskopijos tyrimas atliekamas remiantis juostelinio tyrimo rezultatu</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Yra įdiegta automatinė atranka - Šlapimo mikroskopijos tyrimas atliekamas remiantis juostelinio tyrimo rezultatu.</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59/468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9.</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Automatinis mėginio sumaišymas</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Pirmiausia mėgintuvėlis (esantis stovelyje) transportuojamas į mėginių ėmimo vietą. Vėliau mėgintuvėlyje </w:t>
            </w:r>
            <w:r>
              <w:rPr>
                <w:rFonts w:ascii="Times New Roman" w:eastAsia="Times New Roman" w:hAnsi="Times New Roman" w:cs="Times New Roman"/>
              </w:rPr>
              <w:lastRenderedPageBreak/>
              <w:t>esantis mėginys automatiškai sumaišomas (aspiruojant ir išleidžiant mėginį).</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lastRenderedPageBreak/>
              <w:t>Cobas 6500_Naudotojo vadovas. psl. 60/468</w:t>
            </w:r>
          </w:p>
        </w:tc>
      </w:tr>
      <w:tr w:rsidR="000133DF">
        <w:trPr>
          <w:jc w:val="center"/>
        </w:trPr>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10.</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Įsiurbiamo mėginio tūris šlapimo cheminei analizei atlikti</w:t>
            </w:r>
          </w:p>
        </w:tc>
        <w:tc>
          <w:tcPr>
            <w:tcW w:w="441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Ne daugiau 2 ml</w:t>
            </w:r>
          </w:p>
        </w:tc>
        <w:tc>
          <w:tcPr>
            <w:tcW w:w="3805"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Įsiurbiamo mėginio tūris šlapimo cheminei analizei atlikti – 2 mL.</w:t>
            </w:r>
          </w:p>
        </w:tc>
        <w:tc>
          <w:tcPr>
            <w:tcW w:w="2885"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145/468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11.</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Juostelinio ir mikroskopijos tyrimo rezultatai pateikiami viename ekrane</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Juostelinio ir mikroskopijos tyrimo rezultatai yra pateikiami viename ekrane.</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69/468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12.</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Analizatorius turi tirti necentrifuguotus mėginius, t.y. į analizatorių dedami necentrifuguoti mėginiai</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Analizatorius tiria necentrifuguotus mėginius, t.y. į analizatorių yra dedami necentrifuguoti mėginiai.</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60/468 – 61/468</w:t>
            </w:r>
          </w:p>
        </w:tc>
      </w:tr>
      <w:tr w:rsidR="000133DF">
        <w:trPr>
          <w:jc w:val="center"/>
        </w:trPr>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13.</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Skubių tyrimų atlikimo galimybė</w:t>
            </w:r>
          </w:p>
        </w:tc>
        <w:tc>
          <w:tcPr>
            <w:tcW w:w="441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805"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Galima tirti skubius (STAT) mėginius.</w:t>
            </w:r>
          </w:p>
        </w:tc>
        <w:tc>
          <w:tcPr>
            <w:tcW w:w="2885"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368/468</w:t>
            </w:r>
          </w:p>
        </w:tc>
      </w:tr>
      <w:tr w:rsidR="000133DF">
        <w:trPr>
          <w:jc w:val="center"/>
        </w:trPr>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14.</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Patologinių rezultatų žymėjimas</w:t>
            </w:r>
          </w:p>
        </w:tc>
        <w:tc>
          <w:tcPr>
            <w:tcW w:w="441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805"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Yra patologinių rezultatų žymėjimas.</w:t>
            </w:r>
          </w:p>
        </w:tc>
        <w:tc>
          <w:tcPr>
            <w:tcW w:w="2885"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70/468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15.</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Mikroskopinio ištyrimo sistemoje turėtų būti įdiegta programinė įranga</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Turi klasifikuoti šlapimo daleles į ne mažiau kaip 10 kategorijas: eritrocitus, leukocitus, neplokščialąstelinio epitelio ląsteles, plokščiojo epitelio ląsteles, bakterijas, kristalus, hialininius cilindrus ir kitus patologinius cilindrus, grybus, spermatozoidus, gleives</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shd w:val="clear" w:color="auto" w:fill="33FF99"/>
              </w:rPr>
            </w:pPr>
            <w:r>
              <w:rPr>
                <w:rFonts w:ascii="Times New Roman" w:eastAsia="Times New Roman" w:hAnsi="Times New Roman" w:cs="Times New Roman"/>
              </w:rPr>
              <w:t>Šlapimo dalelės yra klasifikuojamos į šias kategorijas: eritrocitus, leukocitus, neplokščialąstelinio epitelio ląsteles, plokščiojo epitelio ląsteles, bakterijas, kristalus, hialininius cilindrus ir kitus patologinius cilindrus, grybus, spermatozoidus, gleives.</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shd w:val="clear" w:color="auto" w:fill="33FF99"/>
              </w:rPr>
            </w:pPr>
            <w:r>
              <w:rPr>
                <w:rFonts w:ascii="Times New Roman" w:eastAsia="Times New Roman" w:hAnsi="Times New Roman" w:cs="Times New Roman"/>
              </w:rPr>
              <w:t>Cobas 6500_Naudotojo vadovas. psl. 56/468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16.</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 xml:space="preserve">Mikroskopinio ištyrimo sistemoje turėti būti įdiegta poklasių funkcija, leidžiančia operatoriui kurti papildomas kategorijas bei perklasifikuoti bet kokią šlapimo dalelę </w:t>
            </w:r>
          </w:p>
          <w:p w:rsidR="000133DF" w:rsidRDefault="000133DF">
            <w:pPr>
              <w:ind w:left="0" w:hanging="2"/>
              <w:rPr>
                <w:rFonts w:ascii="Times New Roman" w:eastAsia="Times New Roman" w:hAnsi="Times New Roman" w:cs="Times New Roman"/>
              </w:rPr>
            </w:pP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Mikroskopinio ištyrimo sistemoje yra įdiegta poklasių funkcija, leidžianti operatoriui kurti papildomas kategorijas bei perklasifikuoti bet kokią šlapimo dalelę.</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348/468 -350/468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17.</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Našumas</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Ne mažiau, kaip 40 mikroskopijos tyrimų per valandą, ne mažiau, kaip 220 juostelinių šlapimo chemijos  tyrimų per valandą</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Našumas: 116 mikroskopijos tyrimų per valandą, 240 juostelinių šlapimo chemijos  tyrimų per valandą.</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144/468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lastRenderedPageBreak/>
              <w:t>18.</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Dvikryptė komunikacija</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Analizatorius privalo turėti dvikryptę komunikaciją standartiniu protokolu (ASTM arba HL7) su ligoninėje įdiegta informacine sistema, su laboratorijoje įdiegta informacine sistema cobas IT Middleware.</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Analizatorius turi dvikryptę komunikaciją standartiniu protokolu (ASTM) su ligoninėje įdiegta informacine sistema, su laboratorijoje įdiegta informacine sistema cobas IT Middleware.</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Host_Interface_Manual_Cobas_6500</w:t>
            </w:r>
          </w:p>
          <w:p w:rsidR="000133DF" w:rsidRDefault="000133DF">
            <w:pPr>
              <w:ind w:left="0" w:hanging="2"/>
              <w:rPr>
                <w:rFonts w:ascii="Times New Roman" w:eastAsia="Times New Roman" w:hAnsi="Times New Roman" w:cs="Times New Roman"/>
              </w:rPr>
            </w:pPr>
          </w:p>
        </w:tc>
      </w:tr>
      <w:tr w:rsidR="000133DF">
        <w:trPr>
          <w:jc w:val="center"/>
        </w:trPr>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19.</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color w:val="000000"/>
              </w:rPr>
              <w:t>Brūkšninių kodų identifikavimo sistema</w:t>
            </w:r>
          </w:p>
          <w:p w:rsidR="000133DF" w:rsidRDefault="000133DF">
            <w:pPr>
              <w:ind w:left="0" w:hanging="2"/>
              <w:rPr>
                <w:rFonts w:ascii="Times New Roman" w:eastAsia="Times New Roman" w:hAnsi="Times New Roman" w:cs="Times New Roman"/>
                <w:color w:val="000000"/>
              </w:rPr>
            </w:pPr>
          </w:p>
        </w:tc>
        <w:tc>
          <w:tcPr>
            <w:tcW w:w="441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color w:val="000000"/>
              </w:rPr>
              <w:t>Būtina. Vidinė ėminių/ mėginių brūkšninių kodų identifikavimo sistema.</w:t>
            </w:r>
          </w:p>
          <w:p w:rsidR="000133DF" w:rsidRDefault="000133DF">
            <w:pPr>
              <w:ind w:left="0" w:hanging="2"/>
              <w:jc w:val="both"/>
              <w:rPr>
                <w:rFonts w:ascii="Times New Roman" w:eastAsia="Times New Roman" w:hAnsi="Times New Roman" w:cs="Times New Roman"/>
                <w:color w:val="000000"/>
              </w:rPr>
            </w:pPr>
          </w:p>
        </w:tc>
        <w:tc>
          <w:tcPr>
            <w:tcW w:w="3805"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Yra vidinė ėminių/mėginių brūkšninių kodų identifikavimo sistema (vidinis brūkšninių kodų skaitytuvas).</w:t>
            </w:r>
          </w:p>
          <w:p w:rsidR="000133DF" w:rsidRDefault="000133DF">
            <w:pPr>
              <w:ind w:left="0" w:hanging="2"/>
              <w:rPr>
                <w:rFonts w:ascii="Times New Roman" w:eastAsia="Times New Roman" w:hAnsi="Times New Roman" w:cs="Times New Roman"/>
                <w:color w:val="000000"/>
              </w:rPr>
            </w:pPr>
          </w:p>
        </w:tc>
        <w:tc>
          <w:tcPr>
            <w:tcW w:w="2885"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Cobas 6500_Naudotojo vadovas. psl. 137/468</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20.</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Naudojimo instrukcija anglų ir lietuvių kalbomis</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Pateikiama su prietaisu</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Naudojimo instrukcija anglų ir lietuvių kalbomis bus pateikta kartu su prietaisu.</w:t>
            </w:r>
            <w:r>
              <w:rPr>
                <w:rFonts w:ascii="Times New Roman" w:eastAsia="Times New Roman" w:hAnsi="Times New Roman" w:cs="Times New Roman"/>
              </w:rPr>
              <w:tab/>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Tiekėjo laisvos formos deklaracija.</w:t>
            </w:r>
          </w:p>
        </w:tc>
      </w:tr>
      <w:tr w:rsidR="000133DF">
        <w:trPr>
          <w:trHeight w:val="1061"/>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21.</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Šlapimo cheminei analizei atlikti naudojamos juostelės atsparios askorbo rūgščiai (vitaminui C)</w:t>
            </w: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tc>
        <w:tc>
          <w:tcPr>
            <w:tcW w:w="4417" w:type="dxa"/>
            <w:tcBorders>
              <w:top w:val="single" w:sz="4" w:space="0" w:color="000000"/>
              <w:left w:val="single" w:sz="4" w:space="0" w:color="000000"/>
              <w:bottom w:val="single" w:sz="4" w:space="0" w:color="000000"/>
            </w:tcBorders>
          </w:tcPr>
          <w:p w:rsidR="000133DF" w:rsidRDefault="00000000">
            <w:pPr>
              <w:tabs>
                <w:tab w:val="left" w:pos="1534"/>
              </w:tabs>
              <w:ind w:left="0" w:hanging="2"/>
              <w:jc w:val="both"/>
            </w:pPr>
            <w:r>
              <w:rPr>
                <w:rFonts w:ascii="Times New Roman" w:eastAsia="Times New Roman" w:hAnsi="Times New Roman" w:cs="Times New Roman"/>
              </w:rPr>
              <w:t>Būtina</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Šlapimo cheminei analizei atlikti naudojamos juostelės yra atsparios askorbo rūgščiai (vitaminui C).</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tabs>
                <w:tab w:val="left" w:pos="709"/>
              </w:tabs>
              <w:ind w:left="0" w:hanging="2"/>
              <w:rPr>
                <w:rFonts w:ascii="Times New Roman" w:eastAsia="Times New Roman" w:hAnsi="Times New Roman" w:cs="Times New Roman"/>
              </w:rPr>
            </w:pPr>
            <w:r>
              <w:rPr>
                <w:rFonts w:ascii="Times New Roman" w:eastAsia="Times New Roman" w:hAnsi="Times New Roman" w:cs="Times New Roman"/>
              </w:rPr>
              <w:t>cobas u pack_metodinis lapelis. psl. 2/5</w:t>
            </w:r>
          </w:p>
        </w:tc>
      </w:tr>
      <w:tr w:rsidR="000133DF">
        <w:trPr>
          <w:jc w:val="center"/>
        </w:trPr>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22.</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Juosteliniai tyrimai</w:t>
            </w:r>
          </w:p>
        </w:tc>
        <w:tc>
          <w:tcPr>
            <w:tcW w:w="441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Darbo pabaigoje tyrimo juostelės gali likti analizatoriuje (nereikia sudėti atgal į juostelių talpą)</w:t>
            </w:r>
          </w:p>
        </w:tc>
        <w:tc>
          <w:tcPr>
            <w:tcW w:w="3805"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Darbo pabaigoje tyrimo juostelės gali likti analizatoriuje, jų nereikia sudėti atgal į juostelių talpą.</w:t>
            </w:r>
          </w:p>
        </w:tc>
        <w:tc>
          <w:tcPr>
            <w:tcW w:w="2885"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 pack_metodinis lapelis. psl. 2/5</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6500_Naudotojo vadovas. psl. 122/468 – 123/468</w:t>
            </w:r>
          </w:p>
          <w:p w:rsidR="000133DF" w:rsidRDefault="000133DF">
            <w:pPr>
              <w:ind w:left="0" w:hanging="2"/>
              <w:rPr>
                <w:rFonts w:ascii="Times New Roman" w:eastAsia="Times New Roman" w:hAnsi="Times New Roman" w:cs="Times New Roman"/>
              </w:rPr>
            </w:pPr>
          </w:p>
        </w:tc>
      </w:tr>
    </w:tbl>
    <w:p w:rsidR="000133DF" w:rsidRDefault="000133DF">
      <w:pPr>
        <w:ind w:left="0" w:hanging="2"/>
        <w:jc w:val="both"/>
        <w:rPr>
          <w:rFonts w:ascii="Times New Roman" w:eastAsia="Times New Roman" w:hAnsi="Times New Roman" w:cs="Times New Roman"/>
          <w:sz w:val="24"/>
          <w:szCs w:val="24"/>
        </w:rPr>
      </w:pPr>
    </w:p>
    <w:p w:rsidR="000133DF" w:rsidRDefault="000133DF">
      <w:pPr>
        <w:ind w:left="0" w:hanging="2"/>
        <w:jc w:val="center"/>
        <w:rPr>
          <w:rFonts w:ascii="Times New Roman" w:eastAsia="Times New Roman" w:hAnsi="Times New Roman" w:cs="Times New Roman"/>
          <w:sz w:val="24"/>
          <w:szCs w:val="24"/>
        </w:rPr>
      </w:pPr>
    </w:p>
    <w:p w:rsidR="000133DF" w:rsidRDefault="00000000">
      <w:pPr>
        <w:ind w:left="0" w:hanging="2"/>
        <w:jc w:val="center"/>
      </w:pPr>
      <w:r>
        <w:rPr>
          <w:rFonts w:ascii="Times New Roman" w:eastAsia="Times New Roman" w:hAnsi="Times New Roman" w:cs="Times New Roman"/>
          <w:b/>
          <w:color w:val="000000"/>
          <w:sz w:val="24"/>
          <w:szCs w:val="24"/>
        </w:rPr>
        <w:t>4.2.Automatinio šlapimo cheminės analizės analizatoriaus nuomai (panaudai) techninė specifikacija (1 vnt.)</w:t>
      </w:r>
    </w:p>
    <w:p w:rsidR="000133DF" w:rsidRDefault="00000000">
      <w:pPr>
        <w:ind w:left="0" w:hanging="2"/>
        <w:jc w:val="center"/>
      </w:pPr>
      <w:r>
        <w:rPr>
          <w:rFonts w:ascii="Times New Roman" w:eastAsia="Times New Roman" w:hAnsi="Times New Roman" w:cs="Times New Roman"/>
          <w:b/>
          <w:color w:val="000000"/>
          <w:sz w:val="24"/>
          <w:szCs w:val="24"/>
        </w:rPr>
        <w:t>Pristatoma į VšĮ Vilniaus miesto klinikinę ligoninę (Antakalnio g. 124, 10200 Vilnius).</w:t>
      </w:r>
    </w:p>
    <w:p w:rsidR="000133DF" w:rsidRDefault="000133DF">
      <w:pPr>
        <w:ind w:left="0" w:hanging="2"/>
        <w:jc w:val="center"/>
      </w:pPr>
    </w:p>
    <w:tbl>
      <w:tblPr>
        <w:tblStyle w:val="a0"/>
        <w:tblW w:w="14651" w:type="dxa"/>
        <w:jc w:val="center"/>
        <w:tblLayout w:type="fixed"/>
        <w:tblLook w:val="0000" w:firstRow="0" w:lastRow="0" w:firstColumn="0" w:lastColumn="0" w:noHBand="0" w:noVBand="0"/>
      </w:tblPr>
      <w:tblGrid>
        <w:gridCol w:w="900"/>
        <w:gridCol w:w="2644"/>
        <w:gridCol w:w="4646"/>
        <w:gridCol w:w="3960"/>
        <w:gridCol w:w="2501"/>
      </w:tblGrid>
      <w:tr w:rsidR="000133DF">
        <w:trPr>
          <w:jc w:val="center"/>
        </w:trPr>
        <w:tc>
          <w:tcPr>
            <w:tcW w:w="900" w:type="dxa"/>
            <w:tcBorders>
              <w:top w:val="single" w:sz="4" w:space="0" w:color="000000"/>
              <w:left w:val="single" w:sz="4" w:space="0" w:color="000000"/>
              <w:bottom w:val="single" w:sz="4" w:space="0" w:color="000000"/>
            </w:tcBorders>
            <w:vAlign w:val="center"/>
          </w:tcPr>
          <w:p w:rsidR="000133DF" w:rsidRDefault="00000000">
            <w:pPr>
              <w:spacing w:after="200" w:line="276" w:lineRule="auto"/>
              <w:ind w:left="0" w:hanging="2"/>
              <w:jc w:val="center"/>
            </w:pPr>
            <w:r>
              <w:rPr>
                <w:rFonts w:ascii="Times New Roman" w:eastAsia="Times New Roman" w:hAnsi="Times New Roman" w:cs="Times New Roman"/>
                <w:b/>
                <w:sz w:val="24"/>
                <w:szCs w:val="24"/>
              </w:rPr>
              <w:lastRenderedPageBreak/>
              <w:t>Eil. Nr.</w:t>
            </w:r>
          </w:p>
        </w:tc>
        <w:tc>
          <w:tcPr>
            <w:tcW w:w="2644" w:type="dxa"/>
            <w:tcBorders>
              <w:top w:val="single" w:sz="4" w:space="0" w:color="000000"/>
              <w:left w:val="single" w:sz="4" w:space="0" w:color="000000"/>
              <w:bottom w:val="single" w:sz="4" w:space="0" w:color="000000"/>
            </w:tcBorders>
            <w:vAlign w:val="center"/>
          </w:tcPr>
          <w:p w:rsidR="000133DF" w:rsidRDefault="00000000">
            <w:pPr>
              <w:keepNext/>
              <w:keepLines/>
              <w:spacing w:before="480" w:after="200" w:line="276" w:lineRule="auto"/>
              <w:ind w:left="0" w:hanging="2"/>
              <w:jc w:val="center"/>
            </w:pPr>
            <w:r>
              <w:rPr>
                <w:rFonts w:ascii="Times New Roman" w:eastAsia="Times New Roman" w:hAnsi="Times New Roman" w:cs="Times New Roman"/>
                <w:b/>
                <w:color w:val="000000"/>
                <w:sz w:val="24"/>
                <w:szCs w:val="24"/>
              </w:rPr>
              <w:t>Pavadinimas/ techniniai parametrai</w:t>
            </w:r>
          </w:p>
        </w:tc>
        <w:tc>
          <w:tcPr>
            <w:tcW w:w="4646" w:type="dxa"/>
            <w:tcBorders>
              <w:top w:val="single" w:sz="4" w:space="0" w:color="000000"/>
              <w:left w:val="single" w:sz="4" w:space="0" w:color="000000"/>
              <w:bottom w:val="single" w:sz="4" w:space="0" w:color="000000"/>
            </w:tcBorders>
            <w:vAlign w:val="center"/>
          </w:tcPr>
          <w:p w:rsidR="000133DF" w:rsidRDefault="00000000">
            <w:pPr>
              <w:spacing w:after="200" w:line="276" w:lineRule="auto"/>
              <w:ind w:left="0" w:hanging="2"/>
              <w:jc w:val="center"/>
            </w:pPr>
            <w:r>
              <w:rPr>
                <w:rFonts w:ascii="Times New Roman" w:eastAsia="Times New Roman" w:hAnsi="Times New Roman" w:cs="Times New Roman"/>
                <w:b/>
                <w:color w:val="000000"/>
                <w:sz w:val="24"/>
                <w:szCs w:val="24"/>
              </w:rPr>
              <w:t>Reikalaujami techniniai parametrai</w:t>
            </w:r>
          </w:p>
        </w:tc>
        <w:tc>
          <w:tcPr>
            <w:tcW w:w="3960" w:type="dxa"/>
            <w:tcBorders>
              <w:top w:val="single" w:sz="4" w:space="0" w:color="000000"/>
              <w:left w:val="single" w:sz="4" w:space="0" w:color="000000"/>
              <w:bottom w:val="single" w:sz="4" w:space="0" w:color="000000"/>
            </w:tcBorders>
            <w:vAlign w:val="center"/>
          </w:tcPr>
          <w:p w:rsidR="000133DF" w:rsidRDefault="00000000">
            <w:pPr>
              <w:spacing w:after="200" w:line="276" w:lineRule="auto"/>
              <w:ind w:left="0" w:hanging="2"/>
              <w:jc w:val="center"/>
            </w:pPr>
            <w:r>
              <w:rPr>
                <w:rFonts w:ascii="Times New Roman" w:eastAsia="Times New Roman" w:hAnsi="Times New Roman" w:cs="Times New Roman"/>
                <w:b/>
                <w:sz w:val="24"/>
                <w:szCs w:val="24"/>
              </w:rPr>
              <w:t>Siūlomi techniniai parametrai</w:t>
            </w:r>
          </w:p>
        </w:tc>
        <w:tc>
          <w:tcPr>
            <w:tcW w:w="2501" w:type="dxa"/>
            <w:tcBorders>
              <w:top w:val="single" w:sz="4" w:space="0" w:color="000000"/>
              <w:left w:val="single" w:sz="4" w:space="0" w:color="000000"/>
              <w:bottom w:val="single" w:sz="4" w:space="0" w:color="000000"/>
              <w:right w:val="single" w:sz="4" w:space="0" w:color="000000"/>
            </w:tcBorders>
            <w:vAlign w:val="center"/>
          </w:tcPr>
          <w:p w:rsidR="000133DF" w:rsidRDefault="00000000">
            <w:pPr>
              <w:ind w:left="0" w:hanging="2"/>
              <w:jc w:val="center"/>
            </w:pPr>
            <w:r>
              <w:rPr>
                <w:rFonts w:ascii="Times New Roman" w:eastAsia="Times New Roman" w:hAnsi="Times New Roman" w:cs="Times New Roman"/>
                <w:b/>
                <w:sz w:val="24"/>
                <w:szCs w:val="24"/>
              </w:rPr>
              <w:t>Reikalavimų atitikimas</w:t>
            </w:r>
          </w:p>
          <w:p w:rsidR="000133DF" w:rsidRDefault="00000000">
            <w:pPr>
              <w:ind w:left="0" w:hanging="2"/>
              <w:jc w:val="center"/>
            </w:pPr>
            <w:r>
              <w:rPr>
                <w:rFonts w:ascii="Times New Roman" w:eastAsia="Times New Roman" w:hAnsi="Times New Roman" w:cs="Times New Roman"/>
                <w:b/>
                <w:sz w:val="24"/>
                <w:szCs w:val="24"/>
              </w:rPr>
              <w:t>(būtina nurodyti tikslią nuorodą analizatoriaus dokumentacijoje (dokumentacijoje tiksliai pažymimas techninis parametras)</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w:t>
            </w:r>
          </w:p>
        </w:tc>
        <w:tc>
          <w:tcPr>
            <w:tcW w:w="2644"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Analizatorius – 1 vnt.</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Pavadinimas (-ai), tipas/modelis, gamintojas</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Cobas u601, Roche</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Tiekėjo laisvos formos deklaracija.</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2.</w:t>
            </w:r>
          </w:p>
        </w:tc>
        <w:tc>
          <w:tcPr>
            <w:tcW w:w="2644"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Analizatoriaus paskirtis</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Automatinė šlapimo cheminė analizė (juostelinis ištyrimas)</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Analizatoriaus paskirtis - automatinė šlapimo cheminė analizė (juostelinis ištyrimas).</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9/368</w:t>
            </w:r>
          </w:p>
        </w:tc>
      </w:tr>
      <w:tr w:rsidR="000133DF">
        <w:trPr>
          <w:jc w:val="center"/>
        </w:trPr>
        <w:tc>
          <w:tcPr>
            <w:tcW w:w="900"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3.</w:t>
            </w:r>
          </w:p>
        </w:tc>
        <w:tc>
          <w:tcPr>
            <w:tcW w:w="2644"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Matavimo metodas</w:t>
            </w:r>
          </w:p>
        </w:tc>
        <w:tc>
          <w:tcPr>
            <w:tcW w:w="4646"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Atspindžio fotometrija, refraktometrija, turbidimetrija</w:t>
            </w:r>
          </w:p>
        </w:tc>
        <w:tc>
          <w:tcPr>
            <w:tcW w:w="3960"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Matavimo principai - atspindžio fotometrija, refraktometrija, turbidimetrija</w:t>
            </w:r>
          </w:p>
        </w:tc>
        <w:tc>
          <w:tcPr>
            <w:tcW w:w="2501"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121/368</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4.</w:t>
            </w:r>
          </w:p>
        </w:tc>
        <w:tc>
          <w:tcPr>
            <w:tcW w:w="2644"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Testo juostelių sistema</w:t>
            </w:r>
          </w:p>
        </w:tc>
        <w:tc>
          <w:tcPr>
            <w:tcW w:w="4646"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Automatinė juostelių paėmimo sistema, testo juostelių talpa kasetėje, apsaugotoje nuo aplinkos poveikio.</w:t>
            </w:r>
          </w:p>
          <w:p w:rsidR="000133DF" w:rsidRDefault="00000000">
            <w:pPr>
              <w:ind w:left="0" w:hanging="2"/>
              <w:jc w:val="both"/>
            </w:pPr>
            <w:r>
              <w:rPr>
                <w:rFonts w:ascii="Times New Roman" w:eastAsia="Times New Roman" w:hAnsi="Times New Roman" w:cs="Times New Roman"/>
              </w:rPr>
              <w:t>Panaudotų juostelių talpa.</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Yra automatinė juostelių paėmimo sistema, testo juostelių talpa kasetėje, apsaugotoje nuo aplinkos poveikio. Taip pat yra panaudotų juostelių talpa.</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104/368 – 108/368</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5.</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analitės, mato vienetai</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Matuojami ne mažiau nei šie parametrai:</w:t>
            </w:r>
          </w:p>
          <w:p w:rsidR="000133DF" w:rsidRDefault="00000000">
            <w:pPr>
              <w:ind w:left="0" w:hanging="2"/>
              <w:jc w:val="both"/>
            </w:pPr>
            <w:r>
              <w:rPr>
                <w:rFonts w:ascii="Times New Roman" w:eastAsia="Times New Roman" w:hAnsi="Times New Roman" w:cs="Times New Roman"/>
              </w:rPr>
              <w:t>1. Eritrocitai (RBC), b</w:t>
            </w:r>
            <w:r>
              <w:rPr>
                <w:rFonts w:ascii="Times New Roman" w:eastAsia="Times New Roman" w:hAnsi="Times New Roman" w:cs="Times New Roman"/>
                <w:color w:val="000000"/>
                <w:sz w:val="24"/>
                <w:szCs w:val="24"/>
              </w:rPr>
              <w:t>alai ir skaičius/µl</w:t>
            </w:r>
            <w:r>
              <w:rPr>
                <w:rFonts w:ascii="Times New Roman" w:eastAsia="Times New Roman" w:hAnsi="Times New Roman" w:cs="Times New Roman"/>
              </w:rPr>
              <w:t xml:space="preserve"> (arba kraujas (BLD) b</w:t>
            </w:r>
            <w:r>
              <w:rPr>
                <w:rFonts w:ascii="Times New Roman" w:eastAsia="Times New Roman" w:hAnsi="Times New Roman" w:cs="Times New Roman"/>
                <w:color w:val="000000"/>
                <w:sz w:val="24"/>
                <w:szCs w:val="24"/>
              </w:rPr>
              <w:t>alai ir mg/l);</w:t>
            </w:r>
          </w:p>
          <w:p w:rsidR="000133DF" w:rsidRDefault="00000000">
            <w:pPr>
              <w:ind w:left="0" w:hanging="2"/>
              <w:jc w:val="both"/>
            </w:pPr>
            <w:r>
              <w:rPr>
                <w:rFonts w:ascii="Times New Roman" w:eastAsia="Times New Roman" w:hAnsi="Times New Roman" w:cs="Times New Roman"/>
                <w:color w:val="000000"/>
                <w:sz w:val="24"/>
                <w:szCs w:val="24"/>
              </w:rPr>
              <w:t>2. L</w:t>
            </w:r>
            <w:r>
              <w:rPr>
                <w:rFonts w:ascii="Times New Roman" w:eastAsia="Times New Roman" w:hAnsi="Times New Roman" w:cs="Times New Roman"/>
              </w:rPr>
              <w:t>eukocitai (WBC), b</w:t>
            </w:r>
            <w:r>
              <w:rPr>
                <w:rFonts w:ascii="Times New Roman" w:eastAsia="Times New Roman" w:hAnsi="Times New Roman" w:cs="Times New Roman"/>
                <w:color w:val="000000"/>
                <w:sz w:val="24"/>
                <w:szCs w:val="24"/>
              </w:rPr>
              <w:t>alai ir skaičius/µl;</w:t>
            </w:r>
          </w:p>
          <w:p w:rsidR="000133DF" w:rsidRDefault="00000000">
            <w:pPr>
              <w:ind w:left="0" w:hanging="2"/>
              <w:jc w:val="both"/>
            </w:pPr>
            <w:r>
              <w:rPr>
                <w:rFonts w:ascii="Times New Roman" w:eastAsia="Times New Roman" w:hAnsi="Times New Roman" w:cs="Times New Roman"/>
              </w:rPr>
              <w:t>3. Baltymas, (PRO), b</w:t>
            </w:r>
            <w:r>
              <w:rPr>
                <w:rFonts w:ascii="Times New Roman" w:eastAsia="Times New Roman" w:hAnsi="Times New Roman" w:cs="Times New Roman"/>
                <w:color w:val="000000"/>
                <w:sz w:val="24"/>
                <w:szCs w:val="24"/>
              </w:rPr>
              <w:t>alai ir g/l;</w:t>
            </w:r>
          </w:p>
          <w:p w:rsidR="000133DF" w:rsidRDefault="00000000">
            <w:pPr>
              <w:ind w:left="0" w:hanging="2"/>
              <w:jc w:val="both"/>
            </w:pPr>
            <w:r>
              <w:rPr>
                <w:rFonts w:ascii="Times New Roman" w:eastAsia="Times New Roman" w:hAnsi="Times New Roman" w:cs="Times New Roman"/>
              </w:rPr>
              <w:t>4. Gliukozė (GLU), b</w:t>
            </w:r>
            <w:r>
              <w:rPr>
                <w:rFonts w:ascii="Times New Roman" w:eastAsia="Times New Roman" w:hAnsi="Times New Roman" w:cs="Times New Roman"/>
                <w:color w:val="000000"/>
                <w:sz w:val="24"/>
                <w:szCs w:val="24"/>
              </w:rPr>
              <w:t>alai ir mmol/l;</w:t>
            </w:r>
          </w:p>
          <w:p w:rsidR="000133DF" w:rsidRDefault="00000000">
            <w:pPr>
              <w:ind w:left="0" w:hanging="2"/>
              <w:jc w:val="both"/>
            </w:pPr>
            <w:r>
              <w:rPr>
                <w:rFonts w:ascii="Times New Roman" w:eastAsia="Times New Roman" w:hAnsi="Times New Roman" w:cs="Times New Roman"/>
              </w:rPr>
              <w:t>5. Nitritai (NIT), rasta/nerasta;</w:t>
            </w:r>
          </w:p>
          <w:p w:rsidR="000133DF" w:rsidRDefault="00000000">
            <w:pPr>
              <w:ind w:left="0" w:hanging="2"/>
              <w:jc w:val="both"/>
            </w:pPr>
            <w:r>
              <w:rPr>
                <w:rFonts w:ascii="Times New Roman" w:eastAsia="Times New Roman" w:hAnsi="Times New Roman" w:cs="Times New Roman"/>
              </w:rPr>
              <w:t>6. Ketonai (KET), b</w:t>
            </w:r>
            <w:r>
              <w:rPr>
                <w:rFonts w:ascii="Times New Roman" w:eastAsia="Times New Roman" w:hAnsi="Times New Roman" w:cs="Times New Roman"/>
                <w:color w:val="000000"/>
                <w:sz w:val="24"/>
                <w:szCs w:val="24"/>
              </w:rPr>
              <w:t>alai ir mmol/l;</w:t>
            </w:r>
          </w:p>
          <w:p w:rsidR="000133DF" w:rsidRDefault="00000000">
            <w:pPr>
              <w:ind w:left="0" w:hanging="2"/>
              <w:jc w:val="both"/>
            </w:pPr>
            <w:r>
              <w:rPr>
                <w:rFonts w:ascii="Times New Roman" w:eastAsia="Times New Roman" w:hAnsi="Times New Roman" w:cs="Times New Roman"/>
              </w:rPr>
              <w:t>7. Bilirubinas (BIL), b</w:t>
            </w:r>
            <w:r>
              <w:rPr>
                <w:rFonts w:ascii="Times New Roman" w:eastAsia="Times New Roman" w:hAnsi="Times New Roman" w:cs="Times New Roman"/>
                <w:color w:val="000000"/>
                <w:sz w:val="24"/>
                <w:szCs w:val="24"/>
              </w:rPr>
              <w:t>alai ir µmol/l;</w:t>
            </w:r>
          </w:p>
          <w:p w:rsidR="000133DF" w:rsidRDefault="00000000">
            <w:pPr>
              <w:ind w:left="0" w:hanging="2"/>
              <w:jc w:val="both"/>
            </w:pPr>
            <w:r>
              <w:rPr>
                <w:rFonts w:ascii="Times New Roman" w:eastAsia="Times New Roman" w:hAnsi="Times New Roman" w:cs="Times New Roman"/>
              </w:rPr>
              <w:t>8. Urobilinogenas (URO), b</w:t>
            </w:r>
            <w:r>
              <w:rPr>
                <w:rFonts w:ascii="Times New Roman" w:eastAsia="Times New Roman" w:hAnsi="Times New Roman" w:cs="Times New Roman"/>
                <w:color w:val="000000"/>
                <w:sz w:val="24"/>
                <w:szCs w:val="24"/>
              </w:rPr>
              <w:t>alai ir µmol/l;</w:t>
            </w:r>
          </w:p>
          <w:p w:rsidR="000133DF" w:rsidRDefault="00000000">
            <w:pPr>
              <w:ind w:left="0" w:hanging="2"/>
              <w:jc w:val="both"/>
            </w:pPr>
            <w:r>
              <w:rPr>
                <w:rFonts w:ascii="Times New Roman" w:eastAsia="Times New Roman" w:hAnsi="Times New Roman" w:cs="Times New Roman"/>
              </w:rPr>
              <w:t>9. Santykinis tankis (SG), skaičius;</w:t>
            </w:r>
          </w:p>
          <w:p w:rsidR="000133DF" w:rsidRDefault="00000000">
            <w:pPr>
              <w:ind w:left="0" w:hanging="2"/>
              <w:jc w:val="both"/>
            </w:pPr>
            <w:r>
              <w:rPr>
                <w:rFonts w:ascii="Times New Roman" w:eastAsia="Times New Roman" w:hAnsi="Times New Roman" w:cs="Times New Roman"/>
              </w:rPr>
              <w:t>10. pH, skaičius.</w:t>
            </w:r>
          </w:p>
          <w:p w:rsidR="000133DF" w:rsidRDefault="000133DF">
            <w:pPr>
              <w:ind w:left="0" w:hanging="2"/>
              <w:jc w:val="both"/>
              <w:rPr>
                <w:rFonts w:ascii="Times New Roman" w:eastAsia="Times New Roman" w:hAnsi="Times New Roman" w:cs="Times New Roman"/>
              </w:rPr>
            </w:pP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Matuojami šie parametrai:                                                                  </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1. Santykinis tankis (SG), skaičius;</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2. pH, skaičius;</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3. Leukocitai (WBC), balai ir skaičius/µl;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4. Eritrocitai (RBC), balai ir skaičius/µl;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5. Baltymas (PRO), balai ir g/l;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6. Gliukozė (GLU), balai ir mmol/l;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7. Nitritai (NIT), teigiamas/neigiamas;</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8. Ketonai (KET), balai ir mmol/l;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9. Bilirubinas (BIL), balai ir µmol/l;</w:t>
            </w:r>
          </w:p>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10. Urobilinogenas (URO), balai ir µmol/l.</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113/368, 124/368</w:t>
            </w:r>
          </w:p>
        </w:tc>
      </w:tr>
      <w:tr w:rsidR="000133DF">
        <w:trPr>
          <w:jc w:val="center"/>
        </w:trPr>
        <w:tc>
          <w:tcPr>
            <w:tcW w:w="900"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lastRenderedPageBreak/>
              <w:t xml:space="preserve">6. </w:t>
            </w:r>
          </w:p>
        </w:tc>
        <w:tc>
          <w:tcPr>
            <w:tcW w:w="2644"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Našumas</w:t>
            </w:r>
          </w:p>
        </w:tc>
        <w:tc>
          <w:tcPr>
            <w:tcW w:w="4646"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Ne mažiau, kaip 220 juostelinių šlapimo chemijos  tyrimų per valandą.</w:t>
            </w:r>
          </w:p>
        </w:tc>
        <w:tc>
          <w:tcPr>
            <w:tcW w:w="3960"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Našumas – 240 juostelinių šlapimo chemijos  tyrimų per valandą.</w:t>
            </w:r>
          </w:p>
        </w:tc>
        <w:tc>
          <w:tcPr>
            <w:tcW w:w="2501"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121/368</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7.</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Automatinis mėginio sumaišymas</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 xml:space="preserve">Būtina </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Pirmiausia mėgintuvėlis (esantis stovelyje) transportuojamas į mėginių ėmimo vietą. Vėliau mėgintuvėlyje esantis mėginys automatiškai sumaišomas (aspiruojant ir išleidžiant mėginį).</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54/368</w:t>
            </w:r>
          </w:p>
        </w:tc>
      </w:tr>
      <w:tr w:rsidR="000133DF">
        <w:trPr>
          <w:jc w:val="center"/>
        </w:trPr>
        <w:tc>
          <w:tcPr>
            <w:tcW w:w="900"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8.</w:t>
            </w:r>
          </w:p>
        </w:tc>
        <w:tc>
          <w:tcPr>
            <w:tcW w:w="2644"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Įsiurbiamo mėginio tūris šlapimo cheminei analizei atlikti</w:t>
            </w:r>
          </w:p>
        </w:tc>
        <w:tc>
          <w:tcPr>
            <w:tcW w:w="4646"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Ne daugiau 2 ml</w:t>
            </w:r>
          </w:p>
        </w:tc>
        <w:tc>
          <w:tcPr>
            <w:tcW w:w="3960"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Įsiurbiamo mėginio tūris šlapimo cheminei analizei atlikti – 2 mL.</w:t>
            </w:r>
          </w:p>
        </w:tc>
        <w:tc>
          <w:tcPr>
            <w:tcW w:w="2501"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121/368</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9.</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Analizatorius turi tirti necentrifuguotus mėginius, t.y. į analizatorių dedami necentrifuguoti mėginiai</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Analizatorius tiria necentrifuguotus mėginius, t.y. į analizatorių yra dedami necentrifuguoti mėginiai.</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54/368</w:t>
            </w:r>
          </w:p>
        </w:tc>
      </w:tr>
      <w:tr w:rsidR="000133DF">
        <w:trPr>
          <w:jc w:val="center"/>
        </w:trPr>
        <w:tc>
          <w:tcPr>
            <w:tcW w:w="900"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10.</w:t>
            </w:r>
          </w:p>
        </w:tc>
        <w:tc>
          <w:tcPr>
            <w:tcW w:w="2644"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Skubių tyrimų atlikimo galimybė</w:t>
            </w:r>
          </w:p>
        </w:tc>
        <w:tc>
          <w:tcPr>
            <w:tcW w:w="4646"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960"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Galima tirti skubius (STAT) mėginius.</w:t>
            </w:r>
          </w:p>
        </w:tc>
        <w:tc>
          <w:tcPr>
            <w:tcW w:w="2501"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288/368</w:t>
            </w:r>
          </w:p>
        </w:tc>
      </w:tr>
      <w:tr w:rsidR="000133DF">
        <w:trPr>
          <w:jc w:val="center"/>
        </w:trPr>
        <w:tc>
          <w:tcPr>
            <w:tcW w:w="900"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11.</w:t>
            </w:r>
          </w:p>
        </w:tc>
        <w:tc>
          <w:tcPr>
            <w:tcW w:w="2644"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Patologinių rezultatų žymėjimas</w:t>
            </w:r>
          </w:p>
        </w:tc>
        <w:tc>
          <w:tcPr>
            <w:tcW w:w="4646"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Būtina</w:t>
            </w:r>
          </w:p>
        </w:tc>
        <w:tc>
          <w:tcPr>
            <w:tcW w:w="3960"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Yra patologinių rezultatų žymėjimas.</w:t>
            </w:r>
          </w:p>
        </w:tc>
        <w:tc>
          <w:tcPr>
            <w:tcW w:w="2501"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62/368</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12.</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Spausdintuvas</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Išorinis arba vidinis spausdintuvas</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Bus pateiktas išorinis spausdintuvas.</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Tiekėjo laisvos formos deklaracija.</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13.</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color w:val="000000"/>
              </w:rPr>
              <w:t>Brūkšninių kodų identifikavimo sistema</w:t>
            </w:r>
          </w:p>
          <w:p w:rsidR="000133DF" w:rsidRDefault="000133DF">
            <w:pPr>
              <w:ind w:left="0" w:hanging="2"/>
              <w:rPr>
                <w:rFonts w:ascii="Times New Roman" w:eastAsia="Times New Roman" w:hAnsi="Times New Roman" w:cs="Times New Roman"/>
                <w:color w:val="000000"/>
              </w:rPr>
            </w:pP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color w:val="000000"/>
              </w:rPr>
              <w:t>Būtina. Vidinė ėminių/ mėginių brūkšninių kodų identifikavimo sistema.</w:t>
            </w:r>
          </w:p>
          <w:p w:rsidR="000133DF" w:rsidRDefault="000133DF">
            <w:pPr>
              <w:ind w:left="0" w:hanging="2"/>
              <w:jc w:val="both"/>
              <w:rPr>
                <w:rFonts w:ascii="Times New Roman" w:eastAsia="Times New Roman" w:hAnsi="Times New Roman" w:cs="Times New Roman"/>
                <w:color w:val="000000"/>
              </w:rPr>
            </w:pPr>
          </w:p>
        </w:tc>
        <w:tc>
          <w:tcPr>
            <w:tcW w:w="3960"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color w:val="000000"/>
              </w:rPr>
              <w:t>Yra vidinė ėminių/mėginių brūkšninių kodų identifikavimo sistema (vidinis brūkšninių kodų skaitytuvas).</w:t>
            </w:r>
          </w:p>
          <w:p w:rsidR="000133DF" w:rsidRDefault="000133DF">
            <w:pPr>
              <w:ind w:left="0" w:hanging="2"/>
              <w:jc w:val="both"/>
              <w:rPr>
                <w:rFonts w:ascii="Times New Roman" w:eastAsia="Times New Roman" w:hAnsi="Times New Roman" w:cs="Times New Roman"/>
                <w:color w:val="000000"/>
                <w:shd w:val="clear" w:color="auto" w:fill="99FF66"/>
              </w:rPr>
            </w:pP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color w:val="000000"/>
                <w:shd w:val="clear" w:color="auto" w:fill="99FF66"/>
              </w:rPr>
            </w:pPr>
            <w:r>
              <w:rPr>
                <w:rFonts w:ascii="Times New Roman" w:eastAsia="Times New Roman" w:hAnsi="Times New Roman" w:cs="Times New Roman"/>
              </w:rPr>
              <w:t>Cobas u601_Naudotojo vadovas. psl. 114/368</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14.</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color w:val="000000"/>
              </w:rPr>
              <w:t>Kokybės kontrolė</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1. Būtina integruota kokybės kontrolės valdymo sistema, kuri patikrintų kiekvieno reagento, kontrolinių medžiagų galiojimo laiką, pagaminimo partijos numerį;</w:t>
            </w:r>
          </w:p>
          <w:p w:rsidR="000133DF" w:rsidRDefault="00000000">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rPr>
              <w:t>2. Kontrolinių medžiagų tyrimo rezultatų pateikimas, peržiūra, ataskaitų pateikimas ir analizė, duomenų archyvavimas.</w:t>
            </w:r>
          </w:p>
        </w:tc>
        <w:tc>
          <w:tcPr>
            <w:tcW w:w="3960"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 Yra integruota kokybės kontrolės valdymo sistema, kuri patikrina kiekvieno reagento, kontrolinių medžiagų galiojimo laiką, pagaminimo partijos numerį;</w:t>
            </w:r>
          </w:p>
          <w:p w:rsidR="000133DF" w:rsidRDefault="00000000">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 Yra kontrolinių medžiagų tyrimo rezultatų pateikimas, peržiūra, ataskaitų pateikimas ir analizė, duomenų archyvavimas.</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Cobas u601_Naudotojo vadovas. psl. 117/368, 232/368 – 242/368</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15.</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Dvikryptė komunikacija</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 xml:space="preserve">Analizatorius privalo turėti dvikryptę komunikaciją standartiniu protokolu (ASTM arba HL7) su ligoninėje įdiegta informacine sistema, su </w:t>
            </w:r>
            <w:r>
              <w:rPr>
                <w:rFonts w:ascii="Times New Roman" w:eastAsia="Times New Roman" w:hAnsi="Times New Roman" w:cs="Times New Roman"/>
              </w:rPr>
              <w:lastRenderedPageBreak/>
              <w:t>laboratorijoje įdiegta informacine sistema cobas IT Middleware.</w:t>
            </w:r>
          </w:p>
        </w:tc>
        <w:tc>
          <w:tcPr>
            <w:tcW w:w="3960"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lastRenderedPageBreak/>
              <w:t xml:space="preserve">Analizatorius turi dvikryptę komunikaciją standartiniu protokolu (ASTM) su ligoninėje įdiegta informacine sistema, su </w:t>
            </w:r>
            <w:r>
              <w:rPr>
                <w:rFonts w:ascii="Times New Roman" w:eastAsia="Times New Roman" w:hAnsi="Times New Roman" w:cs="Times New Roman"/>
              </w:rPr>
              <w:lastRenderedPageBreak/>
              <w:t>laboratorijoje įdiegta informacine sistema cobas IT Middleware.</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lastRenderedPageBreak/>
              <w:t>Host_Interface_Manual_Cobas_u601</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16.</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Naudojimo instrukcija anglų ir lietuvių kalbomis</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Pateikiama su prietaisu</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Naudojimo instrukcija anglų ir lietuvių kalbomis bus pateikta kartu su prietaisu.</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Tiekėjo laisvos formos deklaracija.</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17.</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Šlapimo cheminei analizei atlikti naudojamos juostelės atsparios askorbo rūgščiai (vitaminui C)</w:t>
            </w:r>
          </w:p>
        </w:tc>
        <w:tc>
          <w:tcPr>
            <w:tcW w:w="4646" w:type="dxa"/>
            <w:tcBorders>
              <w:top w:val="single" w:sz="4" w:space="0" w:color="000000"/>
              <w:left w:val="single" w:sz="4" w:space="0" w:color="000000"/>
              <w:bottom w:val="single" w:sz="4" w:space="0" w:color="000000"/>
            </w:tcBorders>
          </w:tcPr>
          <w:p w:rsidR="000133DF" w:rsidRDefault="00000000">
            <w:pPr>
              <w:tabs>
                <w:tab w:val="left" w:pos="1534"/>
              </w:tabs>
              <w:ind w:left="0" w:hanging="2"/>
            </w:pPr>
            <w:r>
              <w:rPr>
                <w:rFonts w:ascii="Times New Roman" w:eastAsia="Times New Roman" w:hAnsi="Times New Roman" w:cs="Times New Roman"/>
              </w:rPr>
              <w:t>Būtina</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Šlapimo cheminei analizei atlikti naudojamos juostelės yra atsparios askorbo rūgščiai (vitaminui C).</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 pack_metodinis lapelis. psl. 2/5</w:t>
            </w:r>
          </w:p>
        </w:tc>
      </w:tr>
      <w:tr w:rsidR="000133DF">
        <w:trPr>
          <w:jc w:val="center"/>
        </w:trPr>
        <w:tc>
          <w:tcPr>
            <w:tcW w:w="900"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18.</w:t>
            </w:r>
          </w:p>
        </w:tc>
        <w:tc>
          <w:tcPr>
            <w:tcW w:w="2644"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Juosteliniai tyrimai</w:t>
            </w:r>
          </w:p>
        </w:tc>
        <w:tc>
          <w:tcPr>
            <w:tcW w:w="4646"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Darbo pabaigoje tyrimo juostelės gali likti analizatoriuje (nereikia sudėti atgal į juostelių talpą)</w:t>
            </w:r>
          </w:p>
        </w:tc>
        <w:tc>
          <w:tcPr>
            <w:tcW w:w="3960"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Darbo pabaigoje tyrimo juostelės gali likti analizatoriuje, jų nereikia sudėti atgal į juostelių talpą.</w:t>
            </w:r>
          </w:p>
        </w:tc>
        <w:tc>
          <w:tcPr>
            <w:tcW w:w="2501"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 pack_metodinis lapelis. psl. 2/5</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Cobas u601_Naudotojo vadovas. psl. 104/368 – 105/368</w:t>
            </w:r>
          </w:p>
        </w:tc>
      </w:tr>
    </w:tbl>
    <w:p w:rsidR="000133DF" w:rsidRDefault="000133DF">
      <w:pPr>
        <w:ind w:left="0" w:hanging="2"/>
        <w:jc w:val="both"/>
        <w:rPr>
          <w:rFonts w:ascii="Times New Roman" w:eastAsia="Times New Roman" w:hAnsi="Times New Roman" w:cs="Times New Roman"/>
          <w:sz w:val="24"/>
          <w:szCs w:val="24"/>
        </w:rPr>
      </w:pPr>
    </w:p>
    <w:p w:rsidR="000133DF" w:rsidRDefault="00000000">
      <w:pPr>
        <w:ind w:left="0" w:hanging="2"/>
        <w:jc w:val="both"/>
      </w:pPr>
      <w:r>
        <w:rPr>
          <w:rFonts w:ascii="Times New Roman" w:eastAsia="Times New Roman" w:hAnsi="Times New Roman" w:cs="Times New Roman"/>
        </w:rPr>
        <w:t>- Įranga turi būti ne senesnė nei 1 metai nuo pagaminimo datos, sertifikuota naudojimui Europos Sąjungoje, pažymėta CE žyme.</w:t>
      </w:r>
    </w:p>
    <w:p w:rsidR="000133DF" w:rsidRDefault="00000000">
      <w:pPr>
        <w:ind w:left="0" w:hanging="2"/>
        <w:jc w:val="both"/>
      </w:pPr>
      <w:r>
        <w:t xml:space="preserve">- </w:t>
      </w:r>
      <w:r>
        <w:rPr>
          <w:rFonts w:ascii="Times New Roman" w:eastAsia="Times New Roman" w:hAnsi="Times New Roman" w:cs="Times New Roman"/>
        </w:rPr>
        <w:t>Tiekėjas turi instaliuoti įrangą ir paruošti darbui bei kompetentingas specialistas, turintis kompetenciją įrodantį dokumentą, apmoko personalą naudotis įranga. Specialistas turi pateikti dokumentą (pažymėjimą/sertifikatą), patvirtinantį, kad mokymus atliekantis asmuo yra įrangos gamintojo tinkamai apmokytas ir/ar įgaliotas mokyti įrangos naudotojus.</w:t>
      </w:r>
    </w:p>
    <w:p w:rsidR="000133DF" w:rsidRDefault="00000000">
      <w:pPr>
        <w:ind w:left="0" w:hanging="2"/>
      </w:pPr>
      <w:r>
        <w:rPr>
          <w:rFonts w:ascii="Times New Roman" w:eastAsia="Times New Roman" w:hAnsi="Times New Roman" w:cs="Times New Roman"/>
        </w:rPr>
        <w:t>- Tyrimų pavadinimai nurodyti tyrimų techninėje specifikacijoje.</w:t>
      </w:r>
    </w:p>
    <w:p w:rsidR="000133DF" w:rsidRDefault="00000000">
      <w:pPr>
        <w:ind w:left="0" w:hanging="2"/>
      </w:pPr>
      <w:r>
        <w:rPr>
          <w:rFonts w:ascii="Times New Roman" w:eastAsia="Times New Roman" w:hAnsi="Times New Roman" w:cs="Times New Roman"/>
        </w:rPr>
        <w:t xml:space="preserve">- Tikslus reagentų ir kitų priemonių kiekis apskaičiuojamas tyrimų skaičiui nurodytam tyrimų specifikacijoje. </w:t>
      </w:r>
    </w:p>
    <w:p w:rsidR="000133DF" w:rsidRDefault="00000000">
      <w:pPr>
        <w:ind w:left="0" w:hanging="2"/>
      </w:pPr>
      <w:r>
        <w:rPr>
          <w:rFonts w:ascii="Times New Roman" w:eastAsia="Times New Roman" w:hAnsi="Times New Roman" w:cs="Times New Roman"/>
        </w:rPr>
        <w:t>-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rsidR="000133DF" w:rsidRDefault="000133DF">
      <w:pPr>
        <w:ind w:left="0" w:hanging="2"/>
        <w:rPr>
          <w:rFonts w:ascii="Times New Roman" w:eastAsia="Times New Roman" w:hAnsi="Times New Roman" w:cs="Times New Roman"/>
        </w:rPr>
      </w:pPr>
    </w:p>
    <w:p w:rsidR="000133DF" w:rsidRDefault="000133DF">
      <w:pPr>
        <w:ind w:left="0" w:hanging="2"/>
        <w:jc w:val="both"/>
      </w:pPr>
    </w:p>
    <w:p w:rsidR="000133DF" w:rsidRDefault="000133DF">
      <w:pPr>
        <w:ind w:left="0" w:hanging="2"/>
        <w:jc w:val="both"/>
        <w:rPr>
          <w:rFonts w:ascii="Times New Roman" w:eastAsia="Times New Roman" w:hAnsi="Times New Roman" w:cs="Times New Roman"/>
        </w:rPr>
      </w:pPr>
    </w:p>
    <w:p w:rsidR="000133DF"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8. </w:t>
      </w:r>
      <w:r>
        <w:rPr>
          <w:rFonts w:ascii="Times New Roman" w:eastAsia="Times New Roman" w:hAnsi="Times New Roman" w:cs="Times New Roman"/>
          <w:b/>
          <w:color w:val="000000"/>
          <w:sz w:val="24"/>
          <w:szCs w:val="24"/>
        </w:rPr>
        <w:t xml:space="preserve">HEMATOLOGINIŲ TYRIMŲ </w:t>
      </w:r>
      <w:r>
        <w:rPr>
          <w:rFonts w:ascii="Times New Roman" w:eastAsia="Times New Roman" w:hAnsi="Times New Roman" w:cs="Times New Roman"/>
          <w:b/>
          <w:color w:val="00000A"/>
          <w:sz w:val="24"/>
          <w:szCs w:val="24"/>
        </w:rPr>
        <w:t>ANALIZATORIŲ SISTEMOS, SUDARYTOS IŠ DVIEJŲ AUTOMATINIŲ HEMATOLOGINIŲ ANALIZATORIŲ (2 VNT.) ARBA PILNAI AUTOMATINIAI HEMATOLOGINIAI ANALIZATORIAI (4 VNT.) NUOMA (PANAUDA) IR REAGENTAI BEI PAPILDOMOS PRIEMONĖS DARBUI SU JAIS</w:t>
      </w:r>
    </w:p>
    <w:p w:rsidR="000133DF" w:rsidRDefault="000133D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A"/>
          <w:sz w:val="24"/>
          <w:szCs w:val="24"/>
        </w:rPr>
      </w:pPr>
    </w:p>
    <w:p w:rsidR="000133DF" w:rsidRDefault="000133D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A"/>
          <w:sz w:val="24"/>
          <w:szCs w:val="24"/>
        </w:rPr>
      </w:pPr>
    </w:p>
    <w:p w:rsidR="000133DF"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8.1 Hematologinių tyrimų analizatorių sistemos, sudarytos iš dviejų automatinių hematologinių analizatorių (1 vnt.) arba pilnai automatinių hematologinių analizatorių (2 vnt.) nuomai (panaudai) techninė specifikacija </w:t>
      </w:r>
    </w:p>
    <w:p w:rsidR="000133DF" w:rsidRDefault="000133D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A"/>
          <w:sz w:val="24"/>
          <w:szCs w:val="24"/>
        </w:rPr>
      </w:pPr>
    </w:p>
    <w:p w:rsidR="000133DF" w:rsidRDefault="00000000">
      <w:pPr>
        <w:ind w:left="0" w:hanging="2"/>
        <w:jc w:val="center"/>
      </w:pPr>
      <w:r>
        <w:rPr>
          <w:rFonts w:ascii="Times New Roman" w:eastAsia="Times New Roman" w:hAnsi="Times New Roman" w:cs="Times New Roman"/>
          <w:color w:val="000000"/>
          <w:sz w:val="24"/>
          <w:szCs w:val="24"/>
        </w:rPr>
        <w:t>Pristatomas į VšĮ Vilniaus miesto klinikinę ligoninę (Antakalnio g. 57, 10207 Vilnius).</w:t>
      </w:r>
    </w:p>
    <w:p w:rsidR="000133DF" w:rsidRDefault="000133D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A"/>
          <w:sz w:val="24"/>
          <w:szCs w:val="24"/>
        </w:rPr>
      </w:pPr>
    </w:p>
    <w:tbl>
      <w:tblPr>
        <w:tblStyle w:val="a1"/>
        <w:tblW w:w="14651" w:type="dxa"/>
        <w:tblLayout w:type="fixed"/>
        <w:tblLook w:val="0000" w:firstRow="0" w:lastRow="0" w:firstColumn="0" w:lastColumn="0" w:noHBand="0" w:noVBand="0"/>
      </w:tblPr>
      <w:tblGrid>
        <w:gridCol w:w="709"/>
        <w:gridCol w:w="2835"/>
        <w:gridCol w:w="3827"/>
        <w:gridCol w:w="4253"/>
        <w:gridCol w:w="3027"/>
      </w:tblGrid>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Eil. Nr.</w:t>
            </w:r>
          </w:p>
        </w:tc>
        <w:tc>
          <w:tcPr>
            <w:tcW w:w="2835" w:type="dxa"/>
            <w:tcBorders>
              <w:top w:val="single" w:sz="4" w:space="0" w:color="000000"/>
              <w:left w:val="single" w:sz="4" w:space="0" w:color="000000"/>
              <w:bottom w:val="single" w:sz="4" w:space="0" w:color="000000"/>
            </w:tcBorders>
          </w:tcPr>
          <w:p w:rsidR="000133DF" w:rsidRDefault="00000000">
            <w:pPr>
              <w:pStyle w:val="Antrat1"/>
              <w:ind w:left="0" w:hanging="2"/>
            </w:pPr>
            <w:r>
              <w:rPr>
                <w:rFonts w:ascii="Times New Roman" w:eastAsia="Times New Roman" w:hAnsi="Times New Roman" w:cs="Times New Roman"/>
                <w:sz w:val="24"/>
                <w:szCs w:val="24"/>
              </w:rPr>
              <w:t>Pavadinimas/ techniniai parametrai</w:t>
            </w:r>
          </w:p>
        </w:tc>
        <w:tc>
          <w:tcPr>
            <w:tcW w:w="3827"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Reikalaujami techniniai parametrai</w:t>
            </w:r>
          </w:p>
        </w:tc>
        <w:tc>
          <w:tcPr>
            <w:tcW w:w="4253"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Siūlomi techniniai parametrai</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 xml:space="preserve">Reikalavimų atitikimas </w:t>
            </w:r>
          </w:p>
          <w:p w:rsidR="000133DF" w:rsidRDefault="00000000">
            <w:pPr>
              <w:ind w:left="0" w:hanging="2"/>
              <w:jc w:val="center"/>
            </w:pPr>
            <w:r>
              <w:rPr>
                <w:rFonts w:ascii="Times New Roman" w:eastAsia="Times New Roman" w:hAnsi="Times New Roman" w:cs="Times New Roman"/>
                <w:b/>
                <w:sz w:val="24"/>
                <w:szCs w:val="24"/>
              </w:rPr>
              <w:t>(būtina nurodyti tikslią nuorodą analizatoriaus dokumentacijoje (dokumentacijoje tiksliai pažymimas techninis parametras)</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 xml:space="preserve">Dviejų analizatorių sistema arba du analizatoriai sujungti į vieną darbo vietą hematologiniams tyrimams atlikti </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Pavadinimas, tipas/modelis, gamintojas,</w:t>
            </w:r>
          </w:p>
          <w:p w:rsidR="000133DF" w:rsidRDefault="00000000">
            <w:pPr>
              <w:ind w:left="0" w:hanging="2"/>
            </w:pPr>
            <w:r>
              <w:rPr>
                <w:rFonts w:ascii="Times New Roman" w:eastAsia="Times New Roman" w:hAnsi="Times New Roman" w:cs="Times New Roman"/>
              </w:rPr>
              <w:t>kilmės šalis</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XN-2000, Sysmex, Japonija</w:t>
            </w:r>
            <w:r>
              <w:t xml:space="preserve"> </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Tiekėjo laisvos formos deklaracija.</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2.</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Bendra analizatoriaus charakteristika</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Dviejų analizatorių sistema arba</w:t>
            </w:r>
          </w:p>
          <w:p w:rsidR="000133DF" w:rsidRDefault="00000000">
            <w:pPr>
              <w:ind w:left="0" w:hanging="2"/>
              <w:jc w:val="both"/>
            </w:pPr>
            <w:r>
              <w:rPr>
                <w:rFonts w:ascii="Times New Roman" w:eastAsia="Times New Roman" w:hAnsi="Times New Roman" w:cs="Times New Roman"/>
              </w:rPr>
              <w:t xml:space="preserve">hematologiniai analizatoriai – 2 vnt, sujungti į vieną darbo vietą, galintys dirbti autonomiškai vienas nuo kito, su brūkšninio kodo skaitytuvu, spausdintuvu, nepertraukiamos srovės maitinimo šaltiniu. </w:t>
            </w:r>
          </w:p>
        </w:tc>
        <w:tc>
          <w:tcPr>
            <w:tcW w:w="4253"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Dviejų analizatorių sistema, su brūkšninio kodo skaitytuvu, spausdintuvu, nepertraukiamos srovės maitinimo šaltiniu.</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highlight w:val="yellow"/>
              </w:rPr>
            </w:pPr>
            <w:r>
              <w:rPr>
                <w:rFonts w:ascii="Times New Roman" w:eastAsia="Times New Roman" w:hAnsi="Times New Roman" w:cs="Times New Roman"/>
              </w:rPr>
              <w:t>XN-2000_Naudotojo vadovas. psl. 12/428 ir Tiekėjo laisvos formos deklaracija.</w:t>
            </w:r>
          </w:p>
        </w:tc>
      </w:tr>
      <w:tr w:rsidR="000133DF">
        <w:trPr>
          <w:cantSplit/>
          <w:trHeight w:val="3096"/>
        </w:trPr>
        <w:tc>
          <w:tcPr>
            <w:tcW w:w="709" w:type="dxa"/>
            <w:vMerge w:val="restart"/>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lastRenderedPageBreak/>
              <w:t>3.</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Diagnostiniai parametrai</w:t>
            </w:r>
          </w:p>
          <w:p w:rsidR="000133DF" w:rsidRDefault="000133DF">
            <w:pPr>
              <w:ind w:left="0" w:hanging="2"/>
              <w:rPr>
                <w:rFonts w:ascii="Times New Roman" w:eastAsia="Times New Roman" w:hAnsi="Times New Roman" w:cs="Times New Roman"/>
              </w:rPr>
            </w:pP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 xml:space="preserve">Leukocitų skaičius (WBC), limfocitai (LY) (# ir %), monocitai (MO) (# ir %), neutrofilai (NEU) (# ir %), bazofilai (BA) (# ir %), eozinofilai (EO) (# ir %), nesubrendę granuliocitai (IG) (# ir %), eritrocitai (RBC), hemoglobinas (HGB), hematokritas (HCT), vidutinis eritrocito tūris (MCV), vidutinis hemoglobino kiekis eritrocite (MCH), vidutinė hemoglobino koncentracija eritrocite (MCHC), eritrocitų pasiskirstymo plotis (RDW), trombocitai (PLT), vidutinis trombocito tūris (MPV), nesubrendę eritrocitai (NRBC) (% ir #) </w:t>
            </w:r>
          </w:p>
          <w:p w:rsidR="000133DF" w:rsidRDefault="000133DF">
            <w:pPr>
              <w:ind w:left="0" w:hanging="2"/>
              <w:jc w:val="both"/>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Diagnostiniai parametrai: leukocitų skaičius (WBC), limfocitai (LY) (# ir %), monocitai (MO) (# ir %), neutrofilai (NEU) (# ir %), bazofilai (BA) (# ir %), eozinofilai (EO) (# ir %), nesubrendę granuliocitai (IG) (# ir %), eritrocitai (RBC), hemoglobinas (HGB), hematokritas (HCT), vidutinis eritrocito tūris (MCV), vidutinis hemoglobino kiekis eritrocite (MCH), vidutinė hemoglobino koncentracija eritrocite (MCHC), eritrocitų pasiskirstymo plotis (RDW), trombocitai (PLT), vidutinis trombocito tūris (MPV), nesubrendę eritrocitai (NRBC) (% ir #).</w:t>
            </w:r>
          </w:p>
          <w:p w:rsidR="000133DF" w:rsidRDefault="000133DF">
            <w:pPr>
              <w:ind w:left="0" w:hanging="2"/>
              <w:rPr>
                <w:rFonts w:ascii="Times New Roman" w:eastAsia="Times New Roman" w:hAnsi="Times New Roman" w:cs="Times New Roman"/>
              </w:rPr>
            </w:pP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13/428</w:t>
            </w:r>
          </w:p>
        </w:tc>
      </w:tr>
      <w:tr w:rsidR="000133DF">
        <w:trPr>
          <w:cantSplit/>
          <w:trHeight w:val="1203"/>
        </w:trPr>
        <w:tc>
          <w:tcPr>
            <w:tcW w:w="709" w:type="dxa"/>
            <w:vMerge/>
            <w:tcBorders>
              <w:top w:val="single" w:sz="4" w:space="0" w:color="000000"/>
              <w:left w:val="single" w:sz="4" w:space="0" w:color="000000"/>
              <w:bottom w:val="single" w:sz="4" w:space="0" w:color="000000"/>
            </w:tcBorders>
          </w:tcPr>
          <w:p w:rsidR="000133DF" w:rsidRDefault="000133DF">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Bent vienas sistemos analizatorius turi matuoti</w:t>
            </w:r>
          </w:p>
        </w:tc>
        <w:tc>
          <w:tcPr>
            <w:tcW w:w="382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 xml:space="preserve">Kūno skysčių tyrimo parametrai: leukocitai (WBC-BF), eritrocitai (RBC-BF), mononuklearinės ląstelės (MN) (# ir %), polimorfonuklearinės ląstelės (PMN) (# ir %). </w:t>
            </w:r>
          </w:p>
          <w:p w:rsidR="000133DF" w:rsidRDefault="000133DF">
            <w:pPr>
              <w:ind w:left="0" w:hanging="2"/>
              <w:jc w:val="both"/>
              <w:rPr>
                <w:rFonts w:ascii="Times New Roman" w:eastAsia="Times New Roman" w:hAnsi="Times New Roman" w:cs="Times New Roman"/>
              </w:rPr>
            </w:pPr>
          </w:p>
          <w:p w:rsidR="000133DF" w:rsidRDefault="00000000">
            <w:pPr>
              <w:ind w:left="0" w:hanging="2"/>
              <w:jc w:val="both"/>
            </w:pPr>
            <w:r>
              <w:rPr>
                <w:rFonts w:ascii="Times New Roman" w:eastAsia="Times New Roman" w:hAnsi="Times New Roman" w:cs="Times New Roman"/>
              </w:rPr>
              <w:t>Retikulocitai (RET) (# ir %), nesubrendę retikulocitai (IRF), hemoglobinas retikulocituose (RET-he), nesubrendę trombocitai (IPF)</w:t>
            </w:r>
          </w:p>
        </w:tc>
        <w:tc>
          <w:tcPr>
            <w:tcW w:w="4253"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 xml:space="preserve">Kūno skysčių tyrimo parametrai: leukocitai (WBC-BF), eritrocitai (RBC-BF), mononuklearinės ląstelės (MN) (# ir %), polimorfonuklearinės ląstelės (PMN) (# ir %). </w:t>
            </w:r>
          </w:p>
          <w:p w:rsidR="000133DF" w:rsidRDefault="000133DF">
            <w:pPr>
              <w:ind w:left="0" w:hanging="2"/>
              <w:jc w:val="both"/>
              <w:rPr>
                <w:rFonts w:ascii="Times New Roman" w:eastAsia="Times New Roman" w:hAnsi="Times New Roman" w:cs="Times New Roman"/>
              </w:rPr>
            </w:pPr>
          </w:p>
          <w:p w:rsidR="000133DF" w:rsidRDefault="00000000">
            <w:pPr>
              <w:ind w:left="0" w:hanging="2"/>
              <w:jc w:val="both"/>
            </w:pPr>
            <w:r>
              <w:rPr>
                <w:rFonts w:ascii="Times New Roman" w:eastAsia="Times New Roman" w:hAnsi="Times New Roman" w:cs="Times New Roman"/>
              </w:rPr>
              <w:t>Retikulocitai (RET) (# ir %), nesubrendę retikulocitai (IRF), hemoglobinas retikulocituose (RET-he), nesubrendę trombocitai (IPF).</w:t>
            </w:r>
          </w:p>
        </w:tc>
        <w:tc>
          <w:tcPr>
            <w:tcW w:w="3027" w:type="dxa"/>
            <w:tcBorders>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14/428, 15/428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4.</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Našumas</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mažiau kaip 100 CBC+DIFF tyr./val.</w:t>
            </w:r>
          </w:p>
        </w:tc>
        <w:tc>
          <w:tcPr>
            <w:tcW w:w="4253"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Našumas: 100 CBC+DIFF tyr./val. XN-2000 apdorojimo galia yra lygi dviejų analizatorių galiai.</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380/428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5.</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Mėginio tūris reikalingas tyrimui atlikti</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Ne daugiau kaip 90 µl automatiniu režimu atliekant CBC+DIFF tyrimus iš vakuuminių mėgintuvėlių..</w:t>
            </w:r>
          </w:p>
          <w:p w:rsidR="000133DF" w:rsidRDefault="000133DF">
            <w:pPr>
              <w:ind w:left="0" w:hanging="2"/>
              <w:jc w:val="both"/>
              <w:rPr>
                <w:rFonts w:ascii="Times New Roman" w:eastAsia="Times New Roman" w:hAnsi="Times New Roman" w:cs="Times New Roman"/>
              </w:rPr>
            </w:pPr>
          </w:p>
          <w:p w:rsidR="000133DF" w:rsidRDefault="00000000">
            <w:pPr>
              <w:ind w:left="0" w:hanging="2"/>
              <w:jc w:val="both"/>
            </w:pPr>
            <w:r>
              <w:rPr>
                <w:rFonts w:ascii="Times New Roman" w:eastAsia="Times New Roman" w:hAnsi="Times New Roman" w:cs="Times New Roman"/>
              </w:rPr>
              <w:t xml:space="preserve">Ne daugiau kaip 90 µl automatiniu režimu atliekant CBC+DIFF tyrimus iš </w:t>
            </w:r>
            <w:r>
              <w:rPr>
                <w:rFonts w:ascii="Times New Roman" w:eastAsia="Times New Roman" w:hAnsi="Times New Roman" w:cs="Times New Roman"/>
              </w:rPr>
              <w:lastRenderedPageBreak/>
              <w:t>mikro mėgintuvėlių kapiliariniam kraujui.</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lastRenderedPageBreak/>
              <w:t>Mėginio tūris reikalingas tyrimui atlikti: 88 µl automatiniu režimu atliekant CBC+DIFF tyrimus iš vakuuminių mėgintuvėlių, 88 µl automatiniu režimu atliekant CBC+DIFF tyrimus iš mikro mėgintuvėlių kapiliariniam kraujui.</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380/428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6.</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režimai</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CBC+DIFF</w:t>
            </w:r>
          </w:p>
          <w:p w:rsidR="000133DF" w:rsidRDefault="00000000">
            <w:pPr>
              <w:ind w:left="0" w:hanging="2"/>
            </w:pPr>
            <w:r>
              <w:rPr>
                <w:rFonts w:ascii="Times New Roman" w:eastAsia="Times New Roman" w:hAnsi="Times New Roman" w:cs="Times New Roman"/>
              </w:rPr>
              <w:t>CBC+DIFF+RET</w:t>
            </w:r>
          </w:p>
          <w:p w:rsidR="000133DF" w:rsidRDefault="00000000">
            <w:pPr>
              <w:ind w:left="0" w:hanging="2"/>
            </w:pPr>
            <w:r>
              <w:rPr>
                <w:rFonts w:ascii="Times New Roman" w:eastAsia="Times New Roman" w:hAnsi="Times New Roman" w:cs="Times New Roman"/>
              </w:rPr>
              <w:t>Kūno skysčių BF</w:t>
            </w:r>
          </w:p>
        </w:tc>
        <w:tc>
          <w:tcPr>
            <w:tcW w:w="4253"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Matavimo režimai: </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CBC+DIFF</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CBC+DIFF+RET</w:t>
            </w:r>
          </w:p>
          <w:p w:rsidR="000133DF" w:rsidRDefault="00000000">
            <w:pPr>
              <w:ind w:left="0" w:hanging="2"/>
            </w:pPr>
            <w:r>
              <w:rPr>
                <w:rFonts w:ascii="Times New Roman" w:eastAsia="Times New Roman" w:hAnsi="Times New Roman" w:cs="Times New Roman"/>
              </w:rPr>
              <w:t>Kūno skysčių BF</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172/428, 380/428</w:t>
            </w:r>
          </w:p>
        </w:tc>
      </w:tr>
      <w:tr w:rsidR="000133DF">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7.</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tikslumas (CV%)</w:t>
            </w:r>
          </w:p>
        </w:tc>
        <w:tc>
          <w:tcPr>
            <w:tcW w:w="3827"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 xml:space="preserve">Ne prastesnis nei: </w:t>
            </w:r>
          </w:p>
          <w:p w:rsidR="000133DF" w:rsidRDefault="00000000">
            <w:pPr>
              <w:ind w:left="0" w:hanging="2"/>
            </w:pPr>
            <w:r>
              <w:rPr>
                <w:rFonts w:ascii="Times New Roman" w:eastAsia="Times New Roman" w:hAnsi="Times New Roman" w:cs="Times New Roman"/>
              </w:rPr>
              <w:t>WBC 2.5%</w:t>
            </w:r>
          </w:p>
          <w:p w:rsidR="000133DF" w:rsidRDefault="00000000">
            <w:pPr>
              <w:ind w:left="0" w:hanging="2"/>
            </w:pPr>
            <w:r>
              <w:rPr>
                <w:rFonts w:ascii="Times New Roman" w:eastAsia="Times New Roman" w:hAnsi="Times New Roman" w:cs="Times New Roman"/>
              </w:rPr>
              <w:t>RBC 1.5%</w:t>
            </w:r>
          </w:p>
          <w:p w:rsidR="000133DF" w:rsidRDefault="00000000">
            <w:pPr>
              <w:ind w:left="0" w:hanging="2"/>
            </w:pPr>
            <w:r>
              <w:rPr>
                <w:rFonts w:ascii="Times New Roman" w:eastAsia="Times New Roman" w:hAnsi="Times New Roman" w:cs="Times New Roman"/>
              </w:rPr>
              <w:t>HGB 1%</w:t>
            </w:r>
          </w:p>
          <w:p w:rsidR="000133DF" w:rsidRDefault="00000000">
            <w:pPr>
              <w:ind w:left="0" w:hanging="2"/>
            </w:pPr>
            <w:r>
              <w:rPr>
                <w:rFonts w:ascii="Times New Roman" w:eastAsia="Times New Roman" w:hAnsi="Times New Roman" w:cs="Times New Roman"/>
              </w:rPr>
              <w:t>PLT 4%</w:t>
            </w:r>
          </w:p>
        </w:tc>
        <w:tc>
          <w:tcPr>
            <w:tcW w:w="4253" w:type="dxa"/>
            <w:tcBorders>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WBC 3,0%</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RBC 1,5%</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HGB 1%</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PLT 4%</w:t>
            </w:r>
          </w:p>
        </w:tc>
        <w:tc>
          <w:tcPr>
            <w:tcW w:w="3027"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385/428</w:t>
            </w:r>
          </w:p>
        </w:tc>
      </w:tr>
      <w:tr w:rsidR="000133DF">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8.</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liniškumas</w:t>
            </w:r>
          </w:p>
        </w:tc>
        <w:tc>
          <w:tcPr>
            <w:tcW w:w="3827"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siauresnis nei:</w:t>
            </w:r>
          </w:p>
          <w:p w:rsidR="000133DF" w:rsidRDefault="00000000">
            <w:pPr>
              <w:ind w:left="0" w:hanging="2"/>
            </w:pPr>
            <w:r>
              <w:rPr>
                <w:rFonts w:ascii="Times New Roman" w:eastAsia="Times New Roman" w:hAnsi="Times New Roman" w:cs="Times New Roman"/>
              </w:rPr>
              <w:t>WBC 0,03 – 440x109/L</w:t>
            </w:r>
          </w:p>
          <w:p w:rsidR="000133DF" w:rsidRDefault="00000000">
            <w:pPr>
              <w:ind w:left="0" w:hanging="2"/>
            </w:pPr>
            <w:r>
              <w:rPr>
                <w:rFonts w:ascii="Times New Roman" w:eastAsia="Times New Roman" w:hAnsi="Times New Roman" w:cs="Times New Roman"/>
              </w:rPr>
              <w:t>RBC 0,01 – 8.50x1012/L</w:t>
            </w:r>
          </w:p>
          <w:p w:rsidR="000133DF" w:rsidRDefault="00000000">
            <w:pPr>
              <w:ind w:left="0" w:hanging="2"/>
            </w:pPr>
            <w:r>
              <w:rPr>
                <w:rFonts w:ascii="Times New Roman" w:eastAsia="Times New Roman" w:hAnsi="Times New Roman" w:cs="Times New Roman"/>
              </w:rPr>
              <w:t>HGB 0,1 – 250g/L</w:t>
            </w:r>
          </w:p>
          <w:p w:rsidR="000133DF" w:rsidRDefault="00000000">
            <w:pPr>
              <w:ind w:left="0" w:hanging="2"/>
            </w:pPr>
            <w:r>
              <w:rPr>
                <w:rFonts w:ascii="Times New Roman" w:eastAsia="Times New Roman" w:hAnsi="Times New Roman" w:cs="Times New Roman"/>
              </w:rPr>
              <w:t>PLT 2 – 5000x109/L</w:t>
            </w:r>
          </w:p>
        </w:tc>
        <w:tc>
          <w:tcPr>
            <w:tcW w:w="4253" w:type="dxa"/>
            <w:tcBorders>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WBC 0,03 – 440,00 x 103/µl</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RBC 0,01 – 8,60 x 106/µl</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HGB 0,1 – 26,0 g/dL</w:t>
            </w:r>
          </w:p>
          <w:p w:rsidR="000133DF" w:rsidRDefault="00000000">
            <w:pPr>
              <w:ind w:left="0" w:hanging="2"/>
            </w:pPr>
            <w:r>
              <w:rPr>
                <w:rFonts w:ascii="Times New Roman" w:eastAsia="Times New Roman" w:hAnsi="Times New Roman" w:cs="Times New Roman"/>
              </w:rPr>
              <w:t>PLT 2 – 5000 x 103/µl</w:t>
            </w:r>
          </w:p>
        </w:tc>
        <w:tc>
          <w:tcPr>
            <w:tcW w:w="3027" w:type="dxa"/>
            <w:tcBorders>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382/428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9.</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Talpa automatiniam mėginių padavimui</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mažiau kaip 50 mėgintuvėlių.</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Talpa automatiniam mėginių padavimui: 10 vnt. 10 mėginių padėklų (100 mėgintuvėlių).</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38/428, 46/428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10.</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Prietaiso vidinė atmintis</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mažiau 90000 tyrimų rezultatų.</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Prietaiso vidinė atmintis: 100000 tyrimų rezultatų.</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379/428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11.</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Kokybės kontrolė</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Rezultatai pateikiami kaip Levey-Jennings kreivės.</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Kokybės kontrolė: rezultatai pateikiami kaip Levey-Jennings kreivės.</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120/428, 379/428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12.</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Informacija apie reagentus</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Turi būti nuskaitoma brūkšninio kodo pagalba. Sistema turi signalizuoti apie pasibaigusius reagentus.</w:t>
            </w:r>
          </w:p>
        </w:tc>
        <w:tc>
          <w:tcPr>
            <w:tcW w:w="4253"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Informacija apie reagentus yra nuskaitoma brūkšninio kodo pagalba. Sistema signalizuoja apie pasibaigusius reagentus.</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53/428, 286/428, 288/428</w:t>
            </w:r>
          </w:p>
        </w:tc>
      </w:tr>
      <w:tr w:rsidR="000133DF">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13.</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Analizatoriaus komunikacija</w:t>
            </w:r>
          </w:p>
        </w:tc>
        <w:tc>
          <w:tcPr>
            <w:tcW w:w="3827" w:type="dxa"/>
            <w:tcBorders>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Analizatorius privalo turėti vienkryptę arba dvikryptę komunikaciją su ligoninėje įdiegta informacine sistema, su laboratorijoje įdiegta informacine sistema cobas IT Middleware.</w:t>
            </w:r>
          </w:p>
        </w:tc>
        <w:tc>
          <w:tcPr>
            <w:tcW w:w="4253" w:type="dxa"/>
            <w:tcBorders>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Analizatorius turi dvikryptę komunikaciją su ligoninėje įdiegta informacine sistema, su laboratorijoje įdiegta informacine sistema cobas IT Middleware.</w:t>
            </w:r>
          </w:p>
        </w:tc>
        <w:tc>
          <w:tcPr>
            <w:tcW w:w="3027" w:type="dxa"/>
            <w:tcBorders>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SUIT Sysmex Universal Interface psl. 15/60 - 17/60</w:t>
            </w:r>
          </w:p>
        </w:tc>
      </w:tr>
    </w:tbl>
    <w:p w:rsidR="000133DF" w:rsidRDefault="000133DF">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p>
    <w:p w:rsidR="000133DF"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8.2. Hematologinių tyrimų analizatorių sistemos, sudarytos iš dviejų automatinių hematologinių analizatorių (1 vnt.) arba pilnai automatinių hematologinių analizatorių (2 vnt.) nuomai (panaudai) techninė specifikacija </w:t>
      </w:r>
    </w:p>
    <w:p w:rsidR="000133DF" w:rsidRDefault="00000000">
      <w:pPr>
        <w:ind w:left="0" w:hanging="2"/>
        <w:jc w:val="center"/>
      </w:pPr>
      <w:r>
        <w:rPr>
          <w:rFonts w:ascii="Times New Roman" w:eastAsia="Times New Roman" w:hAnsi="Times New Roman" w:cs="Times New Roman"/>
          <w:color w:val="000000"/>
          <w:sz w:val="24"/>
          <w:szCs w:val="24"/>
        </w:rPr>
        <w:t>Pristatomas į VšĮ Vilniaus miesto klinikinę ligoninę (Antakalnio g. 124, 10200 Vilnius).</w:t>
      </w:r>
    </w:p>
    <w:p w:rsidR="000133DF" w:rsidRDefault="000133DF">
      <w:pPr>
        <w:ind w:left="0" w:hanging="2"/>
        <w:rPr>
          <w:rFonts w:ascii="Times New Roman" w:eastAsia="Times New Roman" w:hAnsi="Times New Roman" w:cs="Times New Roman"/>
          <w:sz w:val="24"/>
          <w:szCs w:val="24"/>
        </w:rPr>
      </w:pPr>
      <w:bookmarkStart w:id="1" w:name="_heading=h.1fob9te" w:colFirst="0" w:colLast="0"/>
      <w:bookmarkEnd w:id="1"/>
    </w:p>
    <w:tbl>
      <w:tblPr>
        <w:tblStyle w:val="a2"/>
        <w:tblW w:w="14651" w:type="dxa"/>
        <w:tblLayout w:type="fixed"/>
        <w:tblLook w:val="0000" w:firstRow="0" w:lastRow="0" w:firstColumn="0" w:lastColumn="0" w:noHBand="0" w:noVBand="0"/>
      </w:tblPr>
      <w:tblGrid>
        <w:gridCol w:w="709"/>
        <w:gridCol w:w="2835"/>
        <w:gridCol w:w="3827"/>
        <w:gridCol w:w="4253"/>
        <w:gridCol w:w="3027"/>
      </w:tblGrid>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Eil. Nr.</w:t>
            </w:r>
          </w:p>
        </w:tc>
        <w:tc>
          <w:tcPr>
            <w:tcW w:w="2835" w:type="dxa"/>
            <w:tcBorders>
              <w:top w:val="single" w:sz="4" w:space="0" w:color="000000"/>
              <w:left w:val="single" w:sz="4" w:space="0" w:color="000000"/>
              <w:bottom w:val="single" w:sz="4" w:space="0" w:color="000000"/>
            </w:tcBorders>
          </w:tcPr>
          <w:p w:rsidR="000133DF" w:rsidRDefault="00000000">
            <w:pPr>
              <w:pStyle w:val="Antrat1"/>
              <w:ind w:left="0" w:hanging="2"/>
            </w:pPr>
            <w:r>
              <w:rPr>
                <w:rFonts w:ascii="Times New Roman" w:eastAsia="Times New Roman" w:hAnsi="Times New Roman" w:cs="Times New Roman"/>
                <w:sz w:val="24"/>
                <w:szCs w:val="24"/>
              </w:rPr>
              <w:t>Pavadinimas/ techniniai parametrai</w:t>
            </w:r>
          </w:p>
        </w:tc>
        <w:tc>
          <w:tcPr>
            <w:tcW w:w="3827"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Reikalaujami techniniai parametrai</w:t>
            </w:r>
          </w:p>
        </w:tc>
        <w:tc>
          <w:tcPr>
            <w:tcW w:w="4253"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Siūlomi techniniai parametrai</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jc w:val="center"/>
            </w:pPr>
            <w:r>
              <w:rPr>
                <w:rFonts w:ascii="Times New Roman" w:eastAsia="Times New Roman" w:hAnsi="Times New Roman" w:cs="Times New Roman"/>
                <w:b/>
                <w:sz w:val="24"/>
                <w:szCs w:val="24"/>
              </w:rPr>
              <w:t xml:space="preserve">Reikalavimų atitikimas </w:t>
            </w:r>
          </w:p>
          <w:p w:rsidR="000133DF" w:rsidRDefault="00000000">
            <w:pPr>
              <w:ind w:left="0" w:hanging="2"/>
              <w:jc w:val="center"/>
            </w:pPr>
            <w:r>
              <w:rPr>
                <w:rFonts w:ascii="Times New Roman" w:eastAsia="Times New Roman" w:hAnsi="Times New Roman" w:cs="Times New Roman"/>
                <w:b/>
                <w:sz w:val="24"/>
                <w:szCs w:val="24"/>
              </w:rPr>
              <w:t>(būtina nurodyti tikslią nuorodą analizatoriaus dokumentacijoje (dokumentacijoje tiksliai pažymimas techninis parametras)</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 xml:space="preserve">Dviejų analizatorių sistema arba du analizatoriai hematologiniams tyrimams atlikti </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Pavadinimas, tipas/modelis, gamintojas,</w:t>
            </w:r>
          </w:p>
          <w:p w:rsidR="000133DF" w:rsidRDefault="00000000">
            <w:pPr>
              <w:ind w:left="0" w:hanging="2"/>
            </w:pPr>
            <w:r>
              <w:rPr>
                <w:rFonts w:ascii="Times New Roman" w:eastAsia="Times New Roman" w:hAnsi="Times New Roman" w:cs="Times New Roman"/>
              </w:rPr>
              <w:t>kilmės šalis</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XN-2000, Sysmex, Japonija</w:t>
            </w:r>
            <w:r>
              <w:t xml:space="preserve"> </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Tiekėjo laisvos formos deklaracija.</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2.</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Bendra analizatoriaus charakteristika</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Dviejų analizatorių sistema arba</w:t>
            </w:r>
          </w:p>
          <w:p w:rsidR="000133DF" w:rsidRDefault="00000000">
            <w:pPr>
              <w:ind w:left="0" w:hanging="2"/>
              <w:jc w:val="both"/>
            </w:pPr>
            <w:r>
              <w:rPr>
                <w:rFonts w:ascii="Times New Roman" w:eastAsia="Times New Roman" w:hAnsi="Times New Roman" w:cs="Times New Roman"/>
              </w:rPr>
              <w:t xml:space="preserve">hematologiniai analizatoriai – 2 vnt, sujungti į vieną darbo vietą, galintys dirbti autonomiškai vienas nuo kito, su brūkšninio kodo skaitytuvu, spausdintuvu, nepertraukiamos srovės maitinimo šaltiniu. </w:t>
            </w:r>
          </w:p>
          <w:p w:rsidR="000133DF" w:rsidRDefault="000133DF">
            <w:pPr>
              <w:ind w:left="0" w:hanging="2"/>
              <w:jc w:val="both"/>
              <w:rPr>
                <w:rFonts w:ascii="Times New Roman" w:eastAsia="Times New Roman" w:hAnsi="Times New Roman" w:cs="Times New Roman"/>
                <w:highlight w:val="yellow"/>
              </w:rPr>
            </w:pPr>
          </w:p>
        </w:tc>
        <w:tc>
          <w:tcPr>
            <w:tcW w:w="4253"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Dviejų analizatorių sistema, su brūkšninio kodo skaitytuvu, spausdintuvu, nepertraukiamos srovės maitinimo šaltiniu.</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highlight w:val="yellow"/>
              </w:rPr>
            </w:pPr>
            <w:r>
              <w:rPr>
                <w:rFonts w:ascii="Times New Roman" w:eastAsia="Times New Roman" w:hAnsi="Times New Roman" w:cs="Times New Roman"/>
              </w:rPr>
              <w:t>XN-2000_Naudotojo vadovas. psl. 12/428 ir Tiekėjo laisvos formos deklaracija.</w:t>
            </w:r>
          </w:p>
        </w:tc>
      </w:tr>
      <w:tr w:rsidR="000133DF">
        <w:trPr>
          <w:cantSplit/>
          <w:trHeight w:val="3770"/>
        </w:trPr>
        <w:tc>
          <w:tcPr>
            <w:tcW w:w="709" w:type="dxa"/>
            <w:vMerge w:val="restart"/>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lastRenderedPageBreak/>
              <w:t>3.</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Diagnostiniai parametrai</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Leukocitų skaičius (WBC), limfocitai (LY) (# ir %), monocitai (MO) (# ir %), neutrofilai (NEU) (# ir %), bazofilai (BA) (# ir %), eozinofilai (EO) (# ir %), nesubrendę granuliocitai (IG) (# ir %), eritrocitai (RBC), hemoglobinas (HGB), hematokritas (HCT), vidutinis eritrocito tūris (MCV), vidutinis hemoglobino kiekis eritrocite (MCH), vidutinė hemoglobino koncentracija eritrocite (MCHC), eritrocitų pasiskirstymo plotis (RDW), trombocitai (PLT), vidutinis trombocito tūris (MPV), nesubrendę eritrocitai (NRBC) (% ir #).</w:t>
            </w:r>
            <w:r>
              <w:rPr>
                <w:rFonts w:ascii="Times New Roman" w:eastAsia="Times New Roman" w:hAnsi="Times New Roman" w:cs="Times New Roman"/>
                <w:b/>
              </w:rPr>
              <w:t xml:space="preserve"> </w:t>
            </w:r>
          </w:p>
          <w:p w:rsidR="000133DF" w:rsidRDefault="000133DF">
            <w:pPr>
              <w:ind w:left="0" w:hanging="2"/>
              <w:jc w:val="both"/>
            </w:pPr>
          </w:p>
        </w:tc>
        <w:tc>
          <w:tcPr>
            <w:tcW w:w="4253"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t>Diagnostiniai parametrai: leukocitų skaičius (WBC), limfocitai (LY) (# ir %), monocitai (MO) (# ir %), neutrofilai (NEU) (# ir %), bazofilai (BA) (# ir %), eozinofilai (EO) (# ir %), nesubrendę granuliocitai (IG) (# ir %), eritrocitai (RBC), hemoglobinas (HGB), hematokritas (HCT), vidutinis eritrocito tūris (MCV), vidutinis hemoglobino kiekis eritrocite (MCH), vidutinė hemoglobino koncentracija eritrocite (MCHC), eritrocitų pasiskirstymo plotis (RDW), trombocitai (PLT), vidutinis trombocito tūris (MPV), nesubrendę eritrocitai (NRBC) (% ir #).</w:t>
            </w:r>
          </w:p>
          <w:p w:rsidR="000133DF" w:rsidRDefault="000133DF">
            <w:pPr>
              <w:ind w:left="0" w:hanging="2"/>
              <w:jc w:val="both"/>
              <w:rPr>
                <w:rFonts w:ascii="Times New Roman" w:eastAsia="Times New Roman" w:hAnsi="Times New Roman" w:cs="Times New Roman"/>
              </w:rPr>
            </w:pPr>
          </w:p>
          <w:p w:rsidR="000133DF" w:rsidRDefault="000133DF">
            <w:pPr>
              <w:ind w:left="0" w:hanging="2"/>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p w:rsidR="000133DF" w:rsidRDefault="000133DF">
            <w:pPr>
              <w:ind w:left="0" w:hanging="2"/>
              <w:rPr>
                <w:rFonts w:ascii="Times New Roman" w:eastAsia="Times New Roman" w:hAnsi="Times New Roman" w:cs="Times New Roman"/>
              </w:rPr>
            </w:pP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13/428</w:t>
            </w:r>
          </w:p>
        </w:tc>
      </w:tr>
      <w:tr w:rsidR="000133DF">
        <w:trPr>
          <w:cantSplit/>
          <w:trHeight w:val="548"/>
        </w:trPr>
        <w:tc>
          <w:tcPr>
            <w:tcW w:w="709" w:type="dxa"/>
            <w:vMerge/>
            <w:tcBorders>
              <w:top w:val="single" w:sz="4" w:space="0" w:color="000000"/>
              <w:left w:val="single" w:sz="4" w:space="0" w:color="000000"/>
              <w:bottom w:val="single" w:sz="4" w:space="0" w:color="000000"/>
            </w:tcBorders>
          </w:tcPr>
          <w:p w:rsidR="000133DF" w:rsidRDefault="000133DF">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Bent vienas sistemos analizatorius turi matuoti</w:t>
            </w:r>
          </w:p>
        </w:tc>
        <w:tc>
          <w:tcPr>
            <w:tcW w:w="3827"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 xml:space="preserve">Kūno skysčių tyrimo parametrai: leukocitai (WBC-BF), eritrocitai (RBC-BF), mononuklearinės ląstelės (MN) (# ir %),  </w:t>
            </w:r>
          </w:p>
          <w:p w:rsidR="000133DF" w:rsidRDefault="00000000">
            <w:pPr>
              <w:ind w:left="0" w:hanging="2"/>
            </w:pPr>
            <w:r>
              <w:rPr>
                <w:rFonts w:ascii="Times New Roman" w:eastAsia="Times New Roman" w:hAnsi="Times New Roman" w:cs="Times New Roman"/>
              </w:rPr>
              <w:t>polimorfonuklearinės ląstelės (PMN) (# ir %).</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 xml:space="preserve">Kūno skysčių tyrimo parametrai: leukocitai (WBC-BF), eritrocitai (RBC-BF), mononuklearinės ląstelės (MN) (# ir %),  </w:t>
            </w:r>
          </w:p>
          <w:p w:rsidR="000133DF"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rPr>
              <w:t>polimorfonuklearinės ląstelės (PMN) (# ir %).</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rPr>
              <w:t>XN-2000_Naudotojo vadovas. psl. 15/428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lastRenderedPageBreak/>
              <w:t>4.</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Našumas</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mažiau kaip 100 CBC+DIFF tyr./val.</w:t>
            </w:r>
          </w:p>
        </w:tc>
        <w:tc>
          <w:tcPr>
            <w:tcW w:w="4253"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Našumas: 100 CBC+DIFF tyr./val. XN-2000 apdorojimo galia yra lygi dviejų analizatorių galiai.</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380/428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5.</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Mėginio tūris reikalingas tyrimui atlikti</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Ne daugiau kaip 90 µl automatiniu režimu atliekant CBC+DIFF tyrimus iš vakuuminių mėgintuvėlių.</w:t>
            </w:r>
          </w:p>
          <w:p w:rsidR="000133DF" w:rsidRDefault="00000000">
            <w:pPr>
              <w:ind w:left="0" w:hanging="2"/>
              <w:jc w:val="both"/>
            </w:pPr>
            <w:r>
              <w:rPr>
                <w:rFonts w:ascii="Times New Roman" w:eastAsia="Times New Roman" w:hAnsi="Times New Roman" w:cs="Times New Roman"/>
              </w:rPr>
              <w:t>Ne daugiau kaip 90 µl automatiniu režimu atliekant CBC+DIFF tyrimus iš mikro mėgintuvėlių kapiliariniam kraujui.</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Mėginio tūris reikalingas tyrimui atlikti: 88 µl automatiniu režimu atliekant CBC+DIFF tyrimus iš vakuuminių mėgintuvėlių, 88 µl automatiniu režimu atliekant CBC+DIFF tyrimus iš mikro mėgintuvėlių kapiliariniam kraujui.</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380/428</w:t>
            </w:r>
          </w:p>
        </w:tc>
      </w:tr>
      <w:tr w:rsidR="000133DF">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sz w:val="24"/>
                <w:szCs w:val="24"/>
              </w:rPr>
              <w:t>6.</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režimai</w:t>
            </w:r>
          </w:p>
        </w:tc>
        <w:tc>
          <w:tcPr>
            <w:tcW w:w="3827"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CBC+DIFF</w:t>
            </w:r>
          </w:p>
          <w:p w:rsidR="000133DF" w:rsidRDefault="00000000">
            <w:pPr>
              <w:ind w:left="0" w:hanging="2"/>
            </w:pPr>
            <w:r>
              <w:rPr>
                <w:rFonts w:ascii="Times New Roman" w:eastAsia="Times New Roman" w:hAnsi="Times New Roman" w:cs="Times New Roman"/>
              </w:rPr>
              <w:t>Kūno skysčių BF (bent vienas sistemos analizatorius turi matuoti)</w:t>
            </w:r>
          </w:p>
        </w:tc>
        <w:tc>
          <w:tcPr>
            <w:tcW w:w="4253" w:type="dxa"/>
            <w:tcBorders>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 xml:space="preserve">Matavimo režimai: </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CBC+DIFF</w:t>
            </w:r>
          </w:p>
          <w:p w:rsidR="000133DF" w:rsidRDefault="00000000">
            <w:pPr>
              <w:ind w:left="0" w:hanging="2"/>
            </w:pPr>
            <w:r>
              <w:rPr>
                <w:rFonts w:ascii="Times New Roman" w:eastAsia="Times New Roman" w:hAnsi="Times New Roman" w:cs="Times New Roman"/>
              </w:rPr>
              <w:t>Kūno skysčių BF</w:t>
            </w:r>
          </w:p>
        </w:tc>
        <w:tc>
          <w:tcPr>
            <w:tcW w:w="3027" w:type="dxa"/>
            <w:tcBorders>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172/428, 380/428</w:t>
            </w:r>
          </w:p>
        </w:tc>
      </w:tr>
      <w:tr w:rsidR="000133DF">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sz w:val="24"/>
                <w:szCs w:val="24"/>
              </w:rPr>
              <w:t>7.</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tikslumas (CV%)</w:t>
            </w:r>
          </w:p>
        </w:tc>
        <w:tc>
          <w:tcPr>
            <w:tcW w:w="3827"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 xml:space="preserve">Ne prastesnis nei: </w:t>
            </w:r>
          </w:p>
          <w:p w:rsidR="000133DF" w:rsidRDefault="00000000">
            <w:pPr>
              <w:ind w:left="0" w:hanging="2"/>
            </w:pPr>
            <w:r>
              <w:rPr>
                <w:rFonts w:ascii="Times New Roman" w:eastAsia="Times New Roman" w:hAnsi="Times New Roman" w:cs="Times New Roman"/>
              </w:rPr>
              <w:t>WBC 2.5%</w:t>
            </w:r>
          </w:p>
          <w:p w:rsidR="000133DF" w:rsidRDefault="00000000">
            <w:pPr>
              <w:ind w:left="0" w:hanging="2"/>
            </w:pPr>
            <w:r>
              <w:rPr>
                <w:rFonts w:ascii="Times New Roman" w:eastAsia="Times New Roman" w:hAnsi="Times New Roman" w:cs="Times New Roman"/>
              </w:rPr>
              <w:t>RBC 1.5%</w:t>
            </w:r>
          </w:p>
          <w:p w:rsidR="000133DF" w:rsidRDefault="00000000">
            <w:pPr>
              <w:ind w:left="0" w:hanging="2"/>
            </w:pPr>
            <w:r>
              <w:rPr>
                <w:rFonts w:ascii="Times New Roman" w:eastAsia="Times New Roman" w:hAnsi="Times New Roman" w:cs="Times New Roman"/>
              </w:rPr>
              <w:t>HGB 1%</w:t>
            </w:r>
          </w:p>
          <w:p w:rsidR="000133DF" w:rsidRDefault="00000000">
            <w:pPr>
              <w:ind w:left="0" w:hanging="2"/>
            </w:pPr>
            <w:r>
              <w:rPr>
                <w:rFonts w:ascii="Times New Roman" w:eastAsia="Times New Roman" w:hAnsi="Times New Roman" w:cs="Times New Roman"/>
              </w:rPr>
              <w:t>PLT 4%</w:t>
            </w:r>
          </w:p>
        </w:tc>
        <w:tc>
          <w:tcPr>
            <w:tcW w:w="4253" w:type="dxa"/>
            <w:tcBorders>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WBC 3,0%</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RBC 1,5%</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HGB 1%</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PLT 4%</w:t>
            </w:r>
          </w:p>
        </w:tc>
        <w:tc>
          <w:tcPr>
            <w:tcW w:w="3027" w:type="dxa"/>
            <w:tcBorders>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385/428</w:t>
            </w:r>
          </w:p>
        </w:tc>
      </w:tr>
      <w:tr w:rsidR="000133DF">
        <w:tc>
          <w:tcPr>
            <w:tcW w:w="709" w:type="dxa"/>
            <w:tcBorders>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sz w:val="24"/>
                <w:szCs w:val="24"/>
              </w:rPr>
              <w:t>8.</w:t>
            </w:r>
          </w:p>
        </w:tc>
        <w:tc>
          <w:tcPr>
            <w:tcW w:w="2835"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Matavimo liniškumas</w:t>
            </w:r>
          </w:p>
        </w:tc>
        <w:tc>
          <w:tcPr>
            <w:tcW w:w="3827" w:type="dxa"/>
            <w:tcBorders>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siauresnis nei:</w:t>
            </w:r>
          </w:p>
          <w:p w:rsidR="000133DF" w:rsidRDefault="00000000">
            <w:pPr>
              <w:ind w:left="0" w:hanging="2"/>
            </w:pPr>
            <w:r>
              <w:rPr>
                <w:rFonts w:ascii="Times New Roman" w:eastAsia="Times New Roman" w:hAnsi="Times New Roman" w:cs="Times New Roman"/>
              </w:rPr>
              <w:t>WBC 0,03 – 440x109/L</w:t>
            </w:r>
          </w:p>
          <w:p w:rsidR="000133DF" w:rsidRDefault="00000000">
            <w:pPr>
              <w:ind w:left="0" w:hanging="2"/>
            </w:pPr>
            <w:r>
              <w:rPr>
                <w:rFonts w:ascii="Times New Roman" w:eastAsia="Times New Roman" w:hAnsi="Times New Roman" w:cs="Times New Roman"/>
              </w:rPr>
              <w:t>RBC 0,01 – 8.50x1012/L</w:t>
            </w:r>
          </w:p>
          <w:p w:rsidR="000133DF" w:rsidRDefault="00000000">
            <w:pPr>
              <w:ind w:left="0" w:hanging="2"/>
            </w:pPr>
            <w:r>
              <w:rPr>
                <w:rFonts w:ascii="Times New Roman" w:eastAsia="Times New Roman" w:hAnsi="Times New Roman" w:cs="Times New Roman"/>
              </w:rPr>
              <w:t>HGB 0,1 – 250g/L</w:t>
            </w:r>
          </w:p>
          <w:p w:rsidR="000133DF" w:rsidRDefault="00000000">
            <w:pPr>
              <w:ind w:left="0" w:hanging="2"/>
            </w:pPr>
            <w:r>
              <w:rPr>
                <w:rFonts w:ascii="Times New Roman" w:eastAsia="Times New Roman" w:hAnsi="Times New Roman" w:cs="Times New Roman"/>
              </w:rPr>
              <w:t>PLT 2 – 5000x109/L</w:t>
            </w:r>
          </w:p>
        </w:tc>
        <w:tc>
          <w:tcPr>
            <w:tcW w:w="4253" w:type="dxa"/>
            <w:tcBorders>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WBC 0,03 – 440,00 x 103/µl</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RBC 0,01 – 8,60 x 106/µl</w:t>
            </w:r>
          </w:p>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HGB 0,1 – 26,0 g/dL</w:t>
            </w:r>
          </w:p>
          <w:p w:rsidR="000133DF" w:rsidRDefault="00000000">
            <w:pPr>
              <w:ind w:left="0" w:hanging="2"/>
            </w:pPr>
            <w:r>
              <w:rPr>
                <w:rFonts w:ascii="Times New Roman" w:eastAsia="Times New Roman" w:hAnsi="Times New Roman" w:cs="Times New Roman"/>
              </w:rPr>
              <w:t>PLT 2 – 5000 x 103/µl</w:t>
            </w:r>
          </w:p>
        </w:tc>
        <w:tc>
          <w:tcPr>
            <w:tcW w:w="3027" w:type="dxa"/>
            <w:tcBorders>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382/428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9.</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Talpa automatiniam mėginių padavimui</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mažiau kaip 50 mėgintuvėlių.</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Talpa automatiniam mėginių padavimui: 10 vnt. 10 mėginių padėklų (100 mėgintuvėlių).</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38/428, 46/428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10.</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Prietaiso vidinė atmintis</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Ne mažiau 90000 tyrimų rezultatų.</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Prietaiso vidinė atmintis: 100000 tyrimų rezultatų.</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379/428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11.</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Kokybės kontrolė</w:t>
            </w:r>
          </w:p>
        </w:tc>
        <w:tc>
          <w:tcPr>
            <w:tcW w:w="3827"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Rezultatai pateikiami kaip Levey-Jennings kreivės.</w:t>
            </w:r>
          </w:p>
        </w:tc>
        <w:tc>
          <w:tcPr>
            <w:tcW w:w="4253"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Kokybės kontrolė: rezultatai pateikiami kaip Levey-Jennings kreivės.</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t>XN-2000_Naudotojo vadovas. psl. 120/428, 379/428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12.</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Informacija apie reagentus</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Turi būti nuskaitoma brūkšninio kodo pagalba. Sistema turi signalizuoti apie pasibaigusius reagentus.</w:t>
            </w:r>
          </w:p>
        </w:tc>
        <w:tc>
          <w:tcPr>
            <w:tcW w:w="4253" w:type="dxa"/>
            <w:tcBorders>
              <w:top w:val="single" w:sz="4" w:space="0" w:color="000000"/>
              <w:left w:val="single" w:sz="4" w:space="0" w:color="000000"/>
              <w:bottom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Informacija apie reagentus yra nuskaitoma brūkšninio kodo pagalba. Sistema signalizuoja apie pasibaigusius reagentus.</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rPr>
                <w:rFonts w:ascii="Times New Roman" w:eastAsia="Times New Roman" w:hAnsi="Times New Roman" w:cs="Times New Roman"/>
              </w:rPr>
            </w:pPr>
            <w:r>
              <w:rPr>
                <w:rFonts w:ascii="Times New Roman" w:eastAsia="Times New Roman" w:hAnsi="Times New Roman" w:cs="Times New Roman"/>
              </w:rPr>
              <w:t>XN-2000_Naudotojo vadovas. psl. 53/428, 286/428, 288/428</w:t>
            </w:r>
          </w:p>
        </w:tc>
      </w:tr>
      <w:tr w:rsidR="000133DF">
        <w:tc>
          <w:tcPr>
            <w:tcW w:w="709" w:type="dxa"/>
            <w:tcBorders>
              <w:top w:val="single" w:sz="4" w:space="0" w:color="000000"/>
              <w:left w:val="single" w:sz="4" w:space="0" w:color="000000"/>
              <w:bottom w:val="single" w:sz="4" w:space="0" w:color="000000"/>
            </w:tcBorders>
          </w:tcPr>
          <w:p w:rsidR="000133DF" w:rsidRDefault="00000000">
            <w:pPr>
              <w:ind w:left="0" w:hanging="2"/>
              <w:jc w:val="center"/>
            </w:pPr>
            <w:r>
              <w:rPr>
                <w:rFonts w:ascii="Times New Roman" w:eastAsia="Times New Roman" w:hAnsi="Times New Roman" w:cs="Times New Roman"/>
              </w:rPr>
              <w:t>13.</w:t>
            </w:r>
          </w:p>
        </w:tc>
        <w:tc>
          <w:tcPr>
            <w:tcW w:w="2835" w:type="dxa"/>
            <w:tcBorders>
              <w:top w:val="single" w:sz="4" w:space="0" w:color="000000"/>
              <w:left w:val="single" w:sz="4" w:space="0" w:color="000000"/>
              <w:bottom w:val="single" w:sz="4" w:space="0" w:color="000000"/>
            </w:tcBorders>
          </w:tcPr>
          <w:p w:rsidR="000133DF" w:rsidRDefault="00000000">
            <w:pPr>
              <w:ind w:left="0" w:hanging="2"/>
            </w:pPr>
            <w:r>
              <w:rPr>
                <w:rFonts w:ascii="Times New Roman" w:eastAsia="Times New Roman" w:hAnsi="Times New Roman" w:cs="Times New Roman"/>
              </w:rPr>
              <w:t>Analizatoriaus komunikacija</w:t>
            </w:r>
          </w:p>
        </w:tc>
        <w:tc>
          <w:tcPr>
            <w:tcW w:w="3827" w:type="dxa"/>
            <w:tcBorders>
              <w:top w:val="single" w:sz="4" w:space="0" w:color="000000"/>
              <w:left w:val="single" w:sz="4" w:space="0" w:color="000000"/>
              <w:bottom w:val="single" w:sz="4" w:space="0" w:color="000000"/>
            </w:tcBorders>
          </w:tcPr>
          <w:p w:rsidR="000133DF" w:rsidRDefault="00000000">
            <w:pPr>
              <w:ind w:left="0" w:hanging="2"/>
              <w:jc w:val="both"/>
            </w:pPr>
            <w:r>
              <w:rPr>
                <w:rFonts w:ascii="Times New Roman" w:eastAsia="Times New Roman" w:hAnsi="Times New Roman" w:cs="Times New Roman"/>
              </w:rPr>
              <w:t xml:space="preserve">Analizatorius privalo turėti vienkryptę arba dvikryptę komunikaciją su ligoninėje įdiegta informacine sistema, </w:t>
            </w:r>
            <w:r>
              <w:rPr>
                <w:rFonts w:ascii="Times New Roman" w:eastAsia="Times New Roman" w:hAnsi="Times New Roman" w:cs="Times New Roman"/>
              </w:rPr>
              <w:lastRenderedPageBreak/>
              <w:t>su laboratorijoje įdiegta informacine sistema cobas IT Middleware.</w:t>
            </w:r>
          </w:p>
        </w:tc>
        <w:tc>
          <w:tcPr>
            <w:tcW w:w="4253" w:type="dxa"/>
            <w:tcBorders>
              <w:top w:val="single" w:sz="4" w:space="0" w:color="000000"/>
              <w:left w:val="single" w:sz="4" w:space="0" w:color="000000"/>
              <w:bottom w:val="single" w:sz="4" w:space="0" w:color="000000"/>
            </w:tcBorders>
          </w:tcPr>
          <w:p w:rsidR="000133DF" w:rsidRDefault="00000000">
            <w:p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Analizatorius turi dvikryptę komunikaciją su ligoninėje įdiegta informacine sistema, su </w:t>
            </w:r>
            <w:r>
              <w:rPr>
                <w:rFonts w:ascii="Times New Roman" w:eastAsia="Times New Roman" w:hAnsi="Times New Roman" w:cs="Times New Roman"/>
              </w:rPr>
              <w:lastRenderedPageBreak/>
              <w:t>laboratorijoje įdiegta informacine sistema cobas IT Middleware.</w:t>
            </w:r>
          </w:p>
        </w:tc>
        <w:tc>
          <w:tcPr>
            <w:tcW w:w="3027" w:type="dxa"/>
            <w:tcBorders>
              <w:top w:val="single" w:sz="4" w:space="0" w:color="000000"/>
              <w:left w:val="single" w:sz="4" w:space="0" w:color="000000"/>
              <w:bottom w:val="single" w:sz="4" w:space="0" w:color="000000"/>
              <w:right w:val="single" w:sz="4" w:space="0" w:color="000000"/>
            </w:tcBorders>
          </w:tcPr>
          <w:p w:rsidR="000133DF" w:rsidRDefault="00000000">
            <w:pPr>
              <w:ind w:left="0" w:hanging="2"/>
            </w:pPr>
            <w:r>
              <w:rPr>
                <w:rFonts w:ascii="Times New Roman" w:eastAsia="Times New Roman" w:hAnsi="Times New Roman" w:cs="Times New Roman"/>
              </w:rPr>
              <w:lastRenderedPageBreak/>
              <w:t>SUIT Sysmex Universal Interface psl. 15/60 - 17/60</w:t>
            </w:r>
          </w:p>
        </w:tc>
      </w:tr>
    </w:tbl>
    <w:p w:rsidR="000133DF" w:rsidRDefault="000133DF">
      <w:pPr>
        <w:ind w:left="0" w:hanging="2"/>
        <w:rPr>
          <w:rFonts w:ascii="Times New Roman" w:eastAsia="Times New Roman" w:hAnsi="Times New Roman" w:cs="Times New Roman"/>
        </w:rPr>
      </w:pPr>
    </w:p>
    <w:p w:rsidR="000133DF"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-Visi panaudai suteikiami analizatoriai (4vnt.) turi būti to paties gamintojo bei naudoti tuos pačius reagentus, kontrolines, kalibracines ir pagalbines medžiagas.</w:t>
      </w:r>
    </w:p>
    <w:p w:rsidR="000133DF" w:rsidRDefault="00000000">
      <w:pPr>
        <w:ind w:left="0" w:hanging="2"/>
        <w:jc w:val="both"/>
      </w:pPr>
      <w:r>
        <w:rPr>
          <w:rFonts w:ascii="Times New Roman" w:eastAsia="Times New Roman" w:hAnsi="Times New Roman" w:cs="Times New Roman"/>
          <w:color w:val="000000"/>
        </w:rPr>
        <w:t>- Įranga turi būti ne senesnė nei 1 metai nuo pagaminimo datos, sertifikuota naudojimui Europos Sąjungoje, pažymėta CE žyme.</w:t>
      </w:r>
    </w:p>
    <w:p w:rsidR="000133DF"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-Laboratorinių tyrimų skyriuose instaliuoti analizatoriai (po 2 vnt.) turi būti valdomi iš vienos kompiuterizuotos darbo vietos (po vieną kompiuterizuotą darbo vietą kiekviename skyriuje).</w:t>
      </w:r>
    </w:p>
    <w:p w:rsidR="000133DF"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-Siūlomi analizatoriai turi tirti veninio ir kapiliarinio kraujo bei kūno skysčių mėginius surinkus į įstaigos naudojamus EDTA mėgintuvėlius.</w:t>
      </w:r>
    </w:p>
    <w:p w:rsidR="000133DF"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Tiekėjas turi instaliuoti analizatorius ir paruošti darbui bei kompetentingas specialistas, turintis kompetenciją įrodantį dokumentą, apmoko personalą naudotis įranga. Pateikti dokumentą (pažymėjimas/sertifikatas), patvirtinantį, kad mokymus atliekantis asmuo yra įrangos gamintojo tinkamai apmokytas ir/ar įgaliotas mokyti įrangos naudotojus.</w:t>
      </w:r>
    </w:p>
    <w:p w:rsidR="000133DF" w:rsidRDefault="0000000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-Tiekėjas, suteikiantis prietaisus nuomos (panaudos) būdu, turi užtikrinti, kad vertinamas tik pilnos apimties pasiūlymas (4 vnt. hematologiniai analizatoriai), atitinkantis techninius reikalavimus. </w:t>
      </w:r>
    </w:p>
    <w:p w:rsidR="000133DF" w:rsidRDefault="000133DF">
      <w:pPr>
        <w:tabs>
          <w:tab w:val="left" w:pos="450"/>
        </w:tabs>
        <w:ind w:left="0" w:hanging="2"/>
        <w:jc w:val="both"/>
      </w:pPr>
    </w:p>
    <w:p w:rsidR="000133DF" w:rsidRDefault="000133DF">
      <w:pPr>
        <w:tabs>
          <w:tab w:val="left" w:pos="450"/>
        </w:tabs>
        <w:ind w:left="0" w:hanging="2"/>
        <w:jc w:val="both"/>
      </w:pPr>
    </w:p>
    <w:p w:rsidR="000133DF" w:rsidRDefault="000133DF">
      <w:pPr>
        <w:tabs>
          <w:tab w:val="left" w:pos="450"/>
        </w:tabs>
        <w:ind w:left="0" w:hanging="2"/>
        <w:jc w:val="both"/>
      </w:pPr>
    </w:p>
    <w:p w:rsidR="000133DF" w:rsidRDefault="000133DF">
      <w:pPr>
        <w:ind w:left="0" w:hanging="2"/>
        <w:jc w:val="both"/>
        <w:rPr>
          <w:rFonts w:ascii="Times New Roman" w:eastAsia="Times New Roman" w:hAnsi="Times New Roman" w:cs="Times New Roman"/>
          <w:sz w:val="24"/>
          <w:szCs w:val="24"/>
        </w:rPr>
      </w:pPr>
    </w:p>
    <w:p w:rsidR="000133DF" w:rsidRDefault="000133DF">
      <w:pPr>
        <w:ind w:left="0" w:hanging="2"/>
        <w:jc w:val="both"/>
        <w:rPr>
          <w:rFonts w:ascii="Times New Roman" w:eastAsia="Times New Roman" w:hAnsi="Times New Roman" w:cs="Times New Roman"/>
          <w:sz w:val="24"/>
          <w:szCs w:val="24"/>
        </w:rPr>
      </w:pPr>
    </w:p>
    <w:p w:rsidR="000133DF" w:rsidRDefault="000133DF">
      <w:pPr>
        <w:ind w:left="0" w:hanging="2"/>
        <w:jc w:val="center"/>
      </w:pPr>
    </w:p>
    <w:sectPr w:rsidR="000133DF">
      <w:footerReference w:type="default" r:id="rId8"/>
      <w:pgSz w:w="16838" w:h="11906" w:orient="landscape"/>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5EA" w:rsidRDefault="003A65EA">
      <w:pPr>
        <w:spacing w:line="240" w:lineRule="auto"/>
        <w:ind w:left="0" w:hanging="2"/>
      </w:pPr>
      <w:r>
        <w:separator/>
      </w:r>
    </w:p>
  </w:endnote>
  <w:endnote w:type="continuationSeparator" w:id="0">
    <w:p w:rsidR="003A65EA" w:rsidRDefault="003A65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0000000000000000000"/>
    <w:charset w:val="00"/>
    <w:family w:val="roman"/>
    <w:notTrueType/>
    <w:pitch w:val="default"/>
  </w:font>
  <w:font w:name="TimesLT">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33DF" w:rsidRDefault="00000000">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60FE1">
      <w:rPr>
        <w:noProof/>
        <w:color w:val="000000"/>
      </w:rPr>
      <w:t>1</w:t>
    </w:r>
    <w:r>
      <w:rPr>
        <w:color w:val="000000"/>
      </w:rPr>
      <w:fldChar w:fldCharType="end"/>
    </w:r>
  </w:p>
  <w:p w:rsidR="000133DF" w:rsidRDefault="000133DF">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5EA" w:rsidRDefault="003A65EA">
      <w:pPr>
        <w:spacing w:line="240" w:lineRule="auto"/>
        <w:ind w:left="0" w:hanging="2"/>
      </w:pPr>
      <w:r>
        <w:separator/>
      </w:r>
    </w:p>
  </w:footnote>
  <w:footnote w:type="continuationSeparator" w:id="0">
    <w:p w:rsidR="003A65EA" w:rsidRDefault="003A65E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A6EAD"/>
    <w:multiLevelType w:val="multilevel"/>
    <w:tmpl w:val="4644F4D8"/>
    <w:lvl w:ilvl="0">
      <w:start w:val="1"/>
      <w:numFmt w:val="decimal"/>
      <w:pStyle w:val="Antrat1"/>
      <w:lvlText w:val=""/>
      <w:lvlJc w:val="left"/>
      <w:pPr>
        <w:ind w:left="432" w:hanging="432"/>
      </w:pPr>
      <w:rPr>
        <w:vertAlign w:val="baseline"/>
      </w:rPr>
    </w:lvl>
    <w:lvl w:ilvl="1">
      <w:start w:val="1"/>
      <w:numFmt w:val="decimal"/>
      <w:pStyle w:val="Antrat2"/>
      <w:lvlText w:val=""/>
      <w:lvlJc w:val="left"/>
      <w:pPr>
        <w:ind w:left="576" w:hanging="576"/>
      </w:pPr>
      <w:rPr>
        <w:vertAlign w:val="baseline"/>
      </w:rPr>
    </w:lvl>
    <w:lvl w:ilvl="2">
      <w:start w:val="1"/>
      <w:numFmt w:val="decimal"/>
      <w:pStyle w:val="Antrat3"/>
      <w:lvlText w:val=""/>
      <w:lvlJc w:val="left"/>
      <w:pPr>
        <w:ind w:left="720" w:hanging="72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66994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DF"/>
    <w:rsid w:val="000133DF"/>
    <w:rsid w:val="003A65EA"/>
    <w:rsid w:val="00F60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89B94-FAE5-4EC2-A96B-BE6627CE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1" w:lineRule="atLeast"/>
      <w:ind w:leftChars="-1" w:left="-1" w:hangingChars="1" w:hanging="1"/>
      <w:textDirection w:val="btLr"/>
      <w:textAlignment w:val="top"/>
      <w:outlineLvl w:val="0"/>
    </w:pPr>
    <w:rPr>
      <w:position w:val="-1"/>
      <w:lang w:val="en-US" w:eastAsia="zh-CN"/>
    </w:rPr>
  </w:style>
  <w:style w:type="paragraph" w:styleId="Antrat1">
    <w:name w:val="heading 1"/>
    <w:basedOn w:val="prastasis"/>
    <w:next w:val="prastasis"/>
    <w:uiPriority w:val="9"/>
    <w:qFormat/>
    <w:pPr>
      <w:keepNext/>
      <w:numPr>
        <w:numId w:val="1"/>
      </w:numPr>
      <w:ind w:left="-1" w:hanging="1"/>
      <w:jc w:val="center"/>
    </w:pPr>
    <w:rPr>
      <w:b/>
      <w:bCs/>
    </w:rPr>
  </w:style>
  <w:style w:type="paragraph" w:styleId="Antrat2">
    <w:name w:val="heading 2"/>
    <w:basedOn w:val="prastasis"/>
    <w:next w:val="prastasis"/>
    <w:uiPriority w:val="9"/>
    <w:semiHidden/>
    <w:unhideWhenUsed/>
    <w:qFormat/>
    <w:pPr>
      <w:keepNext/>
      <w:numPr>
        <w:ilvl w:val="1"/>
        <w:numId w:val="1"/>
      </w:numPr>
      <w:ind w:left="-1" w:hanging="1"/>
      <w:outlineLvl w:val="1"/>
    </w:pPr>
    <w:rPr>
      <w:b/>
      <w:bCs/>
    </w:rPr>
  </w:style>
  <w:style w:type="paragraph" w:styleId="Antrat3">
    <w:name w:val="heading 3"/>
    <w:basedOn w:val="Heading"/>
    <w:next w:val="Pagrindinistekstas"/>
    <w:uiPriority w:val="9"/>
    <w:semiHidden/>
    <w:unhideWhenUsed/>
    <w:qFormat/>
    <w:pPr>
      <w:numPr>
        <w:ilvl w:val="2"/>
        <w:numId w:val="1"/>
      </w:numPr>
      <w:spacing w:before="140"/>
      <w:ind w:left="-1" w:hanging="1"/>
      <w:outlineLvl w:val="2"/>
    </w:pPr>
    <w:rPr>
      <w:b/>
      <w:bCs/>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OpenSymbol"/>
      <w:w w:val="100"/>
      <w:position w:val="-1"/>
      <w:sz w:val="24"/>
      <w:szCs w:val="24"/>
      <w:effect w:val="none"/>
      <w:shd w:val="clear" w:color="auto" w:fill="auto"/>
      <w:vertAlign w:val="baseline"/>
      <w:cs w:val="0"/>
      <w:em w:val="none"/>
      <w:lang w:val="lt-LT"/>
    </w:rPr>
  </w:style>
  <w:style w:type="character" w:customStyle="1" w:styleId="WW8Num3z0">
    <w:name w:val="WW8Num3z0"/>
    <w:rPr>
      <w:rFonts w:ascii="Symbol" w:hAnsi="Symbol" w:cs="Times New Roman"/>
      <w:w w:val="100"/>
      <w:position w:val="-1"/>
      <w:sz w:val="24"/>
      <w:szCs w:val="24"/>
      <w:effect w:val="none"/>
      <w:vertAlign w:val="baseline"/>
      <w:cs w:val="0"/>
      <w:em w:val="none"/>
      <w:lang w:val="lt-LT"/>
    </w:rPr>
  </w:style>
  <w:style w:type="character" w:customStyle="1" w:styleId="WW8Num4z0">
    <w:name w:val="WW8Num4z0"/>
    <w:rPr>
      <w:rFonts w:ascii="Symbol" w:hAnsi="Symbol" w:cs="OpenSymbol"/>
      <w:w w:val="100"/>
      <w:position w:val="-1"/>
      <w:sz w:val="24"/>
      <w:szCs w:val="24"/>
      <w:effect w:val="none"/>
      <w:vertAlign w:val="baseline"/>
      <w:cs w:val="0"/>
      <w:em w:val="none"/>
      <w:lang w:val="lt-LT"/>
    </w:rPr>
  </w:style>
  <w:style w:type="character" w:customStyle="1" w:styleId="WW8Num5z0">
    <w:name w:val="WW8Num5z0"/>
    <w:rPr>
      <w:rFonts w:ascii="Symbol" w:hAnsi="Symbol" w:cs="Times New Roman"/>
      <w:w w:val="100"/>
      <w:position w:val="-1"/>
      <w:sz w:val="24"/>
      <w:szCs w:val="24"/>
      <w:effect w:val="none"/>
      <w:vertAlign w:val="baseline"/>
      <w:cs w:val="0"/>
      <w:em w:val="none"/>
      <w:lang w:val="lt-LT"/>
    </w:rPr>
  </w:style>
  <w:style w:type="character" w:customStyle="1" w:styleId="WW8Num6z0">
    <w:name w:val="WW8Num6z0"/>
    <w:rPr>
      <w:rFonts w:ascii="Symbol" w:hAnsi="Symbol" w:cs="OpenSymbol"/>
      <w:w w:val="100"/>
      <w:position w:val="-1"/>
      <w:sz w:val="24"/>
      <w:szCs w:val="24"/>
      <w:effect w:val="none"/>
      <w:vertAlign w:val="baseline"/>
      <w:cs w:val="0"/>
      <w:em w:val="none"/>
      <w:lang w:val="lt-LT"/>
    </w:rPr>
  </w:style>
  <w:style w:type="character" w:customStyle="1" w:styleId="Numatytasispastraiposriftas2">
    <w:name w:val="Numatytasis pastraipos šriftas2"/>
    <w:rPr>
      <w:w w:val="100"/>
      <w:position w:val="-1"/>
      <w:effect w:val="none"/>
      <w:vertAlign w:val="baseline"/>
      <w:cs w:val="0"/>
      <w:em w:val="none"/>
    </w:rPr>
  </w:style>
  <w:style w:type="character" w:customStyle="1" w:styleId="DefaultParagraphFont2">
    <w:name w:val="Default Paragraph Font2"/>
    <w:rPr>
      <w:w w:val="100"/>
      <w:position w:val="-1"/>
      <w:effect w:val="none"/>
      <w:vertAlign w:val="baseline"/>
      <w:cs w:val="0"/>
      <w:em w:val="none"/>
    </w:rPr>
  </w:style>
  <w:style w:type="character" w:customStyle="1" w:styleId="Numatytasispastraiposriftas1">
    <w:name w:val="Numatytasis pastraipos šriftas1"/>
    <w:rPr>
      <w:w w:val="100"/>
      <w:position w:val="-1"/>
      <w:effect w:val="none"/>
      <w:vertAlign w:val="baseline"/>
      <w:cs w:val="0"/>
      <w:em w:val="none"/>
    </w:rPr>
  </w:style>
  <w:style w:type="character" w:customStyle="1" w:styleId="WW8Num7z0">
    <w:name w:val="WW8Num7z0"/>
    <w:rPr>
      <w:rFonts w:ascii="Times New Roman" w:hAnsi="Times New Roman" w:cs="Times New Roman"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WW-DefaultParagraphFont11">
    <w:name w:val="WW-Default Paragraph Font11"/>
    <w:rPr>
      <w:w w:val="100"/>
      <w:position w:val="-1"/>
      <w:effect w:val="none"/>
      <w:vertAlign w:val="baseline"/>
      <w:cs w:val="0"/>
      <w:em w:val="none"/>
    </w:rPr>
  </w:style>
  <w:style w:type="character" w:customStyle="1" w:styleId="WW-DefaultParagraphFont111">
    <w:name w:val="WW-Default Paragraph Font111"/>
    <w:rPr>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DefaultParagraphFont1111">
    <w:name w:val="WW-Default Paragraph Font1111"/>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styleId="Hipersaitas">
    <w:name w:val="Hyperlink"/>
    <w:rPr>
      <w:color w:val="0000FF"/>
      <w:w w:val="100"/>
      <w:position w:val="-1"/>
      <w:u w:val="single"/>
      <w:effect w:val="none"/>
      <w:vertAlign w:val="baseline"/>
      <w:cs w:val="0"/>
      <w:em w:val="none"/>
    </w:rPr>
  </w:style>
  <w:style w:type="character" w:styleId="Puslapionumeris">
    <w:name w:val="page number"/>
    <w:basedOn w:val="DefaultParagraphFont1"/>
    <w:rPr>
      <w:w w:val="100"/>
      <w:position w:val="-1"/>
      <w:effect w:val="none"/>
      <w:vertAlign w:val="baseline"/>
      <w:cs w:val="0"/>
      <w:em w:val="none"/>
    </w:rPr>
  </w:style>
  <w:style w:type="character" w:customStyle="1" w:styleId="HeaderChar">
    <w:name w:val="Header Char"/>
    <w:rPr>
      <w:rFonts w:ascii="Arial" w:hAnsi="Arial" w:cs="Arial"/>
      <w:w w:val="100"/>
      <w:position w:val="-1"/>
      <w:sz w:val="22"/>
      <w:effect w:val="none"/>
      <w:vertAlign w:val="baseline"/>
      <w:cs w:val="0"/>
      <w:em w:val="none"/>
      <w:lang w:val="en-US" w:eastAsia="zh-CN"/>
    </w:rPr>
  </w:style>
  <w:style w:type="character" w:customStyle="1" w:styleId="Komentaronuoroda1">
    <w:name w:val="Komentaro nuoroda1"/>
    <w:rPr>
      <w:w w:val="100"/>
      <w:position w:val="-1"/>
      <w:sz w:val="16"/>
      <w:szCs w:val="16"/>
      <w:effect w:val="none"/>
      <w:vertAlign w:val="baseline"/>
      <w:cs w:val="0"/>
      <w:em w:val="none"/>
    </w:rPr>
  </w:style>
  <w:style w:type="character" w:customStyle="1" w:styleId="KomentarotekstasDiagrama">
    <w:name w:val="Komentaro tekstas Diagrama"/>
    <w:rPr>
      <w:rFonts w:ascii="Arial" w:hAnsi="Arial" w:cs="Arial"/>
      <w:w w:val="100"/>
      <w:position w:val="-1"/>
      <w:effect w:val="none"/>
      <w:vertAlign w:val="baseline"/>
      <w:cs w:val="0"/>
      <w:em w:val="none"/>
      <w:lang w:val="en-US" w:eastAsia="zh-CN"/>
    </w:rPr>
  </w:style>
  <w:style w:type="character" w:customStyle="1" w:styleId="KomentarotemaDiagrama">
    <w:name w:val="Komentaro tema Diagrama"/>
    <w:rPr>
      <w:rFonts w:ascii="Arial" w:hAnsi="Arial" w:cs="Arial"/>
      <w:b/>
      <w:bCs/>
      <w:w w:val="100"/>
      <w:position w:val="-1"/>
      <w:effect w:val="none"/>
      <w:vertAlign w:val="baseline"/>
      <w:cs w:val="0"/>
      <w:em w:val="none"/>
      <w:lang w:val="en-US" w:eastAsia="zh-CN"/>
    </w:rPr>
  </w:style>
  <w:style w:type="character" w:styleId="Eilutsnumeris">
    <w:name w:val="line number"/>
    <w:rPr>
      <w:w w:val="100"/>
      <w:position w:val="-1"/>
      <w:effect w:val="none"/>
      <w:vertAlign w:val="baseline"/>
      <w:cs w:val="0"/>
      <w:em w:val="none"/>
    </w:rPr>
  </w:style>
  <w:style w:type="paragraph" w:customStyle="1" w:styleId="Antrat40">
    <w:name w:val="Antraštė4"/>
    <w:basedOn w:val="prastasis"/>
    <w:next w:val="Pagrindinistekstas"/>
    <w:pPr>
      <w:suppressLineNumbers/>
      <w:spacing w:before="120" w:after="120"/>
    </w:pPr>
    <w:rPr>
      <w:rFonts w:cs="Lucida Sans"/>
      <w:i/>
      <w:iCs/>
      <w:sz w:val="24"/>
      <w:szCs w:val="24"/>
    </w:rPr>
  </w:style>
  <w:style w:type="paragraph" w:styleId="Pagrindinistekstas">
    <w:name w:val="Body Text"/>
    <w:pPr>
      <w:spacing w:line="1" w:lineRule="atLeast"/>
      <w:ind w:leftChars="-1" w:left="-1" w:hangingChars="1" w:firstLine="312"/>
      <w:jc w:val="both"/>
      <w:textDirection w:val="btLr"/>
      <w:textAlignment w:val="top"/>
      <w:outlineLvl w:val="0"/>
    </w:pPr>
    <w:rPr>
      <w:rFonts w:ascii="TimesLT" w:hAnsi="TimesLT" w:cs="TimesLT"/>
      <w:position w:val="-1"/>
      <w:lang w:val="en-US" w:eastAsia="zh-CN"/>
    </w:rPr>
  </w:style>
  <w:style w:type="paragraph" w:styleId="Sraas">
    <w:name w:val="List"/>
    <w:basedOn w:val="Pagrindinistekstas"/>
    <w:pPr>
      <w:spacing w:after="140" w:line="288" w:lineRule="auto"/>
      <w:ind w:hanging="1"/>
    </w:pPr>
    <w:rPr>
      <w:rFonts w:ascii="Arial" w:hAnsi="Arial" w:cs="Mangal"/>
    </w:rPr>
  </w:style>
  <w:style w:type="paragraph" w:styleId="Antrat">
    <w:name w:val="caption"/>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customStyle="1" w:styleId="Antrat30">
    <w:name w:val="Antraštė3"/>
    <w:basedOn w:val="prastasis"/>
    <w:next w:val="Pagrindinistekstas"/>
    <w:pPr>
      <w:suppressLineNumbers/>
      <w:spacing w:before="120" w:after="120"/>
    </w:pPr>
    <w:rPr>
      <w:rFonts w:cs="Mangal"/>
      <w:i/>
      <w:iCs/>
      <w:sz w:val="24"/>
      <w:szCs w:val="24"/>
    </w:rPr>
  </w:style>
  <w:style w:type="paragraph" w:customStyle="1" w:styleId="Caption1">
    <w:name w:val="Caption1"/>
    <w:basedOn w:val="prastasis"/>
    <w:pPr>
      <w:suppressLineNumbers/>
      <w:spacing w:before="120" w:after="120"/>
    </w:pPr>
    <w:rPr>
      <w:rFonts w:cs="Lucida Sans"/>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Liberation Sans" w:eastAsia="Microsoft YaHei" w:hAnsi="Liberation Sans" w:cs="Mangal"/>
      <w:sz w:val="28"/>
      <w:szCs w:val="28"/>
    </w:rPr>
  </w:style>
  <w:style w:type="paragraph" w:customStyle="1" w:styleId="WW-Caption">
    <w:name w:val="WW-Caption"/>
    <w:basedOn w:val="prastasis"/>
    <w:pPr>
      <w:suppressLineNumbers/>
      <w:spacing w:before="120" w:after="120"/>
    </w:pPr>
    <w:rPr>
      <w:rFonts w:cs="Mangal"/>
      <w:i/>
      <w:iCs/>
      <w:sz w:val="24"/>
      <w:szCs w:val="24"/>
    </w:rPr>
  </w:style>
  <w:style w:type="paragraph" w:customStyle="1" w:styleId="WW-Caption1">
    <w:name w:val="WW-Caption1"/>
    <w:basedOn w:val="prastasis"/>
    <w:pPr>
      <w:suppressLineNumbers/>
      <w:spacing w:before="120" w:after="120"/>
    </w:pPr>
    <w:rPr>
      <w:rFonts w:cs="Mangal"/>
      <w:i/>
      <w:iCs/>
      <w:sz w:val="24"/>
      <w:szCs w:val="24"/>
    </w:rPr>
  </w:style>
  <w:style w:type="paragraph" w:customStyle="1" w:styleId="WW-Caption11">
    <w:name w:val="WW-Caption11"/>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Liberation Sans" w:eastAsia="Microsoft YaHei" w:hAnsi="Liberation Sans" w:cs="Mangal"/>
      <w:sz w:val="28"/>
      <w:szCs w:val="28"/>
    </w:rPr>
  </w:style>
  <w:style w:type="paragraph" w:customStyle="1" w:styleId="WW-Caption111">
    <w:name w:val="WW-Caption111"/>
    <w:basedOn w:val="prastasis"/>
    <w:pPr>
      <w:suppressLineNumbers/>
      <w:spacing w:before="120" w:after="120"/>
    </w:pPr>
    <w:rPr>
      <w:rFonts w:cs="Mangal"/>
      <w:i/>
      <w:iCs/>
      <w:sz w:val="24"/>
      <w:szCs w:val="24"/>
    </w:rPr>
  </w:style>
  <w:style w:type="paragraph" w:customStyle="1" w:styleId="DocumentMap1">
    <w:name w:val="Document Map1"/>
    <w:basedOn w:val="prastasis"/>
    <w:pPr>
      <w:shd w:val="clear" w:color="auto" w:fill="000080"/>
    </w:pPr>
    <w:rPr>
      <w:rFonts w:ascii="Tahoma" w:hAnsi="Tahoma" w:cs="Tahoma"/>
      <w:sz w:val="20"/>
    </w:rPr>
  </w:style>
  <w:style w:type="paragraph" w:customStyle="1" w:styleId="BalloonText1">
    <w:name w:val="Balloon Text1"/>
    <w:basedOn w:val="prastasis"/>
    <w:rPr>
      <w:rFonts w:ascii="Tahoma" w:hAnsi="Tahoma" w:cs="Tahoma"/>
      <w:sz w:val="16"/>
      <w:szCs w:val="16"/>
    </w:r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pPr>
      <w:spacing w:after="160" w:line="240" w:lineRule="atLeast"/>
    </w:pPr>
    <w:rPr>
      <w:rFonts w:ascii="Verdana" w:hAnsi="Verdana" w:cs="Verdana"/>
      <w:sz w:val="20"/>
    </w:rPr>
  </w:style>
  <w:style w:type="paragraph" w:customStyle="1" w:styleId="Numatytasis">
    <w:name w:val="Numatytasis"/>
    <w:pPr>
      <w:spacing w:line="100" w:lineRule="atLeast"/>
      <w:ind w:leftChars="-1" w:left="-1" w:hangingChars="1" w:hanging="1"/>
      <w:textDirection w:val="btLr"/>
      <w:textAlignment w:val="baseline"/>
      <w:outlineLvl w:val="0"/>
    </w:pPr>
    <w:rPr>
      <w:color w:val="00000A"/>
      <w:position w:val="-1"/>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paragraph" w:customStyle="1" w:styleId="WW-Numatytasis">
    <w:name w:val="WW-Numatytasis"/>
    <w:pPr>
      <w:spacing w:line="100" w:lineRule="atLeast"/>
      <w:ind w:leftChars="-1" w:left="-1" w:hangingChars="1" w:hanging="1"/>
      <w:textDirection w:val="btLr"/>
      <w:textAlignment w:val="baseline"/>
      <w:outlineLvl w:val="0"/>
    </w:pPr>
    <w:rPr>
      <w:color w:val="00000A"/>
      <w:position w:val="-1"/>
      <w:sz w:val="24"/>
      <w:szCs w:val="24"/>
      <w:lang w:eastAsia="zh-CN"/>
    </w:rPr>
  </w:style>
  <w:style w:type="paragraph" w:customStyle="1" w:styleId="TableContents">
    <w:name w:val="Table Contents"/>
    <w:basedOn w:val="prastasis"/>
    <w:pPr>
      <w:suppressLineNumbers/>
    </w:pPr>
  </w:style>
  <w:style w:type="paragraph" w:customStyle="1" w:styleId="Standard">
    <w:name w:val="Standard"/>
    <w:pPr>
      <w:spacing w:after="200" w:line="276" w:lineRule="auto"/>
      <w:ind w:leftChars="-1" w:left="-1" w:hangingChars="1" w:hanging="1"/>
      <w:textDirection w:val="btLr"/>
      <w:textAlignment w:val="baseline"/>
      <w:outlineLvl w:val="0"/>
    </w:pPr>
    <w:rPr>
      <w:kern w:val="2"/>
      <w:position w:val="-1"/>
      <w:sz w:val="24"/>
      <w:szCs w:val="24"/>
      <w:lang w:eastAsia="zh-CN" w:bidi="hi-IN"/>
    </w:rPr>
  </w:style>
  <w:style w:type="paragraph" w:styleId="Antrats">
    <w:name w:val="header"/>
    <w:basedOn w:val="prastasis"/>
    <w:pPr>
      <w:tabs>
        <w:tab w:val="center" w:pos="4819"/>
        <w:tab w:val="right" w:pos="9638"/>
      </w:tab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customStyle="1" w:styleId="Quotations">
    <w:name w:val="Quotations"/>
    <w:basedOn w:val="prastasis"/>
    <w:pPr>
      <w:spacing w:after="283"/>
      <w:ind w:left="567" w:right="567" w:firstLine="0"/>
    </w:pPr>
  </w:style>
  <w:style w:type="paragraph" w:customStyle="1" w:styleId="Title1">
    <w:name w:val="Title1"/>
    <w:basedOn w:val="Heading"/>
    <w:next w:val="Pagrindinistekstas"/>
    <w:pPr>
      <w:jc w:val="center"/>
    </w:pPr>
    <w:rPr>
      <w:b/>
      <w:bCs/>
      <w:sz w:val="56"/>
      <w:szCs w:val="56"/>
    </w:rPr>
  </w:style>
  <w:style w:type="paragraph" w:styleId="Paantrat">
    <w:name w:val="Subtitle"/>
    <w:basedOn w:val="prastasis"/>
    <w:next w:val="prastasis"/>
    <w:uiPriority w:val="11"/>
    <w:qFormat/>
    <w:pPr>
      <w:keepNext/>
      <w:spacing w:before="60" w:after="120"/>
      <w:jc w:val="center"/>
    </w:pPr>
    <w:rPr>
      <w:rFonts w:ascii="Liberation Sans" w:eastAsia="Liberation Sans" w:hAnsi="Liberation Sans" w:cs="Liberation Sans"/>
      <w:sz w:val="36"/>
      <w:szCs w:val="36"/>
    </w:rPr>
  </w:style>
  <w:style w:type="paragraph" w:customStyle="1" w:styleId="Komentarotekstas1">
    <w:name w:val="Komentaro tekstas1"/>
    <w:basedOn w:val="prastasis"/>
    <w:rPr>
      <w:sz w:val="20"/>
    </w:rPr>
  </w:style>
  <w:style w:type="paragraph" w:customStyle="1" w:styleId="CommentSubject">
    <w:name w:val="Comment Subject"/>
    <w:basedOn w:val="Komentarotekstas1"/>
    <w:next w:val="Komentarotekstas1"/>
    <w:rPr>
      <w:b/>
      <w:bCs/>
    </w:rPr>
  </w:style>
  <w:style w:type="paragraph" w:styleId="Pataisymai">
    <w:name w:val="Revision"/>
    <w:pPr>
      <w:spacing w:line="1" w:lineRule="atLeast"/>
      <w:ind w:leftChars="-1" w:left="-1" w:hangingChars="1" w:hanging="1"/>
      <w:textDirection w:val="btLr"/>
      <w:textAlignment w:val="top"/>
      <w:outlineLvl w:val="0"/>
    </w:pPr>
    <w:rPr>
      <w:position w:val="-1"/>
      <w:lang w:val="en-US" w:eastAsia="zh-CN"/>
    </w:rPr>
  </w:style>
  <w:style w:type="character" w:customStyle="1" w:styleId="FooterChar">
    <w:name w:val="Footer Char"/>
    <w:rPr>
      <w:rFonts w:ascii="Arial" w:hAnsi="Arial" w:cs="Arial"/>
      <w:w w:val="100"/>
      <w:position w:val="-1"/>
      <w:sz w:val="22"/>
      <w:effect w:val="none"/>
      <w:vertAlign w:val="baseline"/>
      <w:cs w:val="0"/>
      <w:em w:val="none"/>
      <w:lang w:val="en-US" w:eastAsia="zh-CN"/>
    </w:rPr>
  </w:style>
  <w:style w:type="paragraph" w:customStyle="1" w:styleId="Body2">
    <w:name w:val="Body 2"/>
    <w:pPr>
      <w:pBdr>
        <w:top w:val="nil"/>
        <w:left w:val="nil"/>
        <w:bottom w:val="nil"/>
        <w:right w:val="nil"/>
        <w:between w:val="nil"/>
        <w:bar w:val="nil"/>
      </w:pBdr>
      <w:spacing w:after="40" w:line="1" w:lineRule="atLeast"/>
      <w:ind w:leftChars="-1" w:left="-1" w:hangingChars="1" w:hanging="1"/>
      <w:jc w:val="both"/>
      <w:textDirection w:val="btLr"/>
      <w:textAlignment w:val="top"/>
      <w:outlineLvl w:val="0"/>
    </w:pPr>
    <w:rPr>
      <w:color w:val="000000"/>
      <w:position w:val="-1"/>
      <w:bdr w:val="nil"/>
      <w:lang w:val="en-US"/>
    </w:rPr>
  </w:style>
  <w:style w:type="character" w:customStyle="1" w:styleId="CommentReference">
    <w:name w:val="Comment Reference"/>
    <w:qFormat/>
    <w:rPr>
      <w:w w:val="100"/>
      <w:position w:val="-1"/>
      <w:sz w:val="16"/>
      <w:szCs w:val="16"/>
      <w:effect w:val="none"/>
      <w:vertAlign w:val="baseline"/>
      <w:cs w:val="0"/>
      <w:em w:val="none"/>
    </w:rPr>
  </w:style>
  <w:style w:type="paragraph" w:customStyle="1" w:styleId="CommentText">
    <w:name w:val="Comment Text"/>
    <w:basedOn w:val="prastasis"/>
    <w:qFormat/>
    <w:rPr>
      <w:sz w:val="20"/>
    </w:rPr>
  </w:style>
  <w:style w:type="character" w:customStyle="1" w:styleId="CommentTextChar">
    <w:name w:val="Comment Text Char"/>
    <w:rPr>
      <w:rFonts w:ascii="Arial" w:hAnsi="Arial" w:cs="Arial"/>
      <w:w w:val="100"/>
      <w:position w:val="-1"/>
      <w:effect w:val="none"/>
      <w:vertAlign w:val="baseline"/>
      <w:cs w:val="0"/>
      <w:em w:val="none"/>
      <w:lang w:val="en-US" w:eastAsia="zh-CN"/>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rXsu3DC2LDjSZUARQpJscM3rww==">AMUW2mX1fSUuAuPze/OxaZHOilZ9NDS6/3iCaaXcy7+P0B34lQEsFBZ3Rm8giotsIz6LsOcoMN/NlsUb5wURevwtEdlV8M4JuC+BHmld8TVJKKvJn0zXDlkdrtl3edOLpgAj1fn8CMft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17443</Words>
  <Characters>9943</Characters>
  <Application>Microsoft Office Word</Application>
  <DocSecurity>0</DocSecurity>
  <Lines>82</Lines>
  <Paragraphs>54</Paragraphs>
  <ScaleCrop>false</ScaleCrop>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birute.p</dc:creator>
  <cp:lastModifiedBy>Viesieji2</cp:lastModifiedBy>
  <cp:revision>2</cp:revision>
  <dcterms:created xsi:type="dcterms:W3CDTF">2022-11-28T13:42:00Z</dcterms:created>
  <dcterms:modified xsi:type="dcterms:W3CDTF">2022-11-28T13:42:00Z</dcterms:modified>
</cp:coreProperties>
</file>