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0976D0CF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365CD">
        <w:rPr>
          <w:szCs w:val="24"/>
        </w:rPr>
        <w:t>202</w:t>
      </w:r>
      <w:r w:rsidR="00F07AAD" w:rsidRPr="004365CD">
        <w:rPr>
          <w:szCs w:val="24"/>
        </w:rPr>
        <w:t>3-02-</w:t>
      </w:r>
      <w:r w:rsidR="002F15A2" w:rsidRPr="004365CD">
        <w:rPr>
          <w:szCs w:val="24"/>
        </w:rPr>
        <w:t>20</w:t>
      </w:r>
      <w:r w:rsidR="002F15A2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Miškininkystės paslaugų                 </w:t>
      </w:r>
    </w:p>
    <w:p w14:paraId="289884D8" w14:textId="06A7F93F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5D02F4" w:rsidRPr="005D02F4">
        <w:t xml:space="preserve"> </w:t>
      </w:r>
      <w:r w:rsidR="004365CD" w:rsidRPr="004365CD">
        <w:t>75-VP-621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3A1BFF64" w:rsidR="00F95C76" w:rsidRPr="003E1466" w:rsidRDefault="00F07AA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82173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0707A420" w:rsidR="00F95C76" w:rsidRPr="003E1466" w:rsidRDefault="00C8217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192,39</w:t>
            </w: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122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2F15A2"/>
    <w:rsid w:val="003039C5"/>
    <w:rsid w:val="003108B6"/>
    <w:rsid w:val="003B5DA3"/>
    <w:rsid w:val="003F5E7F"/>
    <w:rsid w:val="004365CD"/>
    <w:rsid w:val="0055645A"/>
    <w:rsid w:val="005D02F4"/>
    <w:rsid w:val="00626A67"/>
    <w:rsid w:val="00794FC8"/>
    <w:rsid w:val="00973BEC"/>
    <w:rsid w:val="00A370E7"/>
    <w:rsid w:val="00C245F4"/>
    <w:rsid w:val="00C82173"/>
    <w:rsid w:val="00F07AAD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7</cp:revision>
  <dcterms:created xsi:type="dcterms:W3CDTF">2020-12-02T12:26:00Z</dcterms:created>
  <dcterms:modified xsi:type="dcterms:W3CDTF">2023-02-20T08:50:00Z</dcterms:modified>
</cp:coreProperties>
</file>